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58" w:rsidRPr="00214A58" w:rsidRDefault="00214A58" w:rsidP="00214A58">
      <w:pPr>
        <w:pStyle w:val="Default"/>
        <w:spacing w:before="480" w:after="480" w:line="360" w:lineRule="auto"/>
        <w:jc w:val="center"/>
        <w:rPr>
          <w:rFonts w:ascii="Arial" w:hAnsi="Arial" w:cs="Arial"/>
          <w:b/>
          <w:sz w:val="48"/>
          <w:szCs w:val="48"/>
          <w:lang w:val="en-GB"/>
        </w:rPr>
      </w:pPr>
      <w:bookmarkStart w:id="0" w:name="_GoBack"/>
      <w:bookmarkEnd w:id="0"/>
      <w:r w:rsidRPr="00214A58">
        <w:rPr>
          <w:rFonts w:ascii="Arial" w:hAnsi="Arial" w:cs="Arial"/>
          <w:b/>
          <w:sz w:val="48"/>
          <w:szCs w:val="48"/>
          <w:lang w:val="en-GB"/>
        </w:rPr>
        <w:t>Effects of the influence of calibration procedures on reliability of indicators estimated by the state household sample surveys in Ukraine</w:t>
      </w:r>
    </w:p>
    <w:p w:rsidR="00D0270E" w:rsidRPr="00EC5F5A" w:rsidRDefault="00214A58" w:rsidP="00C726EA">
      <w:pPr>
        <w:spacing w:after="0" w:line="360" w:lineRule="auto"/>
        <w:jc w:val="both"/>
        <w:rPr>
          <w:rFonts w:ascii="Arial" w:hAnsi="Arial" w:cs="Arial"/>
          <w:sz w:val="24"/>
          <w:szCs w:val="24"/>
          <w:lang w:val="en-GB"/>
        </w:rPr>
      </w:pPr>
      <w:r>
        <w:rPr>
          <w:rFonts w:ascii="Arial" w:hAnsi="Arial" w:cs="Arial"/>
          <w:sz w:val="24"/>
          <w:szCs w:val="24"/>
          <w:lang w:val="en-GB"/>
        </w:rPr>
        <w:t>Volodymyr Sarioglo</w:t>
      </w:r>
      <w:r w:rsidR="000D705A" w:rsidRPr="00EC5F5A">
        <w:rPr>
          <w:rFonts w:ascii="Arial" w:hAnsi="Arial" w:cs="Arial"/>
          <w:sz w:val="24"/>
          <w:szCs w:val="24"/>
          <w:lang w:val="en-GB"/>
        </w:rPr>
        <w:t xml:space="preserve">, </w:t>
      </w:r>
      <w:r w:rsidRPr="00214A58">
        <w:rPr>
          <w:rFonts w:ascii="Arial" w:hAnsi="Arial" w:cs="Arial"/>
          <w:sz w:val="24"/>
          <w:szCs w:val="24"/>
          <w:lang w:val="en-GB"/>
        </w:rPr>
        <w:t xml:space="preserve">Ptoukha Institute for Demography and Social Studies, </w:t>
      </w:r>
      <w:r>
        <w:rPr>
          <w:rFonts w:ascii="Arial" w:hAnsi="Arial" w:cs="Arial"/>
          <w:sz w:val="24"/>
          <w:szCs w:val="24"/>
          <w:lang w:val="en-GB"/>
        </w:rPr>
        <w:t>sarioglo@idss.org.ua</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214A58" w:rsidRPr="007A397F" w:rsidRDefault="0062048B" w:rsidP="00214A58">
      <w:pPr>
        <w:pStyle w:val="Default"/>
        <w:jc w:val="both"/>
        <w:rPr>
          <w:rFonts w:ascii="Arial" w:eastAsiaTheme="minorHAnsi" w:hAnsi="Arial" w:cs="Arial"/>
          <w:i/>
          <w:color w:val="auto"/>
          <w:sz w:val="20"/>
          <w:szCs w:val="20"/>
          <w:lang w:val="en-US" w:eastAsia="en-US"/>
        </w:rPr>
      </w:pPr>
      <w:r>
        <w:rPr>
          <w:rFonts w:ascii="Arial" w:eastAsiaTheme="minorHAnsi" w:hAnsi="Arial" w:cs="Arial"/>
          <w:i/>
          <w:color w:val="auto"/>
          <w:sz w:val="20"/>
          <w:szCs w:val="20"/>
          <w:lang w:val="en-US" w:eastAsia="en-US"/>
        </w:rPr>
        <w:t>Sample</w:t>
      </w:r>
      <w:r w:rsidR="00214A58" w:rsidRPr="00214A58">
        <w:rPr>
          <w:rFonts w:ascii="Arial" w:eastAsiaTheme="minorHAnsi" w:hAnsi="Arial" w:cs="Arial"/>
          <w:i/>
          <w:color w:val="auto"/>
          <w:sz w:val="20"/>
          <w:szCs w:val="20"/>
          <w:lang w:val="en-US" w:eastAsia="en-US"/>
        </w:rPr>
        <w:t xml:space="preserve"> weights </w:t>
      </w:r>
      <w:r w:rsidR="00214A58" w:rsidRPr="00C5404F">
        <w:rPr>
          <w:rFonts w:ascii="Arial" w:eastAsiaTheme="minorHAnsi" w:hAnsi="Arial" w:cs="Arial"/>
          <w:i/>
          <w:color w:val="auto"/>
          <w:sz w:val="20"/>
          <w:szCs w:val="20"/>
          <w:lang w:val="en-GB" w:eastAsia="en-US"/>
        </w:rPr>
        <w:t>calibration</w:t>
      </w:r>
      <w:r>
        <w:rPr>
          <w:rFonts w:ascii="Arial" w:eastAsiaTheme="minorHAnsi" w:hAnsi="Arial" w:cs="Arial"/>
          <w:i/>
          <w:color w:val="auto"/>
          <w:sz w:val="20"/>
          <w:szCs w:val="20"/>
          <w:lang w:val="en-GB" w:eastAsia="en-US"/>
        </w:rPr>
        <w:t xml:space="preserve"> </w:t>
      </w:r>
      <w:r>
        <w:rPr>
          <w:rFonts w:ascii="Arial" w:eastAsiaTheme="minorHAnsi" w:hAnsi="Arial" w:cs="Arial"/>
          <w:i/>
          <w:color w:val="auto"/>
          <w:sz w:val="20"/>
          <w:szCs w:val="20"/>
          <w:lang w:val="en-US" w:eastAsia="en-US"/>
        </w:rPr>
        <w:t>p</w:t>
      </w:r>
      <w:r w:rsidRPr="00214A58">
        <w:rPr>
          <w:rFonts w:ascii="Arial" w:eastAsiaTheme="minorHAnsi" w:hAnsi="Arial" w:cs="Arial"/>
          <w:i/>
          <w:color w:val="auto"/>
          <w:sz w:val="20"/>
          <w:szCs w:val="20"/>
          <w:lang w:val="en-US" w:eastAsia="en-US"/>
        </w:rPr>
        <w:t>rocedures</w:t>
      </w:r>
      <w:r w:rsidR="00214A58" w:rsidRPr="00C5404F">
        <w:rPr>
          <w:rFonts w:ascii="Arial" w:eastAsiaTheme="minorHAnsi" w:hAnsi="Arial" w:cs="Arial"/>
          <w:i/>
          <w:color w:val="auto"/>
          <w:sz w:val="20"/>
          <w:szCs w:val="20"/>
          <w:lang w:val="en-GB" w:eastAsia="en-US"/>
        </w:rPr>
        <w:t xml:space="preserve"> are increasingly applying at the indicator estimation stage of the state household sample surveys.</w:t>
      </w:r>
      <w:r w:rsidR="00CE17EA">
        <w:rPr>
          <w:rFonts w:ascii="Arial" w:eastAsiaTheme="minorHAnsi" w:hAnsi="Arial" w:cs="Arial"/>
          <w:i/>
          <w:color w:val="auto"/>
          <w:sz w:val="20"/>
          <w:szCs w:val="20"/>
          <w:lang w:val="en-GB" w:eastAsia="en-US"/>
        </w:rPr>
        <w:t xml:space="preserve"> </w:t>
      </w:r>
      <w:r w:rsidR="00214A58" w:rsidRPr="00C5404F">
        <w:rPr>
          <w:rFonts w:ascii="Arial" w:eastAsiaTheme="minorHAnsi" w:hAnsi="Arial" w:cs="Arial"/>
          <w:i/>
          <w:color w:val="auto"/>
          <w:sz w:val="20"/>
          <w:szCs w:val="20"/>
          <w:lang w:val="en-GB" w:eastAsia="en-US"/>
        </w:rPr>
        <w:t>The practical purpose of calibrated estimation is to coordinate the results of surveys with the actual auxiliary information. This allows, on the one hand, to somewhat reduce the possible bias of estimates, and, on the other hand, to ensure matching of estimates with data from other sources. At the same</w:t>
      </w:r>
      <w:r w:rsidR="00214A58" w:rsidRPr="007A397F">
        <w:rPr>
          <w:rFonts w:ascii="Arial" w:eastAsiaTheme="minorHAnsi" w:hAnsi="Arial" w:cs="Arial"/>
          <w:i/>
          <w:color w:val="auto"/>
          <w:sz w:val="20"/>
          <w:szCs w:val="20"/>
          <w:lang w:val="en-US" w:eastAsia="en-US"/>
        </w:rPr>
        <w:t xml:space="preserve"> time, calibration can lead to a significant decrease of the effective sample size and, accordingly, to a decrease of the accuracy of estimates. </w:t>
      </w:r>
    </w:p>
    <w:p w:rsidR="00214A58" w:rsidRPr="007A397F" w:rsidRDefault="00214A58" w:rsidP="00214A58">
      <w:pPr>
        <w:pStyle w:val="Default"/>
        <w:jc w:val="both"/>
        <w:rPr>
          <w:rFonts w:ascii="Arial" w:eastAsiaTheme="minorHAnsi" w:hAnsi="Arial" w:cs="Arial"/>
          <w:i/>
          <w:color w:val="auto"/>
          <w:sz w:val="20"/>
          <w:szCs w:val="20"/>
          <w:lang w:val="en-US" w:eastAsia="en-US"/>
        </w:rPr>
      </w:pPr>
      <w:r w:rsidRPr="007A397F">
        <w:rPr>
          <w:rFonts w:ascii="Arial" w:eastAsiaTheme="minorHAnsi" w:hAnsi="Arial" w:cs="Arial"/>
          <w:i/>
          <w:color w:val="auto"/>
          <w:sz w:val="20"/>
          <w:szCs w:val="20"/>
          <w:lang w:val="en-US" w:eastAsia="en-US"/>
        </w:rPr>
        <w:t>For instance</w:t>
      </w:r>
      <w:r w:rsidR="00C65C0B">
        <w:rPr>
          <w:rFonts w:ascii="Arial" w:eastAsiaTheme="minorHAnsi" w:hAnsi="Arial" w:cs="Arial"/>
          <w:i/>
          <w:color w:val="auto"/>
          <w:sz w:val="20"/>
          <w:szCs w:val="20"/>
          <w:lang w:val="en-US" w:eastAsia="en-US"/>
        </w:rPr>
        <w:t>,</w:t>
      </w:r>
      <w:r w:rsidRPr="007A397F">
        <w:rPr>
          <w:rFonts w:ascii="Arial" w:eastAsiaTheme="minorHAnsi" w:hAnsi="Arial" w:cs="Arial"/>
          <w:i/>
          <w:color w:val="auto"/>
          <w:sz w:val="20"/>
          <w:szCs w:val="20"/>
          <w:lang w:val="en-US" w:eastAsia="en-US"/>
        </w:rPr>
        <w:t xml:space="preserve"> in the State Household Living Conditions Survey (HLCS) provided by the State Statistics Service of Ukraine on quarterly basis, </w:t>
      </w:r>
      <w:r w:rsidR="00CE17EA">
        <w:rPr>
          <w:rFonts w:ascii="Arial" w:eastAsiaTheme="minorHAnsi" w:hAnsi="Arial" w:cs="Arial"/>
          <w:i/>
          <w:color w:val="auto"/>
          <w:sz w:val="20"/>
          <w:szCs w:val="20"/>
          <w:lang w:val="en-US" w:eastAsia="en-US"/>
        </w:rPr>
        <w:t>sample</w:t>
      </w:r>
      <w:r w:rsidRPr="007A397F">
        <w:rPr>
          <w:rFonts w:ascii="Arial" w:eastAsiaTheme="minorHAnsi" w:hAnsi="Arial" w:cs="Arial"/>
          <w:i/>
          <w:color w:val="auto"/>
          <w:sz w:val="20"/>
          <w:szCs w:val="20"/>
          <w:lang w:val="en-US" w:eastAsia="en-US"/>
        </w:rPr>
        <w:t xml:space="preserve"> weights are calibrated using relatively large number of external sources. This is primarily the data of demographic statistics on the number and structure of the population, data on the number of households, including households with children. In the experimental mode the national account</w:t>
      </w:r>
      <w:r w:rsidR="00CE17EA">
        <w:rPr>
          <w:rFonts w:ascii="Arial" w:eastAsiaTheme="minorHAnsi" w:hAnsi="Arial" w:cs="Arial"/>
          <w:i/>
          <w:color w:val="auto"/>
          <w:sz w:val="20"/>
          <w:szCs w:val="20"/>
          <w:lang w:val="en-US" w:eastAsia="en-US"/>
        </w:rPr>
        <w:t>ing system</w:t>
      </w:r>
      <w:r w:rsidRPr="007A397F">
        <w:rPr>
          <w:rFonts w:ascii="Arial" w:eastAsiaTheme="minorHAnsi" w:hAnsi="Arial" w:cs="Arial"/>
          <w:i/>
          <w:color w:val="auto"/>
          <w:sz w:val="20"/>
          <w:szCs w:val="20"/>
          <w:lang w:val="en-US" w:eastAsia="en-US"/>
        </w:rPr>
        <w:t xml:space="preserve"> data and the tax administration data are used. Taking into account that the HLCS is the main source of </w:t>
      </w:r>
      <w:r w:rsidR="00CE17EA">
        <w:rPr>
          <w:rFonts w:ascii="Arial" w:eastAsiaTheme="minorHAnsi" w:hAnsi="Arial" w:cs="Arial"/>
          <w:i/>
          <w:color w:val="auto"/>
          <w:sz w:val="20"/>
          <w:szCs w:val="20"/>
          <w:lang w:val="en-US" w:eastAsia="en-US"/>
        </w:rPr>
        <w:t>data</w:t>
      </w:r>
      <w:r w:rsidRPr="007A397F">
        <w:rPr>
          <w:rFonts w:ascii="Arial" w:eastAsiaTheme="minorHAnsi" w:hAnsi="Arial" w:cs="Arial"/>
          <w:i/>
          <w:color w:val="auto"/>
          <w:sz w:val="20"/>
          <w:szCs w:val="20"/>
          <w:lang w:val="en-US" w:eastAsia="en-US"/>
        </w:rPr>
        <w:t xml:space="preserve"> for measuring of a number of </w:t>
      </w:r>
      <w:r w:rsidR="00DD38D1">
        <w:rPr>
          <w:rFonts w:ascii="Arial" w:eastAsiaTheme="minorHAnsi" w:hAnsi="Arial" w:cs="Arial"/>
          <w:i/>
          <w:color w:val="auto"/>
          <w:sz w:val="20"/>
          <w:szCs w:val="20"/>
          <w:lang w:val="en-US" w:eastAsia="en-US"/>
        </w:rPr>
        <w:t>significant</w:t>
      </w:r>
      <w:r w:rsidRPr="007A397F">
        <w:rPr>
          <w:rFonts w:ascii="Arial" w:eastAsiaTheme="minorHAnsi" w:hAnsi="Arial" w:cs="Arial"/>
          <w:i/>
          <w:color w:val="auto"/>
          <w:sz w:val="20"/>
          <w:szCs w:val="20"/>
          <w:lang w:val="en-US" w:eastAsia="en-US"/>
        </w:rPr>
        <w:t xml:space="preserve"> indicators which reflect incomes, expenditures, consumption features, poverty of Ukrainian households it is important to estimate the impact of calibration on the reliability of key indicators.  </w:t>
      </w:r>
    </w:p>
    <w:p w:rsidR="00214A58" w:rsidRDefault="00214A58" w:rsidP="00214A58">
      <w:pPr>
        <w:spacing w:after="0" w:line="240" w:lineRule="auto"/>
        <w:jc w:val="both"/>
        <w:rPr>
          <w:rFonts w:ascii="Arial" w:hAnsi="Arial" w:cs="Arial"/>
          <w:i/>
          <w:sz w:val="20"/>
          <w:szCs w:val="20"/>
          <w:lang w:val="en-GB"/>
        </w:rPr>
      </w:pPr>
      <w:r w:rsidRPr="007A397F">
        <w:rPr>
          <w:rFonts w:ascii="Arial" w:hAnsi="Arial" w:cs="Arial"/>
          <w:i/>
          <w:sz w:val="20"/>
          <w:szCs w:val="20"/>
          <w:lang w:val="en-US"/>
        </w:rPr>
        <w:t xml:space="preserve">The article presents materials of estimation of influence of calibration procedure on the quality of the statistical weights and on the reliability of indicators.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DD38D1" w:rsidRPr="00DD38D1">
        <w:rPr>
          <w:rFonts w:ascii="Arial" w:hAnsi="Arial" w:cs="Arial"/>
          <w:sz w:val="20"/>
          <w:szCs w:val="20"/>
          <w:lang w:val="en-GB"/>
        </w:rPr>
        <w:t>sample weights,</w:t>
      </w:r>
      <w:r w:rsidR="00DD38D1">
        <w:rPr>
          <w:rFonts w:ascii="Arial" w:hAnsi="Arial" w:cs="Arial"/>
          <w:b/>
          <w:sz w:val="20"/>
          <w:szCs w:val="20"/>
          <w:lang w:val="en-GB"/>
        </w:rPr>
        <w:t xml:space="preserve"> </w:t>
      </w:r>
      <w:r w:rsidR="007A397F">
        <w:rPr>
          <w:lang w:val="en-US"/>
        </w:rPr>
        <w:t>calibration</w:t>
      </w:r>
      <w:r w:rsidR="00214A58">
        <w:rPr>
          <w:lang w:val="en-US"/>
        </w:rPr>
        <w:t>, reliability</w:t>
      </w:r>
      <w:r w:rsidR="00DD38D1">
        <w:rPr>
          <w:lang w:val="en-US"/>
        </w:rPr>
        <w:t>, bias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65C0B">
        <w:rPr>
          <w:rFonts w:ascii="Arial" w:hAnsi="Arial" w:cs="Arial"/>
          <w:b/>
          <w:sz w:val="24"/>
          <w:szCs w:val="24"/>
          <w:lang w:val="en-GB"/>
        </w:rPr>
        <w:t>Introduction</w:t>
      </w:r>
    </w:p>
    <w:p w:rsidR="0081701B" w:rsidRDefault="008957C6" w:rsidP="003A1D16">
      <w:pPr>
        <w:spacing w:before="120" w:after="0" w:line="360" w:lineRule="auto"/>
        <w:jc w:val="both"/>
        <w:rPr>
          <w:rFonts w:ascii="Arial" w:hAnsi="Arial" w:cs="Arial"/>
          <w:sz w:val="24"/>
          <w:szCs w:val="24"/>
          <w:lang w:val="uk-UA"/>
        </w:rPr>
      </w:pPr>
      <w:r w:rsidRPr="008957C6">
        <w:rPr>
          <w:rFonts w:ascii="Arial" w:hAnsi="Arial" w:cs="Arial"/>
          <w:sz w:val="24"/>
          <w:szCs w:val="24"/>
          <w:lang w:val="en-GB"/>
        </w:rPr>
        <w:t xml:space="preserve">Calibration of </w:t>
      </w:r>
      <w:r w:rsidR="00DD38D1">
        <w:rPr>
          <w:rFonts w:ascii="Arial" w:hAnsi="Arial" w:cs="Arial"/>
          <w:sz w:val="24"/>
          <w:szCs w:val="24"/>
          <w:lang w:val="en-GB"/>
        </w:rPr>
        <w:t>sample</w:t>
      </w:r>
      <w:r w:rsidRPr="008957C6">
        <w:rPr>
          <w:rFonts w:ascii="Arial" w:hAnsi="Arial" w:cs="Arial"/>
          <w:sz w:val="24"/>
          <w:szCs w:val="24"/>
          <w:lang w:val="en-GB"/>
        </w:rPr>
        <w:t xml:space="preserve"> </w:t>
      </w:r>
      <w:r>
        <w:rPr>
          <w:rFonts w:ascii="Arial" w:hAnsi="Arial" w:cs="Arial"/>
          <w:sz w:val="24"/>
          <w:szCs w:val="24"/>
          <w:lang w:val="en-GB"/>
        </w:rPr>
        <w:t xml:space="preserve">weights </w:t>
      </w:r>
      <w:r w:rsidR="00DD38D1">
        <w:rPr>
          <w:rFonts w:ascii="Arial" w:hAnsi="Arial" w:cs="Arial"/>
          <w:sz w:val="24"/>
          <w:szCs w:val="24"/>
          <w:lang w:val="en-GB"/>
        </w:rPr>
        <w:t>is</w:t>
      </w:r>
      <w:r w:rsidRPr="008957C6">
        <w:rPr>
          <w:rFonts w:ascii="Arial" w:hAnsi="Arial" w:cs="Arial"/>
          <w:sz w:val="24"/>
          <w:szCs w:val="24"/>
          <w:lang w:val="en-GB"/>
        </w:rPr>
        <w:t xml:space="preserve"> increasingly used </w:t>
      </w:r>
      <w:r>
        <w:rPr>
          <w:rFonts w:ascii="Arial" w:hAnsi="Arial" w:cs="Arial"/>
          <w:sz w:val="24"/>
          <w:szCs w:val="24"/>
          <w:lang w:val="en-GB"/>
        </w:rPr>
        <w:t>at the</w:t>
      </w:r>
      <w:r w:rsidRPr="008957C6">
        <w:rPr>
          <w:rFonts w:ascii="Arial" w:hAnsi="Arial" w:cs="Arial"/>
          <w:sz w:val="24"/>
          <w:szCs w:val="24"/>
          <w:lang w:val="en-GB"/>
        </w:rPr>
        <w:t xml:space="preserve"> indicator</w:t>
      </w:r>
      <w:r>
        <w:rPr>
          <w:rFonts w:ascii="Arial" w:hAnsi="Arial" w:cs="Arial"/>
          <w:sz w:val="24"/>
          <w:szCs w:val="24"/>
          <w:lang w:val="en-GB"/>
        </w:rPr>
        <w:t xml:space="preserve"> estimation stage</w:t>
      </w:r>
      <w:r w:rsidRPr="008957C6">
        <w:rPr>
          <w:rFonts w:ascii="Arial" w:hAnsi="Arial" w:cs="Arial"/>
          <w:sz w:val="24"/>
          <w:szCs w:val="24"/>
          <w:lang w:val="en-GB"/>
        </w:rPr>
        <w:t xml:space="preserve"> </w:t>
      </w:r>
      <w:r>
        <w:rPr>
          <w:rFonts w:ascii="Arial" w:hAnsi="Arial" w:cs="Arial"/>
          <w:sz w:val="24"/>
          <w:szCs w:val="24"/>
          <w:lang w:val="en-GB"/>
        </w:rPr>
        <w:t>in state</w:t>
      </w:r>
      <w:r w:rsidRPr="008957C6">
        <w:rPr>
          <w:rFonts w:ascii="Arial" w:hAnsi="Arial" w:cs="Arial"/>
          <w:sz w:val="24"/>
          <w:szCs w:val="24"/>
          <w:lang w:val="en-GB"/>
        </w:rPr>
        <w:t xml:space="preserve"> sample surveys.</w:t>
      </w:r>
      <w:r>
        <w:rPr>
          <w:rFonts w:ascii="Arial" w:hAnsi="Arial" w:cs="Arial"/>
          <w:sz w:val="24"/>
          <w:szCs w:val="24"/>
          <w:lang w:val="en-GB"/>
        </w:rPr>
        <w:t xml:space="preserve"> </w:t>
      </w:r>
      <w:r>
        <w:rPr>
          <w:rFonts w:ascii="Arial" w:hAnsi="Arial" w:cs="Arial"/>
          <w:sz w:val="24"/>
          <w:szCs w:val="24"/>
          <w:lang w:val="en-US"/>
        </w:rPr>
        <w:t>T</w:t>
      </w:r>
      <w:r w:rsidRPr="008957C6">
        <w:rPr>
          <w:rFonts w:ascii="Arial" w:hAnsi="Arial" w:cs="Arial"/>
          <w:sz w:val="24"/>
          <w:szCs w:val="24"/>
          <w:lang w:val="en-US"/>
        </w:rPr>
        <w:t>h</w:t>
      </w:r>
      <w:r>
        <w:rPr>
          <w:rFonts w:ascii="Arial" w:hAnsi="Arial" w:cs="Arial"/>
          <w:sz w:val="24"/>
          <w:szCs w:val="24"/>
          <w:lang w:val="en-US"/>
        </w:rPr>
        <w:t>e</w:t>
      </w:r>
      <w:r w:rsidRPr="008957C6">
        <w:rPr>
          <w:rFonts w:ascii="Arial" w:hAnsi="Arial" w:cs="Arial"/>
          <w:sz w:val="24"/>
          <w:szCs w:val="24"/>
          <w:lang w:val="en-US"/>
        </w:rPr>
        <w:t>s</w:t>
      </w:r>
      <w:r>
        <w:rPr>
          <w:rFonts w:ascii="Arial" w:hAnsi="Arial" w:cs="Arial"/>
          <w:sz w:val="24"/>
          <w:szCs w:val="24"/>
          <w:lang w:val="en-US"/>
        </w:rPr>
        <w:t>e</w:t>
      </w:r>
      <w:r w:rsidRPr="008957C6">
        <w:rPr>
          <w:rFonts w:ascii="Arial" w:hAnsi="Arial" w:cs="Arial"/>
          <w:sz w:val="24"/>
          <w:szCs w:val="24"/>
          <w:lang w:val="en-US"/>
        </w:rPr>
        <w:t xml:space="preserve"> procedure</w:t>
      </w:r>
      <w:r>
        <w:rPr>
          <w:rFonts w:ascii="Arial" w:hAnsi="Arial" w:cs="Arial"/>
          <w:sz w:val="24"/>
          <w:szCs w:val="24"/>
          <w:lang w:val="en-US"/>
        </w:rPr>
        <w:t>s</w:t>
      </w:r>
      <w:r w:rsidRPr="008957C6">
        <w:rPr>
          <w:rFonts w:ascii="Arial" w:hAnsi="Arial" w:cs="Arial"/>
          <w:sz w:val="24"/>
          <w:szCs w:val="24"/>
          <w:lang w:val="en-US"/>
        </w:rPr>
        <w:t xml:space="preserve"> allow you to </w:t>
      </w:r>
      <w:r>
        <w:rPr>
          <w:rFonts w:ascii="Arial" w:hAnsi="Arial" w:cs="Arial"/>
          <w:sz w:val="24"/>
          <w:szCs w:val="24"/>
          <w:lang w:val="en-US"/>
        </w:rPr>
        <w:t>coordinate</w:t>
      </w:r>
      <w:r w:rsidRPr="008957C6">
        <w:rPr>
          <w:rFonts w:ascii="Arial" w:hAnsi="Arial" w:cs="Arial"/>
          <w:sz w:val="24"/>
          <w:szCs w:val="24"/>
          <w:lang w:val="en-US"/>
        </w:rPr>
        <w:t xml:space="preserve"> survey </w:t>
      </w:r>
      <w:r w:rsidR="00DD38D1">
        <w:rPr>
          <w:rFonts w:ascii="Arial" w:hAnsi="Arial" w:cs="Arial"/>
          <w:sz w:val="24"/>
          <w:szCs w:val="24"/>
          <w:lang w:val="en-US"/>
        </w:rPr>
        <w:t>estimates</w:t>
      </w:r>
      <w:r w:rsidRPr="008957C6">
        <w:rPr>
          <w:rFonts w:ascii="Arial" w:hAnsi="Arial" w:cs="Arial"/>
          <w:sz w:val="24"/>
          <w:szCs w:val="24"/>
          <w:lang w:val="en-US"/>
        </w:rPr>
        <w:t xml:space="preserve"> with available reliable information from external sources, such as register</w:t>
      </w:r>
      <w:r>
        <w:rPr>
          <w:rFonts w:ascii="Arial" w:hAnsi="Arial" w:cs="Arial"/>
          <w:sz w:val="24"/>
          <w:szCs w:val="24"/>
          <w:lang w:val="en-US"/>
        </w:rPr>
        <w:t>s</w:t>
      </w:r>
      <w:r w:rsidRPr="008957C6">
        <w:rPr>
          <w:rFonts w:ascii="Arial" w:hAnsi="Arial" w:cs="Arial"/>
          <w:sz w:val="24"/>
          <w:szCs w:val="24"/>
          <w:lang w:val="en-US"/>
        </w:rPr>
        <w:t xml:space="preserve"> or continuous survey</w:t>
      </w:r>
      <w:r w:rsidR="00DD38D1">
        <w:rPr>
          <w:rFonts w:ascii="Arial" w:hAnsi="Arial" w:cs="Arial"/>
          <w:sz w:val="24"/>
          <w:szCs w:val="24"/>
          <w:lang w:val="en-US"/>
        </w:rPr>
        <w:t>s</w:t>
      </w:r>
      <w:r w:rsidR="009B3F08" w:rsidRPr="008957C6">
        <w:rPr>
          <w:rFonts w:ascii="Arial" w:hAnsi="Arial" w:cs="Arial"/>
          <w:sz w:val="24"/>
          <w:szCs w:val="24"/>
          <w:lang w:val="en-US"/>
        </w:rPr>
        <w:t>.</w:t>
      </w:r>
      <w:r>
        <w:rPr>
          <w:rFonts w:ascii="Arial" w:hAnsi="Arial" w:cs="Arial"/>
          <w:sz w:val="24"/>
          <w:szCs w:val="24"/>
          <w:lang w:val="en-US"/>
        </w:rPr>
        <w:t xml:space="preserve"> C</w:t>
      </w:r>
      <w:r w:rsidRPr="008957C6">
        <w:rPr>
          <w:rFonts w:ascii="Arial" w:hAnsi="Arial" w:cs="Arial"/>
          <w:sz w:val="24"/>
          <w:szCs w:val="24"/>
          <w:lang w:val="en-US"/>
        </w:rPr>
        <w:t>alibration procedures make it possible</w:t>
      </w:r>
      <w:r>
        <w:rPr>
          <w:rFonts w:ascii="Arial" w:hAnsi="Arial" w:cs="Arial"/>
          <w:sz w:val="24"/>
          <w:szCs w:val="24"/>
          <w:lang w:val="en-US"/>
        </w:rPr>
        <w:t xml:space="preserve"> also</w:t>
      </w:r>
      <w:r w:rsidRPr="008957C6">
        <w:rPr>
          <w:rFonts w:ascii="Arial" w:hAnsi="Arial" w:cs="Arial"/>
          <w:sz w:val="24"/>
          <w:szCs w:val="24"/>
          <w:lang w:val="en-US"/>
        </w:rPr>
        <w:t xml:space="preserve"> to refine results of </w:t>
      </w:r>
      <w:r>
        <w:rPr>
          <w:rFonts w:ascii="Arial" w:hAnsi="Arial" w:cs="Arial"/>
          <w:sz w:val="24"/>
          <w:szCs w:val="24"/>
          <w:lang w:val="en-US"/>
        </w:rPr>
        <w:t>a</w:t>
      </w:r>
      <w:r w:rsidRPr="008957C6">
        <w:rPr>
          <w:rFonts w:ascii="Arial" w:hAnsi="Arial" w:cs="Arial"/>
          <w:sz w:val="24"/>
          <w:szCs w:val="24"/>
          <w:lang w:val="en-US"/>
        </w:rPr>
        <w:t xml:space="preserve"> survey if</w:t>
      </w:r>
      <w:r>
        <w:rPr>
          <w:rFonts w:ascii="Arial" w:hAnsi="Arial" w:cs="Arial"/>
          <w:sz w:val="24"/>
          <w:szCs w:val="24"/>
          <w:lang w:val="en-US"/>
        </w:rPr>
        <w:t>, for instance,</w:t>
      </w:r>
      <w:r w:rsidRPr="008957C6">
        <w:rPr>
          <w:rFonts w:ascii="Arial" w:hAnsi="Arial" w:cs="Arial"/>
          <w:sz w:val="24"/>
          <w:szCs w:val="24"/>
          <w:lang w:val="en-US"/>
        </w:rPr>
        <w:t xml:space="preserve"> estimates obtained from statistical models are used as </w:t>
      </w:r>
      <w:r>
        <w:rPr>
          <w:rFonts w:ascii="Arial" w:hAnsi="Arial" w:cs="Arial"/>
          <w:sz w:val="24"/>
          <w:szCs w:val="24"/>
          <w:lang w:val="en-US"/>
        </w:rPr>
        <w:t>auxiliary</w:t>
      </w:r>
      <w:r w:rsidRPr="008957C6">
        <w:rPr>
          <w:rFonts w:ascii="Arial" w:hAnsi="Arial" w:cs="Arial"/>
          <w:sz w:val="24"/>
          <w:szCs w:val="24"/>
          <w:lang w:val="en-US"/>
        </w:rPr>
        <w:t xml:space="preserve"> information</w:t>
      </w:r>
      <w:r>
        <w:rPr>
          <w:rFonts w:ascii="Arial" w:hAnsi="Arial" w:cs="Arial"/>
          <w:sz w:val="24"/>
          <w:szCs w:val="24"/>
          <w:lang w:val="en-US"/>
        </w:rPr>
        <w:t xml:space="preserve"> at the indicator estimation stage</w:t>
      </w:r>
      <w:r w:rsidRPr="008957C6">
        <w:rPr>
          <w:rFonts w:ascii="Arial" w:hAnsi="Arial" w:cs="Arial"/>
          <w:sz w:val="24"/>
          <w:szCs w:val="24"/>
          <w:lang w:val="en-US"/>
        </w:rPr>
        <w:t>.</w:t>
      </w:r>
      <w:r w:rsidR="009B3F08" w:rsidRPr="008957C6">
        <w:rPr>
          <w:rFonts w:ascii="Arial" w:hAnsi="Arial" w:cs="Arial"/>
          <w:sz w:val="24"/>
          <w:szCs w:val="24"/>
          <w:lang w:val="en-US"/>
        </w:rPr>
        <w:t xml:space="preserve"> </w:t>
      </w:r>
      <w:r w:rsidRPr="008957C6">
        <w:rPr>
          <w:rFonts w:ascii="Arial" w:hAnsi="Arial" w:cs="Arial"/>
          <w:sz w:val="24"/>
          <w:szCs w:val="24"/>
          <w:lang w:val="en-US"/>
        </w:rPr>
        <w:t>This is achieved by adjusting the statistical weights</w:t>
      </w:r>
      <w:r>
        <w:rPr>
          <w:rFonts w:ascii="Arial" w:hAnsi="Arial" w:cs="Arial"/>
          <w:sz w:val="24"/>
          <w:szCs w:val="24"/>
          <w:lang w:val="en-US"/>
        </w:rPr>
        <w:t xml:space="preserve"> (</w:t>
      </w:r>
      <w:r w:rsidRPr="00CC3567">
        <w:rPr>
          <w:rFonts w:ascii="Arial" w:hAnsi="Arial" w:cs="Arial"/>
          <w:sz w:val="24"/>
          <w:szCs w:val="24"/>
          <w:lang w:val="en-US"/>
        </w:rPr>
        <w:t>Deville, J.-C. and Särndal, C.-E. 1992</w:t>
      </w:r>
      <w:r>
        <w:rPr>
          <w:rFonts w:ascii="Arial" w:hAnsi="Arial" w:cs="Arial"/>
          <w:sz w:val="24"/>
          <w:szCs w:val="24"/>
          <w:lang w:val="en-US"/>
        </w:rPr>
        <w:t>)</w:t>
      </w:r>
      <w:r w:rsidRPr="008957C6">
        <w:rPr>
          <w:rFonts w:ascii="Arial" w:hAnsi="Arial" w:cs="Arial"/>
          <w:sz w:val="24"/>
          <w:szCs w:val="24"/>
          <w:lang w:val="en-US"/>
        </w:rPr>
        <w:t xml:space="preserve">. The advantage of </w:t>
      </w:r>
      <w:r w:rsidRPr="008957C6">
        <w:rPr>
          <w:rFonts w:ascii="Arial" w:hAnsi="Arial" w:cs="Arial"/>
          <w:sz w:val="24"/>
          <w:szCs w:val="24"/>
          <w:lang w:val="en-US"/>
        </w:rPr>
        <w:lastRenderedPageBreak/>
        <w:t xml:space="preserve">using calibration methods is that they allow analysis </w:t>
      </w:r>
      <w:r w:rsidR="0081701B">
        <w:rPr>
          <w:rFonts w:ascii="Arial" w:hAnsi="Arial" w:cs="Arial"/>
          <w:sz w:val="24"/>
          <w:szCs w:val="24"/>
          <w:lang w:val="en-US"/>
        </w:rPr>
        <w:t>by the</w:t>
      </w:r>
      <w:r w:rsidRPr="008957C6">
        <w:rPr>
          <w:rFonts w:ascii="Arial" w:hAnsi="Arial" w:cs="Arial"/>
          <w:sz w:val="24"/>
          <w:szCs w:val="24"/>
          <w:lang w:val="en-US"/>
        </w:rPr>
        <w:t xml:space="preserve"> full survey data</w:t>
      </w:r>
      <w:r w:rsidR="0081701B">
        <w:rPr>
          <w:rFonts w:ascii="Arial" w:hAnsi="Arial" w:cs="Arial"/>
          <w:sz w:val="24"/>
          <w:szCs w:val="24"/>
          <w:lang w:val="en-US"/>
        </w:rPr>
        <w:t xml:space="preserve"> set</w:t>
      </w:r>
      <w:r w:rsidRPr="008957C6">
        <w:rPr>
          <w:rFonts w:ascii="Arial" w:hAnsi="Arial" w:cs="Arial"/>
          <w:sz w:val="24"/>
          <w:szCs w:val="24"/>
          <w:lang w:val="en-US"/>
        </w:rPr>
        <w:t xml:space="preserve">. The disadvantage is that the </w:t>
      </w:r>
      <w:r w:rsidR="00DD38D1">
        <w:rPr>
          <w:rFonts w:ascii="Arial" w:hAnsi="Arial" w:cs="Arial"/>
          <w:sz w:val="24"/>
          <w:szCs w:val="24"/>
          <w:lang w:val="en-US"/>
        </w:rPr>
        <w:t>sample</w:t>
      </w:r>
      <w:r w:rsidRPr="008957C6">
        <w:rPr>
          <w:rFonts w:ascii="Arial" w:hAnsi="Arial" w:cs="Arial"/>
          <w:sz w:val="24"/>
          <w:szCs w:val="24"/>
          <w:lang w:val="en-US"/>
        </w:rPr>
        <w:t xml:space="preserve"> weights</w:t>
      </w:r>
      <w:r w:rsidR="00DD38D1">
        <w:rPr>
          <w:rFonts w:ascii="Arial" w:hAnsi="Arial" w:cs="Arial"/>
          <w:sz w:val="24"/>
          <w:szCs w:val="24"/>
          <w:lang w:val="en-US"/>
        </w:rPr>
        <w:t xml:space="preserve"> system</w:t>
      </w:r>
      <w:r w:rsidRPr="008957C6">
        <w:rPr>
          <w:rFonts w:ascii="Arial" w:hAnsi="Arial" w:cs="Arial"/>
          <w:sz w:val="24"/>
          <w:szCs w:val="24"/>
          <w:lang w:val="en-US"/>
        </w:rPr>
        <w:t xml:space="preserve"> is sometimes corrected very significantly and the calibration weight</w:t>
      </w:r>
      <w:r w:rsidR="0081701B">
        <w:rPr>
          <w:rFonts w:ascii="Arial" w:hAnsi="Arial" w:cs="Arial"/>
          <w:sz w:val="24"/>
          <w:szCs w:val="24"/>
          <w:lang w:val="en-US"/>
        </w:rPr>
        <w:t>s</w:t>
      </w:r>
      <w:r w:rsidRPr="008957C6">
        <w:rPr>
          <w:rFonts w:ascii="Arial" w:hAnsi="Arial" w:cs="Arial"/>
          <w:sz w:val="24"/>
          <w:szCs w:val="24"/>
          <w:lang w:val="en-US"/>
        </w:rPr>
        <w:t xml:space="preserve"> can</w:t>
      </w:r>
      <w:r w:rsidR="0081701B">
        <w:rPr>
          <w:rFonts w:ascii="Arial" w:hAnsi="Arial" w:cs="Arial"/>
          <w:sz w:val="24"/>
          <w:szCs w:val="24"/>
          <w:lang w:val="en-US"/>
        </w:rPr>
        <w:t xml:space="preserve"> be</w:t>
      </w:r>
      <w:r w:rsidRPr="008957C6">
        <w:rPr>
          <w:rFonts w:ascii="Arial" w:hAnsi="Arial" w:cs="Arial"/>
          <w:sz w:val="24"/>
          <w:szCs w:val="24"/>
          <w:lang w:val="en-US"/>
        </w:rPr>
        <w:t xml:space="preserve"> significantly differ from the design weights.</w:t>
      </w:r>
      <w:r w:rsidR="005711A9" w:rsidRPr="008957C6">
        <w:rPr>
          <w:rFonts w:ascii="Arial" w:hAnsi="Arial" w:cs="Arial"/>
          <w:sz w:val="24"/>
          <w:szCs w:val="24"/>
          <w:lang w:val="en-US"/>
        </w:rPr>
        <w:t xml:space="preserve"> </w:t>
      </w:r>
      <w:r w:rsidR="0081701B" w:rsidRPr="0081701B">
        <w:rPr>
          <w:rFonts w:ascii="Arial" w:hAnsi="Arial" w:cs="Arial"/>
          <w:sz w:val="24"/>
          <w:szCs w:val="24"/>
          <w:lang w:val="en-US"/>
        </w:rPr>
        <w:t xml:space="preserve">In addition, the issue of </w:t>
      </w:r>
      <w:r w:rsidR="0081701B">
        <w:rPr>
          <w:rFonts w:ascii="Arial" w:hAnsi="Arial" w:cs="Arial"/>
          <w:sz w:val="24"/>
          <w:szCs w:val="24"/>
          <w:lang w:val="en-US"/>
        </w:rPr>
        <w:t>estimation</w:t>
      </w:r>
      <w:r w:rsidR="0081701B" w:rsidRPr="0081701B">
        <w:rPr>
          <w:rFonts w:ascii="Arial" w:hAnsi="Arial" w:cs="Arial"/>
          <w:sz w:val="24"/>
          <w:szCs w:val="24"/>
          <w:lang w:val="en-US"/>
        </w:rPr>
        <w:t xml:space="preserve"> the reliability of survey </w:t>
      </w:r>
      <w:r w:rsidR="0081701B">
        <w:rPr>
          <w:rFonts w:ascii="Arial" w:hAnsi="Arial" w:cs="Arial"/>
          <w:sz w:val="24"/>
          <w:szCs w:val="24"/>
          <w:lang w:val="en-US"/>
        </w:rPr>
        <w:t>indicators</w:t>
      </w:r>
      <w:r w:rsidR="0081701B" w:rsidRPr="0081701B">
        <w:rPr>
          <w:rFonts w:ascii="Arial" w:hAnsi="Arial" w:cs="Arial"/>
          <w:sz w:val="24"/>
          <w:szCs w:val="24"/>
          <w:lang w:val="en-US"/>
        </w:rPr>
        <w:t xml:space="preserve"> based on a microdata </w:t>
      </w:r>
      <w:r w:rsidR="0081701B">
        <w:rPr>
          <w:rFonts w:ascii="Arial" w:hAnsi="Arial" w:cs="Arial"/>
          <w:sz w:val="24"/>
          <w:szCs w:val="24"/>
          <w:lang w:val="en-US"/>
        </w:rPr>
        <w:t>set</w:t>
      </w:r>
      <w:r w:rsidR="0081701B" w:rsidRPr="0081701B">
        <w:rPr>
          <w:rFonts w:ascii="Arial" w:hAnsi="Arial" w:cs="Arial"/>
          <w:sz w:val="24"/>
          <w:szCs w:val="24"/>
          <w:lang w:val="en-US"/>
        </w:rPr>
        <w:t xml:space="preserve"> using calibration </w:t>
      </w:r>
      <w:r w:rsidR="0081701B">
        <w:rPr>
          <w:rFonts w:ascii="Arial" w:hAnsi="Arial" w:cs="Arial"/>
          <w:sz w:val="24"/>
          <w:szCs w:val="24"/>
          <w:lang w:val="en-US"/>
        </w:rPr>
        <w:t>weights</w:t>
      </w:r>
      <w:r w:rsidR="0081701B" w:rsidRPr="0081701B">
        <w:rPr>
          <w:rFonts w:ascii="Arial" w:hAnsi="Arial" w:cs="Arial"/>
          <w:sz w:val="24"/>
          <w:szCs w:val="24"/>
          <w:lang w:val="en-US"/>
        </w:rPr>
        <w:t xml:space="preserve"> becomes </w:t>
      </w:r>
      <w:r w:rsidR="0081701B">
        <w:rPr>
          <w:rFonts w:ascii="Arial" w:hAnsi="Arial" w:cs="Arial"/>
          <w:sz w:val="24"/>
          <w:szCs w:val="24"/>
          <w:lang w:val="en-US"/>
        </w:rPr>
        <w:t>problematic</w:t>
      </w:r>
      <w:r w:rsidR="0081701B" w:rsidRPr="0081701B">
        <w:rPr>
          <w:rFonts w:ascii="Arial" w:hAnsi="Arial" w:cs="Arial"/>
          <w:sz w:val="24"/>
          <w:szCs w:val="24"/>
          <w:lang w:val="en-US"/>
        </w:rPr>
        <w:t>. Linearization or replication methods</w:t>
      </w:r>
      <w:r w:rsidR="0081701B">
        <w:rPr>
          <w:rFonts w:ascii="Arial" w:hAnsi="Arial" w:cs="Arial"/>
          <w:sz w:val="24"/>
          <w:szCs w:val="24"/>
          <w:lang w:val="en-US"/>
        </w:rPr>
        <w:t xml:space="preserve"> based on calibrated weights</w:t>
      </w:r>
      <w:r w:rsidR="0081701B" w:rsidRPr="0081701B">
        <w:rPr>
          <w:rFonts w:ascii="Arial" w:hAnsi="Arial" w:cs="Arial"/>
          <w:sz w:val="24"/>
          <w:szCs w:val="24"/>
          <w:lang w:val="en-US"/>
        </w:rPr>
        <w:t xml:space="preserve"> </w:t>
      </w:r>
      <w:r w:rsidR="0081701B">
        <w:rPr>
          <w:rFonts w:ascii="Arial" w:hAnsi="Arial" w:cs="Arial"/>
          <w:sz w:val="24"/>
          <w:szCs w:val="24"/>
          <w:lang w:val="en-US"/>
        </w:rPr>
        <w:t>show</w:t>
      </w:r>
      <w:r w:rsidR="0081701B" w:rsidRPr="0081701B">
        <w:rPr>
          <w:rFonts w:ascii="Arial" w:hAnsi="Arial" w:cs="Arial"/>
          <w:sz w:val="24"/>
          <w:szCs w:val="24"/>
          <w:lang w:val="en-US"/>
        </w:rPr>
        <w:t xml:space="preserve"> larger</w:t>
      </w:r>
      <w:r w:rsidR="0081701B">
        <w:rPr>
          <w:rFonts w:ascii="Arial" w:hAnsi="Arial" w:cs="Arial"/>
          <w:sz w:val="24"/>
          <w:szCs w:val="24"/>
          <w:lang w:val="en-US"/>
        </w:rPr>
        <w:t xml:space="preserve"> </w:t>
      </w:r>
      <w:r w:rsidR="0081701B" w:rsidRPr="0081701B">
        <w:rPr>
          <w:rFonts w:ascii="Arial" w:hAnsi="Arial" w:cs="Arial"/>
          <w:sz w:val="24"/>
          <w:szCs w:val="24"/>
          <w:lang w:val="en-US"/>
        </w:rPr>
        <w:t>error</w:t>
      </w:r>
      <w:r w:rsidR="0081701B">
        <w:rPr>
          <w:rFonts w:ascii="Arial" w:hAnsi="Arial" w:cs="Arial"/>
          <w:sz w:val="24"/>
          <w:szCs w:val="24"/>
          <w:lang w:val="en-US"/>
        </w:rPr>
        <w:t>s</w:t>
      </w:r>
      <w:r w:rsidR="0081701B" w:rsidRPr="0081701B">
        <w:rPr>
          <w:rFonts w:ascii="Arial" w:hAnsi="Arial" w:cs="Arial"/>
          <w:sz w:val="24"/>
          <w:szCs w:val="24"/>
          <w:lang w:val="en-US"/>
        </w:rPr>
        <w:t xml:space="preserve"> than errors </w:t>
      </w:r>
      <w:r w:rsidR="0081701B">
        <w:rPr>
          <w:rFonts w:ascii="Arial" w:hAnsi="Arial" w:cs="Arial"/>
          <w:sz w:val="24"/>
          <w:szCs w:val="24"/>
          <w:lang w:val="en-US"/>
        </w:rPr>
        <w:t>based on</w:t>
      </w:r>
      <w:r w:rsidR="0081701B" w:rsidRPr="0081701B">
        <w:rPr>
          <w:rFonts w:ascii="Arial" w:hAnsi="Arial" w:cs="Arial"/>
          <w:sz w:val="24"/>
          <w:szCs w:val="24"/>
          <w:lang w:val="en-US"/>
        </w:rPr>
        <w:t xml:space="preserve"> design weights.</w:t>
      </w:r>
      <w:r w:rsidR="005711A9" w:rsidRPr="0081701B">
        <w:rPr>
          <w:rFonts w:ascii="Arial" w:hAnsi="Arial" w:cs="Arial"/>
          <w:sz w:val="24"/>
          <w:szCs w:val="24"/>
          <w:lang w:val="en-US"/>
        </w:rPr>
        <w:t xml:space="preserve"> </w:t>
      </w:r>
      <w:r w:rsidR="0081701B" w:rsidRPr="0081701B">
        <w:rPr>
          <w:rFonts w:ascii="Arial" w:hAnsi="Arial" w:cs="Arial"/>
          <w:sz w:val="24"/>
          <w:szCs w:val="24"/>
          <w:lang w:val="en-US"/>
        </w:rPr>
        <w:t>This is primarily due to the greater variation of the calibration weights as compared to the design weights.</w:t>
      </w:r>
      <w:r w:rsidR="0081701B">
        <w:rPr>
          <w:rFonts w:ascii="Arial" w:hAnsi="Arial" w:cs="Arial"/>
          <w:sz w:val="24"/>
          <w:szCs w:val="24"/>
          <w:lang w:val="en-US"/>
        </w:rPr>
        <w:t xml:space="preserve"> </w:t>
      </w:r>
      <w:r w:rsidR="0081701B" w:rsidRPr="0081701B">
        <w:rPr>
          <w:rFonts w:ascii="Arial" w:hAnsi="Arial" w:cs="Arial"/>
          <w:sz w:val="24"/>
          <w:szCs w:val="24"/>
          <w:lang w:val="en-US"/>
        </w:rPr>
        <w:t xml:space="preserve">However, the calibration is often carried out with the aim of reducing the errors in estimating the indicators, especially reducing the </w:t>
      </w:r>
      <w:r w:rsidR="00AD496E">
        <w:rPr>
          <w:rFonts w:ascii="Arial" w:hAnsi="Arial" w:cs="Arial"/>
          <w:sz w:val="24"/>
          <w:szCs w:val="24"/>
          <w:lang w:val="en-US"/>
        </w:rPr>
        <w:t xml:space="preserve">probable </w:t>
      </w:r>
      <w:r w:rsidR="0081701B" w:rsidRPr="0081701B">
        <w:rPr>
          <w:rFonts w:ascii="Arial" w:hAnsi="Arial" w:cs="Arial"/>
          <w:sz w:val="24"/>
          <w:szCs w:val="24"/>
          <w:lang w:val="en-US"/>
        </w:rPr>
        <w:t>bias of estimates.</w:t>
      </w:r>
    </w:p>
    <w:p w:rsidR="005711A9" w:rsidRPr="00835B52" w:rsidRDefault="0081701B" w:rsidP="003A1D16">
      <w:pPr>
        <w:spacing w:before="120" w:after="0" w:line="360" w:lineRule="auto"/>
        <w:jc w:val="both"/>
        <w:rPr>
          <w:rFonts w:ascii="Arial" w:hAnsi="Arial" w:cs="Arial"/>
          <w:sz w:val="24"/>
          <w:szCs w:val="24"/>
          <w:lang w:val="en-US"/>
        </w:rPr>
      </w:pPr>
      <w:r w:rsidRPr="0081701B">
        <w:rPr>
          <w:rFonts w:ascii="Arial" w:hAnsi="Arial" w:cs="Arial"/>
          <w:sz w:val="24"/>
          <w:szCs w:val="24"/>
          <w:lang w:val="en-US"/>
        </w:rPr>
        <w:t xml:space="preserve">This article discusses some issues of </w:t>
      </w:r>
      <w:r>
        <w:rPr>
          <w:rFonts w:ascii="Arial" w:hAnsi="Arial" w:cs="Arial"/>
          <w:sz w:val="24"/>
          <w:szCs w:val="24"/>
          <w:lang w:val="en-US"/>
        </w:rPr>
        <w:t>estimation</w:t>
      </w:r>
      <w:r w:rsidRPr="0081701B">
        <w:rPr>
          <w:rFonts w:ascii="Arial" w:hAnsi="Arial" w:cs="Arial"/>
          <w:sz w:val="24"/>
          <w:szCs w:val="24"/>
          <w:lang w:val="en-US"/>
        </w:rPr>
        <w:t xml:space="preserve"> the reliability of indicators when using calibration procedures. </w:t>
      </w:r>
      <w:r w:rsidR="00995EEE" w:rsidRPr="00995EEE">
        <w:rPr>
          <w:rFonts w:ascii="Arial" w:hAnsi="Arial" w:cs="Arial"/>
          <w:sz w:val="24"/>
          <w:szCs w:val="24"/>
          <w:lang w:val="en-US"/>
        </w:rPr>
        <w:t xml:space="preserve">As an illustration </w:t>
      </w:r>
      <w:r w:rsidR="00995EEE">
        <w:rPr>
          <w:rFonts w:ascii="Arial" w:hAnsi="Arial" w:cs="Arial"/>
          <w:sz w:val="24"/>
          <w:szCs w:val="24"/>
          <w:lang w:val="en-US"/>
        </w:rPr>
        <w:t>some results</w:t>
      </w:r>
      <w:r w:rsidR="00995EEE" w:rsidRPr="00995EEE">
        <w:rPr>
          <w:rFonts w:ascii="Arial" w:hAnsi="Arial" w:cs="Arial"/>
          <w:sz w:val="24"/>
          <w:szCs w:val="24"/>
          <w:lang w:val="en-US"/>
        </w:rPr>
        <w:t xml:space="preserve"> obtained </w:t>
      </w:r>
      <w:r w:rsidR="00995EEE">
        <w:rPr>
          <w:rFonts w:ascii="Arial" w:hAnsi="Arial" w:cs="Arial"/>
          <w:sz w:val="24"/>
          <w:szCs w:val="24"/>
          <w:lang w:val="en-US"/>
        </w:rPr>
        <w:t>on base</w:t>
      </w:r>
      <w:r w:rsidR="00995EEE" w:rsidRPr="00995EEE">
        <w:rPr>
          <w:rFonts w:ascii="Arial" w:hAnsi="Arial" w:cs="Arial"/>
          <w:sz w:val="24"/>
          <w:szCs w:val="24"/>
          <w:lang w:val="en-US"/>
        </w:rPr>
        <w:t xml:space="preserve"> </w:t>
      </w:r>
      <w:r w:rsidR="00995EEE">
        <w:rPr>
          <w:rFonts w:ascii="Arial" w:hAnsi="Arial" w:cs="Arial"/>
          <w:sz w:val="24"/>
          <w:szCs w:val="24"/>
          <w:lang w:val="en-US"/>
        </w:rPr>
        <w:t>of</w:t>
      </w:r>
      <w:r w:rsidR="00995EEE" w:rsidRPr="00995EEE">
        <w:rPr>
          <w:rFonts w:ascii="Arial" w:hAnsi="Arial" w:cs="Arial"/>
          <w:sz w:val="24"/>
          <w:szCs w:val="24"/>
          <w:lang w:val="en-US"/>
        </w:rPr>
        <w:t xml:space="preserve"> </w:t>
      </w:r>
      <w:r w:rsidR="00995EEE" w:rsidRPr="00835B52">
        <w:rPr>
          <w:rFonts w:ascii="Arial" w:hAnsi="Arial" w:cs="Arial"/>
          <w:sz w:val="24"/>
          <w:szCs w:val="24"/>
          <w:lang w:val="en-US"/>
        </w:rPr>
        <w:t xml:space="preserve">the data of the </w:t>
      </w:r>
      <w:r w:rsidR="00AD496E" w:rsidRPr="00AD496E">
        <w:rPr>
          <w:rFonts w:ascii="Arial" w:hAnsi="Arial" w:cs="Arial"/>
          <w:sz w:val="24"/>
          <w:szCs w:val="24"/>
          <w:lang w:val="en-US"/>
        </w:rPr>
        <w:t>State Household Living Conditions Survey (HLCS) provided by the State Statistics Service of Ukraine</w:t>
      </w:r>
      <w:r w:rsidR="0001133F">
        <w:rPr>
          <w:rFonts w:ascii="Arial" w:hAnsi="Arial" w:cs="Arial"/>
          <w:sz w:val="24"/>
          <w:szCs w:val="24"/>
          <w:lang w:val="en-US"/>
        </w:rPr>
        <w:t xml:space="preserve"> (SSSU)</w:t>
      </w:r>
      <w:r w:rsidR="00AD496E" w:rsidRPr="00AD496E">
        <w:rPr>
          <w:rFonts w:ascii="Arial" w:hAnsi="Arial" w:cs="Arial"/>
          <w:sz w:val="24"/>
          <w:szCs w:val="24"/>
          <w:lang w:val="en-US"/>
        </w:rPr>
        <w:t xml:space="preserve"> </w:t>
      </w:r>
      <w:r w:rsidR="00995EEE" w:rsidRPr="00835B52">
        <w:rPr>
          <w:rFonts w:ascii="Arial" w:hAnsi="Arial" w:cs="Arial"/>
          <w:sz w:val="24"/>
          <w:szCs w:val="24"/>
          <w:lang w:val="en-US"/>
        </w:rPr>
        <w:t>are given.</w:t>
      </w:r>
    </w:p>
    <w:p w:rsidR="00D0258C" w:rsidRPr="00835B52" w:rsidRDefault="00D0258C" w:rsidP="00CC1C1D">
      <w:pPr>
        <w:spacing w:before="360" w:after="0" w:line="360" w:lineRule="auto"/>
        <w:jc w:val="both"/>
        <w:rPr>
          <w:rFonts w:ascii="Arial" w:hAnsi="Arial" w:cs="Arial"/>
          <w:b/>
          <w:sz w:val="24"/>
          <w:szCs w:val="24"/>
          <w:lang w:val="en-US"/>
        </w:rPr>
      </w:pPr>
      <w:r w:rsidRPr="00835B52">
        <w:rPr>
          <w:rFonts w:ascii="Arial" w:hAnsi="Arial" w:cs="Arial"/>
          <w:b/>
          <w:sz w:val="24"/>
          <w:szCs w:val="24"/>
          <w:lang w:val="en-US"/>
        </w:rPr>
        <w:t xml:space="preserve">2. </w:t>
      </w:r>
      <w:r w:rsidR="00835B52" w:rsidRPr="00835B52">
        <w:rPr>
          <w:rFonts w:ascii="Arial" w:hAnsi="Arial" w:cs="Arial"/>
          <w:b/>
          <w:sz w:val="24"/>
          <w:szCs w:val="24"/>
          <w:lang w:val="en-US"/>
        </w:rPr>
        <w:t>Methodological approach</w:t>
      </w:r>
    </w:p>
    <w:p w:rsidR="002C23C9" w:rsidRPr="001E2F95" w:rsidRDefault="00AD496E" w:rsidP="00202613">
      <w:pPr>
        <w:tabs>
          <w:tab w:val="left" w:pos="993"/>
          <w:tab w:val="left" w:pos="1134"/>
        </w:tabs>
        <w:spacing w:before="120" w:after="0" w:line="360" w:lineRule="auto"/>
        <w:jc w:val="both"/>
        <w:rPr>
          <w:rFonts w:ascii="Arial" w:hAnsi="Arial" w:cs="Arial"/>
          <w:sz w:val="24"/>
          <w:szCs w:val="24"/>
          <w:lang w:val="en-US"/>
        </w:rPr>
      </w:pPr>
      <w:r>
        <w:rPr>
          <w:rFonts w:ascii="Arial" w:hAnsi="Arial" w:cs="Arial"/>
          <w:sz w:val="24"/>
          <w:szCs w:val="24"/>
          <w:lang w:val="en-US"/>
        </w:rPr>
        <w:t>It’s known, that r</w:t>
      </w:r>
      <w:r w:rsidR="00AC53FD" w:rsidRPr="00AC53FD">
        <w:rPr>
          <w:rFonts w:ascii="Arial" w:hAnsi="Arial" w:cs="Arial"/>
          <w:sz w:val="24"/>
          <w:szCs w:val="24"/>
          <w:lang w:val="en-US"/>
        </w:rPr>
        <w:t>esults of state sample surveys at the stage of indicator</w:t>
      </w:r>
      <w:r w:rsidR="00AC53FD">
        <w:rPr>
          <w:rFonts w:ascii="Arial" w:hAnsi="Arial" w:cs="Arial"/>
          <w:sz w:val="24"/>
          <w:szCs w:val="24"/>
          <w:lang w:val="en-US"/>
        </w:rPr>
        <w:t xml:space="preserve"> estimation</w:t>
      </w:r>
      <w:r w:rsidR="00AC53FD" w:rsidRPr="00AC53FD">
        <w:rPr>
          <w:rFonts w:ascii="Arial" w:hAnsi="Arial" w:cs="Arial"/>
          <w:sz w:val="24"/>
          <w:szCs w:val="24"/>
          <w:lang w:val="en-US"/>
        </w:rPr>
        <w:t xml:space="preserve"> in practice can be </w:t>
      </w:r>
      <w:r>
        <w:rPr>
          <w:rFonts w:ascii="Arial" w:hAnsi="Arial" w:cs="Arial"/>
          <w:sz w:val="24"/>
          <w:szCs w:val="24"/>
          <w:lang w:val="en-US"/>
        </w:rPr>
        <w:t>improved</w:t>
      </w:r>
      <w:r w:rsidR="00AC53FD" w:rsidRPr="00AC53FD">
        <w:rPr>
          <w:rFonts w:ascii="Arial" w:hAnsi="Arial" w:cs="Arial"/>
          <w:sz w:val="24"/>
          <w:szCs w:val="24"/>
          <w:lang w:val="en-US"/>
        </w:rPr>
        <w:t xml:space="preserve"> only by modifying the </w:t>
      </w:r>
      <w:r w:rsidR="00AC53FD">
        <w:rPr>
          <w:rFonts w:ascii="Arial" w:hAnsi="Arial" w:cs="Arial"/>
          <w:sz w:val="24"/>
          <w:szCs w:val="24"/>
          <w:lang w:val="en-US"/>
        </w:rPr>
        <w:t>estimation</w:t>
      </w:r>
      <w:r w:rsidR="00AC53FD" w:rsidRPr="00AC53FD">
        <w:rPr>
          <w:rFonts w:ascii="Arial" w:hAnsi="Arial" w:cs="Arial"/>
          <w:sz w:val="24"/>
          <w:szCs w:val="24"/>
          <w:lang w:val="en-US"/>
        </w:rPr>
        <w:t xml:space="preserve"> procedures, primarily, the procedures for </w:t>
      </w:r>
      <w:r w:rsidR="00AC53FD" w:rsidRPr="001E2F95">
        <w:rPr>
          <w:rFonts w:ascii="Arial" w:hAnsi="Arial" w:cs="Arial"/>
          <w:sz w:val="24"/>
          <w:szCs w:val="24"/>
          <w:lang w:val="en-US"/>
        </w:rPr>
        <w:t xml:space="preserve">calculating the system of </w:t>
      </w:r>
      <w:r>
        <w:rPr>
          <w:rFonts w:ascii="Arial" w:hAnsi="Arial" w:cs="Arial"/>
          <w:sz w:val="24"/>
          <w:szCs w:val="24"/>
          <w:lang w:val="en-US"/>
        </w:rPr>
        <w:t>sample</w:t>
      </w:r>
      <w:r w:rsidR="00AC53FD" w:rsidRPr="001E2F95">
        <w:rPr>
          <w:rFonts w:ascii="Arial" w:hAnsi="Arial" w:cs="Arial"/>
          <w:sz w:val="24"/>
          <w:szCs w:val="24"/>
          <w:lang w:val="en-US"/>
        </w:rPr>
        <w:t xml:space="preserve"> weights.</w:t>
      </w:r>
      <w:r w:rsidR="002C23C9" w:rsidRPr="001E2F95">
        <w:rPr>
          <w:rFonts w:ascii="Arial" w:hAnsi="Arial" w:cs="Arial"/>
          <w:sz w:val="24"/>
          <w:szCs w:val="24"/>
          <w:lang w:val="en-US"/>
        </w:rPr>
        <w:t xml:space="preserve"> </w:t>
      </w:r>
      <w:r w:rsidR="001E2F95" w:rsidRPr="001E2F95">
        <w:rPr>
          <w:rFonts w:ascii="Arial" w:hAnsi="Arial" w:cs="Arial"/>
          <w:sz w:val="24"/>
          <w:szCs w:val="24"/>
          <w:lang w:val="en-US"/>
        </w:rPr>
        <w:t>The calibration procedure minimize</w:t>
      </w:r>
      <w:r w:rsidR="001E2F95">
        <w:rPr>
          <w:rFonts w:ascii="Arial" w:hAnsi="Arial" w:cs="Arial"/>
          <w:sz w:val="24"/>
          <w:szCs w:val="24"/>
          <w:lang w:val="en-US"/>
        </w:rPr>
        <w:t>s</w:t>
      </w:r>
      <w:r w:rsidR="001E2F95" w:rsidRPr="001E2F95">
        <w:rPr>
          <w:rFonts w:ascii="Arial" w:hAnsi="Arial" w:cs="Arial"/>
          <w:sz w:val="24"/>
          <w:szCs w:val="24"/>
          <w:lang w:val="en-US"/>
        </w:rPr>
        <w:t xml:space="preserve"> the distance between the calibrated weights and the </w:t>
      </w:r>
      <w:r w:rsidR="001E2F95">
        <w:rPr>
          <w:rFonts w:ascii="Arial" w:hAnsi="Arial" w:cs="Arial"/>
          <w:sz w:val="24"/>
          <w:szCs w:val="24"/>
          <w:lang w:val="en-US"/>
        </w:rPr>
        <w:t>design</w:t>
      </w:r>
      <w:r w:rsidR="001E2F95" w:rsidRPr="001E2F95">
        <w:rPr>
          <w:rFonts w:ascii="Arial" w:hAnsi="Arial" w:cs="Arial"/>
          <w:sz w:val="24"/>
          <w:szCs w:val="24"/>
          <w:lang w:val="en-US"/>
        </w:rPr>
        <w:t xml:space="preserve"> weights</w:t>
      </w:r>
      <w:r w:rsidR="006C6957">
        <w:rPr>
          <w:rFonts w:ascii="Arial" w:hAnsi="Arial" w:cs="Arial"/>
          <w:sz w:val="24"/>
          <w:szCs w:val="24"/>
          <w:lang w:val="en-US"/>
        </w:rPr>
        <w:t xml:space="preserve"> (</w:t>
      </w:r>
      <w:r w:rsidR="006C6957" w:rsidRPr="00CC3567">
        <w:rPr>
          <w:rFonts w:ascii="Arial" w:hAnsi="Arial" w:cs="Arial"/>
          <w:sz w:val="24"/>
          <w:szCs w:val="24"/>
          <w:lang w:val="en-US"/>
        </w:rPr>
        <w:t>Deville, J.-C. and Särndal, C.-E. 1992</w:t>
      </w:r>
      <w:r w:rsidR="006C6957">
        <w:rPr>
          <w:rFonts w:ascii="Arial" w:hAnsi="Arial" w:cs="Arial"/>
          <w:sz w:val="24"/>
          <w:szCs w:val="24"/>
          <w:lang w:val="en-US"/>
        </w:rPr>
        <w:t xml:space="preserve">). </w:t>
      </w:r>
      <w:r>
        <w:rPr>
          <w:rFonts w:ascii="Arial" w:hAnsi="Arial" w:cs="Arial"/>
          <w:sz w:val="24"/>
          <w:szCs w:val="24"/>
          <w:lang w:val="en-US"/>
        </w:rPr>
        <w:t>The c</w:t>
      </w:r>
      <w:r w:rsidR="001E2F95" w:rsidRPr="001E2F95">
        <w:rPr>
          <w:rFonts w:ascii="Arial" w:hAnsi="Arial" w:cs="Arial"/>
          <w:sz w:val="24"/>
          <w:szCs w:val="24"/>
          <w:lang w:val="en-US"/>
        </w:rPr>
        <w:t>alibrat</w:t>
      </w:r>
      <w:r>
        <w:rPr>
          <w:rFonts w:ascii="Arial" w:hAnsi="Arial" w:cs="Arial"/>
          <w:sz w:val="24"/>
          <w:szCs w:val="24"/>
          <w:lang w:val="en-US"/>
        </w:rPr>
        <w:t>ed</w:t>
      </w:r>
      <w:r w:rsidR="001E2F95" w:rsidRPr="001E2F95">
        <w:rPr>
          <w:rFonts w:ascii="Arial" w:hAnsi="Arial" w:cs="Arial"/>
          <w:sz w:val="24"/>
          <w:szCs w:val="24"/>
          <w:lang w:val="en-US"/>
        </w:rPr>
        <w:t xml:space="preserve"> </w:t>
      </w:r>
      <w:r w:rsidR="001E2F95">
        <w:rPr>
          <w:rFonts w:ascii="Arial" w:hAnsi="Arial" w:cs="Arial"/>
          <w:sz w:val="24"/>
          <w:szCs w:val="24"/>
          <w:lang w:val="en-US"/>
        </w:rPr>
        <w:t xml:space="preserve">weights have to </w:t>
      </w:r>
      <w:r w:rsidR="001E2F95" w:rsidRPr="001E2F95">
        <w:rPr>
          <w:rFonts w:ascii="Arial" w:hAnsi="Arial" w:cs="Arial"/>
          <w:sz w:val="24"/>
          <w:szCs w:val="24"/>
          <w:lang w:val="en-US"/>
        </w:rPr>
        <w:t xml:space="preserve">satisfy the conditions (restrictions) determined on the basis of the previously selected </w:t>
      </w:r>
      <w:r w:rsidR="001E2F95">
        <w:rPr>
          <w:rFonts w:ascii="Arial" w:hAnsi="Arial" w:cs="Arial"/>
          <w:sz w:val="24"/>
          <w:szCs w:val="24"/>
          <w:lang w:val="en-US"/>
        </w:rPr>
        <w:t>auxiliary</w:t>
      </w:r>
      <w:r w:rsidR="001E2F95" w:rsidRPr="001E2F95">
        <w:rPr>
          <w:rFonts w:ascii="Arial" w:hAnsi="Arial" w:cs="Arial"/>
          <w:sz w:val="24"/>
          <w:szCs w:val="24"/>
          <w:lang w:val="en-US"/>
        </w:rPr>
        <w:t xml:space="preserve"> information.</w:t>
      </w:r>
    </w:p>
    <w:p w:rsidR="00D2769B" w:rsidRDefault="001E2F95" w:rsidP="00202613">
      <w:pPr>
        <w:spacing w:before="120" w:after="0" w:line="360" w:lineRule="auto"/>
        <w:jc w:val="both"/>
        <w:rPr>
          <w:rFonts w:ascii="Arial" w:hAnsi="Arial" w:cs="Arial"/>
          <w:sz w:val="24"/>
          <w:szCs w:val="24"/>
        </w:rPr>
      </w:pPr>
      <w:r>
        <w:rPr>
          <w:rFonts w:ascii="Arial" w:hAnsi="Arial" w:cs="Arial"/>
          <w:sz w:val="24"/>
          <w:szCs w:val="24"/>
          <w:lang w:val="en-US"/>
        </w:rPr>
        <w:t>In the</w:t>
      </w:r>
      <w:r w:rsidR="006C6957">
        <w:rPr>
          <w:rFonts w:ascii="Arial" w:hAnsi="Arial" w:cs="Arial"/>
          <w:sz w:val="24"/>
          <w:szCs w:val="24"/>
          <w:lang w:val="en-US"/>
        </w:rPr>
        <w:t xml:space="preserve"> first stage calibration of the</w:t>
      </w:r>
      <w:r>
        <w:rPr>
          <w:rFonts w:ascii="Arial" w:hAnsi="Arial" w:cs="Arial"/>
          <w:sz w:val="24"/>
          <w:szCs w:val="24"/>
          <w:lang w:val="en-US"/>
        </w:rPr>
        <w:t xml:space="preserve"> HLCS</w:t>
      </w:r>
      <w:r w:rsidR="006C6957">
        <w:rPr>
          <w:rFonts w:ascii="Arial" w:hAnsi="Arial" w:cs="Arial"/>
          <w:sz w:val="24"/>
          <w:szCs w:val="24"/>
          <w:lang w:val="en-US"/>
        </w:rPr>
        <w:t xml:space="preserve"> sample weights</w:t>
      </w:r>
      <w:r>
        <w:rPr>
          <w:rFonts w:ascii="Arial" w:hAnsi="Arial" w:cs="Arial"/>
          <w:sz w:val="24"/>
          <w:szCs w:val="24"/>
          <w:lang w:val="en-US"/>
        </w:rPr>
        <w:t xml:space="preserve"> as a</w:t>
      </w:r>
      <w:r w:rsidR="00CC3567" w:rsidRPr="00CC3567">
        <w:rPr>
          <w:rFonts w:ascii="Arial" w:hAnsi="Arial" w:cs="Arial"/>
          <w:sz w:val="24"/>
          <w:szCs w:val="24"/>
          <w:lang w:val="en-US"/>
        </w:rPr>
        <w:t>uxiliary information</w:t>
      </w:r>
      <w:r>
        <w:rPr>
          <w:rFonts w:ascii="Arial" w:hAnsi="Arial" w:cs="Arial"/>
          <w:sz w:val="24"/>
          <w:szCs w:val="24"/>
          <w:lang w:val="en-US"/>
        </w:rPr>
        <w:t xml:space="preserve"> </w:t>
      </w:r>
      <w:r w:rsidR="006D1D6B">
        <w:rPr>
          <w:rFonts w:ascii="Arial" w:hAnsi="Arial" w:cs="Arial"/>
          <w:sz w:val="24"/>
          <w:szCs w:val="24"/>
          <w:lang w:val="en-US"/>
        </w:rPr>
        <w:t>is used p</w:t>
      </w:r>
      <w:r w:rsidR="00CC3567" w:rsidRPr="00CC3567">
        <w:rPr>
          <w:rFonts w:ascii="Arial" w:hAnsi="Arial" w:cs="Arial"/>
          <w:sz w:val="24"/>
          <w:szCs w:val="24"/>
          <w:lang w:val="en-US"/>
        </w:rPr>
        <w:t>opulation by strata</w:t>
      </w:r>
      <w:r w:rsidR="006D1D6B">
        <w:rPr>
          <w:rFonts w:ascii="Arial" w:hAnsi="Arial" w:cs="Arial"/>
          <w:sz w:val="24"/>
          <w:szCs w:val="24"/>
          <w:lang w:val="en-US"/>
        </w:rPr>
        <w:t xml:space="preserve"> (regions </w:t>
      </w:r>
      <w:r w:rsidR="006C6957">
        <w:rPr>
          <w:rFonts w:ascii="Arial" w:hAnsi="Arial" w:cs="Arial"/>
          <w:sz w:val="24"/>
          <w:szCs w:val="24"/>
          <w:lang w:val="en-US"/>
        </w:rPr>
        <w:t>and</w:t>
      </w:r>
      <w:r w:rsidR="006D1D6B">
        <w:rPr>
          <w:rFonts w:ascii="Arial" w:hAnsi="Arial" w:cs="Arial"/>
          <w:sz w:val="24"/>
          <w:szCs w:val="24"/>
          <w:lang w:val="en-US"/>
        </w:rPr>
        <w:t xml:space="preserve"> area </w:t>
      </w:r>
      <w:r w:rsidR="006D1D6B" w:rsidRPr="000F4AAC">
        <w:rPr>
          <w:rFonts w:ascii="Arial" w:hAnsi="Arial" w:cs="Arial"/>
          <w:sz w:val="24"/>
          <w:szCs w:val="24"/>
          <w:lang w:val="en-US"/>
        </w:rPr>
        <w:t>type),</w:t>
      </w:r>
      <w:r w:rsidR="00CC3567" w:rsidRPr="000F4AAC">
        <w:rPr>
          <w:rFonts w:ascii="Arial" w:hAnsi="Arial" w:cs="Arial"/>
          <w:sz w:val="24"/>
          <w:szCs w:val="24"/>
          <w:lang w:val="en-US"/>
        </w:rPr>
        <w:t xml:space="preserve"> </w:t>
      </w:r>
      <w:r w:rsidR="006D1D6B" w:rsidRPr="000F4AAC">
        <w:rPr>
          <w:rFonts w:ascii="Arial" w:hAnsi="Arial" w:cs="Arial"/>
          <w:sz w:val="24"/>
          <w:szCs w:val="24"/>
          <w:lang w:val="en-US"/>
        </w:rPr>
        <w:t xml:space="preserve">household </w:t>
      </w:r>
      <w:r w:rsidR="00CC3567" w:rsidRPr="000F4AAC">
        <w:rPr>
          <w:rFonts w:ascii="Arial" w:hAnsi="Arial" w:cs="Arial"/>
          <w:sz w:val="24"/>
          <w:szCs w:val="24"/>
          <w:lang w:val="en-US"/>
        </w:rPr>
        <w:t>numbers by strata</w:t>
      </w:r>
      <w:r w:rsidR="006D1D6B" w:rsidRPr="000F4AAC">
        <w:rPr>
          <w:rFonts w:ascii="Arial" w:hAnsi="Arial" w:cs="Arial"/>
          <w:sz w:val="24"/>
          <w:szCs w:val="24"/>
          <w:lang w:val="en-US"/>
        </w:rPr>
        <w:t>, and age</w:t>
      </w:r>
      <w:r w:rsidR="00CC3567" w:rsidRPr="000F4AAC">
        <w:rPr>
          <w:rFonts w:ascii="Arial" w:hAnsi="Arial" w:cs="Arial"/>
          <w:sz w:val="24"/>
          <w:szCs w:val="24"/>
          <w:lang w:val="en-US"/>
        </w:rPr>
        <w:t xml:space="preserve"> </w:t>
      </w:r>
      <w:r w:rsidR="006C6957" w:rsidRPr="000F4AAC">
        <w:rPr>
          <w:rFonts w:ascii="Arial" w:hAnsi="Arial" w:cs="Arial"/>
          <w:sz w:val="24"/>
          <w:szCs w:val="24"/>
          <w:lang w:val="en-US"/>
        </w:rPr>
        <w:t>-</w:t>
      </w:r>
      <w:r w:rsidR="00CC3567" w:rsidRPr="000F4AAC">
        <w:rPr>
          <w:rFonts w:ascii="Arial" w:hAnsi="Arial" w:cs="Arial"/>
          <w:sz w:val="24"/>
          <w:szCs w:val="24"/>
          <w:lang w:val="en-US"/>
        </w:rPr>
        <w:t xml:space="preserve"> sex </w:t>
      </w:r>
      <w:r w:rsidR="006D1D6B" w:rsidRPr="000F4AAC">
        <w:rPr>
          <w:rFonts w:ascii="Arial" w:hAnsi="Arial" w:cs="Arial"/>
          <w:sz w:val="24"/>
          <w:szCs w:val="24"/>
          <w:lang w:val="en-US"/>
        </w:rPr>
        <w:t>structure of population</w:t>
      </w:r>
      <w:r w:rsidR="006C6957" w:rsidRPr="000F4AAC">
        <w:rPr>
          <w:rFonts w:ascii="Arial" w:hAnsi="Arial" w:cs="Arial"/>
          <w:sz w:val="24"/>
          <w:szCs w:val="24"/>
          <w:lang w:val="en-US"/>
        </w:rPr>
        <w:t xml:space="preserve"> (SSSU </w:t>
      </w:r>
      <w:r w:rsidR="000F4AAC" w:rsidRPr="000F4AAC">
        <w:rPr>
          <w:rFonts w:ascii="Arial" w:hAnsi="Arial" w:cs="Arial"/>
          <w:sz w:val="24"/>
          <w:szCs w:val="24"/>
          <w:lang w:val="en-US"/>
        </w:rPr>
        <w:t>2011</w:t>
      </w:r>
      <w:r w:rsidR="006C6957" w:rsidRPr="000F4AAC">
        <w:rPr>
          <w:rFonts w:ascii="Arial" w:hAnsi="Arial" w:cs="Arial"/>
          <w:sz w:val="24"/>
          <w:szCs w:val="24"/>
          <w:lang w:val="en-US"/>
        </w:rPr>
        <w:t>)</w:t>
      </w:r>
      <w:r w:rsidR="006D1D6B" w:rsidRPr="000F4AAC">
        <w:rPr>
          <w:rFonts w:ascii="Arial" w:hAnsi="Arial" w:cs="Arial"/>
          <w:sz w:val="24"/>
          <w:szCs w:val="24"/>
          <w:lang w:val="en-US"/>
        </w:rPr>
        <w:t>.</w:t>
      </w:r>
      <w:r w:rsidR="006C6957" w:rsidRPr="000F4AAC">
        <w:rPr>
          <w:rFonts w:ascii="Arial" w:hAnsi="Arial" w:cs="Arial"/>
          <w:sz w:val="24"/>
          <w:szCs w:val="24"/>
          <w:lang w:val="en-US"/>
        </w:rPr>
        <w:t xml:space="preserve"> </w:t>
      </w:r>
      <w:r w:rsidR="00661CAE" w:rsidRPr="000F4AAC">
        <w:rPr>
          <w:rFonts w:ascii="Arial" w:hAnsi="Arial" w:cs="Arial"/>
          <w:sz w:val="24"/>
          <w:szCs w:val="24"/>
          <w:lang w:val="en-US"/>
        </w:rPr>
        <w:t>In addition,</w:t>
      </w:r>
      <w:r w:rsidR="006C6957" w:rsidRPr="000F4AAC">
        <w:rPr>
          <w:rFonts w:ascii="Arial" w:hAnsi="Arial" w:cs="Arial"/>
          <w:sz w:val="24"/>
          <w:szCs w:val="24"/>
          <w:lang w:val="en-US"/>
        </w:rPr>
        <w:t xml:space="preserve"> last two years</w:t>
      </w:r>
      <w:r w:rsidR="00661CAE" w:rsidRPr="000F4AAC">
        <w:rPr>
          <w:rFonts w:ascii="Arial" w:hAnsi="Arial" w:cs="Arial"/>
          <w:sz w:val="24"/>
          <w:szCs w:val="24"/>
          <w:lang w:val="en-US"/>
        </w:rPr>
        <w:t xml:space="preserve"> the procedure for adjusting the</w:t>
      </w:r>
      <w:r w:rsidR="006C6957" w:rsidRPr="000F4AAC">
        <w:rPr>
          <w:rFonts w:ascii="Arial" w:hAnsi="Arial" w:cs="Arial"/>
          <w:sz w:val="24"/>
          <w:szCs w:val="24"/>
          <w:lang w:val="en-US"/>
        </w:rPr>
        <w:t xml:space="preserve"> reliability of the HLCS</w:t>
      </w:r>
      <w:r w:rsidR="00661CAE" w:rsidRPr="000F4AAC">
        <w:rPr>
          <w:rFonts w:ascii="Arial" w:hAnsi="Arial" w:cs="Arial"/>
          <w:sz w:val="24"/>
          <w:szCs w:val="24"/>
          <w:lang w:val="en-US"/>
        </w:rPr>
        <w:t xml:space="preserve"> results is tested to better take into account living conditions of the well-</w:t>
      </w:r>
      <w:r w:rsidR="000F4AAC" w:rsidRPr="000F4AAC">
        <w:rPr>
          <w:rFonts w:ascii="Arial" w:hAnsi="Arial" w:cs="Arial"/>
          <w:sz w:val="24"/>
          <w:szCs w:val="24"/>
          <w:lang w:val="en-US"/>
        </w:rPr>
        <w:t>to-do</w:t>
      </w:r>
      <w:r w:rsidR="00661CAE" w:rsidRPr="000F4AAC">
        <w:rPr>
          <w:rFonts w:ascii="Arial" w:hAnsi="Arial" w:cs="Arial"/>
          <w:sz w:val="24"/>
          <w:szCs w:val="24"/>
          <w:lang w:val="en-US"/>
        </w:rPr>
        <w:t xml:space="preserve"> strata of the population</w:t>
      </w:r>
      <w:r w:rsidR="006C6957" w:rsidRPr="000F4AAC">
        <w:rPr>
          <w:rFonts w:ascii="Arial" w:hAnsi="Arial" w:cs="Arial"/>
          <w:sz w:val="24"/>
          <w:szCs w:val="24"/>
          <w:lang w:val="en-US"/>
        </w:rPr>
        <w:t xml:space="preserve"> (SSSU</w:t>
      </w:r>
      <w:r w:rsidR="000F4AAC" w:rsidRPr="000F4AAC">
        <w:rPr>
          <w:rFonts w:ascii="Arial" w:hAnsi="Arial" w:cs="Arial"/>
          <w:sz w:val="24"/>
          <w:szCs w:val="24"/>
          <w:lang w:val="en-US"/>
        </w:rPr>
        <w:t xml:space="preserve"> 2014</w:t>
      </w:r>
      <w:r w:rsidR="006C6957" w:rsidRPr="000F4AAC">
        <w:rPr>
          <w:rFonts w:ascii="Arial" w:hAnsi="Arial" w:cs="Arial"/>
          <w:sz w:val="24"/>
          <w:szCs w:val="24"/>
          <w:lang w:val="en-US"/>
        </w:rPr>
        <w:t>)</w:t>
      </w:r>
      <w:r w:rsidR="00661CAE" w:rsidRPr="000F4AAC">
        <w:rPr>
          <w:rFonts w:ascii="Arial" w:hAnsi="Arial" w:cs="Arial"/>
          <w:sz w:val="24"/>
          <w:szCs w:val="24"/>
          <w:lang w:val="en-US"/>
        </w:rPr>
        <w:t>.</w:t>
      </w:r>
      <w:r w:rsidR="00661CAE" w:rsidRPr="00661CAE">
        <w:rPr>
          <w:rFonts w:ascii="Arial" w:hAnsi="Arial" w:cs="Arial"/>
          <w:sz w:val="24"/>
          <w:szCs w:val="24"/>
          <w:lang w:val="en-US"/>
        </w:rPr>
        <w:t xml:space="preserve"> One approach</w:t>
      </w:r>
      <w:r w:rsidR="006C6957">
        <w:rPr>
          <w:rFonts w:ascii="Arial" w:hAnsi="Arial" w:cs="Arial"/>
          <w:sz w:val="24"/>
          <w:szCs w:val="24"/>
          <w:lang w:val="en-US"/>
        </w:rPr>
        <w:t xml:space="preserve"> for this</w:t>
      </w:r>
      <w:r w:rsidR="00661CAE" w:rsidRPr="00661CAE">
        <w:rPr>
          <w:rFonts w:ascii="Arial" w:hAnsi="Arial" w:cs="Arial"/>
          <w:sz w:val="24"/>
          <w:szCs w:val="24"/>
          <w:lang w:val="en-US"/>
        </w:rPr>
        <w:t xml:space="preserve"> is to calibrate the </w:t>
      </w:r>
      <w:r w:rsidR="0056609E">
        <w:rPr>
          <w:rFonts w:ascii="Arial" w:hAnsi="Arial" w:cs="Arial"/>
          <w:sz w:val="24"/>
          <w:szCs w:val="24"/>
          <w:lang w:val="en-US"/>
        </w:rPr>
        <w:t>sample</w:t>
      </w:r>
      <w:r w:rsidR="00661CAE" w:rsidRPr="00661CAE">
        <w:rPr>
          <w:rFonts w:ascii="Arial" w:hAnsi="Arial" w:cs="Arial"/>
          <w:sz w:val="24"/>
          <w:szCs w:val="24"/>
          <w:lang w:val="en-US"/>
        </w:rPr>
        <w:t xml:space="preserve"> </w:t>
      </w:r>
      <w:r w:rsidR="00661CAE">
        <w:rPr>
          <w:rFonts w:ascii="Arial" w:hAnsi="Arial" w:cs="Arial"/>
          <w:sz w:val="24"/>
          <w:szCs w:val="24"/>
          <w:lang w:val="en-US"/>
        </w:rPr>
        <w:t>weights</w:t>
      </w:r>
      <w:r w:rsidR="00661CAE" w:rsidRPr="00661CAE">
        <w:rPr>
          <w:rFonts w:ascii="Arial" w:hAnsi="Arial" w:cs="Arial"/>
          <w:sz w:val="24"/>
          <w:szCs w:val="24"/>
          <w:lang w:val="en-US"/>
        </w:rPr>
        <w:t xml:space="preserve"> using the tax </w:t>
      </w:r>
      <w:r w:rsidR="0056609E">
        <w:rPr>
          <w:rFonts w:ascii="Arial" w:hAnsi="Arial" w:cs="Arial"/>
          <w:sz w:val="24"/>
          <w:szCs w:val="24"/>
          <w:lang w:val="en-US"/>
        </w:rPr>
        <w:t>register</w:t>
      </w:r>
      <w:r w:rsidR="00661CAE" w:rsidRPr="00661CAE">
        <w:rPr>
          <w:rFonts w:ascii="Arial" w:hAnsi="Arial" w:cs="Arial"/>
          <w:sz w:val="24"/>
          <w:szCs w:val="24"/>
          <w:lang w:val="en-US"/>
        </w:rPr>
        <w:t xml:space="preserve"> data on the distribution of income</w:t>
      </w:r>
      <w:r w:rsidR="0056609E">
        <w:rPr>
          <w:rFonts w:ascii="Arial" w:hAnsi="Arial" w:cs="Arial"/>
          <w:sz w:val="24"/>
          <w:szCs w:val="24"/>
          <w:lang w:val="en-US"/>
        </w:rPr>
        <w:t xml:space="preserve"> for taxpayers </w:t>
      </w:r>
      <w:r w:rsidR="00661CAE" w:rsidRPr="00661CAE">
        <w:rPr>
          <w:rFonts w:ascii="Arial" w:hAnsi="Arial" w:cs="Arial"/>
          <w:sz w:val="24"/>
          <w:szCs w:val="24"/>
          <w:lang w:val="en-US"/>
        </w:rPr>
        <w:t xml:space="preserve">and the data </w:t>
      </w:r>
      <w:r w:rsidR="0056609E">
        <w:rPr>
          <w:rFonts w:ascii="Arial" w:hAnsi="Arial" w:cs="Arial"/>
          <w:sz w:val="24"/>
          <w:szCs w:val="24"/>
          <w:lang w:val="en-US"/>
        </w:rPr>
        <w:t>from</w:t>
      </w:r>
      <w:r w:rsidR="00661CAE" w:rsidRPr="00661CAE">
        <w:rPr>
          <w:rFonts w:ascii="Arial" w:hAnsi="Arial" w:cs="Arial"/>
          <w:sz w:val="24"/>
          <w:szCs w:val="24"/>
          <w:lang w:val="en-US"/>
        </w:rPr>
        <w:t xml:space="preserve"> the </w:t>
      </w:r>
      <w:r w:rsidR="0056609E">
        <w:rPr>
          <w:rFonts w:ascii="Arial" w:hAnsi="Arial" w:cs="Arial"/>
          <w:sz w:val="24"/>
          <w:szCs w:val="24"/>
          <w:lang w:val="en-US"/>
        </w:rPr>
        <w:t>N</w:t>
      </w:r>
      <w:r w:rsidR="0056609E" w:rsidRPr="00661CAE">
        <w:rPr>
          <w:rFonts w:ascii="Arial" w:hAnsi="Arial" w:cs="Arial"/>
          <w:sz w:val="24"/>
          <w:szCs w:val="24"/>
          <w:lang w:val="en-US"/>
        </w:rPr>
        <w:t xml:space="preserve">ational </w:t>
      </w:r>
      <w:r w:rsidR="0056609E">
        <w:rPr>
          <w:rFonts w:ascii="Arial" w:hAnsi="Arial" w:cs="Arial"/>
          <w:sz w:val="24"/>
          <w:szCs w:val="24"/>
          <w:lang w:val="en-US"/>
        </w:rPr>
        <w:t>A</w:t>
      </w:r>
      <w:r w:rsidR="0056609E" w:rsidRPr="00661CAE">
        <w:rPr>
          <w:rFonts w:ascii="Arial" w:hAnsi="Arial" w:cs="Arial"/>
          <w:sz w:val="24"/>
          <w:szCs w:val="24"/>
          <w:lang w:val="en-US"/>
        </w:rPr>
        <w:t>ccount</w:t>
      </w:r>
      <w:r w:rsidR="0056609E">
        <w:rPr>
          <w:rFonts w:ascii="Arial" w:hAnsi="Arial" w:cs="Arial"/>
          <w:sz w:val="24"/>
          <w:szCs w:val="24"/>
          <w:lang w:val="en-US"/>
        </w:rPr>
        <w:t>ing</w:t>
      </w:r>
      <w:r w:rsidR="0056609E" w:rsidRPr="00661CAE">
        <w:rPr>
          <w:rFonts w:ascii="Arial" w:hAnsi="Arial" w:cs="Arial"/>
          <w:sz w:val="24"/>
          <w:szCs w:val="24"/>
          <w:lang w:val="en-US"/>
        </w:rPr>
        <w:t xml:space="preserve"> </w:t>
      </w:r>
      <w:r w:rsidR="0056609E">
        <w:rPr>
          <w:rFonts w:ascii="Arial" w:hAnsi="Arial" w:cs="Arial"/>
          <w:sz w:val="24"/>
          <w:szCs w:val="24"/>
          <w:lang w:val="en-US"/>
        </w:rPr>
        <w:t>S</w:t>
      </w:r>
      <w:r w:rsidR="00661CAE" w:rsidRPr="00661CAE">
        <w:rPr>
          <w:rFonts w:ascii="Arial" w:hAnsi="Arial" w:cs="Arial"/>
          <w:sz w:val="24"/>
          <w:szCs w:val="24"/>
          <w:lang w:val="en-US"/>
        </w:rPr>
        <w:t>ystem on</w:t>
      </w:r>
      <w:r w:rsidR="0056609E">
        <w:rPr>
          <w:rFonts w:ascii="Arial" w:hAnsi="Arial" w:cs="Arial"/>
          <w:sz w:val="24"/>
          <w:szCs w:val="24"/>
          <w:lang w:val="en-US"/>
        </w:rPr>
        <w:t xml:space="preserve"> the</w:t>
      </w:r>
      <w:r w:rsidR="00661CAE" w:rsidRPr="00661CAE">
        <w:rPr>
          <w:rFonts w:ascii="Arial" w:hAnsi="Arial" w:cs="Arial"/>
          <w:sz w:val="24"/>
          <w:szCs w:val="24"/>
          <w:lang w:val="en-US"/>
        </w:rPr>
        <w:t xml:space="preserve"> </w:t>
      </w:r>
      <w:r w:rsidR="00D2769B" w:rsidRPr="00661CAE">
        <w:rPr>
          <w:rFonts w:ascii="Arial" w:hAnsi="Arial" w:cs="Arial"/>
          <w:sz w:val="24"/>
          <w:szCs w:val="24"/>
          <w:lang w:val="en-US"/>
        </w:rPr>
        <w:t>household’s</w:t>
      </w:r>
      <w:r w:rsidR="0056609E">
        <w:rPr>
          <w:rFonts w:ascii="Arial" w:hAnsi="Arial" w:cs="Arial"/>
          <w:sz w:val="24"/>
          <w:szCs w:val="24"/>
          <w:lang w:val="en-US"/>
        </w:rPr>
        <w:t xml:space="preserve"> disposable income</w:t>
      </w:r>
      <w:r w:rsidR="00661CAE" w:rsidRPr="00661CAE">
        <w:rPr>
          <w:rFonts w:ascii="Arial" w:hAnsi="Arial" w:cs="Arial"/>
          <w:sz w:val="24"/>
          <w:szCs w:val="24"/>
          <w:lang w:val="en-US"/>
        </w:rPr>
        <w:t xml:space="preserve"> at the regional level.</w:t>
      </w:r>
      <w:r w:rsidR="005507E6" w:rsidRPr="005507E6">
        <w:t xml:space="preserve"> </w:t>
      </w:r>
      <w:r w:rsidR="005507E6" w:rsidRPr="005507E6">
        <w:rPr>
          <w:rFonts w:ascii="Arial" w:hAnsi="Arial" w:cs="Arial"/>
          <w:sz w:val="24"/>
          <w:szCs w:val="24"/>
        </w:rPr>
        <w:t xml:space="preserve">Thus, a fairly complex calibrating procedure is implemented, which leads to a significant adjustment of the design weights. </w:t>
      </w:r>
    </w:p>
    <w:p w:rsidR="00532347" w:rsidRPr="005507E6" w:rsidRDefault="00757335" w:rsidP="00CC3567">
      <w:pPr>
        <w:spacing w:before="120" w:after="0" w:line="360" w:lineRule="auto"/>
        <w:jc w:val="both"/>
        <w:rPr>
          <w:rFonts w:ascii="Arial" w:hAnsi="Arial" w:cs="Arial"/>
          <w:sz w:val="24"/>
          <w:szCs w:val="24"/>
          <w:lang w:val="en-US"/>
        </w:rPr>
      </w:pPr>
      <w:r>
        <w:rPr>
          <w:rFonts w:ascii="Arial" w:hAnsi="Arial" w:cs="Arial"/>
          <w:sz w:val="24"/>
          <w:szCs w:val="24"/>
        </w:rPr>
        <w:lastRenderedPageBreak/>
        <w:t>E</w:t>
      </w:r>
      <w:r w:rsidR="00D2769B">
        <w:rPr>
          <w:rFonts w:ascii="Arial" w:hAnsi="Arial" w:cs="Arial"/>
          <w:sz w:val="24"/>
          <w:szCs w:val="24"/>
        </w:rPr>
        <w:t xml:space="preserve">stimation of the reliability of HLCS indicators of base of the final calibrated weights leads to </w:t>
      </w:r>
      <w:r w:rsidR="005507E6" w:rsidRPr="005507E6">
        <w:rPr>
          <w:rFonts w:ascii="Arial" w:hAnsi="Arial" w:cs="Arial"/>
          <w:sz w:val="24"/>
          <w:szCs w:val="24"/>
        </w:rPr>
        <w:t>large</w:t>
      </w:r>
      <w:r w:rsidR="00D2769B">
        <w:rPr>
          <w:rFonts w:ascii="Arial" w:hAnsi="Arial" w:cs="Arial"/>
          <w:sz w:val="24"/>
          <w:szCs w:val="24"/>
        </w:rPr>
        <w:t>r</w:t>
      </w:r>
      <w:r w:rsidR="005507E6" w:rsidRPr="005507E6">
        <w:rPr>
          <w:rFonts w:ascii="Arial" w:hAnsi="Arial" w:cs="Arial"/>
          <w:sz w:val="24"/>
          <w:szCs w:val="24"/>
        </w:rPr>
        <w:t xml:space="preserve"> errors in estimating the indicators than on the basis of weights</w:t>
      </w:r>
      <w:r w:rsidR="00D2769B">
        <w:rPr>
          <w:rFonts w:ascii="Arial" w:hAnsi="Arial" w:cs="Arial"/>
          <w:sz w:val="24"/>
          <w:szCs w:val="24"/>
        </w:rPr>
        <w:t xml:space="preserve"> before calibration</w:t>
      </w:r>
      <w:r w:rsidR="005507E6" w:rsidRPr="005507E6">
        <w:rPr>
          <w:rFonts w:ascii="Arial" w:hAnsi="Arial" w:cs="Arial"/>
          <w:sz w:val="24"/>
          <w:szCs w:val="24"/>
        </w:rPr>
        <w:t>.</w:t>
      </w:r>
      <w:r w:rsidR="005507E6" w:rsidRPr="005507E6">
        <w:t xml:space="preserve"> </w:t>
      </w:r>
      <w:r>
        <w:rPr>
          <w:rFonts w:ascii="Arial" w:hAnsi="Arial" w:cs="Arial"/>
          <w:sz w:val="24"/>
          <w:szCs w:val="24"/>
          <w:lang w:val="en-US"/>
        </w:rPr>
        <w:t xml:space="preserve">This </w:t>
      </w:r>
      <w:r w:rsidRPr="00757335">
        <w:rPr>
          <w:rFonts w:ascii="Arial" w:hAnsi="Arial" w:cs="Arial"/>
          <w:sz w:val="24"/>
          <w:szCs w:val="24"/>
          <w:lang w:val="en-US"/>
        </w:rPr>
        <w:t>is</w:t>
      </w:r>
      <w:r>
        <w:rPr>
          <w:rFonts w:ascii="Arial" w:hAnsi="Arial" w:cs="Arial"/>
          <w:sz w:val="24"/>
          <w:szCs w:val="24"/>
          <w:lang w:val="en-US"/>
        </w:rPr>
        <w:t xml:space="preserve"> </w:t>
      </w:r>
      <w:r w:rsidRPr="00757335">
        <w:rPr>
          <w:rFonts w:ascii="Arial" w:hAnsi="Arial" w:cs="Arial"/>
          <w:sz w:val="24"/>
          <w:szCs w:val="24"/>
          <w:lang w:val="en-US"/>
        </w:rPr>
        <w:t>due to increas</w:t>
      </w:r>
      <w:r>
        <w:rPr>
          <w:rFonts w:ascii="Arial" w:hAnsi="Arial" w:cs="Arial"/>
          <w:sz w:val="24"/>
          <w:szCs w:val="24"/>
          <w:lang w:val="en-US"/>
        </w:rPr>
        <w:t>ing</w:t>
      </w:r>
      <w:r w:rsidRPr="00757335">
        <w:rPr>
          <w:rFonts w:ascii="Arial" w:hAnsi="Arial" w:cs="Arial"/>
          <w:sz w:val="24"/>
          <w:szCs w:val="24"/>
          <w:lang w:val="en-US"/>
        </w:rPr>
        <w:t xml:space="preserve"> variability</w:t>
      </w:r>
      <w:r>
        <w:rPr>
          <w:rFonts w:ascii="Arial" w:hAnsi="Arial" w:cs="Arial"/>
          <w:sz w:val="24"/>
          <w:szCs w:val="24"/>
          <w:lang w:val="en-US"/>
        </w:rPr>
        <w:t xml:space="preserve"> of the weights. But we understand that</w:t>
      </w:r>
      <w:r w:rsidR="005507E6" w:rsidRPr="005507E6">
        <w:rPr>
          <w:rFonts w:ascii="Arial" w:hAnsi="Arial" w:cs="Arial"/>
          <w:sz w:val="24"/>
          <w:szCs w:val="24"/>
          <w:lang w:val="en-US"/>
        </w:rPr>
        <w:t xml:space="preserve"> </w:t>
      </w:r>
      <w:r>
        <w:rPr>
          <w:rFonts w:ascii="Arial" w:hAnsi="Arial" w:cs="Arial"/>
          <w:sz w:val="24"/>
          <w:szCs w:val="24"/>
          <w:lang w:val="en-US"/>
        </w:rPr>
        <w:t>the aim</w:t>
      </w:r>
      <w:r w:rsidR="005507E6" w:rsidRPr="005507E6">
        <w:rPr>
          <w:rFonts w:ascii="Arial" w:hAnsi="Arial" w:cs="Arial"/>
          <w:sz w:val="24"/>
          <w:szCs w:val="24"/>
          <w:lang w:val="en-US"/>
        </w:rPr>
        <w:t xml:space="preserve"> of calibration, at least</w:t>
      </w:r>
      <w:r>
        <w:rPr>
          <w:rFonts w:ascii="Arial" w:hAnsi="Arial" w:cs="Arial"/>
          <w:sz w:val="24"/>
          <w:szCs w:val="24"/>
          <w:lang w:val="en-US"/>
        </w:rPr>
        <w:t xml:space="preserve"> in case of</w:t>
      </w:r>
      <w:r w:rsidR="005507E6" w:rsidRPr="005507E6">
        <w:rPr>
          <w:rFonts w:ascii="Arial" w:hAnsi="Arial" w:cs="Arial"/>
          <w:sz w:val="24"/>
          <w:szCs w:val="24"/>
          <w:lang w:val="en-US"/>
        </w:rPr>
        <w:t xml:space="preserve"> adjustment to the </w:t>
      </w:r>
      <w:r>
        <w:rPr>
          <w:rFonts w:ascii="Arial" w:hAnsi="Arial" w:cs="Arial"/>
          <w:sz w:val="24"/>
          <w:szCs w:val="24"/>
          <w:lang w:val="en-US"/>
        </w:rPr>
        <w:t>well-off population</w:t>
      </w:r>
      <w:r w:rsidR="005507E6" w:rsidRPr="005507E6">
        <w:rPr>
          <w:rFonts w:ascii="Arial" w:hAnsi="Arial" w:cs="Arial"/>
          <w:sz w:val="24"/>
          <w:szCs w:val="24"/>
          <w:lang w:val="en-US"/>
        </w:rPr>
        <w:t xml:space="preserve">, is </w:t>
      </w:r>
      <w:r>
        <w:rPr>
          <w:rFonts w:ascii="Arial" w:hAnsi="Arial" w:cs="Arial"/>
          <w:sz w:val="24"/>
          <w:szCs w:val="24"/>
          <w:lang w:val="en-US"/>
        </w:rPr>
        <w:t>decreasing</w:t>
      </w:r>
      <w:r w:rsidRPr="00757335">
        <w:rPr>
          <w:rFonts w:ascii="Arial" w:hAnsi="Arial" w:cs="Arial"/>
          <w:sz w:val="24"/>
          <w:szCs w:val="24"/>
          <w:lang w:val="en-US"/>
        </w:rPr>
        <w:t xml:space="preserve"> </w:t>
      </w:r>
      <w:r>
        <w:rPr>
          <w:rFonts w:ascii="Arial" w:hAnsi="Arial" w:cs="Arial"/>
          <w:sz w:val="24"/>
          <w:szCs w:val="24"/>
          <w:lang w:val="en-US"/>
        </w:rPr>
        <w:t>of</w:t>
      </w:r>
      <w:r w:rsidRPr="00757335">
        <w:rPr>
          <w:rFonts w:ascii="Arial" w:hAnsi="Arial" w:cs="Arial"/>
          <w:sz w:val="24"/>
          <w:szCs w:val="24"/>
          <w:lang w:val="en-US"/>
        </w:rPr>
        <w:t xml:space="preserve"> error</w:t>
      </w:r>
      <w:r>
        <w:rPr>
          <w:rFonts w:ascii="Arial" w:hAnsi="Arial" w:cs="Arial"/>
          <w:sz w:val="24"/>
          <w:szCs w:val="24"/>
          <w:lang w:val="en-US"/>
        </w:rPr>
        <w:t>s</w:t>
      </w:r>
      <w:r w:rsidRPr="00757335">
        <w:rPr>
          <w:rFonts w:ascii="Arial" w:hAnsi="Arial" w:cs="Arial"/>
          <w:sz w:val="24"/>
          <w:szCs w:val="24"/>
          <w:lang w:val="en-US"/>
        </w:rPr>
        <w:t xml:space="preserve">, primarily related to the </w:t>
      </w:r>
      <w:r>
        <w:rPr>
          <w:rFonts w:ascii="Arial" w:hAnsi="Arial" w:cs="Arial"/>
          <w:sz w:val="24"/>
          <w:szCs w:val="24"/>
          <w:lang w:val="en-US"/>
        </w:rPr>
        <w:t>estimation bias</w:t>
      </w:r>
      <w:r w:rsidR="005507E6" w:rsidRPr="005507E6">
        <w:rPr>
          <w:rFonts w:ascii="Arial" w:hAnsi="Arial" w:cs="Arial"/>
          <w:sz w:val="24"/>
          <w:szCs w:val="24"/>
          <w:lang w:val="en-US"/>
        </w:rPr>
        <w:t>.</w:t>
      </w:r>
      <w:r>
        <w:rPr>
          <w:rFonts w:ascii="Arial" w:hAnsi="Arial" w:cs="Arial"/>
          <w:sz w:val="24"/>
          <w:szCs w:val="24"/>
          <w:lang w:val="en-US"/>
        </w:rPr>
        <w:t xml:space="preserve"> </w:t>
      </w:r>
    </w:p>
    <w:p w:rsidR="005507E6" w:rsidRDefault="007D7D80" w:rsidP="00202613">
      <w:pPr>
        <w:spacing w:before="120" w:after="120" w:line="360" w:lineRule="auto"/>
        <w:jc w:val="both"/>
        <w:rPr>
          <w:rFonts w:ascii="Arial" w:hAnsi="Arial" w:cs="Arial"/>
          <w:sz w:val="24"/>
          <w:szCs w:val="24"/>
          <w:lang w:val="en-US"/>
        </w:rPr>
      </w:pPr>
      <w:r>
        <w:rPr>
          <w:rFonts w:ascii="Arial" w:hAnsi="Arial" w:cs="Arial"/>
          <w:sz w:val="24"/>
          <w:szCs w:val="24"/>
          <w:lang w:val="en-US"/>
        </w:rPr>
        <w:t>In our</w:t>
      </w:r>
      <w:r w:rsidR="00757335">
        <w:rPr>
          <w:rFonts w:ascii="Arial" w:hAnsi="Arial" w:cs="Arial"/>
          <w:sz w:val="24"/>
          <w:szCs w:val="24"/>
          <w:lang w:val="en-US"/>
        </w:rPr>
        <w:t xml:space="preserve"> </w:t>
      </w:r>
      <w:r>
        <w:rPr>
          <w:rFonts w:ascii="Arial" w:hAnsi="Arial" w:cs="Arial"/>
          <w:sz w:val="24"/>
          <w:szCs w:val="24"/>
          <w:lang w:val="en-US"/>
        </w:rPr>
        <w:t xml:space="preserve">opinion </w:t>
      </w:r>
      <w:r w:rsidR="00757335">
        <w:rPr>
          <w:rFonts w:ascii="Arial" w:hAnsi="Arial" w:cs="Arial"/>
          <w:sz w:val="24"/>
          <w:szCs w:val="24"/>
          <w:lang w:val="en-US"/>
        </w:rPr>
        <w:t xml:space="preserve">in this situation </w:t>
      </w:r>
      <w:r w:rsidR="005507E6" w:rsidRPr="005507E6">
        <w:rPr>
          <w:rFonts w:ascii="Arial" w:hAnsi="Arial" w:cs="Arial"/>
          <w:sz w:val="24"/>
          <w:szCs w:val="24"/>
          <w:lang w:val="en-US"/>
        </w:rPr>
        <w:t>it would be logical to use not only the</w:t>
      </w:r>
      <w:r w:rsidR="00757335">
        <w:rPr>
          <w:rFonts w:ascii="Arial" w:hAnsi="Arial" w:cs="Arial"/>
          <w:sz w:val="24"/>
          <w:szCs w:val="24"/>
          <w:lang w:val="en-US"/>
        </w:rPr>
        <w:t xml:space="preserve"> final</w:t>
      </w:r>
      <w:r w:rsidR="005507E6" w:rsidRPr="005507E6">
        <w:rPr>
          <w:rFonts w:ascii="Arial" w:hAnsi="Arial" w:cs="Arial"/>
          <w:sz w:val="24"/>
          <w:szCs w:val="24"/>
          <w:lang w:val="en-US"/>
        </w:rPr>
        <w:t xml:space="preserve"> calibrat</w:t>
      </w:r>
      <w:r>
        <w:rPr>
          <w:rFonts w:ascii="Arial" w:hAnsi="Arial" w:cs="Arial"/>
          <w:sz w:val="24"/>
          <w:szCs w:val="24"/>
          <w:lang w:val="en-US"/>
        </w:rPr>
        <w:t>ed</w:t>
      </w:r>
      <w:r w:rsidR="005507E6" w:rsidRPr="005507E6">
        <w:rPr>
          <w:rFonts w:ascii="Arial" w:hAnsi="Arial" w:cs="Arial"/>
          <w:sz w:val="24"/>
          <w:szCs w:val="24"/>
          <w:lang w:val="en-US"/>
        </w:rPr>
        <w:t xml:space="preserve"> weights, but also the design weights (weights before calibration) when estimating the reliability of the indicators based on </w:t>
      </w:r>
      <w:r w:rsidRPr="005507E6">
        <w:rPr>
          <w:rFonts w:ascii="Arial" w:hAnsi="Arial" w:cs="Arial"/>
          <w:sz w:val="24"/>
          <w:szCs w:val="24"/>
          <w:lang w:val="en-US"/>
        </w:rPr>
        <w:t>micro data</w:t>
      </w:r>
      <w:r w:rsidR="005507E6" w:rsidRPr="005507E6">
        <w:rPr>
          <w:rFonts w:ascii="Arial" w:hAnsi="Arial" w:cs="Arial"/>
          <w:sz w:val="24"/>
          <w:szCs w:val="24"/>
          <w:lang w:val="en-US"/>
        </w:rPr>
        <w:t xml:space="preserve"> </w:t>
      </w:r>
      <w:r>
        <w:rPr>
          <w:rFonts w:ascii="Arial" w:hAnsi="Arial" w:cs="Arial"/>
          <w:sz w:val="24"/>
          <w:szCs w:val="24"/>
          <w:lang w:val="en-US"/>
        </w:rPr>
        <w:t>set</w:t>
      </w:r>
      <w:r w:rsidR="005507E6" w:rsidRPr="005507E6">
        <w:rPr>
          <w:rFonts w:ascii="Arial" w:hAnsi="Arial" w:cs="Arial"/>
          <w:sz w:val="24"/>
          <w:szCs w:val="24"/>
          <w:lang w:val="en-US"/>
        </w:rPr>
        <w:t>.</w:t>
      </w:r>
      <w:r>
        <w:rPr>
          <w:rFonts w:ascii="Arial" w:hAnsi="Arial" w:cs="Arial"/>
          <w:sz w:val="24"/>
          <w:szCs w:val="24"/>
          <w:lang w:val="en-US"/>
        </w:rPr>
        <w:t xml:space="preserve"> </w:t>
      </w:r>
      <w:r w:rsidRPr="007D7D80">
        <w:rPr>
          <w:rFonts w:ascii="Arial" w:hAnsi="Arial" w:cs="Arial"/>
          <w:sz w:val="24"/>
          <w:szCs w:val="24"/>
          <w:lang w:val="en-US"/>
        </w:rPr>
        <w:t>Wherein</w:t>
      </w:r>
      <w:r w:rsidR="005507E6" w:rsidRPr="005507E6">
        <w:rPr>
          <w:rFonts w:ascii="Arial" w:hAnsi="Arial" w:cs="Arial"/>
          <w:sz w:val="24"/>
          <w:szCs w:val="24"/>
          <w:lang w:val="en-US"/>
        </w:rPr>
        <w:t xml:space="preserve"> </w:t>
      </w:r>
      <w:r>
        <w:rPr>
          <w:rFonts w:ascii="Arial" w:hAnsi="Arial" w:cs="Arial"/>
          <w:sz w:val="24"/>
          <w:szCs w:val="24"/>
          <w:lang w:val="en-US"/>
        </w:rPr>
        <w:t>on base</w:t>
      </w:r>
      <w:r w:rsidR="005507E6" w:rsidRPr="005507E6">
        <w:rPr>
          <w:rFonts w:ascii="Arial" w:hAnsi="Arial" w:cs="Arial"/>
          <w:sz w:val="24"/>
          <w:szCs w:val="24"/>
          <w:lang w:val="en-US"/>
        </w:rPr>
        <w:t xml:space="preserve"> </w:t>
      </w:r>
      <w:r>
        <w:rPr>
          <w:rFonts w:ascii="Arial" w:hAnsi="Arial" w:cs="Arial"/>
          <w:sz w:val="24"/>
          <w:szCs w:val="24"/>
          <w:lang w:val="en-US"/>
        </w:rPr>
        <w:t>of</w:t>
      </w:r>
      <w:r w:rsidR="005507E6" w:rsidRPr="005507E6">
        <w:rPr>
          <w:rFonts w:ascii="Arial" w:hAnsi="Arial" w:cs="Arial"/>
          <w:sz w:val="24"/>
          <w:szCs w:val="24"/>
          <w:lang w:val="en-US"/>
        </w:rPr>
        <w:t xml:space="preserve"> calibrat</w:t>
      </w:r>
      <w:r>
        <w:rPr>
          <w:rFonts w:ascii="Arial" w:hAnsi="Arial" w:cs="Arial"/>
          <w:sz w:val="24"/>
          <w:szCs w:val="24"/>
          <w:lang w:val="en-US"/>
        </w:rPr>
        <w:t>ed</w:t>
      </w:r>
      <w:r w:rsidR="005507E6" w:rsidRPr="005507E6">
        <w:rPr>
          <w:rFonts w:ascii="Arial" w:hAnsi="Arial" w:cs="Arial"/>
          <w:sz w:val="24"/>
          <w:szCs w:val="24"/>
          <w:lang w:val="en-US"/>
        </w:rPr>
        <w:t xml:space="preserve"> weights and design weights </w:t>
      </w:r>
      <w:r w:rsidR="002E6507">
        <w:rPr>
          <w:rFonts w:ascii="Arial" w:hAnsi="Arial" w:cs="Arial"/>
          <w:sz w:val="24"/>
          <w:szCs w:val="24"/>
          <w:lang w:val="en-US"/>
        </w:rPr>
        <w:t>the</w:t>
      </w:r>
      <w:r w:rsidR="005507E6" w:rsidRPr="005507E6">
        <w:rPr>
          <w:rFonts w:ascii="Arial" w:hAnsi="Arial" w:cs="Arial"/>
          <w:sz w:val="24"/>
          <w:szCs w:val="24"/>
          <w:lang w:val="en-US"/>
        </w:rPr>
        <w:t xml:space="preserve"> </w:t>
      </w:r>
      <w:r w:rsidR="002E6507">
        <w:rPr>
          <w:rFonts w:ascii="Arial" w:hAnsi="Arial" w:cs="Arial"/>
          <w:sz w:val="24"/>
          <w:szCs w:val="24"/>
          <w:lang w:val="en-US"/>
        </w:rPr>
        <w:t>bias</w:t>
      </w:r>
      <w:r w:rsidR="005507E6" w:rsidRPr="005507E6">
        <w:rPr>
          <w:rFonts w:ascii="Arial" w:hAnsi="Arial" w:cs="Arial"/>
          <w:sz w:val="24"/>
          <w:szCs w:val="24"/>
          <w:lang w:val="en-US"/>
        </w:rPr>
        <w:t xml:space="preserve"> </w:t>
      </w:r>
      <w:r w:rsidR="009D7EB9">
        <w:rPr>
          <w:rFonts w:ascii="Arial" w:hAnsi="Arial" w:cs="Arial"/>
          <w:sz w:val="24"/>
          <w:szCs w:val="24"/>
          <w:lang w:val="en-US"/>
        </w:rPr>
        <w:t>of</w:t>
      </w:r>
      <w:r w:rsidR="005507E6" w:rsidRPr="005507E6">
        <w:rPr>
          <w:rFonts w:ascii="Arial" w:hAnsi="Arial" w:cs="Arial"/>
          <w:sz w:val="24"/>
          <w:szCs w:val="24"/>
          <w:lang w:val="en-US"/>
        </w:rPr>
        <w:t xml:space="preserve"> the estimates is determined, and on bas</w:t>
      </w:r>
      <w:r>
        <w:rPr>
          <w:rFonts w:ascii="Arial" w:hAnsi="Arial" w:cs="Arial"/>
          <w:sz w:val="24"/>
          <w:szCs w:val="24"/>
          <w:lang w:val="en-US"/>
        </w:rPr>
        <w:t>e</w:t>
      </w:r>
      <w:r w:rsidR="005507E6" w:rsidRPr="005507E6">
        <w:rPr>
          <w:rFonts w:ascii="Arial" w:hAnsi="Arial" w:cs="Arial"/>
          <w:sz w:val="24"/>
          <w:szCs w:val="24"/>
          <w:lang w:val="en-US"/>
        </w:rPr>
        <w:t xml:space="preserve"> of the </w:t>
      </w:r>
      <w:r>
        <w:rPr>
          <w:rFonts w:ascii="Arial" w:hAnsi="Arial" w:cs="Arial"/>
          <w:sz w:val="24"/>
          <w:szCs w:val="24"/>
          <w:lang w:val="en-US"/>
        </w:rPr>
        <w:t>final calibrated</w:t>
      </w:r>
      <w:r w:rsidR="005507E6" w:rsidRPr="005507E6">
        <w:rPr>
          <w:rFonts w:ascii="Arial" w:hAnsi="Arial" w:cs="Arial"/>
          <w:sz w:val="24"/>
          <w:szCs w:val="24"/>
          <w:lang w:val="en-US"/>
        </w:rPr>
        <w:t xml:space="preserve"> weights the variance of the sample estimates is </w:t>
      </w:r>
      <w:r w:rsidR="003B1AF9">
        <w:rPr>
          <w:rFonts w:ascii="Arial" w:hAnsi="Arial" w:cs="Arial"/>
          <w:sz w:val="24"/>
          <w:szCs w:val="24"/>
          <w:lang w:val="en-US"/>
        </w:rPr>
        <w:t>defined</w:t>
      </w:r>
      <w:r w:rsidR="005507E6" w:rsidRPr="005507E6">
        <w:rPr>
          <w:rFonts w:ascii="Arial" w:hAnsi="Arial" w:cs="Arial"/>
          <w:sz w:val="24"/>
          <w:szCs w:val="24"/>
          <w:lang w:val="en-US"/>
        </w:rPr>
        <w:t>.</w:t>
      </w:r>
      <w:r w:rsidR="00173B96" w:rsidRPr="005507E6">
        <w:rPr>
          <w:rFonts w:ascii="Arial" w:hAnsi="Arial" w:cs="Arial"/>
          <w:sz w:val="24"/>
          <w:szCs w:val="24"/>
          <w:lang w:val="en-US"/>
        </w:rPr>
        <w:tab/>
      </w:r>
      <w:r w:rsidR="005507E6" w:rsidRPr="005507E6">
        <w:rPr>
          <w:rFonts w:ascii="Arial" w:hAnsi="Arial" w:cs="Arial"/>
          <w:sz w:val="24"/>
          <w:szCs w:val="24"/>
          <w:lang w:val="en-US"/>
        </w:rPr>
        <w:t xml:space="preserve">Then the reliability of </w:t>
      </w:r>
      <w:r>
        <w:rPr>
          <w:rFonts w:ascii="Arial" w:hAnsi="Arial" w:cs="Arial"/>
          <w:sz w:val="24"/>
          <w:szCs w:val="24"/>
          <w:lang w:val="en-US"/>
        </w:rPr>
        <w:t>an indicator</w:t>
      </w:r>
      <w:r w:rsidR="000017FB">
        <w:rPr>
          <w:rFonts w:ascii="Arial" w:hAnsi="Arial" w:cs="Arial"/>
          <w:sz w:val="24"/>
          <w:szCs w:val="24"/>
          <w:lang w:val="en-US"/>
        </w:rPr>
        <w:t xml:space="preserve"> </w:t>
      </w:r>
      <m:oMath>
        <m:r>
          <w:rPr>
            <w:rFonts w:ascii="Cambria Math" w:hAnsi="Cambria Math" w:cs="Cambria Math"/>
            <w:sz w:val="24"/>
            <w:szCs w:val="24"/>
            <w:lang w:val="en-GB"/>
          </w:rPr>
          <m:t>θ</m:t>
        </m:r>
      </m:oMath>
      <w:r w:rsidR="000017FB">
        <w:rPr>
          <w:rFonts w:ascii="Arial" w:hAnsi="Arial" w:cs="Arial"/>
          <w:sz w:val="24"/>
          <w:szCs w:val="24"/>
          <w:lang w:val="en-US"/>
        </w:rPr>
        <w:t xml:space="preserve"> </w:t>
      </w:r>
      <w:r>
        <w:rPr>
          <w:rFonts w:ascii="Arial" w:hAnsi="Arial" w:cs="Arial"/>
          <w:sz w:val="24"/>
          <w:szCs w:val="24"/>
          <w:lang w:val="en-US"/>
        </w:rPr>
        <w:t>estimated using</w:t>
      </w:r>
      <w:r w:rsidR="005507E6" w:rsidRPr="005507E6">
        <w:rPr>
          <w:rFonts w:ascii="Arial" w:hAnsi="Arial" w:cs="Arial"/>
          <w:sz w:val="24"/>
          <w:szCs w:val="24"/>
          <w:lang w:val="en-US"/>
        </w:rPr>
        <w:t xml:space="preserve"> design weights </w:t>
      </w:r>
      <w:r>
        <w:rPr>
          <w:rFonts w:ascii="Arial" w:hAnsi="Arial" w:cs="Arial"/>
          <w:sz w:val="24"/>
          <w:szCs w:val="24"/>
          <w:lang w:val="en-US"/>
        </w:rPr>
        <w:t xml:space="preserve">will be </w:t>
      </w:r>
      <w:r w:rsidR="000017FB">
        <w:rPr>
          <w:rFonts w:ascii="Arial" w:hAnsi="Arial" w:cs="Arial"/>
          <w:sz w:val="24"/>
          <w:szCs w:val="24"/>
          <w:lang w:val="en-US"/>
        </w:rPr>
        <w:t xml:space="preserve">defined </w:t>
      </w:r>
      <w:r w:rsidR="003E25EF">
        <w:rPr>
          <w:rFonts w:ascii="Arial" w:hAnsi="Arial" w:cs="Arial"/>
          <w:sz w:val="24"/>
          <w:szCs w:val="24"/>
          <w:lang w:val="en-US"/>
        </w:rPr>
        <w:t>on base</w:t>
      </w:r>
      <w:r w:rsidR="000017FB">
        <w:rPr>
          <w:rFonts w:ascii="Arial" w:hAnsi="Arial" w:cs="Arial"/>
          <w:sz w:val="24"/>
          <w:szCs w:val="24"/>
          <w:lang w:val="en-US"/>
        </w:rPr>
        <w:t xml:space="preserve"> </w:t>
      </w:r>
      <w:r w:rsidR="003E25EF">
        <w:rPr>
          <w:rFonts w:ascii="Arial" w:hAnsi="Arial" w:cs="Arial"/>
          <w:sz w:val="24"/>
          <w:szCs w:val="24"/>
          <w:lang w:val="en-US"/>
        </w:rPr>
        <w:t xml:space="preserve">of </w:t>
      </w:r>
      <w:r w:rsidR="000017FB">
        <w:rPr>
          <w:rFonts w:ascii="Arial" w:hAnsi="Arial" w:cs="Arial"/>
          <w:sz w:val="24"/>
          <w:szCs w:val="24"/>
          <w:lang w:val="en-US"/>
        </w:rPr>
        <w:t>the mean squared error</w:t>
      </w:r>
      <w:r w:rsidR="005507E6" w:rsidRPr="005507E6">
        <w:rPr>
          <w:rFonts w:ascii="Arial" w:hAnsi="Arial" w:cs="Arial"/>
          <w:sz w:val="24"/>
          <w:szCs w:val="24"/>
          <w:lang w:val="en-US"/>
        </w:rPr>
        <w:t>:</w:t>
      </w:r>
    </w:p>
    <w:p w:rsidR="000017FB" w:rsidRDefault="000017FB" w:rsidP="00202613">
      <w:pPr>
        <w:spacing w:before="120" w:after="120" w:line="360" w:lineRule="auto"/>
        <w:ind w:firstLine="3175"/>
        <w:jc w:val="both"/>
        <w:rPr>
          <w:rFonts w:ascii="Arial" w:hAnsi="Arial" w:cs="Arial"/>
          <w:sz w:val="24"/>
          <w:szCs w:val="24"/>
          <w:lang w:val="en-US"/>
        </w:rPr>
      </w:pPr>
      <m:oMath>
        <m:r>
          <w:rPr>
            <w:rFonts w:ascii="Cambria Math" w:hAnsi="Cambria Math" w:cs="Cambria Math"/>
            <w:sz w:val="24"/>
            <w:szCs w:val="24"/>
            <w:lang w:val="en-GB"/>
          </w:rPr>
          <m:t>MSE</m:t>
        </m:r>
        <m:d>
          <m:dPr>
            <m:ctrlPr>
              <w:rPr>
                <w:rFonts w:ascii="Cambria Math" w:hAnsi="Cambria Math" w:cs="Cambria Math"/>
                <w:i/>
                <w:sz w:val="24"/>
                <w:szCs w:val="24"/>
                <w:lang w:val="en-GB"/>
              </w:rPr>
            </m:ctrlPr>
          </m:dPr>
          <m:e>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e>
        </m:d>
        <m:r>
          <w:rPr>
            <w:rFonts w:ascii="Cambria Math" w:hAnsi="Cambria Math" w:cs="Cambria Math"/>
            <w:sz w:val="24"/>
            <w:szCs w:val="24"/>
            <w:lang w:val="en-GB"/>
          </w:rPr>
          <m:t>=Var</m:t>
        </m:r>
        <m:d>
          <m:dPr>
            <m:ctrlPr>
              <w:rPr>
                <w:rFonts w:ascii="Cambria Math" w:hAnsi="Cambria Math" w:cs="Cambria Math"/>
                <w:i/>
                <w:sz w:val="24"/>
                <w:szCs w:val="24"/>
                <w:lang w:val="en-GB"/>
              </w:rPr>
            </m:ctrlPr>
          </m:dPr>
          <m:e>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e>
        </m:d>
        <m:r>
          <w:rPr>
            <w:rFonts w:ascii="Cambria Math" w:hAnsi="Cambria Math" w:cs="Cambria Math"/>
            <w:sz w:val="24"/>
            <w:szCs w:val="24"/>
            <w:lang w:val="en-GB"/>
          </w:rPr>
          <m:t>+</m:t>
        </m:r>
        <m:sSup>
          <m:sSupPr>
            <m:ctrlPr>
              <w:rPr>
                <w:rFonts w:ascii="Cambria Math" w:hAnsi="Cambria Math" w:cs="Cambria Math"/>
                <w:i/>
                <w:sz w:val="24"/>
                <w:szCs w:val="24"/>
                <w:lang w:val="en-GB"/>
              </w:rPr>
            </m:ctrlPr>
          </m:sSupPr>
          <m:e>
            <m:r>
              <w:rPr>
                <w:rFonts w:ascii="Cambria Math" w:hAnsi="Cambria Math" w:cs="Cambria Math"/>
                <w:sz w:val="24"/>
                <w:szCs w:val="24"/>
                <w:lang w:val="en-GB"/>
              </w:rPr>
              <m:t>Bias(</m:t>
            </m:r>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r>
              <w:rPr>
                <w:rFonts w:ascii="Cambria Math" w:hAnsi="Cambria Math" w:cs="Cambria Math"/>
                <w:sz w:val="24"/>
                <w:szCs w:val="24"/>
                <w:lang w:val="en-GB"/>
              </w:rPr>
              <m:t>,θ)</m:t>
            </m:r>
          </m:e>
          <m:sup>
            <m:r>
              <w:rPr>
                <w:rFonts w:ascii="Cambria Math" w:hAnsi="Cambria Math" w:cs="Cambria Math"/>
                <w:sz w:val="24"/>
                <w:szCs w:val="24"/>
                <w:lang w:val="en-GB"/>
              </w:rPr>
              <m:t>2</m:t>
            </m:r>
          </m:sup>
        </m:sSup>
      </m:oMath>
      <w:r w:rsidR="003E25EF">
        <w:rPr>
          <w:rFonts w:ascii="Arial" w:eastAsiaTheme="minorEastAsia" w:hAnsi="Arial" w:cs="Arial"/>
          <w:sz w:val="24"/>
          <w:szCs w:val="24"/>
          <w:lang w:val="en-GB"/>
        </w:rPr>
        <w:tab/>
        <w:t>(1)</w:t>
      </w:r>
    </w:p>
    <w:p w:rsidR="003E25EF" w:rsidRPr="009D7EB9" w:rsidRDefault="009D7EB9" w:rsidP="00202613">
      <w:pPr>
        <w:spacing w:before="120" w:after="120" w:line="360" w:lineRule="auto"/>
        <w:jc w:val="both"/>
        <w:rPr>
          <w:rFonts w:ascii="Arial" w:hAnsi="Arial" w:cs="Arial"/>
          <w:sz w:val="24"/>
          <w:szCs w:val="24"/>
          <w:lang w:val="en-GB"/>
        </w:rPr>
      </w:pPr>
      <w:r w:rsidRPr="009D7EB9">
        <w:rPr>
          <w:rFonts w:ascii="Arial" w:hAnsi="Arial" w:cs="Arial"/>
          <w:sz w:val="24"/>
          <w:szCs w:val="24"/>
          <w:lang w:val="en-GB"/>
        </w:rPr>
        <w:t>Thus, the gain in reliability</w:t>
      </w:r>
      <w:r>
        <w:rPr>
          <w:rFonts w:ascii="Arial" w:hAnsi="Arial" w:cs="Arial"/>
          <w:sz w:val="24"/>
          <w:szCs w:val="24"/>
          <w:lang w:val="en-GB"/>
        </w:rPr>
        <w:t xml:space="preserve"> of the indicator estimate </w:t>
      </w:r>
      <m:oMath>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oMath>
      <w:r>
        <w:rPr>
          <w:rFonts w:ascii="Arial" w:hAnsi="Arial" w:cs="Arial"/>
          <w:sz w:val="24"/>
          <w:szCs w:val="24"/>
          <w:lang w:val="en-GB"/>
        </w:rPr>
        <w:t xml:space="preserve"> on base of the calibrated weights </w:t>
      </w:r>
      <w:r w:rsidRPr="009D7EB9">
        <w:rPr>
          <w:rFonts w:ascii="Arial" w:hAnsi="Arial" w:cs="Arial"/>
          <w:sz w:val="24"/>
          <w:szCs w:val="24"/>
          <w:lang w:val="en-GB"/>
        </w:rPr>
        <w:t xml:space="preserve">will be determined by the difference between the square of the </w:t>
      </w:r>
      <w:r>
        <w:rPr>
          <w:rFonts w:ascii="Arial" w:hAnsi="Arial" w:cs="Arial"/>
          <w:sz w:val="24"/>
          <w:szCs w:val="24"/>
          <w:lang w:val="en-GB"/>
        </w:rPr>
        <w:t>bias</w:t>
      </w:r>
      <w:r w:rsidRPr="009D7EB9">
        <w:rPr>
          <w:rFonts w:ascii="Arial" w:hAnsi="Arial" w:cs="Arial"/>
          <w:sz w:val="24"/>
          <w:szCs w:val="24"/>
          <w:lang w:val="en-GB"/>
        </w:rPr>
        <w:t xml:space="preserve"> and the </w:t>
      </w:r>
      <w:r>
        <w:rPr>
          <w:rFonts w:ascii="Arial" w:hAnsi="Arial" w:cs="Arial"/>
          <w:sz w:val="24"/>
          <w:szCs w:val="24"/>
          <w:lang w:val="en-GB"/>
        </w:rPr>
        <w:t>increase</w:t>
      </w:r>
      <w:r w:rsidRPr="009D7EB9">
        <w:rPr>
          <w:rFonts w:ascii="Arial" w:hAnsi="Arial" w:cs="Arial"/>
          <w:sz w:val="24"/>
          <w:szCs w:val="24"/>
          <w:lang w:val="en-GB"/>
        </w:rPr>
        <w:t xml:space="preserve"> of the </w:t>
      </w:r>
      <w:r w:rsidR="003B1AF9">
        <w:rPr>
          <w:rFonts w:ascii="Arial" w:hAnsi="Arial" w:cs="Arial"/>
          <w:sz w:val="24"/>
          <w:szCs w:val="24"/>
          <w:lang w:val="en-GB"/>
        </w:rPr>
        <w:t xml:space="preserve">sample </w:t>
      </w:r>
      <w:r w:rsidRPr="009D7EB9">
        <w:rPr>
          <w:rFonts w:ascii="Arial" w:hAnsi="Arial" w:cs="Arial"/>
          <w:sz w:val="24"/>
          <w:szCs w:val="24"/>
          <w:lang w:val="en-GB"/>
        </w:rPr>
        <w:t>variance.</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C65C0B">
        <w:rPr>
          <w:rFonts w:ascii="Arial" w:hAnsi="Arial" w:cs="Arial"/>
          <w:b/>
          <w:sz w:val="24"/>
          <w:szCs w:val="24"/>
          <w:lang w:val="en-GB"/>
        </w:rPr>
        <w:t>Results</w:t>
      </w:r>
    </w:p>
    <w:p w:rsidR="00DD4526" w:rsidRPr="00EC5F5A" w:rsidRDefault="005507E6" w:rsidP="004740F1">
      <w:pPr>
        <w:spacing w:before="120" w:after="0" w:line="360" w:lineRule="auto"/>
        <w:jc w:val="both"/>
        <w:rPr>
          <w:rFonts w:ascii="Arial" w:hAnsi="Arial" w:cs="Arial"/>
          <w:sz w:val="24"/>
          <w:szCs w:val="24"/>
          <w:lang w:val="en-GB"/>
        </w:rPr>
      </w:pPr>
      <w:r w:rsidRPr="005507E6">
        <w:rPr>
          <w:rFonts w:ascii="Arial" w:hAnsi="Arial" w:cs="Arial"/>
          <w:sz w:val="24"/>
          <w:szCs w:val="24"/>
          <w:lang w:val="en-US"/>
        </w:rPr>
        <w:t xml:space="preserve">The characteristics of design </w:t>
      </w:r>
      <w:r w:rsidR="002E6507">
        <w:rPr>
          <w:rFonts w:ascii="Arial" w:hAnsi="Arial" w:cs="Arial"/>
          <w:sz w:val="24"/>
          <w:szCs w:val="24"/>
          <w:lang w:val="en-US"/>
        </w:rPr>
        <w:t>weights</w:t>
      </w:r>
      <w:r w:rsidRPr="005507E6">
        <w:rPr>
          <w:rFonts w:ascii="Arial" w:hAnsi="Arial" w:cs="Arial"/>
          <w:sz w:val="24"/>
          <w:szCs w:val="24"/>
          <w:lang w:val="en-US"/>
        </w:rPr>
        <w:t xml:space="preserve"> and calibrat</w:t>
      </w:r>
      <w:r w:rsidR="00DF24A6">
        <w:rPr>
          <w:rFonts w:ascii="Arial" w:hAnsi="Arial" w:cs="Arial"/>
          <w:sz w:val="24"/>
          <w:szCs w:val="24"/>
          <w:lang w:val="en-US"/>
        </w:rPr>
        <w:t>ed</w:t>
      </w:r>
      <w:r w:rsidRPr="005507E6">
        <w:rPr>
          <w:rFonts w:ascii="Arial" w:hAnsi="Arial" w:cs="Arial"/>
          <w:sz w:val="24"/>
          <w:szCs w:val="24"/>
          <w:lang w:val="en-US"/>
        </w:rPr>
        <w:t xml:space="preserve"> weights</w:t>
      </w:r>
      <w:r w:rsidR="00DF24A6">
        <w:rPr>
          <w:rFonts w:ascii="Arial" w:hAnsi="Arial" w:cs="Arial"/>
          <w:sz w:val="24"/>
          <w:szCs w:val="24"/>
          <w:lang w:val="en-US"/>
        </w:rPr>
        <w:t xml:space="preserve"> in the HLCS 2016</w:t>
      </w:r>
      <w:r w:rsidRPr="005507E6">
        <w:rPr>
          <w:rFonts w:ascii="Arial" w:hAnsi="Arial" w:cs="Arial"/>
          <w:sz w:val="24"/>
          <w:szCs w:val="24"/>
          <w:lang w:val="en-US"/>
        </w:rPr>
        <w:t xml:space="preserve"> are given in the table</w:t>
      </w:r>
      <w:r w:rsidR="002E6507">
        <w:rPr>
          <w:rFonts w:ascii="Arial" w:hAnsi="Arial" w:cs="Arial"/>
          <w:sz w:val="24"/>
          <w:szCs w:val="24"/>
          <w:lang w:val="en-US"/>
        </w:rPr>
        <w:t xml:space="preserve"> 1</w:t>
      </w:r>
      <w:r w:rsidRPr="005507E6">
        <w:rPr>
          <w:rFonts w:ascii="Arial" w:hAnsi="Arial" w:cs="Arial"/>
          <w:sz w:val="24"/>
          <w:szCs w:val="24"/>
          <w:lang w:val="en-US"/>
        </w:rPr>
        <w:t xml:space="preserve">. </w:t>
      </w:r>
      <w:r w:rsidRPr="002E6507">
        <w:rPr>
          <w:rFonts w:ascii="Arial" w:hAnsi="Arial" w:cs="Arial"/>
          <w:sz w:val="24"/>
          <w:szCs w:val="24"/>
          <w:lang w:val="en-US"/>
        </w:rPr>
        <w:t xml:space="preserve">As </w:t>
      </w:r>
      <w:r w:rsidR="005A45A4">
        <w:rPr>
          <w:rFonts w:ascii="Arial" w:hAnsi="Arial" w:cs="Arial"/>
          <w:sz w:val="24"/>
          <w:szCs w:val="24"/>
          <w:lang w:val="en-US"/>
        </w:rPr>
        <w:t xml:space="preserve">it </w:t>
      </w:r>
      <w:r w:rsidRPr="002E6507">
        <w:rPr>
          <w:rFonts w:ascii="Arial" w:hAnsi="Arial" w:cs="Arial"/>
          <w:sz w:val="24"/>
          <w:szCs w:val="24"/>
          <w:lang w:val="en-US"/>
        </w:rPr>
        <w:t>can be seen from the table</w:t>
      </w:r>
      <w:r w:rsidR="005A45A4">
        <w:rPr>
          <w:rFonts w:ascii="Arial" w:hAnsi="Arial" w:cs="Arial"/>
          <w:sz w:val="24"/>
          <w:szCs w:val="24"/>
          <w:lang w:val="en-US"/>
        </w:rPr>
        <w:t>,</w:t>
      </w:r>
      <w:r w:rsidRPr="002E6507">
        <w:rPr>
          <w:rFonts w:ascii="Arial" w:hAnsi="Arial" w:cs="Arial"/>
          <w:sz w:val="24"/>
          <w:szCs w:val="24"/>
          <w:lang w:val="en-US"/>
        </w:rPr>
        <w:t xml:space="preserve"> </w:t>
      </w:r>
      <w:r w:rsidR="005A45A4" w:rsidRPr="005A45A4">
        <w:rPr>
          <w:rFonts w:ascii="Arial" w:hAnsi="Arial" w:cs="Arial"/>
          <w:sz w:val="24"/>
          <w:szCs w:val="24"/>
          <w:lang w:val="en-US"/>
        </w:rPr>
        <w:t>in general</w:t>
      </w:r>
      <w:r w:rsidR="005A45A4">
        <w:rPr>
          <w:rFonts w:ascii="Arial" w:hAnsi="Arial" w:cs="Arial"/>
          <w:sz w:val="24"/>
          <w:szCs w:val="24"/>
          <w:lang w:val="en-US"/>
        </w:rPr>
        <w:t>,</w:t>
      </w:r>
      <w:r w:rsidR="005A45A4" w:rsidRPr="005A45A4">
        <w:rPr>
          <w:rFonts w:ascii="Arial" w:hAnsi="Arial" w:cs="Arial"/>
          <w:sz w:val="24"/>
          <w:szCs w:val="24"/>
          <w:lang w:val="en-US"/>
        </w:rPr>
        <w:t xml:space="preserve"> the quality</w:t>
      </w:r>
      <w:r w:rsidR="005A45A4">
        <w:rPr>
          <w:rFonts w:ascii="Arial" w:hAnsi="Arial" w:cs="Arial"/>
          <w:sz w:val="24"/>
          <w:szCs w:val="24"/>
          <w:lang w:val="en-US"/>
        </w:rPr>
        <w:t xml:space="preserve"> </w:t>
      </w:r>
      <w:r w:rsidR="005A45A4" w:rsidRPr="005A45A4">
        <w:rPr>
          <w:rFonts w:ascii="Arial" w:hAnsi="Arial" w:cs="Arial"/>
          <w:sz w:val="24"/>
          <w:szCs w:val="24"/>
          <w:lang w:val="en-US"/>
        </w:rPr>
        <w:t xml:space="preserve">of the </w:t>
      </w:r>
      <w:r w:rsidR="005A45A4">
        <w:rPr>
          <w:rFonts w:ascii="Arial" w:hAnsi="Arial" w:cs="Arial"/>
          <w:sz w:val="24"/>
          <w:szCs w:val="24"/>
          <w:lang w:val="en-US"/>
        </w:rPr>
        <w:t>weights is reduced, e</w:t>
      </w:r>
      <w:r w:rsidR="005A45A4" w:rsidRPr="005A45A4">
        <w:rPr>
          <w:rFonts w:ascii="Arial" w:hAnsi="Arial" w:cs="Arial"/>
          <w:sz w:val="24"/>
          <w:szCs w:val="24"/>
          <w:lang w:val="en-US"/>
        </w:rPr>
        <w:t xml:space="preserve">specially </w:t>
      </w:r>
      <w:r w:rsidR="005A45A4">
        <w:rPr>
          <w:rFonts w:ascii="Arial" w:hAnsi="Arial" w:cs="Arial"/>
          <w:sz w:val="24"/>
          <w:szCs w:val="24"/>
          <w:lang w:val="en-US"/>
        </w:rPr>
        <w:t>at the</w:t>
      </w:r>
      <w:r w:rsidR="005A45A4" w:rsidRPr="005A45A4">
        <w:rPr>
          <w:rFonts w:ascii="Arial" w:hAnsi="Arial" w:cs="Arial"/>
          <w:sz w:val="24"/>
          <w:szCs w:val="24"/>
          <w:lang w:val="en-US"/>
        </w:rPr>
        <w:t xml:space="preserve"> stage 2</w:t>
      </w:r>
      <w:r w:rsidRPr="002E6507">
        <w:rPr>
          <w:rFonts w:ascii="Arial" w:hAnsi="Arial" w:cs="Arial"/>
          <w:sz w:val="24"/>
          <w:szCs w:val="24"/>
          <w:lang w:val="en-US"/>
        </w:rPr>
        <w:t>.</w:t>
      </w:r>
    </w:p>
    <w:p w:rsidR="00CC3567" w:rsidRDefault="00CC3567" w:rsidP="00CC3567">
      <w:pPr>
        <w:rPr>
          <w:rFonts w:ascii="Arial" w:hAnsi="Arial" w:cs="Arial"/>
          <w:b/>
          <w:bCs/>
          <w:sz w:val="24"/>
          <w:szCs w:val="24"/>
          <w:lang w:val="en-US"/>
        </w:rPr>
      </w:pPr>
    </w:p>
    <w:p w:rsidR="00CC3567" w:rsidRPr="005507E6" w:rsidRDefault="005507E6" w:rsidP="00CC3567">
      <w:pPr>
        <w:rPr>
          <w:rFonts w:ascii="Arial" w:hAnsi="Arial" w:cs="Arial"/>
          <w:sz w:val="20"/>
          <w:szCs w:val="20"/>
          <w:lang w:val="uk-UA"/>
        </w:rPr>
      </w:pPr>
      <w:r w:rsidRPr="005507E6">
        <w:rPr>
          <w:rFonts w:ascii="Arial" w:hAnsi="Arial" w:cs="Arial"/>
          <w:b/>
          <w:sz w:val="20"/>
          <w:szCs w:val="20"/>
          <w:lang w:val="en-GB"/>
        </w:rPr>
        <w:t xml:space="preserve">Table </w:t>
      </w:r>
      <w:r w:rsidR="00BC4CBD" w:rsidRPr="005507E6">
        <w:rPr>
          <w:rFonts w:ascii="Arial" w:hAnsi="Arial" w:cs="Arial"/>
          <w:b/>
          <w:sz w:val="20"/>
          <w:szCs w:val="20"/>
          <w:lang w:val="en-GB"/>
        </w:rPr>
        <w:fldChar w:fldCharType="begin"/>
      </w:r>
      <w:r w:rsidRPr="005507E6">
        <w:rPr>
          <w:rFonts w:ascii="Arial" w:hAnsi="Arial" w:cs="Arial"/>
          <w:b/>
          <w:sz w:val="20"/>
          <w:szCs w:val="20"/>
          <w:lang w:val="en-GB"/>
        </w:rPr>
        <w:instrText xml:space="preserve"> SEQ Table \* ARABIC </w:instrText>
      </w:r>
      <w:r w:rsidR="00BC4CBD" w:rsidRPr="005507E6">
        <w:rPr>
          <w:rFonts w:ascii="Arial" w:hAnsi="Arial" w:cs="Arial"/>
          <w:b/>
          <w:sz w:val="20"/>
          <w:szCs w:val="20"/>
          <w:lang w:val="en-GB"/>
        </w:rPr>
        <w:fldChar w:fldCharType="separate"/>
      </w:r>
      <w:r w:rsidRPr="005507E6">
        <w:rPr>
          <w:rFonts w:ascii="Arial" w:hAnsi="Arial" w:cs="Arial"/>
          <w:b/>
          <w:noProof/>
          <w:sz w:val="20"/>
          <w:szCs w:val="20"/>
          <w:lang w:val="en-GB"/>
        </w:rPr>
        <w:t>1</w:t>
      </w:r>
      <w:r w:rsidR="00BC4CBD" w:rsidRPr="005507E6">
        <w:rPr>
          <w:rFonts w:ascii="Arial" w:hAnsi="Arial" w:cs="Arial"/>
          <w:b/>
          <w:sz w:val="20"/>
          <w:szCs w:val="20"/>
          <w:lang w:val="en-GB"/>
        </w:rPr>
        <w:fldChar w:fldCharType="end"/>
      </w:r>
      <w:r w:rsidRPr="005507E6">
        <w:rPr>
          <w:rFonts w:ascii="Arial" w:hAnsi="Arial" w:cs="Arial"/>
          <w:b/>
          <w:sz w:val="20"/>
          <w:szCs w:val="20"/>
          <w:lang w:val="en-GB"/>
        </w:rPr>
        <w:t>.</w:t>
      </w:r>
      <w:r w:rsidRPr="005507E6">
        <w:rPr>
          <w:rFonts w:ascii="Arial" w:hAnsi="Arial" w:cs="Arial"/>
          <w:b/>
          <w:i/>
          <w:sz w:val="20"/>
          <w:szCs w:val="20"/>
          <w:lang w:val="en-GB"/>
        </w:rPr>
        <w:t xml:space="preserve"> </w:t>
      </w:r>
      <w:r w:rsidR="00DF24A6" w:rsidRPr="00DF24A6">
        <w:rPr>
          <w:rFonts w:ascii="Arial" w:hAnsi="Arial" w:cs="Arial"/>
          <w:b/>
          <w:sz w:val="20"/>
          <w:szCs w:val="20"/>
          <w:lang w:val="en-GB"/>
        </w:rPr>
        <w:t>HLCS</w:t>
      </w:r>
      <w:r w:rsidR="008856B7">
        <w:rPr>
          <w:rFonts w:ascii="Arial" w:hAnsi="Arial" w:cs="Arial"/>
          <w:b/>
          <w:sz w:val="20"/>
          <w:szCs w:val="20"/>
          <w:lang w:val="en-GB"/>
        </w:rPr>
        <w:t xml:space="preserve"> weights</w:t>
      </w:r>
      <w:r w:rsidR="00DF24A6">
        <w:rPr>
          <w:rFonts w:ascii="Arial" w:hAnsi="Arial" w:cs="Arial"/>
          <w:b/>
          <w:i/>
          <w:sz w:val="20"/>
          <w:szCs w:val="20"/>
          <w:lang w:val="en-GB"/>
        </w:rPr>
        <w:t xml:space="preserve"> </w:t>
      </w:r>
      <w:r w:rsidR="008856B7">
        <w:rPr>
          <w:rFonts w:ascii="Arial" w:hAnsi="Arial" w:cs="Arial"/>
          <w:b/>
          <w:bCs/>
          <w:sz w:val="20"/>
          <w:szCs w:val="20"/>
          <w:lang w:val="en-US"/>
        </w:rPr>
        <w:t>q</w:t>
      </w:r>
      <w:r w:rsidR="00CC3567" w:rsidRPr="005507E6">
        <w:rPr>
          <w:rFonts w:ascii="Arial" w:hAnsi="Arial" w:cs="Arial"/>
          <w:b/>
          <w:bCs/>
          <w:sz w:val="20"/>
          <w:szCs w:val="20"/>
          <w:lang w:val="en-US"/>
        </w:rPr>
        <w:t xml:space="preserve">uality </w:t>
      </w:r>
      <w:r w:rsidR="008856B7">
        <w:rPr>
          <w:rFonts w:ascii="Arial" w:hAnsi="Arial" w:cs="Arial"/>
          <w:b/>
          <w:bCs/>
          <w:sz w:val="20"/>
          <w:szCs w:val="20"/>
          <w:lang w:val="en-US"/>
        </w:rPr>
        <w:t>c</w:t>
      </w:r>
      <w:r w:rsidR="00DF24A6">
        <w:rPr>
          <w:rFonts w:ascii="Arial" w:hAnsi="Arial" w:cs="Arial"/>
          <w:b/>
          <w:bCs/>
          <w:sz w:val="20"/>
          <w:szCs w:val="20"/>
          <w:lang w:val="en-US"/>
        </w:rPr>
        <w:t>haracteristics</w:t>
      </w:r>
      <w:r w:rsidR="00CC3567" w:rsidRPr="005507E6">
        <w:rPr>
          <w:rFonts w:ascii="Arial" w:hAnsi="Arial" w:cs="Arial"/>
          <w:b/>
          <w:bCs/>
          <w:sz w:val="20"/>
          <w:szCs w:val="20"/>
          <w:lang w:val="en-US"/>
        </w:rPr>
        <w:t xml:space="preserve"> </w:t>
      </w:r>
    </w:p>
    <w:tbl>
      <w:tblPr>
        <w:tblW w:w="7602" w:type="dxa"/>
        <w:jc w:val="center"/>
        <w:tblBorders>
          <w:top w:val="single" w:sz="8" w:space="0" w:color="6699CC"/>
          <w:left w:val="single" w:sz="8" w:space="0" w:color="6699CC"/>
          <w:bottom w:val="single" w:sz="8" w:space="0" w:color="6699CC"/>
          <w:right w:val="single" w:sz="8" w:space="0" w:color="6699CC"/>
          <w:insideH w:val="single" w:sz="8" w:space="0" w:color="6699CC"/>
          <w:insideV w:val="single" w:sz="8" w:space="0" w:color="6699CC"/>
        </w:tblBorders>
        <w:tblCellMar>
          <w:left w:w="0" w:type="dxa"/>
          <w:right w:w="0" w:type="dxa"/>
        </w:tblCellMar>
        <w:tblLook w:val="04A0" w:firstRow="1" w:lastRow="0" w:firstColumn="1" w:lastColumn="0" w:noHBand="0" w:noVBand="1"/>
      </w:tblPr>
      <w:tblGrid>
        <w:gridCol w:w="2387"/>
        <w:gridCol w:w="1840"/>
        <w:gridCol w:w="1701"/>
        <w:gridCol w:w="1674"/>
      </w:tblGrid>
      <w:tr w:rsidR="008856B7" w:rsidRPr="00CC3567" w:rsidTr="008856B7">
        <w:trPr>
          <w:trHeight w:val="1161"/>
          <w:jc w:val="center"/>
        </w:trPr>
        <w:tc>
          <w:tcPr>
            <w:tcW w:w="2387" w:type="dxa"/>
            <w:shd w:val="clear" w:color="auto" w:fill="auto"/>
            <w:tcMar>
              <w:top w:w="11" w:type="dxa"/>
              <w:left w:w="11" w:type="dxa"/>
              <w:bottom w:w="0" w:type="dxa"/>
              <w:right w:w="11" w:type="dxa"/>
            </w:tcMar>
            <w:vAlign w:val="center"/>
            <w:hideMark/>
          </w:tcPr>
          <w:p w:rsidR="008856B7" w:rsidRPr="00CC3567" w:rsidRDefault="008856B7" w:rsidP="008856B7">
            <w:pPr>
              <w:spacing w:after="0" w:line="360" w:lineRule="auto"/>
              <w:jc w:val="center"/>
              <w:rPr>
                <w:rFonts w:ascii="Arial" w:hAnsi="Arial" w:cs="Arial"/>
                <w:sz w:val="20"/>
                <w:szCs w:val="20"/>
                <w:lang w:val="uk-UA"/>
              </w:rPr>
            </w:pPr>
            <w:r w:rsidRPr="00DF24A6">
              <w:rPr>
                <w:rFonts w:ascii="Arial" w:hAnsi="Arial" w:cs="Arial"/>
                <w:b/>
                <w:bCs/>
                <w:sz w:val="20"/>
                <w:szCs w:val="20"/>
                <w:lang w:val="en-US"/>
              </w:rPr>
              <w:t>Characteristic</w:t>
            </w:r>
          </w:p>
        </w:tc>
        <w:tc>
          <w:tcPr>
            <w:tcW w:w="1840" w:type="dxa"/>
            <w:shd w:val="clear" w:color="auto" w:fill="auto"/>
            <w:tcMar>
              <w:top w:w="11" w:type="dxa"/>
              <w:left w:w="11" w:type="dxa"/>
              <w:bottom w:w="0" w:type="dxa"/>
              <w:right w:w="11" w:type="dxa"/>
            </w:tcMar>
            <w:vAlign w:val="center"/>
            <w:hideMark/>
          </w:tcPr>
          <w:p w:rsidR="008856B7" w:rsidRPr="00CC3567" w:rsidRDefault="008856B7" w:rsidP="008856B7">
            <w:pPr>
              <w:spacing w:after="0" w:line="360" w:lineRule="auto"/>
              <w:jc w:val="center"/>
              <w:rPr>
                <w:rFonts w:ascii="Arial" w:hAnsi="Arial" w:cs="Arial"/>
                <w:sz w:val="20"/>
                <w:szCs w:val="20"/>
                <w:lang w:val="uk-UA"/>
              </w:rPr>
            </w:pPr>
            <w:r>
              <w:rPr>
                <w:rFonts w:ascii="Arial" w:hAnsi="Arial" w:cs="Arial"/>
                <w:b/>
                <w:bCs/>
                <w:sz w:val="20"/>
                <w:szCs w:val="20"/>
                <w:lang w:val="en-US"/>
              </w:rPr>
              <w:t>Design</w:t>
            </w:r>
          </w:p>
          <w:p w:rsidR="008856B7" w:rsidRPr="00CC3567" w:rsidRDefault="008856B7" w:rsidP="008856B7">
            <w:pPr>
              <w:spacing w:after="0" w:line="360" w:lineRule="auto"/>
              <w:jc w:val="center"/>
              <w:rPr>
                <w:rFonts w:ascii="Arial" w:hAnsi="Arial" w:cs="Arial"/>
                <w:sz w:val="20"/>
                <w:szCs w:val="20"/>
                <w:lang w:val="uk-UA"/>
              </w:rPr>
            </w:pPr>
            <w:r>
              <w:rPr>
                <w:rFonts w:ascii="Arial" w:hAnsi="Arial" w:cs="Arial"/>
                <w:b/>
                <w:bCs/>
                <w:sz w:val="20"/>
                <w:szCs w:val="20"/>
                <w:lang w:val="en-US"/>
              </w:rPr>
              <w:t>w</w:t>
            </w:r>
            <w:r w:rsidRPr="00CC3567">
              <w:rPr>
                <w:rFonts w:ascii="Arial" w:hAnsi="Arial" w:cs="Arial"/>
                <w:b/>
                <w:bCs/>
                <w:sz w:val="20"/>
                <w:szCs w:val="20"/>
                <w:lang w:val="en-US"/>
              </w:rPr>
              <w:t>eights</w:t>
            </w:r>
          </w:p>
        </w:tc>
        <w:tc>
          <w:tcPr>
            <w:tcW w:w="1701" w:type="dxa"/>
            <w:shd w:val="clear" w:color="auto" w:fill="auto"/>
            <w:tcMar>
              <w:top w:w="11" w:type="dxa"/>
              <w:left w:w="11" w:type="dxa"/>
              <w:bottom w:w="0" w:type="dxa"/>
              <w:right w:w="11" w:type="dxa"/>
            </w:tcMar>
            <w:vAlign w:val="center"/>
            <w:hideMark/>
          </w:tcPr>
          <w:p w:rsidR="008856B7" w:rsidRPr="00CC3567" w:rsidRDefault="008856B7" w:rsidP="008856B7">
            <w:pPr>
              <w:spacing w:after="0" w:line="360" w:lineRule="auto"/>
              <w:jc w:val="center"/>
              <w:rPr>
                <w:rFonts w:ascii="Arial" w:hAnsi="Arial" w:cs="Arial"/>
                <w:sz w:val="20"/>
                <w:szCs w:val="20"/>
                <w:lang w:val="uk-UA"/>
              </w:rPr>
            </w:pPr>
            <w:r>
              <w:rPr>
                <w:rFonts w:ascii="Arial" w:hAnsi="Arial" w:cs="Arial"/>
                <w:b/>
                <w:bCs/>
                <w:sz w:val="20"/>
                <w:szCs w:val="20"/>
                <w:lang w:val="en-US"/>
              </w:rPr>
              <w:t xml:space="preserve">Weights calibrated </w:t>
            </w:r>
            <w:r w:rsidR="000C679E">
              <w:rPr>
                <w:rFonts w:ascii="Arial" w:hAnsi="Arial" w:cs="Arial"/>
                <w:b/>
                <w:bCs/>
                <w:sz w:val="20"/>
                <w:szCs w:val="20"/>
                <w:lang w:val="en-US"/>
              </w:rPr>
              <w:br/>
            </w:r>
            <w:r>
              <w:rPr>
                <w:rFonts w:ascii="Arial" w:hAnsi="Arial" w:cs="Arial"/>
                <w:b/>
                <w:bCs/>
                <w:sz w:val="20"/>
                <w:szCs w:val="20"/>
                <w:lang w:val="en-US"/>
              </w:rPr>
              <w:t>at stage 1</w:t>
            </w:r>
          </w:p>
        </w:tc>
        <w:tc>
          <w:tcPr>
            <w:tcW w:w="1674" w:type="dxa"/>
            <w:shd w:val="clear" w:color="auto" w:fill="auto"/>
            <w:tcMar>
              <w:top w:w="11" w:type="dxa"/>
              <w:left w:w="11" w:type="dxa"/>
              <w:bottom w:w="0" w:type="dxa"/>
              <w:right w:w="11" w:type="dxa"/>
            </w:tcMar>
            <w:vAlign w:val="center"/>
            <w:hideMark/>
          </w:tcPr>
          <w:p w:rsidR="008856B7" w:rsidRPr="00CC3567" w:rsidRDefault="008856B7" w:rsidP="008856B7">
            <w:pPr>
              <w:spacing w:after="0" w:line="360" w:lineRule="auto"/>
              <w:jc w:val="center"/>
              <w:rPr>
                <w:rFonts w:ascii="Arial" w:hAnsi="Arial" w:cs="Arial"/>
                <w:sz w:val="20"/>
                <w:szCs w:val="20"/>
                <w:lang w:val="uk-UA"/>
              </w:rPr>
            </w:pPr>
            <w:r>
              <w:rPr>
                <w:rFonts w:ascii="Arial" w:hAnsi="Arial" w:cs="Arial"/>
                <w:b/>
                <w:bCs/>
                <w:sz w:val="20"/>
                <w:szCs w:val="20"/>
                <w:lang w:val="en-US"/>
              </w:rPr>
              <w:t xml:space="preserve">Weights calibrated </w:t>
            </w:r>
            <w:r w:rsidR="000C679E">
              <w:rPr>
                <w:rFonts w:ascii="Arial" w:hAnsi="Arial" w:cs="Arial"/>
                <w:b/>
                <w:bCs/>
                <w:sz w:val="20"/>
                <w:szCs w:val="20"/>
                <w:lang w:val="en-US"/>
              </w:rPr>
              <w:br/>
            </w:r>
            <w:r>
              <w:rPr>
                <w:rFonts w:ascii="Arial" w:hAnsi="Arial" w:cs="Arial"/>
                <w:b/>
                <w:bCs/>
                <w:sz w:val="20"/>
                <w:szCs w:val="20"/>
                <w:lang w:val="en-US"/>
              </w:rPr>
              <w:t>at stage 2</w:t>
            </w:r>
            <w:r w:rsidR="000C679E">
              <w:rPr>
                <w:rFonts w:ascii="Arial" w:hAnsi="Arial" w:cs="Arial"/>
                <w:b/>
                <w:bCs/>
                <w:sz w:val="20"/>
                <w:szCs w:val="20"/>
                <w:lang w:val="en-US"/>
              </w:rPr>
              <w:t xml:space="preserve"> (experimental)</w:t>
            </w:r>
          </w:p>
        </w:tc>
      </w:tr>
      <w:tr w:rsidR="008856B7" w:rsidRPr="00CC3567" w:rsidTr="008856B7">
        <w:trPr>
          <w:trHeight w:val="465"/>
          <w:jc w:val="center"/>
        </w:trPr>
        <w:tc>
          <w:tcPr>
            <w:tcW w:w="2387" w:type="dxa"/>
            <w:shd w:val="clear" w:color="auto" w:fill="auto"/>
            <w:tcMar>
              <w:top w:w="11" w:type="dxa"/>
              <w:left w:w="11" w:type="dxa"/>
              <w:bottom w:w="0" w:type="dxa"/>
              <w:right w:w="11" w:type="dxa"/>
            </w:tcMar>
            <w:vAlign w:val="center"/>
            <w:hideMark/>
          </w:tcPr>
          <w:p w:rsidR="008856B7" w:rsidRPr="00CC3567" w:rsidRDefault="008856B7" w:rsidP="00CC3567">
            <w:pPr>
              <w:spacing w:before="120" w:after="0" w:line="360" w:lineRule="auto"/>
              <w:jc w:val="center"/>
              <w:rPr>
                <w:rFonts w:ascii="Arial" w:hAnsi="Arial" w:cs="Arial"/>
                <w:sz w:val="20"/>
                <w:szCs w:val="20"/>
                <w:lang w:val="uk-UA"/>
              </w:rPr>
            </w:pPr>
            <w:r w:rsidRPr="00CC3567">
              <w:rPr>
                <w:rFonts w:ascii="Arial" w:hAnsi="Arial" w:cs="Arial"/>
                <w:sz w:val="20"/>
                <w:szCs w:val="20"/>
                <w:lang w:val="en-US"/>
              </w:rPr>
              <w:t>Maximum</w:t>
            </w:r>
          </w:p>
        </w:tc>
        <w:tc>
          <w:tcPr>
            <w:tcW w:w="1840" w:type="dxa"/>
            <w:shd w:val="clear" w:color="auto" w:fill="auto"/>
            <w:tcMar>
              <w:top w:w="11" w:type="dxa"/>
              <w:left w:w="11" w:type="dxa"/>
              <w:bottom w:w="0" w:type="dxa"/>
              <w:right w:w="11" w:type="dxa"/>
            </w:tcMar>
            <w:vAlign w:val="center"/>
            <w:hideMark/>
          </w:tcPr>
          <w:p w:rsidR="008856B7" w:rsidRPr="00CC3567" w:rsidRDefault="000C679E" w:rsidP="00CC3567">
            <w:pPr>
              <w:spacing w:before="120" w:after="0" w:line="360" w:lineRule="auto"/>
              <w:jc w:val="center"/>
              <w:rPr>
                <w:rFonts w:ascii="Arial" w:hAnsi="Arial" w:cs="Arial"/>
                <w:sz w:val="20"/>
                <w:szCs w:val="20"/>
                <w:lang w:val="uk-UA"/>
              </w:rPr>
            </w:pPr>
            <w:r>
              <w:rPr>
                <w:rFonts w:ascii="Arial" w:hAnsi="Arial" w:cs="Arial"/>
                <w:sz w:val="20"/>
                <w:szCs w:val="20"/>
                <w:lang w:val="en-US"/>
              </w:rPr>
              <w:t>11881</w:t>
            </w:r>
            <w:r w:rsidR="008856B7" w:rsidRPr="00CC3567">
              <w:rPr>
                <w:rFonts w:ascii="Arial" w:hAnsi="Arial" w:cs="Arial"/>
                <w:sz w:val="20"/>
                <w:szCs w:val="20"/>
                <w:lang w:val="uk-UA"/>
              </w:rPr>
              <w:t>,0</w:t>
            </w:r>
          </w:p>
        </w:tc>
        <w:tc>
          <w:tcPr>
            <w:tcW w:w="1701" w:type="dxa"/>
            <w:shd w:val="clear" w:color="auto" w:fill="auto"/>
            <w:tcMar>
              <w:top w:w="11" w:type="dxa"/>
              <w:left w:w="11" w:type="dxa"/>
              <w:bottom w:w="0" w:type="dxa"/>
              <w:right w:w="11" w:type="dxa"/>
            </w:tcMar>
            <w:vAlign w:val="center"/>
            <w:hideMark/>
          </w:tcPr>
          <w:p w:rsidR="008856B7" w:rsidRPr="000C679E" w:rsidRDefault="000C679E" w:rsidP="000C679E">
            <w:pPr>
              <w:spacing w:before="120" w:after="0" w:line="360" w:lineRule="auto"/>
              <w:jc w:val="center"/>
              <w:rPr>
                <w:rFonts w:ascii="Arial" w:hAnsi="Arial" w:cs="Arial"/>
                <w:sz w:val="20"/>
                <w:szCs w:val="20"/>
                <w:lang w:val="en-US"/>
              </w:rPr>
            </w:pPr>
            <w:r w:rsidRPr="000C679E">
              <w:rPr>
                <w:rFonts w:ascii="Arial" w:hAnsi="Arial" w:cs="Arial"/>
                <w:sz w:val="20"/>
                <w:szCs w:val="20"/>
                <w:lang w:val="uk-UA"/>
              </w:rPr>
              <w:t>13874.</w:t>
            </w:r>
            <w:r>
              <w:rPr>
                <w:rFonts w:ascii="Arial" w:hAnsi="Arial" w:cs="Arial"/>
                <w:sz w:val="20"/>
                <w:szCs w:val="20"/>
                <w:lang w:val="en-US"/>
              </w:rPr>
              <w:t>4</w:t>
            </w:r>
          </w:p>
        </w:tc>
        <w:tc>
          <w:tcPr>
            <w:tcW w:w="1674" w:type="dxa"/>
            <w:shd w:val="clear" w:color="auto" w:fill="auto"/>
            <w:tcMar>
              <w:top w:w="11" w:type="dxa"/>
              <w:left w:w="11" w:type="dxa"/>
              <w:bottom w:w="0" w:type="dxa"/>
              <w:right w:w="11" w:type="dxa"/>
            </w:tcMar>
            <w:vAlign w:val="center"/>
            <w:hideMark/>
          </w:tcPr>
          <w:p w:rsidR="008856B7" w:rsidRPr="000C679E" w:rsidRDefault="000C679E" w:rsidP="000C679E">
            <w:pPr>
              <w:spacing w:before="120" w:after="0" w:line="360" w:lineRule="auto"/>
              <w:jc w:val="center"/>
              <w:rPr>
                <w:rFonts w:ascii="Arial" w:hAnsi="Arial" w:cs="Arial"/>
                <w:sz w:val="20"/>
                <w:szCs w:val="20"/>
                <w:lang w:val="en-US"/>
              </w:rPr>
            </w:pPr>
            <w:r w:rsidRPr="000C679E">
              <w:rPr>
                <w:rFonts w:ascii="Arial" w:hAnsi="Arial" w:cs="Arial"/>
                <w:sz w:val="20"/>
                <w:szCs w:val="20"/>
                <w:lang w:val="uk-UA"/>
              </w:rPr>
              <w:t>32094.</w:t>
            </w:r>
            <w:r>
              <w:rPr>
                <w:rFonts w:ascii="Arial" w:hAnsi="Arial" w:cs="Arial"/>
                <w:sz w:val="20"/>
                <w:szCs w:val="20"/>
                <w:lang w:val="en-US"/>
              </w:rPr>
              <w:t>7</w:t>
            </w:r>
          </w:p>
        </w:tc>
      </w:tr>
      <w:tr w:rsidR="008856B7" w:rsidRPr="00CC3567" w:rsidTr="008856B7">
        <w:trPr>
          <w:trHeight w:val="465"/>
          <w:jc w:val="center"/>
        </w:trPr>
        <w:tc>
          <w:tcPr>
            <w:tcW w:w="2387" w:type="dxa"/>
            <w:shd w:val="clear" w:color="auto" w:fill="auto"/>
            <w:tcMar>
              <w:top w:w="11" w:type="dxa"/>
              <w:left w:w="11" w:type="dxa"/>
              <w:bottom w:w="0" w:type="dxa"/>
              <w:right w:w="11" w:type="dxa"/>
            </w:tcMar>
            <w:vAlign w:val="center"/>
            <w:hideMark/>
          </w:tcPr>
          <w:p w:rsidR="008856B7" w:rsidRPr="00CC3567" w:rsidRDefault="008856B7" w:rsidP="00CC3567">
            <w:pPr>
              <w:spacing w:before="120" w:after="0" w:line="360" w:lineRule="auto"/>
              <w:jc w:val="center"/>
              <w:rPr>
                <w:rFonts w:ascii="Arial" w:hAnsi="Arial" w:cs="Arial"/>
                <w:sz w:val="20"/>
                <w:szCs w:val="20"/>
                <w:lang w:val="uk-UA"/>
              </w:rPr>
            </w:pPr>
            <w:r w:rsidRPr="00CC3567">
              <w:rPr>
                <w:rFonts w:ascii="Arial" w:hAnsi="Arial" w:cs="Arial"/>
                <w:sz w:val="20"/>
                <w:szCs w:val="20"/>
                <w:lang w:val="en-US"/>
              </w:rPr>
              <w:t>Minimum</w:t>
            </w:r>
          </w:p>
        </w:tc>
        <w:tc>
          <w:tcPr>
            <w:tcW w:w="1840" w:type="dxa"/>
            <w:shd w:val="clear" w:color="auto" w:fill="auto"/>
            <w:tcMar>
              <w:top w:w="11" w:type="dxa"/>
              <w:left w:w="11" w:type="dxa"/>
              <w:bottom w:w="0" w:type="dxa"/>
              <w:right w:w="11" w:type="dxa"/>
            </w:tcMar>
            <w:vAlign w:val="center"/>
            <w:hideMark/>
          </w:tcPr>
          <w:p w:rsidR="008856B7" w:rsidRPr="00CC3567" w:rsidRDefault="000C679E" w:rsidP="00CC3567">
            <w:pPr>
              <w:spacing w:before="120" w:after="0" w:line="360" w:lineRule="auto"/>
              <w:jc w:val="center"/>
              <w:rPr>
                <w:rFonts w:ascii="Arial" w:hAnsi="Arial" w:cs="Arial"/>
                <w:sz w:val="20"/>
                <w:szCs w:val="20"/>
                <w:lang w:val="uk-UA"/>
              </w:rPr>
            </w:pPr>
            <w:r>
              <w:rPr>
                <w:rFonts w:ascii="Arial" w:hAnsi="Arial" w:cs="Arial"/>
                <w:sz w:val="20"/>
                <w:szCs w:val="20"/>
                <w:lang w:val="en-US"/>
              </w:rPr>
              <w:t>100</w:t>
            </w:r>
            <w:r w:rsidR="008856B7" w:rsidRPr="00CC3567">
              <w:rPr>
                <w:rFonts w:ascii="Arial" w:hAnsi="Arial" w:cs="Arial"/>
                <w:sz w:val="20"/>
                <w:szCs w:val="20"/>
                <w:lang w:val="uk-UA"/>
              </w:rPr>
              <w:t>,0</w:t>
            </w:r>
          </w:p>
        </w:tc>
        <w:tc>
          <w:tcPr>
            <w:tcW w:w="1701" w:type="dxa"/>
            <w:shd w:val="clear" w:color="auto" w:fill="auto"/>
            <w:tcMar>
              <w:top w:w="11" w:type="dxa"/>
              <w:left w:w="11" w:type="dxa"/>
              <w:bottom w:w="0" w:type="dxa"/>
              <w:right w:w="11" w:type="dxa"/>
            </w:tcMar>
            <w:vAlign w:val="center"/>
            <w:hideMark/>
          </w:tcPr>
          <w:p w:rsidR="008856B7" w:rsidRPr="00CC3567" w:rsidRDefault="008856B7" w:rsidP="00CC3567">
            <w:pPr>
              <w:spacing w:before="120" w:after="0" w:line="360" w:lineRule="auto"/>
              <w:jc w:val="center"/>
              <w:rPr>
                <w:rFonts w:ascii="Arial" w:hAnsi="Arial" w:cs="Arial"/>
                <w:sz w:val="20"/>
                <w:szCs w:val="20"/>
                <w:lang w:val="uk-UA"/>
              </w:rPr>
            </w:pPr>
            <w:r w:rsidRPr="00CC3567">
              <w:rPr>
                <w:rFonts w:ascii="Arial" w:hAnsi="Arial" w:cs="Arial"/>
                <w:sz w:val="20"/>
                <w:szCs w:val="20"/>
                <w:lang w:val="uk-UA"/>
              </w:rPr>
              <w:t>10</w:t>
            </w:r>
            <w:r w:rsidR="000C679E">
              <w:rPr>
                <w:rFonts w:ascii="Arial" w:hAnsi="Arial" w:cs="Arial"/>
                <w:sz w:val="20"/>
                <w:szCs w:val="20"/>
                <w:lang w:val="en-US"/>
              </w:rPr>
              <w:t>0</w:t>
            </w:r>
            <w:r w:rsidRPr="00CC3567">
              <w:rPr>
                <w:rFonts w:ascii="Arial" w:hAnsi="Arial" w:cs="Arial"/>
                <w:sz w:val="20"/>
                <w:szCs w:val="20"/>
                <w:lang w:val="uk-UA"/>
              </w:rPr>
              <w:t>,2</w:t>
            </w:r>
          </w:p>
        </w:tc>
        <w:tc>
          <w:tcPr>
            <w:tcW w:w="1674" w:type="dxa"/>
            <w:shd w:val="clear" w:color="auto" w:fill="auto"/>
            <w:tcMar>
              <w:top w:w="11" w:type="dxa"/>
              <w:left w:w="11" w:type="dxa"/>
              <w:bottom w:w="0" w:type="dxa"/>
              <w:right w:w="11" w:type="dxa"/>
            </w:tcMar>
            <w:vAlign w:val="center"/>
            <w:hideMark/>
          </w:tcPr>
          <w:p w:rsidR="008856B7" w:rsidRPr="000C679E" w:rsidRDefault="000C679E" w:rsidP="000C679E">
            <w:pPr>
              <w:spacing w:before="120" w:after="0" w:line="360" w:lineRule="auto"/>
              <w:jc w:val="center"/>
              <w:rPr>
                <w:rFonts w:ascii="Arial" w:hAnsi="Arial" w:cs="Arial"/>
                <w:sz w:val="20"/>
                <w:szCs w:val="20"/>
                <w:lang w:val="en-US"/>
              </w:rPr>
            </w:pPr>
            <w:r>
              <w:rPr>
                <w:rFonts w:ascii="Arial" w:hAnsi="Arial" w:cs="Arial"/>
                <w:sz w:val="20"/>
                <w:szCs w:val="20"/>
                <w:lang w:val="en-US"/>
              </w:rPr>
              <w:t>75</w:t>
            </w:r>
            <w:r w:rsidR="008856B7" w:rsidRPr="00CC3567">
              <w:rPr>
                <w:rFonts w:ascii="Arial" w:hAnsi="Arial" w:cs="Arial"/>
                <w:sz w:val="20"/>
                <w:szCs w:val="20"/>
                <w:lang w:val="uk-UA"/>
              </w:rPr>
              <w:t>,</w:t>
            </w:r>
            <w:r>
              <w:rPr>
                <w:rFonts w:ascii="Arial" w:hAnsi="Arial" w:cs="Arial"/>
                <w:sz w:val="20"/>
                <w:szCs w:val="20"/>
                <w:lang w:val="en-US"/>
              </w:rPr>
              <w:t>3</w:t>
            </w:r>
          </w:p>
        </w:tc>
      </w:tr>
      <w:tr w:rsidR="008856B7" w:rsidRPr="00CC3567" w:rsidTr="008856B7">
        <w:trPr>
          <w:trHeight w:val="736"/>
          <w:jc w:val="center"/>
        </w:trPr>
        <w:tc>
          <w:tcPr>
            <w:tcW w:w="2387" w:type="dxa"/>
            <w:shd w:val="clear" w:color="auto" w:fill="auto"/>
            <w:tcMar>
              <w:top w:w="11" w:type="dxa"/>
              <w:left w:w="11" w:type="dxa"/>
              <w:bottom w:w="0" w:type="dxa"/>
              <w:right w:w="11" w:type="dxa"/>
            </w:tcMar>
            <w:vAlign w:val="center"/>
            <w:hideMark/>
          </w:tcPr>
          <w:p w:rsidR="008856B7" w:rsidRPr="00CC3567" w:rsidRDefault="008856B7" w:rsidP="000C679E">
            <w:pPr>
              <w:spacing w:before="120" w:after="0" w:line="360" w:lineRule="auto"/>
              <w:jc w:val="center"/>
              <w:rPr>
                <w:rFonts w:ascii="Arial" w:hAnsi="Arial" w:cs="Arial"/>
                <w:sz w:val="20"/>
                <w:szCs w:val="20"/>
                <w:lang w:val="uk-UA"/>
              </w:rPr>
            </w:pPr>
            <w:r w:rsidRPr="00CC3567">
              <w:rPr>
                <w:rFonts w:ascii="Arial" w:hAnsi="Arial" w:cs="Arial"/>
                <w:sz w:val="20"/>
                <w:szCs w:val="20"/>
                <w:lang w:val="en-US"/>
              </w:rPr>
              <w:t>Varia</w:t>
            </w:r>
            <w:r w:rsidR="000C679E">
              <w:rPr>
                <w:rFonts w:ascii="Arial" w:hAnsi="Arial" w:cs="Arial"/>
                <w:sz w:val="20"/>
                <w:szCs w:val="20"/>
                <w:lang w:val="en-US"/>
              </w:rPr>
              <w:t>nce</w:t>
            </w:r>
            <w:r w:rsidRPr="00CC3567">
              <w:rPr>
                <w:rFonts w:ascii="Arial" w:hAnsi="Arial" w:cs="Arial"/>
                <w:sz w:val="20"/>
                <w:szCs w:val="20"/>
                <w:lang w:val="en-US"/>
              </w:rPr>
              <w:t xml:space="preserve"> (</w:t>
            </w:r>
            <m:oMath>
              <m:sSup>
                <m:sSupPr>
                  <m:ctrlPr>
                    <w:rPr>
                      <w:rFonts w:ascii="Cambria Math" w:hAnsi="Cambria Math" w:cs="Cambria Math"/>
                      <w:i/>
                      <w:sz w:val="24"/>
                      <w:szCs w:val="24"/>
                      <w:lang w:val="en-GB"/>
                    </w:rPr>
                  </m:ctrlPr>
                </m:sSupPr>
                <m:e>
                  <m:r>
                    <w:rPr>
                      <w:rFonts w:ascii="Cambria Math" w:hAnsi="Cambria Math" w:cs="Cambria Math"/>
                      <w:sz w:val="24"/>
                      <w:szCs w:val="24"/>
                      <w:lang w:val="en-GB"/>
                    </w:rPr>
                    <m:t>σ</m:t>
                  </m:r>
                </m:e>
                <m:sup>
                  <m:r>
                    <w:rPr>
                      <w:rFonts w:ascii="Cambria Math" w:hAnsi="Cambria Math" w:cs="Cambria Math"/>
                      <w:sz w:val="24"/>
                      <w:szCs w:val="24"/>
                      <w:lang w:val="en-GB"/>
                    </w:rPr>
                    <m:t>2</m:t>
                  </m:r>
                </m:sup>
              </m:sSup>
            </m:oMath>
            <w:r w:rsidRPr="00CC3567">
              <w:rPr>
                <w:rFonts w:ascii="Arial" w:hAnsi="Arial" w:cs="Arial"/>
                <w:sz w:val="20"/>
                <w:szCs w:val="20"/>
                <w:lang w:val="en-US"/>
              </w:rPr>
              <w:t>)</w:t>
            </w:r>
          </w:p>
        </w:tc>
        <w:tc>
          <w:tcPr>
            <w:tcW w:w="1840" w:type="dxa"/>
            <w:shd w:val="clear" w:color="auto" w:fill="auto"/>
            <w:tcMar>
              <w:top w:w="11" w:type="dxa"/>
              <w:left w:w="11" w:type="dxa"/>
              <w:bottom w:w="0" w:type="dxa"/>
              <w:right w:w="11" w:type="dxa"/>
            </w:tcMar>
            <w:vAlign w:val="center"/>
            <w:hideMark/>
          </w:tcPr>
          <w:p w:rsidR="008856B7" w:rsidRPr="005A45A4" w:rsidRDefault="005A45A4" w:rsidP="00CC3567">
            <w:pPr>
              <w:spacing w:before="120" w:after="0" w:line="360" w:lineRule="auto"/>
              <w:jc w:val="center"/>
              <w:rPr>
                <w:rFonts w:ascii="Arial" w:hAnsi="Arial" w:cs="Arial"/>
                <w:sz w:val="20"/>
                <w:szCs w:val="20"/>
                <w:lang w:val="en-US"/>
              </w:rPr>
            </w:pPr>
            <w:r w:rsidRPr="005A45A4">
              <w:rPr>
                <w:rFonts w:ascii="Arial" w:hAnsi="Arial" w:cs="Arial"/>
                <w:sz w:val="20"/>
                <w:szCs w:val="20"/>
                <w:lang w:val="uk-UA"/>
              </w:rPr>
              <w:t>3406483.</w:t>
            </w:r>
            <w:r>
              <w:rPr>
                <w:rFonts w:ascii="Arial" w:hAnsi="Arial" w:cs="Arial"/>
                <w:sz w:val="20"/>
                <w:szCs w:val="20"/>
                <w:lang w:val="en-US"/>
              </w:rPr>
              <w:t>6</w:t>
            </w:r>
          </w:p>
        </w:tc>
        <w:tc>
          <w:tcPr>
            <w:tcW w:w="1701" w:type="dxa"/>
            <w:shd w:val="clear" w:color="auto" w:fill="auto"/>
            <w:tcMar>
              <w:top w:w="11" w:type="dxa"/>
              <w:left w:w="11" w:type="dxa"/>
              <w:bottom w:w="0" w:type="dxa"/>
              <w:right w:w="11" w:type="dxa"/>
            </w:tcMar>
            <w:vAlign w:val="center"/>
            <w:hideMark/>
          </w:tcPr>
          <w:p w:rsidR="008856B7" w:rsidRPr="00CC3567" w:rsidRDefault="005A45A4" w:rsidP="00CC3567">
            <w:pPr>
              <w:spacing w:before="120" w:after="0" w:line="360" w:lineRule="auto"/>
              <w:jc w:val="center"/>
              <w:rPr>
                <w:rFonts w:ascii="Arial" w:hAnsi="Arial" w:cs="Arial"/>
                <w:sz w:val="20"/>
                <w:szCs w:val="20"/>
                <w:lang w:val="uk-UA"/>
              </w:rPr>
            </w:pPr>
            <w:r w:rsidRPr="005A45A4">
              <w:rPr>
                <w:rFonts w:ascii="Arial" w:hAnsi="Arial" w:cs="Arial"/>
                <w:sz w:val="20"/>
                <w:szCs w:val="20"/>
                <w:lang w:val="uk-UA"/>
              </w:rPr>
              <w:t>3717493.9</w:t>
            </w:r>
          </w:p>
        </w:tc>
        <w:tc>
          <w:tcPr>
            <w:tcW w:w="1674" w:type="dxa"/>
            <w:shd w:val="clear" w:color="auto" w:fill="auto"/>
            <w:tcMar>
              <w:top w:w="11" w:type="dxa"/>
              <w:left w:w="11" w:type="dxa"/>
              <w:bottom w:w="0" w:type="dxa"/>
              <w:right w:w="11" w:type="dxa"/>
            </w:tcMar>
            <w:vAlign w:val="center"/>
            <w:hideMark/>
          </w:tcPr>
          <w:p w:rsidR="008856B7" w:rsidRPr="005A45A4" w:rsidRDefault="005A45A4" w:rsidP="005A45A4">
            <w:pPr>
              <w:spacing w:before="120" w:after="0" w:line="360" w:lineRule="auto"/>
              <w:jc w:val="center"/>
              <w:rPr>
                <w:rFonts w:ascii="Arial" w:hAnsi="Arial" w:cs="Arial"/>
                <w:sz w:val="20"/>
                <w:szCs w:val="20"/>
                <w:lang w:val="en-US"/>
              </w:rPr>
            </w:pPr>
            <w:r w:rsidRPr="005A45A4">
              <w:rPr>
                <w:rFonts w:ascii="Arial" w:hAnsi="Arial" w:cs="Arial"/>
                <w:sz w:val="20"/>
                <w:szCs w:val="20"/>
                <w:lang w:val="uk-UA"/>
              </w:rPr>
              <w:t>4951909.</w:t>
            </w:r>
            <w:r>
              <w:rPr>
                <w:rFonts w:ascii="Arial" w:hAnsi="Arial" w:cs="Arial"/>
                <w:sz w:val="20"/>
                <w:szCs w:val="20"/>
                <w:lang w:val="en-US"/>
              </w:rPr>
              <w:t>6</w:t>
            </w:r>
          </w:p>
        </w:tc>
      </w:tr>
    </w:tbl>
    <w:p w:rsidR="005507E6" w:rsidRPr="00EC5F5A" w:rsidRDefault="005507E6" w:rsidP="005507E6">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sidR="005A45A4" w:rsidRPr="005A45A4">
        <w:t xml:space="preserve"> </w:t>
      </w:r>
      <w:r w:rsidR="005A45A4" w:rsidRPr="005A45A4">
        <w:rPr>
          <w:rFonts w:ascii="Arial" w:hAnsi="Arial" w:cs="Arial"/>
          <w:sz w:val="20"/>
          <w:szCs w:val="20"/>
          <w:lang w:val="en-GB"/>
        </w:rPr>
        <w:t>author's calculations</w:t>
      </w:r>
    </w:p>
    <w:p w:rsidR="000613CC" w:rsidRDefault="002B474E" w:rsidP="00202613">
      <w:pPr>
        <w:spacing w:after="120" w:line="360" w:lineRule="auto"/>
        <w:jc w:val="both"/>
        <w:rPr>
          <w:rFonts w:ascii="Arial" w:hAnsi="Arial" w:cs="Arial"/>
          <w:sz w:val="24"/>
          <w:szCs w:val="24"/>
          <w:lang w:val="en-GB"/>
        </w:rPr>
      </w:pPr>
      <w:r w:rsidRPr="002B474E">
        <w:rPr>
          <w:rFonts w:ascii="Arial" w:hAnsi="Arial" w:cs="Arial"/>
          <w:sz w:val="24"/>
          <w:szCs w:val="24"/>
          <w:lang w:val="en-GB"/>
        </w:rPr>
        <w:lastRenderedPageBreak/>
        <w:t>The reliability of estimating the</w:t>
      </w:r>
      <w:r w:rsidR="00DE387A">
        <w:rPr>
          <w:rFonts w:ascii="Arial" w:hAnsi="Arial" w:cs="Arial"/>
          <w:sz w:val="24"/>
          <w:szCs w:val="24"/>
          <w:lang w:val="en-GB"/>
        </w:rPr>
        <w:t xml:space="preserve"> household’s average monthly </w:t>
      </w:r>
      <w:r w:rsidR="00427D66">
        <w:rPr>
          <w:rFonts w:ascii="Arial" w:hAnsi="Arial" w:cs="Arial"/>
          <w:sz w:val="24"/>
          <w:szCs w:val="24"/>
          <w:lang w:val="en-GB"/>
        </w:rPr>
        <w:t>t</w:t>
      </w:r>
      <w:r w:rsidR="00427D66" w:rsidRPr="00427D66">
        <w:rPr>
          <w:rFonts w:ascii="Arial" w:hAnsi="Arial" w:cs="Arial"/>
          <w:sz w:val="24"/>
          <w:szCs w:val="24"/>
          <w:lang w:val="en-GB"/>
        </w:rPr>
        <w:t>otal expenditure</w:t>
      </w:r>
      <w:r w:rsidR="00427D66">
        <w:rPr>
          <w:rFonts w:ascii="Arial" w:hAnsi="Arial" w:cs="Arial"/>
          <w:sz w:val="24"/>
          <w:szCs w:val="24"/>
          <w:lang w:val="en-GB"/>
        </w:rPr>
        <w:t xml:space="preserve">s </w:t>
      </w:r>
      <w:r w:rsidR="00144A3B">
        <w:rPr>
          <w:rFonts w:ascii="Arial" w:hAnsi="Arial" w:cs="Arial"/>
          <w:sz w:val="24"/>
          <w:szCs w:val="24"/>
          <w:lang w:val="en-GB"/>
        </w:rPr>
        <w:t>at the national level</w:t>
      </w:r>
      <w:r w:rsidRPr="002B474E">
        <w:rPr>
          <w:rFonts w:ascii="Arial" w:hAnsi="Arial" w:cs="Arial"/>
          <w:sz w:val="24"/>
          <w:szCs w:val="24"/>
          <w:lang w:val="en-GB"/>
        </w:rPr>
        <w:t xml:space="preserve"> </w:t>
      </w:r>
      <w:r w:rsidR="00DE387A">
        <w:rPr>
          <w:rFonts w:ascii="Arial" w:hAnsi="Arial" w:cs="Arial"/>
          <w:sz w:val="24"/>
          <w:szCs w:val="24"/>
          <w:lang w:val="en-GB"/>
        </w:rPr>
        <w:t>by HLCS 2016 data</w:t>
      </w:r>
      <w:r w:rsidR="00144A3B">
        <w:rPr>
          <w:rFonts w:ascii="Arial" w:hAnsi="Arial" w:cs="Arial"/>
          <w:sz w:val="24"/>
          <w:szCs w:val="24"/>
          <w:lang w:val="en-GB"/>
        </w:rPr>
        <w:t xml:space="preserve"> </w:t>
      </w:r>
      <w:r w:rsidR="00DE387A">
        <w:rPr>
          <w:rFonts w:ascii="Arial" w:hAnsi="Arial" w:cs="Arial"/>
          <w:sz w:val="24"/>
          <w:szCs w:val="24"/>
          <w:lang w:val="en-GB"/>
        </w:rPr>
        <w:t xml:space="preserve">after the first stage calibration is at level of </w:t>
      </w:r>
      <w:r w:rsidR="00427D66">
        <w:rPr>
          <w:rFonts w:ascii="Arial" w:hAnsi="Arial" w:cs="Arial"/>
          <w:sz w:val="24"/>
          <w:szCs w:val="24"/>
          <w:lang w:val="en-GB"/>
        </w:rPr>
        <w:br/>
      </w:r>
      <m:oMath>
        <m:r>
          <w:rPr>
            <w:rFonts w:ascii="Cambria Math" w:hAnsi="Cambria Math" w:cs="Cambria Math"/>
            <w:sz w:val="24"/>
            <w:szCs w:val="24"/>
            <w:lang w:val="en-GB"/>
          </w:rPr>
          <m:t>Var</m:t>
        </m:r>
        <m:d>
          <m:dPr>
            <m:ctrlPr>
              <w:rPr>
                <w:rFonts w:ascii="Cambria Math" w:hAnsi="Cambria Math" w:cs="Cambria Math"/>
                <w:i/>
                <w:sz w:val="24"/>
                <w:szCs w:val="24"/>
                <w:lang w:val="en-GB"/>
              </w:rPr>
            </m:ctrlPr>
          </m:dPr>
          <m:e>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e>
        </m:d>
      </m:oMath>
      <w:r w:rsidR="00DE387A">
        <w:rPr>
          <w:rFonts w:ascii="Arial" w:eastAsiaTheme="minorEastAsia" w:hAnsi="Arial" w:cs="Arial"/>
          <w:sz w:val="24"/>
          <w:szCs w:val="24"/>
          <w:lang w:val="en-GB"/>
        </w:rPr>
        <w:t xml:space="preserve"> =</w:t>
      </w:r>
      <w:r w:rsidR="00DE387A">
        <w:rPr>
          <w:rFonts w:ascii="Arial" w:hAnsi="Arial" w:cs="Arial"/>
          <w:sz w:val="24"/>
          <w:szCs w:val="24"/>
          <w:lang w:val="en-GB"/>
        </w:rPr>
        <w:t xml:space="preserve"> </w:t>
      </w:r>
      <w:r w:rsidR="00427D66" w:rsidRPr="00427D66">
        <w:rPr>
          <w:rFonts w:ascii="Arial" w:hAnsi="Arial" w:cs="Arial"/>
          <w:sz w:val="24"/>
          <w:szCs w:val="24"/>
          <w:lang w:val="en-GB"/>
        </w:rPr>
        <w:t>2686.5</w:t>
      </w:r>
      <w:r w:rsidR="00427D66">
        <w:rPr>
          <w:rFonts w:ascii="Arial" w:hAnsi="Arial" w:cs="Arial"/>
          <w:sz w:val="24"/>
          <w:szCs w:val="24"/>
          <w:lang w:val="en-GB"/>
        </w:rPr>
        <w:t>2</w:t>
      </w:r>
      <w:r w:rsidR="00144A3B">
        <w:rPr>
          <w:rFonts w:ascii="Arial" w:hAnsi="Arial" w:cs="Arial"/>
          <w:sz w:val="24"/>
          <w:szCs w:val="24"/>
          <w:lang w:val="en-GB"/>
        </w:rPr>
        <w:t xml:space="preserve"> (</w:t>
      </w:r>
      <m:oMath>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oMath>
      <w:r w:rsidR="00144A3B">
        <w:rPr>
          <w:rFonts w:ascii="Arial" w:eastAsiaTheme="minorEastAsia" w:hAnsi="Arial" w:cs="Arial"/>
          <w:sz w:val="24"/>
          <w:szCs w:val="24"/>
          <w:lang w:val="en-GB"/>
        </w:rPr>
        <w:t xml:space="preserve"> </w:t>
      </w:r>
      <w:r w:rsidR="00144A3B">
        <w:rPr>
          <w:rFonts w:ascii="Arial" w:hAnsi="Arial" w:cs="Arial"/>
          <w:sz w:val="24"/>
          <w:szCs w:val="24"/>
          <w:lang w:val="en-GB"/>
        </w:rPr>
        <w:t xml:space="preserve">= </w:t>
      </w:r>
      <w:r w:rsidR="00427D66" w:rsidRPr="00427D66">
        <w:rPr>
          <w:rFonts w:ascii="Arial" w:hAnsi="Arial" w:cs="Arial"/>
          <w:bCs/>
          <w:color w:val="000000"/>
          <w:sz w:val="24"/>
          <w:szCs w:val="24"/>
          <w:lang w:val="uk-UA"/>
        </w:rPr>
        <w:t>5720</w:t>
      </w:r>
      <w:r w:rsidR="00427D66">
        <w:rPr>
          <w:rFonts w:ascii="Arial" w:hAnsi="Arial" w:cs="Arial"/>
          <w:bCs/>
          <w:color w:val="000000"/>
          <w:sz w:val="24"/>
          <w:szCs w:val="24"/>
          <w:lang w:val="en-US"/>
        </w:rPr>
        <w:t>.</w:t>
      </w:r>
      <w:r w:rsidR="00427D66" w:rsidRPr="00427D66">
        <w:rPr>
          <w:rFonts w:ascii="Arial" w:hAnsi="Arial" w:cs="Arial"/>
          <w:bCs/>
          <w:color w:val="000000"/>
          <w:sz w:val="24"/>
          <w:szCs w:val="24"/>
          <w:lang w:val="uk-UA"/>
        </w:rPr>
        <w:t>37</w:t>
      </w:r>
      <w:r w:rsidR="00427D66">
        <w:rPr>
          <w:rFonts w:ascii="Arial" w:hAnsi="Arial" w:cs="Arial"/>
          <w:bCs/>
          <w:color w:val="000000"/>
          <w:sz w:val="24"/>
          <w:szCs w:val="24"/>
          <w:lang w:val="en-US"/>
        </w:rPr>
        <w:t xml:space="preserve"> </w:t>
      </w:r>
      <w:r w:rsidR="000613CC">
        <w:rPr>
          <w:rFonts w:ascii="Arial" w:hAnsi="Arial" w:cs="Arial"/>
          <w:sz w:val="24"/>
          <w:szCs w:val="24"/>
          <w:lang w:val="en-GB"/>
        </w:rPr>
        <w:t>UAH</w:t>
      </w:r>
      <w:r w:rsidR="00427D66">
        <w:rPr>
          <w:rFonts w:ascii="Arial" w:hAnsi="Arial" w:cs="Arial"/>
          <w:sz w:val="24"/>
          <w:szCs w:val="24"/>
          <w:lang w:val="en-GB"/>
        </w:rPr>
        <w:t xml:space="preserve"> per household</w:t>
      </w:r>
      <w:r w:rsidR="00144A3B">
        <w:rPr>
          <w:rFonts w:ascii="Arial" w:hAnsi="Arial" w:cs="Arial"/>
          <w:sz w:val="24"/>
          <w:szCs w:val="24"/>
          <w:lang w:val="en-GB"/>
        </w:rPr>
        <w:t xml:space="preserve">, </w:t>
      </w:r>
      <m:oMath>
        <m:r>
          <w:rPr>
            <w:rFonts w:ascii="Cambria Math" w:hAnsi="Cambria Math" w:cs="Arial"/>
            <w:sz w:val="24"/>
            <w:szCs w:val="24"/>
            <w:lang w:val="en-GB"/>
          </w:rPr>
          <m:t>cv</m:t>
        </m:r>
        <m:d>
          <m:dPr>
            <m:ctrlPr>
              <w:rPr>
                <w:rFonts w:ascii="Cambria Math" w:hAnsi="Cambria Math" w:cs="Cambria Math"/>
                <w:i/>
                <w:sz w:val="24"/>
                <w:szCs w:val="24"/>
                <w:lang w:val="en-GB"/>
              </w:rPr>
            </m:ctrlPr>
          </m:dPr>
          <m:e>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e>
        </m:d>
      </m:oMath>
      <w:r w:rsidR="00DE387A">
        <w:rPr>
          <w:rFonts w:ascii="Arial" w:eastAsiaTheme="minorEastAsia" w:hAnsi="Arial" w:cs="Arial"/>
          <w:sz w:val="24"/>
          <w:szCs w:val="24"/>
          <w:lang w:val="en-GB"/>
        </w:rPr>
        <w:t xml:space="preserve"> =</w:t>
      </w:r>
      <w:r w:rsidR="00DE387A">
        <w:rPr>
          <w:rFonts w:ascii="Arial" w:hAnsi="Arial" w:cs="Arial"/>
          <w:sz w:val="24"/>
          <w:szCs w:val="24"/>
          <w:lang w:val="en-GB"/>
        </w:rPr>
        <w:t xml:space="preserve"> </w:t>
      </w:r>
      <w:r w:rsidR="00144A3B">
        <w:rPr>
          <w:rFonts w:ascii="Arial" w:hAnsi="Arial" w:cs="Arial"/>
          <w:sz w:val="24"/>
          <w:szCs w:val="24"/>
          <w:lang w:val="en-GB"/>
        </w:rPr>
        <w:t>0.009</w:t>
      </w:r>
      <w:r w:rsidR="00427D66">
        <w:rPr>
          <w:rFonts w:ascii="Arial" w:hAnsi="Arial" w:cs="Arial"/>
          <w:sz w:val="24"/>
          <w:szCs w:val="24"/>
          <w:lang w:val="en-GB"/>
        </w:rPr>
        <w:t>1</w:t>
      </w:r>
      <w:r w:rsidR="00144A3B">
        <w:rPr>
          <w:rFonts w:ascii="Arial" w:hAnsi="Arial" w:cs="Arial"/>
          <w:sz w:val="24"/>
          <w:szCs w:val="24"/>
          <w:lang w:val="en-GB"/>
        </w:rPr>
        <w:t>)</w:t>
      </w:r>
      <w:r w:rsidR="00FC6566">
        <w:rPr>
          <w:rFonts w:ascii="Arial" w:hAnsi="Arial" w:cs="Arial"/>
          <w:sz w:val="24"/>
          <w:szCs w:val="24"/>
          <w:lang w:val="en-GB"/>
        </w:rPr>
        <w:t xml:space="preserve"> (SSSU </w:t>
      </w:r>
      <w:r w:rsidR="007410A2">
        <w:rPr>
          <w:rFonts w:ascii="Arial" w:hAnsi="Arial" w:cs="Arial"/>
          <w:sz w:val="24"/>
          <w:szCs w:val="24"/>
          <w:lang w:val="en-GB"/>
        </w:rPr>
        <w:t>2017)</w:t>
      </w:r>
      <w:r w:rsidR="00144A3B">
        <w:rPr>
          <w:rFonts w:ascii="Arial" w:hAnsi="Arial" w:cs="Arial"/>
          <w:sz w:val="24"/>
          <w:szCs w:val="24"/>
          <w:lang w:val="en-GB"/>
        </w:rPr>
        <w:t xml:space="preserve">. </w:t>
      </w:r>
    </w:p>
    <w:p w:rsidR="000613CC" w:rsidRDefault="00144A3B" w:rsidP="00202613">
      <w:pPr>
        <w:spacing w:after="120" w:line="360" w:lineRule="auto"/>
        <w:jc w:val="both"/>
        <w:rPr>
          <w:rFonts w:ascii="Arial" w:hAnsi="Arial" w:cs="Arial"/>
          <w:sz w:val="24"/>
          <w:szCs w:val="24"/>
          <w:lang w:val="en-GB"/>
        </w:rPr>
      </w:pPr>
      <w:r>
        <w:rPr>
          <w:rFonts w:ascii="Arial" w:hAnsi="Arial" w:cs="Arial"/>
          <w:sz w:val="24"/>
          <w:szCs w:val="24"/>
          <w:lang w:val="en-GB"/>
        </w:rPr>
        <w:t xml:space="preserve">After the second stage calibration </w:t>
      </w:r>
      <w:r w:rsidR="000613CC">
        <w:rPr>
          <w:rFonts w:ascii="Arial" w:hAnsi="Arial" w:cs="Arial"/>
          <w:sz w:val="24"/>
          <w:szCs w:val="24"/>
          <w:lang w:val="en-GB"/>
        </w:rPr>
        <w:t xml:space="preserve">the </w:t>
      </w:r>
      <w:r>
        <w:rPr>
          <w:rFonts w:ascii="Arial" w:hAnsi="Arial" w:cs="Arial"/>
          <w:sz w:val="24"/>
          <w:szCs w:val="24"/>
          <w:lang w:val="en-GB"/>
        </w:rPr>
        <w:t xml:space="preserve">variance of the estimate </w:t>
      </w:r>
      <w:r w:rsidRPr="00144A3B">
        <w:rPr>
          <w:rFonts w:ascii="Arial" w:hAnsi="Arial" w:cs="Arial"/>
          <w:sz w:val="24"/>
          <w:szCs w:val="24"/>
          <w:lang w:val="en-GB"/>
        </w:rPr>
        <w:t>increases</w:t>
      </w:r>
      <w:r>
        <w:rPr>
          <w:rFonts w:ascii="Arial" w:hAnsi="Arial" w:cs="Arial"/>
          <w:sz w:val="24"/>
          <w:szCs w:val="24"/>
          <w:lang w:val="en-GB"/>
        </w:rPr>
        <w:t xml:space="preserve"> </w:t>
      </w:r>
      <w:r w:rsidRPr="000613CC">
        <w:rPr>
          <w:rFonts w:ascii="Arial" w:hAnsi="Arial" w:cs="Arial"/>
          <w:sz w:val="24"/>
          <w:szCs w:val="24"/>
          <w:lang w:val="en-GB"/>
        </w:rPr>
        <w:t xml:space="preserve">approximately 1.2 times to the value of </w:t>
      </w:r>
      <m:oMath>
        <m:r>
          <w:rPr>
            <w:rFonts w:ascii="Cambria Math" w:hAnsi="Cambria Math" w:cs="Cambria Math"/>
            <w:sz w:val="24"/>
            <w:szCs w:val="24"/>
            <w:lang w:val="en-GB"/>
          </w:rPr>
          <m:t>Var</m:t>
        </m:r>
        <m:d>
          <m:dPr>
            <m:ctrlPr>
              <w:rPr>
                <w:rFonts w:ascii="Cambria Math" w:hAnsi="Cambria Math" w:cs="Cambria Math"/>
                <w:i/>
                <w:sz w:val="24"/>
                <w:szCs w:val="24"/>
                <w:lang w:val="en-GB"/>
              </w:rPr>
            </m:ctrlPr>
          </m:dPr>
          <m:e>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e>
        </m:d>
      </m:oMath>
      <w:r w:rsidR="00F42D13">
        <w:rPr>
          <w:rFonts w:ascii="Arial" w:eastAsiaTheme="minorEastAsia" w:hAnsi="Arial" w:cs="Arial"/>
          <w:sz w:val="24"/>
          <w:szCs w:val="24"/>
          <w:lang w:val="en-GB"/>
        </w:rPr>
        <w:t xml:space="preserve"> = </w:t>
      </w:r>
      <w:r w:rsidR="00427D66" w:rsidRPr="00427D66">
        <w:rPr>
          <w:rFonts w:ascii="Arial" w:hAnsi="Arial" w:cs="Arial"/>
          <w:sz w:val="24"/>
          <w:szCs w:val="24"/>
          <w:lang w:val="en-GB"/>
        </w:rPr>
        <w:t>3207.6</w:t>
      </w:r>
      <w:r w:rsidR="00427D66">
        <w:rPr>
          <w:rFonts w:ascii="Arial" w:hAnsi="Arial" w:cs="Arial"/>
          <w:sz w:val="24"/>
          <w:szCs w:val="24"/>
          <w:lang w:val="en-GB"/>
        </w:rPr>
        <w:t>4</w:t>
      </w:r>
      <w:r w:rsidR="000613CC" w:rsidRPr="000613CC">
        <w:rPr>
          <w:rFonts w:ascii="Arial" w:hAnsi="Arial" w:cs="Arial"/>
          <w:sz w:val="24"/>
          <w:szCs w:val="24"/>
          <w:lang w:val="en-GB"/>
        </w:rPr>
        <w:t xml:space="preserve"> and the indicator estimate reached </w:t>
      </w:r>
      <m:oMath>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oMath>
      <w:r w:rsidR="00F42D13">
        <w:rPr>
          <w:rFonts w:ascii="Arial" w:eastAsiaTheme="minorEastAsia" w:hAnsi="Arial" w:cs="Arial"/>
          <w:sz w:val="24"/>
          <w:szCs w:val="24"/>
          <w:lang w:val="en-GB"/>
        </w:rPr>
        <w:t xml:space="preserve"> = </w:t>
      </w:r>
      <w:r w:rsidR="000613CC" w:rsidRPr="000613CC">
        <w:rPr>
          <w:rFonts w:ascii="Arial" w:eastAsia="Times New Roman" w:hAnsi="Arial" w:cs="Arial"/>
          <w:bCs/>
          <w:color w:val="000000"/>
          <w:sz w:val="24"/>
          <w:szCs w:val="24"/>
          <w:lang w:val="uk-UA" w:eastAsia="uk-UA"/>
        </w:rPr>
        <w:t>6447.75</w:t>
      </w:r>
      <w:r w:rsidR="000613CC">
        <w:rPr>
          <w:rFonts w:ascii="Arial" w:hAnsi="Arial" w:cs="Arial"/>
          <w:sz w:val="24"/>
          <w:szCs w:val="24"/>
          <w:lang w:val="en-GB"/>
        </w:rPr>
        <w:t xml:space="preserve"> UAH. </w:t>
      </w:r>
      <w:r w:rsidR="000613CC" w:rsidRPr="000613CC">
        <w:rPr>
          <w:rFonts w:ascii="Arial" w:hAnsi="Arial" w:cs="Arial"/>
          <w:sz w:val="24"/>
          <w:szCs w:val="24"/>
          <w:lang w:val="en-GB"/>
        </w:rPr>
        <w:t>If we accept the difference in</w:t>
      </w:r>
      <w:r w:rsidR="000613CC">
        <w:rPr>
          <w:rFonts w:ascii="Arial" w:hAnsi="Arial" w:cs="Arial"/>
          <w:sz w:val="24"/>
          <w:szCs w:val="24"/>
          <w:lang w:val="en-GB"/>
        </w:rPr>
        <w:t xml:space="preserve"> the</w:t>
      </w:r>
      <w:r w:rsidR="000613CC" w:rsidRPr="000613CC">
        <w:rPr>
          <w:rFonts w:ascii="Arial" w:hAnsi="Arial" w:cs="Arial"/>
          <w:sz w:val="24"/>
          <w:szCs w:val="24"/>
          <w:lang w:val="en-GB"/>
        </w:rPr>
        <w:t xml:space="preserve"> estimates </w:t>
      </w:r>
      <w:r w:rsidR="000613CC">
        <w:rPr>
          <w:rFonts w:ascii="Arial" w:hAnsi="Arial" w:cs="Arial"/>
          <w:sz w:val="24"/>
          <w:szCs w:val="24"/>
          <w:lang w:val="en-GB"/>
        </w:rPr>
        <w:t>as</w:t>
      </w:r>
      <w:r w:rsidR="000613CC" w:rsidRPr="000613CC">
        <w:rPr>
          <w:rFonts w:ascii="Arial" w:hAnsi="Arial" w:cs="Arial"/>
          <w:sz w:val="24"/>
          <w:szCs w:val="24"/>
          <w:lang w:val="en-GB"/>
        </w:rPr>
        <w:t xml:space="preserve"> estimat</w:t>
      </w:r>
      <w:r w:rsidR="000613CC">
        <w:rPr>
          <w:rFonts w:ascii="Arial" w:hAnsi="Arial" w:cs="Arial"/>
          <w:sz w:val="24"/>
          <w:szCs w:val="24"/>
          <w:lang w:val="en-GB"/>
        </w:rPr>
        <w:t>e</w:t>
      </w:r>
      <w:r w:rsidR="000613CC" w:rsidRPr="000613CC">
        <w:rPr>
          <w:rFonts w:ascii="Arial" w:hAnsi="Arial" w:cs="Arial"/>
          <w:sz w:val="24"/>
          <w:szCs w:val="24"/>
          <w:lang w:val="en-GB"/>
        </w:rPr>
        <w:t xml:space="preserve"> of the </w:t>
      </w:r>
      <w:r w:rsidR="000613CC">
        <w:rPr>
          <w:rFonts w:ascii="Arial" w:hAnsi="Arial" w:cs="Arial"/>
          <w:sz w:val="24"/>
          <w:szCs w:val="24"/>
          <w:lang w:val="en-GB"/>
        </w:rPr>
        <w:t xml:space="preserve">bias than  </w:t>
      </w:r>
      <m:oMath>
        <m:r>
          <w:rPr>
            <w:rFonts w:ascii="Cambria Math" w:hAnsi="Cambria Math" w:cs="Cambria Math"/>
            <w:sz w:val="24"/>
            <w:szCs w:val="24"/>
            <w:lang w:val="en-GB"/>
          </w:rPr>
          <m:t>Bias(</m:t>
        </m:r>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r>
          <w:rPr>
            <w:rFonts w:ascii="Cambria Math" w:hAnsi="Cambria Math" w:cs="Cambria Math"/>
            <w:sz w:val="24"/>
            <w:szCs w:val="24"/>
            <w:lang w:val="en-GB"/>
          </w:rPr>
          <m:t>,θ)</m:t>
        </m:r>
      </m:oMath>
      <w:r>
        <w:rPr>
          <w:rFonts w:ascii="Arial" w:hAnsi="Arial" w:cs="Arial"/>
          <w:sz w:val="24"/>
          <w:szCs w:val="24"/>
          <w:lang w:val="en-GB"/>
        </w:rPr>
        <w:t xml:space="preserve"> </w:t>
      </w:r>
      <w:r w:rsidR="000613CC">
        <w:rPr>
          <w:rFonts w:ascii="Arial" w:hAnsi="Arial" w:cs="Arial"/>
          <w:sz w:val="24"/>
          <w:szCs w:val="24"/>
          <w:lang w:val="en-GB"/>
        </w:rPr>
        <w:t xml:space="preserve">= </w:t>
      </w:r>
      <w:r w:rsidR="00427D66" w:rsidRPr="00427D66">
        <w:rPr>
          <w:rFonts w:ascii="Arial" w:hAnsi="Arial" w:cs="Arial"/>
          <w:sz w:val="24"/>
          <w:szCs w:val="24"/>
          <w:lang w:val="en-GB"/>
        </w:rPr>
        <w:t>782.04</w:t>
      </w:r>
      <w:r w:rsidR="000613CC">
        <w:rPr>
          <w:rFonts w:ascii="Arial" w:hAnsi="Arial" w:cs="Arial"/>
          <w:sz w:val="24"/>
          <w:szCs w:val="24"/>
          <w:lang w:val="en-GB"/>
        </w:rPr>
        <w:t xml:space="preserve"> UAH</w:t>
      </w:r>
      <w:r w:rsidR="00F42D13">
        <w:rPr>
          <w:rFonts w:ascii="Arial" w:hAnsi="Arial" w:cs="Arial"/>
          <w:sz w:val="24"/>
          <w:szCs w:val="24"/>
          <w:lang w:val="en-GB"/>
        </w:rPr>
        <w:t xml:space="preserve"> </w:t>
      </w:r>
      <w:r w:rsidR="002A763F">
        <w:rPr>
          <w:rFonts w:ascii="Arial" w:hAnsi="Arial" w:cs="Arial"/>
          <w:sz w:val="24"/>
          <w:szCs w:val="24"/>
          <w:lang w:val="en-GB"/>
        </w:rPr>
        <w:t>than</w:t>
      </w:r>
      <w:r w:rsidR="000613CC">
        <w:rPr>
          <w:rFonts w:ascii="Arial" w:hAnsi="Arial" w:cs="Arial"/>
          <w:sz w:val="24"/>
          <w:szCs w:val="24"/>
          <w:lang w:val="en-GB"/>
        </w:rPr>
        <w:t xml:space="preserve"> </w:t>
      </w:r>
      <m:oMath>
        <m:r>
          <w:rPr>
            <w:rFonts w:ascii="Cambria Math" w:hAnsi="Cambria Math" w:cs="Cambria Math"/>
            <w:sz w:val="24"/>
            <w:szCs w:val="24"/>
            <w:lang w:val="en-GB"/>
          </w:rPr>
          <m:t>MSE</m:t>
        </m:r>
        <m:d>
          <m:dPr>
            <m:ctrlPr>
              <w:rPr>
                <w:rFonts w:ascii="Cambria Math" w:hAnsi="Cambria Math" w:cs="Cambria Math"/>
                <w:i/>
                <w:sz w:val="24"/>
                <w:szCs w:val="24"/>
                <w:lang w:val="en-GB"/>
              </w:rPr>
            </m:ctrlPr>
          </m:dPr>
          <m:e>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e>
        </m:d>
      </m:oMath>
      <w:r w:rsidR="00CA45BC">
        <w:rPr>
          <w:rFonts w:ascii="Arial" w:eastAsiaTheme="minorEastAsia" w:hAnsi="Arial" w:cs="Arial"/>
          <w:sz w:val="24"/>
          <w:szCs w:val="24"/>
          <w:lang w:val="en-GB"/>
        </w:rPr>
        <w:t xml:space="preserve"> = </w:t>
      </w:r>
      <w:r w:rsidR="00F42D13">
        <w:rPr>
          <w:rFonts w:ascii="Arial" w:hAnsi="Arial" w:cs="Arial"/>
          <w:sz w:val="24"/>
          <w:szCs w:val="24"/>
          <w:lang w:val="en-GB"/>
        </w:rPr>
        <w:t xml:space="preserve">784.09. </w:t>
      </w:r>
      <w:r w:rsidR="00F76F65" w:rsidRPr="00F76F65">
        <w:rPr>
          <w:rFonts w:ascii="Arial" w:hAnsi="Arial" w:cs="Arial"/>
          <w:sz w:val="24"/>
          <w:szCs w:val="24"/>
          <w:lang w:val="en-GB"/>
        </w:rPr>
        <w:t>Thus, the relative estimation error</w:t>
      </w:r>
      <w:r w:rsidR="002A763F">
        <w:rPr>
          <w:rFonts w:ascii="Arial" w:hAnsi="Arial" w:cs="Arial"/>
          <w:sz w:val="24"/>
          <w:szCs w:val="24"/>
          <w:lang w:val="en-GB"/>
        </w:rPr>
        <w:t xml:space="preserve"> of the household’s t</w:t>
      </w:r>
      <w:r w:rsidR="002A763F" w:rsidRPr="00427D66">
        <w:rPr>
          <w:rFonts w:ascii="Arial" w:hAnsi="Arial" w:cs="Arial"/>
          <w:sz w:val="24"/>
          <w:szCs w:val="24"/>
          <w:lang w:val="en-GB"/>
        </w:rPr>
        <w:t>otal expenditure</w:t>
      </w:r>
      <w:r w:rsidR="002A763F">
        <w:rPr>
          <w:rFonts w:ascii="Arial" w:hAnsi="Arial" w:cs="Arial"/>
          <w:sz w:val="24"/>
          <w:szCs w:val="24"/>
          <w:lang w:val="en-GB"/>
        </w:rPr>
        <w:t>s</w:t>
      </w:r>
      <w:r w:rsidR="00F76F65" w:rsidRPr="00F76F65">
        <w:rPr>
          <w:rFonts w:ascii="Arial" w:hAnsi="Arial" w:cs="Arial"/>
          <w:sz w:val="24"/>
          <w:szCs w:val="24"/>
          <w:lang w:val="en-GB"/>
        </w:rPr>
        <w:t xml:space="preserve"> </w:t>
      </w:r>
      <w:r w:rsidR="002A763F">
        <w:rPr>
          <w:rFonts w:ascii="Arial" w:hAnsi="Arial" w:cs="Arial"/>
          <w:sz w:val="24"/>
          <w:szCs w:val="24"/>
          <w:lang w:val="en-GB"/>
        </w:rPr>
        <w:t xml:space="preserve">was </w:t>
      </w:r>
      <w:r w:rsidR="00F76F65" w:rsidRPr="00F76F65">
        <w:rPr>
          <w:rFonts w:ascii="Arial" w:hAnsi="Arial" w:cs="Arial"/>
          <w:sz w:val="24"/>
          <w:szCs w:val="24"/>
          <w:lang w:val="en-GB"/>
        </w:rPr>
        <w:t xml:space="preserve">not </w:t>
      </w:r>
      <m:oMath>
        <m:r>
          <w:rPr>
            <w:rFonts w:ascii="Cambria Math" w:hAnsi="Cambria Math" w:cs="Arial"/>
            <w:sz w:val="24"/>
            <w:szCs w:val="24"/>
            <w:lang w:val="en-GB"/>
          </w:rPr>
          <m:t>cv</m:t>
        </m:r>
        <m:d>
          <m:dPr>
            <m:ctrlPr>
              <w:rPr>
                <w:rFonts w:ascii="Cambria Math" w:hAnsi="Cambria Math" w:cs="Cambria Math"/>
                <w:i/>
                <w:sz w:val="24"/>
                <w:szCs w:val="24"/>
                <w:lang w:val="en-GB"/>
              </w:rPr>
            </m:ctrlPr>
          </m:dPr>
          <m:e>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e>
        </m:d>
      </m:oMath>
      <w:r w:rsidR="00F76F65">
        <w:rPr>
          <w:rFonts w:ascii="Arial" w:eastAsiaTheme="minorEastAsia" w:hAnsi="Arial" w:cs="Arial"/>
          <w:sz w:val="24"/>
          <w:szCs w:val="24"/>
          <w:lang w:val="en-GB"/>
        </w:rPr>
        <w:t xml:space="preserve"> = </w:t>
      </w:r>
      <w:r w:rsidR="00F76F65">
        <w:rPr>
          <w:rFonts w:ascii="Arial" w:hAnsi="Arial" w:cs="Arial"/>
          <w:sz w:val="24"/>
          <w:szCs w:val="24"/>
          <w:lang w:val="en-GB"/>
        </w:rPr>
        <w:t>0.0091</w:t>
      </w:r>
      <w:r w:rsidR="002A763F">
        <w:rPr>
          <w:rFonts w:ascii="Arial" w:hAnsi="Arial" w:cs="Arial"/>
          <w:sz w:val="24"/>
          <w:szCs w:val="24"/>
          <w:lang w:val="en-GB"/>
        </w:rPr>
        <w:t xml:space="preserve"> but </w:t>
      </w:r>
      <m:oMath>
        <m:r>
          <w:rPr>
            <w:rFonts w:ascii="Cambria Math" w:hAnsi="Cambria Math" w:cs="Arial"/>
            <w:sz w:val="24"/>
            <w:szCs w:val="24"/>
            <w:lang w:val="en-GB"/>
          </w:rPr>
          <m:t>RRMSE</m:t>
        </m:r>
        <m:d>
          <m:dPr>
            <m:ctrlPr>
              <w:rPr>
                <w:rFonts w:ascii="Cambria Math" w:hAnsi="Cambria Math" w:cs="Cambria Math"/>
                <w:i/>
                <w:sz w:val="24"/>
                <w:szCs w:val="24"/>
                <w:lang w:val="en-GB"/>
              </w:rPr>
            </m:ctrlPr>
          </m:dPr>
          <m:e>
            <m:acc>
              <m:accPr>
                <m:ctrlPr>
                  <w:rPr>
                    <w:rFonts w:ascii="Cambria Math" w:hAnsi="Cambria Math" w:cs="Cambria Math"/>
                    <w:i/>
                    <w:sz w:val="24"/>
                    <w:szCs w:val="24"/>
                    <w:lang w:val="en-GB"/>
                  </w:rPr>
                </m:ctrlPr>
              </m:accPr>
              <m:e>
                <m:r>
                  <w:rPr>
                    <w:rFonts w:ascii="Cambria Math" w:hAnsi="Cambria Math" w:cs="Cambria Math"/>
                    <w:sz w:val="24"/>
                    <w:szCs w:val="24"/>
                    <w:lang w:val="en-GB"/>
                  </w:rPr>
                  <m:t>θ</m:t>
                </m:r>
              </m:e>
            </m:acc>
          </m:e>
        </m:d>
      </m:oMath>
      <w:r w:rsidR="00F76F65">
        <w:rPr>
          <w:rFonts w:ascii="Arial" w:hAnsi="Arial" w:cs="Arial"/>
          <w:sz w:val="24"/>
          <w:szCs w:val="24"/>
          <w:lang w:val="en-GB"/>
        </w:rPr>
        <w:t xml:space="preserve"> </w:t>
      </w:r>
      <w:r w:rsidR="002A763F">
        <w:rPr>
          <w:rFonts w:ascii="Arial" w:hAnsi="Arial" w:cs="Arial"/>
          <w:sz w:val="24"/>
          <w:szCs w:val="24"/>
          <w:lang w:val="en-GB"/>
        </w:rPr>
        <w:t>= 0.1371.</w:t>
      </w:r>
    </w:p>
    <w:p w:rsidR="0001133F" w:rsidRDefault="000F4AAC" w:rsidP="00202613">
      <w:pPr>
        <w:spacing w:after="120" w:line="360" w:lineRule="auto"/>
        <w:jc w:val="both"/>
        <w:rPr>
          <w:rFonts w:ascii="Arial" w:hAnsi="Arial" w:cs="Arial"/>
          <w:sz w:val="24"/>
          <w:szCs w:val="24"/>
          <w:lang w:val="en-US"/>
        </w:rPr>
      </w:pPr>
      <w:r w:rsidRPr="000F4AAC">
        <w:rPr>
          <w:rFonts w:ascii="Arial" w:hAnsi="Arial" w:cs="Arial"/>
          <w:sz w:val="24"/>
          <w:szCs w:val="24"/>
          <w:lang w:val="en-US"/>
        </w:rPr>
        <w:t xml:space="preserve">It should be noted that the estimate of the </w:t>
      </w:r>
      <w:r>
        <w:rPr>
          <w:rFonts w:ascii="Arial" w:hAnsi="Arial" w:cs="Arial"/>
          <w:sz w:val="24"/>
          <w:szCs w:val="24"/>
          <w:lang w:val="en-US"/>
        </w:rPr>
        <w:t>bias</w:t>
      </w:r>
      <w:r w:rsidRPr="000F4AAC">
        <w:rPr>
          <w:rFonts w:ascii="Arial" w:hAnsi="Arial" w:cs="Arial"/>
          <w:sz w:val="24"/>
          <w:szCs w:val="24"/>
          <w:lang w:val="en-US"/>
        </w:rPr>
        <w:t xml:space="preserve"> value given here is rather high. This may be due both to the </w:t>
      </w:r>
      <w:r w:rsidR="0001133F" w:rsidRPr="0001133F">
        <w:rPr>
          <w:rFonts w:ascii="Arial" w:hAnsi="Arial" w:cs="Arial"/>
          <w:sz w:val="24"/>
          <w:szCs w:val="24"/>
          <w:lang w:val="en-US"/>
        </w:rPr>
        <w:t>shortcomings</w:t>
      </w:r>
      <w:r w:rsidRPr="000F4AAC">
        <w:rPr>
          <w:rFonts w:ascii="Arial" w:hAnsi="Arial" w:cs="Arial"/>
          <w:sz w:val="24"/>
          <w:szCs w:val="24"/>
          <w:lang w:val="en-US"/>
        </w:rPr>
        <w:t xml:space="preserve"> of the calibration procedure, which is only being tested, and to the significant influence of under-coverage of </w:t>
      </w:r>
      <w:r w:rsidRPr="0001133F">
        <w:rPr>
          <w:rFonts w:ascii="Arial" w:hAnsi="Arial" w:cs="Arial"/>
          <w:sz w:val="24"/>
          <w:szCs w:val="24"/>
          <w:lang w:val="en-US"/>
        </w:rPr>
        <w:t xml:space="preserve">the well-to-do </w:t>
      </w:r>
      <w:r w:rsidR="0001133F" w:rsidRPr="0001133F">
        <w:rPr>
          <w:rFonts w:ascii="Arial" w:hAnsi="Arial" w:cs="Arial"/>
          <w:sz w:val="24"/>
          <w:szCs w:val="24"/>
          <w:lang w:val="en-US"/>
        </w:rPr>
        <w:t>strata</w:t>
      </w:r>
      <w:r w:rsidRPr="0001133F">
        <w:rPr>
          <w:rFonts w:ascii="Arial" w:hAnsi="Arial" w:cs="Arial"/>
          <w:sz w:val="24"/>
          <w:szCs w:val="24"/>
          <w:lang w:val="en-US"/>
        </w:rPr>
        <w:t xml:space="preserve"> of the population by the survey. </w:t>
      </w:r>
    </w:p>
    <w:p w:rsidR="008D549A" w:rsidRPr="0001133F" w:rsidRDefault="0001133F" w:rsidP="00202613">
      <w:pPr>
        <w:spacing w:after="120" w:line="360" w:lineRule="auto"/>
        <w:jc w:val="both"/>
        <w:rPr>
          <w:rFonts w:ascii="Arial" w:hAnsi="Arial" w:cs="Arial"/>
          <w:sz w:val="24"/>
          <w:szCs w:val="24"/>
          <w:lang w:val="en-US"/>
        </w:rPr>
      </w:pPr>
      <w:r>
        <w:rPr>
          <w:rFonts w:ascii="Arial" w:hAnsi="Arial" w:cs="Arial"/>
          <w:sz w:val="24"/>
          <w:szCs w:val="24"/>
          <w:lang w:val="en-US"/>
        </w:rPr>
        <w:t xml:space="preserve">The effects of </w:t>
      </w:r>
      <w:r w:rsidR="003B1AF9" w:rsidRPr="000F4AAC">
        <w:rPr>
          <w:rFonts w:ascii="Arial" w:hAnsi="Arial" w:cs="Arial"/>
          <w:sz w:val="24"/>
          <w:szCs w:val="24"/>
          <w:lang w:val="en-US"/>
        </w:rPr>
        <w:t xml:space="preserve">under-coverage of </w:t>
      </w:r>
      <w:r w:rsidR="003B1AF9" w:rsidRPr="0001133F">
        <w:rPr>
          <w:rFonts w:ascii="Arial" w:hAnsi="Arial" w:cs="Arial"/>
          <w:sz w:val="24"/>
          <w:szCs w:val="24"/>
          <w:lang w:val="en-US"/>
        </w:rPr>
        <w:t>the well-to-do strata</w:t>
      </w:r>
      <w:r w:rsidR="003B1AF9">
        <w:rPr>
          <w:rFonts w:ascii="Arial" w:hAnsi="Arial" w:cs="Arial"/>
          <w:sz w:val="24"/>
          <w:szCs w:val="24"/>
          <w:lang w:val="en-US"/>
        </w:rPr>
        <w:t xml:space="preserve"> by surveys</w:t>
      </w:r>
      <w:r w:rsidRPr="0001133F">
        <w:rPr>
          <w:rFonts w:ascii="Arial" w:hAnsi="Arial" w:cs="Arial"/>
          <w:sz w:val="24"/>
          <w:szCs w:val="24"/>
          <w:lang w:val="en-US"/>
        </w:rPr>
        <w:t xml:space="preserve"> </w:t>
      </w:r>
      <w:r w:rsidR="003B1AF9">
        <w:rPr>
          <w:rFonts w:ascii="Arial" w:hAnsi="Arial" w:cs="Arial"/>
          <w:sz w:val="24"/>
          <w:szCs w:val="24"/>
          <w:lang w:val="en-US"/>
        </w:rPr>
        <w:t>are</w:t>
      </w:r>
      <w:r w:rsidRPr="0001133F">
        <w:rPr>
          <w:rFonts w:ascii="Arial" w:hAnsi="Arial" w:cs="Arial"/>
          <w:sz w:val="24"/>
          <w:szCs w:val="24"/>
          <w:lang w:val="en-US"/>
        </w:rPr>
        <w:t xml:space="preserve"> being studied </w:t>
      </w:r>
      <w:r w:rsidRPr="0001133F">
        <w:rPr>
          <w:rFonts w:ascii="Arial" w:hAnsi="Arial" w:cs="Arial"/>
          <w:color w:val="000000"/>
          <w:sz w:val="24"/>
          <w:szCs w:val="24"/>
          <w:shd w:val="clear" w:color="auto" w:fill="FFFFFF"/>
        </w:rPr>
        <w:t>at the present time</w:t>
      </w:r>
      <w:r w:rsidRPr="0001133F">
        <w:rPr>
          <w:rFonts w:ascii="Arial" w:hAnsi="Arial" w:cs="Arial"/>
          <w:sz w:val="24"/>
          <w:szCs w:val="24"/>
          <w:lang w:val="en-US"/>
        </w:rPr>
        <w:t xml:space="preserve"> by specialists of </w:t>
      </w:r>
      <w:r>
        <w:rPr>
          <w:rFonts w:ascii="Arial" w:hAnsi="Arial" w:cs="Arial"/>
          <w:sz w:val="24"/>
          <w:szCs w:val="24"/>
          <w:lang w:val="en-US"/>
        </w:rPr>
        <w:t>SSSU</w:t>
      </w:r>
      <w:r w:rsidRPr="0001133F">
        <w:rPr>
          <w:rFonts w:ascii="Arial" w:hAnsi="Arial" w:cs="Arial"/>
          <w:sz w:val="24"/>
          <w:szCs w:val="24"/>
          <w:lang w:val="en-US"/>
        </w:rPr>
        <w:t xml:space="preserve"> and experts.</w:t>
      </w:r>
      <w:r w:rsidR="008D549A" w:rsidRPr="0001133F">
        <w:rPr>
          <w:rFonts w:ascii="Arial" w:hAnsi="Arial" w:cs="Arial"/>
          <w:sz w:val="24"/>
          <w:szCs w:val="24"/>
          <w:lang w:val="en-US"/>
        </w:rPr>
        <w:t xml:space="preserve"> </w:t>
      </w:r>
      <w:r w:rsidRPr="0001133F">
        <w:rPr>
          <w:rFonts w:ascii="Arial" w:hAnsi="Arial" w:cs="Arial"/>
          <w:sz w:val="24"/>
          <w:szCs w:val="24"/>
          <w:lang w:val="en-US"/>
        </w:rPr>
        <w:t>The level of refusals in population and household surveys in Ukraine, as in other countries, is</w:t>
      </w:r>
      <w:r>
        <w:rPr>
          <w:rFonts w:ascii="Arial" w:hAnsi="Arial" w:cs="Arial"/>
          <w:sz w:val="24"/>
          <w:szCs w:val="24"/>
          <w:lang w:val="en-US"/>
        </w:rPr>
        <w:t xml:space="preserve"> </w:t>
      </w:r>
      <w:r w:rsidRPr="0001133F">
        <w:rPr>
          <w:rFonts w:ascii="Arial" w:hAnsi="Arial" w:cs="Arial"/>
          <w:sz w:val="24"/>
          <w:szCs w:val="24"/>
          <w:lang w:val="en-US"/>
        </w:rPr>
        <w:t>increasing, especially in large cities.</w:t>
      </w:r>
      <w:r w:rsidR="008D549A" w:rsidRPr="0001133F">
        <w:rPr>
          <w:rFonts w:ascii="Arial" w:hAnsi="Arial" w:cs="Arial"/>
          <w:sz w:val="24"/>
          <w:szCs w:val="24"/>
          <w:lang w:val="en-US"/>
        </w:rPr>
        <w:t xml:space="preserve"> </w:t>
      </w:r>
      <w:r w:rsidRPr="0001133F">
        <w:rPr>
          <w:rFonts w:ascii="Arial" w:hAnsi="Arial" w:cs="Arial"/>
          <w:sz w:val="24"/>
          <w:szCs w:val="24"/>
          <w:lang w:val="en-US"/>
        </w:rPr>
        <w:t>At the same time, additional sources of data are appearing, particularly for official statistics</w:t>
      </w:r>
      <w:r>
        <w:rPr>
          <w:rFonts w:ascii="Arial" w:hAnsi="Arial" w:cs="Arial"/>
          <w:sz w:val="24"/>
          <w:szCs w:val="24"/>
          <w:lang w:val="en-US"/>
        </w:rPr>
        <w:t xml:space="preserve"> data from</w:t>
      </w:r>
      <w:r w:rsidRPr="0001133F">
        <w:rPr>
          <w:rFonts w:ascii="Arial" w:hAnsi="Arial" w:cs="Arial"/>
          <w:sz w:val="24"/>
          <w:szCs w:val="24"/>
          <w:lang w:val="en-US"/>
        </w:rPr>
        <w:t xml:space="preserve"> register</w:t>
      </w:r>
      <w:r>
        <w:rPr>
          <w:rFonts w:ascii="Arial" w:hAnsi="Arial" w:cs="Arial"/>
          <w:sz w:val="24"/>
          <w:szCs w:val="24"/>
          <w:lang w:val="en-US"/>
        </w:rPr>
        <w:t>s</w:t>
      </w:r>
      <w:r w:rsidRPr="0001133F">
        <w:rPr>
          <w:rFonts w:ascii="Arial" w:hAnsi="Arial" w:cs="Arial"/>
          <w:sz w:val="24"/>
          <w:szCs w:val="24"/>
          <w:lang w:val="en-US"/>
        </w:rPr>
        <w:t xml:space="preserve"> </w:t>
      </w:r>
      <w:r>
        <w:rPr>
          <w:rFonts w:ascii="Arial" w:hAnsi="Arial" w:cs="Arial"/>
          <w:sz w:val="24"/>
          <w:szCs w:val="24"/>
          <w:lang w:val="en-US"/>
        </w:rPr>
        <w:t>are</w:t>
      </w:r>
      <w:r w:rsidRPr="0001133F">
        <w:rPr>
          <w:rFonts w:ascii="Arial" w:hAnsi="Arial" w:cs="Arial"/>
          <w:sz w:val="24"/>
          <w:szCs w:val="24"/>
          <w:lang w:val="en-US"/>
        </w:rPr>
        <w:t xml:space="preserve"> becoming more accessible, </w:t>
      </w:r>
      <w:r>
        <w:rPr>
          <w:rFonts w:ascii="Arial" w:hAnsi="Arial" w:cs="Arial"/>
          <w:sz w:val="24"/>
          <w:szCs w:val="24"/>
          <w:lang w:val="en-US"/>
        </w:rPr>
        <w:t>and their</w:t>
      </w:r>
      <w:r w:rsidRPr="0001133F">
        <w:rPr>
          <w:rFonts w:ascii="Arial" w:hAnsi="Arial" w:cs="Arial"/>
          <w:sz w:val="24"/>
          <w:szCs w:val="24"/>
          <w:lang w:val="en-US"/>
        </w:rPr>
        <w:t xml:space="preserve"> quality is generally improving.</w:t>
      </w:r>
    </w:p>
    <w:p w:rsidR="008D549A" w:rsidRPr="0001133F" w:rsidRDefault="0001133F" w:rsidP="00202613">
      <w:pPr>
        <w:spacing w:after="120" w:line="360" w:lineRule="auto"/>
        <w:jc w:val="both"/>
        <w:rPr>
          <w:rFonts w:ascii="Arial" w:hAnsi="Arial" w:cs="Arial"/>
          <w:sz w:val="24"/>
          <w:szCs w:val="24"/>
          <w:lang w:val="en-US"/>
        </w:rPr>
      </w:pPr>
      <w:r w:rsidRPr="0001133F">
        <w:rPr>
          <w:rFonts w:ascii="Arial" w:hAnsi="Arial" w:cs="Arial"/>
          <w:sz w:val="24"/>
          <w:szCs w:val="24"/>
          <w:lang w:val="en-US"/>
        </w:rPr>
        <w:t>In such circumstances, the possibility of using procedures to improve the reliability of survey results based on data from external sources is certainly attractive</w:t>
      </w:r>
      <w:r>
        <w:rPr>
          <w:rFonts w:ascii="Arial" w:hAnsi="Arial" w:cs="Arial"/>
          <w:sz w:val="24"/>
          <w:szCs w:val="24"/>
          <w:lang w:val="en-US"/>
        </w:rPr>
        <w:t>, e</w:t>
      </w:r>
      <w:r w:rsidRPr="0001133F">
        <w:rPr>
          <w:rFonts w:ascii="Arial" w:hAnsi="Arial" w:cs="Arial"/>
          <w:sz w:val="24"/>
          <w:szCs w:val="24"/>
          <w:lang w:val="en-US"/>
        </w:rPr>
        <w:t>specially if it remains possib</w:t>
      </w:r>
      <w:r>
        <w:rPr>
          <w:rFonts w:ascii="Arial" w:hAnsi="Arial" w:cs="Arial"/>
          <w:sz w:val="24"/>
          <w:szCs w:val="24"/>
          <w:lang w:val="en-US"/>
        </w:rPr>
        <w:t>ility</w:t>
      </w:r>
      <w:r w:rsidRPr="0001133F">
        <w:rPr>
          <w:rFonts w:ascii="Arial" w:hAnsi="Arial" w:cs="Arial"/>
          <w:sz w:val="24"/>
          <w:szCs w:val="24"/>
          <w:lang w:val="en-US"/>
        </w:rPr>
        <w:t xml:space="preserve"> to work with a sufficiently complete </w:t>
      </w:r>
      <w:r>
        <w:rPr>
          <w:rFonts w:ascii="Arial" w:hAnsi="Arial" w:cs="Arial"/>
          <w:sz w:val="24"/>
          <w:szCs w:val="24"/>
          <w:lang w:val="en-US"/>
        </w:rPr>
        <w:t>set</w:t>
      </w:r>
      <w:r w:rsidRPr="0001133F">
        <w:rPr>
          <w:rFonts w:ascii="Arial" w:hAnsi="Arial" w:cs="Arial"/>
          <w:sz w:val="24"/>
          <w:szCs w:val="24"/>
          <w:lang w:val="en-US"/>
        </w:rPr>
        <w:t xml:space="preserve"> of microdata, rather than with individual variables.</w:t>
      </w:r>
      <w:r w:rsidR="00D55A1A" w:rsidRPr="0001133F">
        <w:rPr>
          <w:rFonts w:ascii="Arial" w:hAnsi="Arial" w:cs="Arial"/>
          <w:sz w:val="24"/>
          <w:szCs w:val="24"/>
          <w:lang w:val="en-US"/>
        </w:rPr>
        <w:t xml:space="preserve"> </w:t>
      </w:r>
      <w:r w:rsidR="008D549A" w:rsidRPr="0001133F">
        <w:rPr>
          <w:rFonts w:ascii="Arial" w:hAnsi="Arial" w:cs="Arial"/>
          <w:sz w:val="24"/>
          <w:szCs w:val="24"/>
          <w:lang w:val="en-US"/>
        </w:rPr>
        <w:t xml:space="preserve">  </w:t>
      </w:r>
    </w:p>
    <w:p w:rsidR="002367F8" w:rsidRDefault="003B1AF9" w:rsidP="00202613">
      <w:pPr>
        <w:spacing w:after="120" w:line="360" w:lineRule="auto"/>
        <w:jc w:val="both"/>
        <w:rPr>
          <w:rFonts w:ascii="Arial" w:hAnsi="Arial" w:cs="Arial"/>
          <w:sz w:val="24"/>
          <w:szCs w:val="24"/>
          <w:lang w:val="en-US"/>
        </w:rPr>
      </w:pPr>
      <w:r w:rsidRPr="003B1AF9">
        <w:rPr>
          <w:rFonts w:ascii="Arial" w:hAnsi="Arial" w:cs="Arial"/>
          <w:sz w:val="24"/>
          <w:szCs w:val="24"/>
          <w:lang w:val="en-US"/>
        </w:rPr>
        <w:t xml:space="preserve">In a microdata </w:t>
      </w:r>
      <w:r>
        <w:rPr>
          <w:rFonts w:ascii="Arial" w:hAnsi="Arial" w:cs="Arial"/>
          <w:sz w:val="24"/>
          <w:szCs w:val="24"/>
          <w:lang w:val="en-US"/>
        </w:rPr>
        <w:t>set</w:t>
      </w:r>
      <w:r w:rsidRPr="003B1AF9">
        <w:rPr>
          <w:rFonts w:ascii="Arial" w:hAnsi="Arial" w:cs="Arial"/>
          <w:sz w:val="24"/>
          <w:szCs w:val="24"/>
          <w:lang w:val="en-US"/>
        </w:rPr>
        <w:t xml:space="preserve"> users usually </w:t>
      </w:r>
      <w:r>
        <w:rPr>
          <w:rFonts w:ascii="Arial" w:hAnsi="Arial" w:cs="Arial"/>
          <w:sz w:val="24"/>
          <w:szCs w:val="24"/>
          <w:lang w:val="en-US"/>
        </w:rPr>
        <w:t>see and use</w:t>
      </w:r>
      <w:r w:rsidRPr="003B1AF9">
        <w:rPr>
          <w:rFonts w:ascii="Arial" w:hAnsi="Arial" w:cs="Arial"/>
          <w:sz w:val="24"/>
          <w:szCs w:val="24"/>
          <w:lang w:val="en-US"/>
        </w:rPr>
        <w:t xml:space="preserve"> </w:t>
      </w:r>
      <w:r>
        <w:rPr>
          <w:rFonts w:ascii="Arial" w:hAnsi="Arial" w:cs="Arial"/>
          <w:sz w:val="24"/>
          <w:szCs w:val="24"/>
          <w:lang w:val="en-US"/>
        </w:rPr>
        <w:t xml:space="preserve">only </w:t>
      </w:r>
      <w:r w:rsidRPr="003B1AF9">
        <w:rPr>
          <w:rFonts w:ascii="Arial" w:hAnsi="Arial" w:cs="Arial"/>
          <w:sz w:val="24"/>
          <w:szCs w:val="24"/>
          <w:lang w:val="en-US"/>
        </w:rPr>
        <w:t>one variable of the</w:t>
      </w:r>
      <w:r>
        <w:rPr>
          <w:rFonts w:ascii="Arial" w:hAnsi="Arial" w:cs="Arial"/>
          <w:sz w:val="24"/>
          <w:szCs w:val="24"/>
          <w:lang w:val="en-US"/>
        </w:rPr>
        <w:t xml:space="preserve"> sample</w:t>
      </w:r>
      <w:r w:rsidRPr="003B1AF9">
        <w:rPr>
          <w:rFonts w:ascii="Arial" w:hAnsi="Arial" w:cs="Arial"/>
          <w:sz w:val="24"/>
          <w:szCs w:val="24"/>
          <w:lang w:val="en-US"/>
        </w:rPr>
        <w:t xml:space="preserve"> weights and therefore a decrease in the </w:t>
      </w:r>
      <w:r>
        <w:rPr>
          <w:rFonts w:ascii="Arial" w:hAnsi="Arial" w:cs="Arial"/>
          <w:sz w:val="24"/>
          <w:szCs w:val="24"/>
          <w:lang w:val="en-US"/>
        </w:rPr>
        <w:t>bias</w:t>
      </w:r>
      <w:r w:rsidRPr="003B1AF9">
        <w:rPr>
          <w:rFonts w:ascii="Arial" w:hAnsi="Arial" w:cs="Arial"/>
          <w:sz w:val="24"/>
          <w:szCs w:val="24"/>
          <w:lang w:val="en-US"/>
        </w:rPr>
        <w:t xml:space="preserve"> of</w:t>
      </w:r>
      <w:r>
        <w:rPr>
          <w:rFonts w:ascii="Arial" w:hAnsi="Arial" w:cs="Arial"/>
          <w:sz w:val="24"/>
          <w:szCs w:val="24"/>
          <w:lang w:val="en-US"/>
        </w:rPr>
        <w:t xml:space="preserve"> the</w:t>
      </w:r>
      <w:r w:rsidRPr="003B1AF9">
        <w:rPr>
          <w:rFonts w:ascii="Arial" w:hAnsi="Arial" w:cs="Arial"/>
          <w:sz w:val="24"/>
          <w:szCs w:val="24"/>
          <w:lang w:val="en-US"/>
        </w:rPr>
        <w:t xml:space="preserve"> estimates based on the calibration procedures for them can be quite imperceptible.</w:t>
      </w:r>
      <w:r>
        <w:rPr>
          <w:rFonts w:ascii="Arial" w:hAnsi="Arial" w:cs="Arial"/>
          <w:sz w:val="24"/>
          <w:szCs w:val="24"/>
          <w:lang w:val="en-US"/>
        </w:rPr>
        <w:t xml:space="preserve"> </w:t>
      </w:r>
      <w:r w:rsidRPr="003B1AF9">
        <w:rPr>
          <w:rFonts w:ascii="Arial" w:hAnsi="Arial" w:cs="Arial"/>
          <w:sz w:val="24"/>
          <w:szCs w:val="24"/>
          <w:lang w:val="en-US"/>
        </w:rPr>
        <w:t xml:space="preserve">At the same time, for specialists of statistical agencies, the amount of bias can show the extent of the problem of under-reaching of certain </w:t>
      </w:r>
      <w:r>
        <w:rPr>
          <w:rFonts w:ascii="Arial" w:hAnsi="Arial" w:cs="Arial"/>
          <w:sz w:val="24"/>
          <w:szCs w:val="24"/>
          <w:lang w:val="en-US"/>
        </w:rPr>
        <w:t>strata</w:t>
      </w:r>
      <w:r w:rsidRPr="003B1AF9">
        <w:rPr>
          <w:rFonts w:ascii="Arial" w:hAnsi="Arial" w:cs="Arial"/>
          <w:sz w:val="24"/>
          <w:szCs w:val="24"/>
          <w:lang w:val="en-US"/>
        </w:rPr>
        <w:t xml:space="preserve"> of the population, if any.</w:t>
      </w:r>
    </w:p>
    <w:p w:rsidR="003B1AF9" w:rsidRDefault="003B1AF9" w:rsidP="00202613">
      <w:pPr>
        <w:spacing w:after="120" w:line="360" w:lineRule="auto"/>
        <w:jc w:val="both"/>
        <w:rPr>
          <w:rFonts w:ascii="Arial" w:hAnsi="Arial" w:cs="Arial"/>
          <w:sz w:val="24"/>
          <w:szCs w:val="24"/>
          <w:lang w:val="en-US"/>
        </w:rPr>
      </w:pPr>
      <w:r w:rsidRPr="003B1AF9">
        <w:rPr>
          <w:rFonts w:ascii="Arial" w:hAnsi="Arial" w:cs="Arial"/>
          <w:sz w:val="24"/>
          <w:szCs w:val="24"/>
          <w:lang w:val="en-US"/>
        </w:rPr>
        <w:t xml:space="preserve">Of course, a serious problem remains the estimation of the </w:t>
      </w:r>
      <w:r w:rsidR="00CD39FD">
        <w:rPr>
          <w:rFonts w:ascii="Arial" w:hAnsi="Arial" w:cs="Arial"/>
          <w:sz w:val="24"/>
          <w:szCs w:val="24"/>
          <w:lang w:val="en-US"/>
        </w:rPr>
        <w:t>indicator’s biases</w:t>
      </w:r>
      <w:r w:rsidRPr="003B1AF9">
        <w:rPr>
          <w:rFonts w:ascii="Arial" w:hAnsi="Arial" w:cs="Arial"/>
          <w:sz w:val="24"/>
          <w:szCs w:val="24"/>
          <w:lang w:val="en-US"/>
        </w:rPr>
        <w:t xml:space="preserve"> on bas</w:t>
      </w:r>
      <w:r w:rsidR="00CD39FD">
        <w:rPr>
          <w:rFonts w:ascii="Arial" w:hAnsi="Arial" w:cs="Arial"/>
          <w:sz w:val="24"/>
          <w:szCs w:val="24"/>
          <w:lang w:val="en-US"/>
        </w:rPr>
        <w:t>e</w:t>
      </w:r>
      <w:r w:rsidRPr="003B1AF9">
        <w:rPr>
          <w:rFonts w:ascii="Arial" w:hAnsi="Arial" w:cs="Arial"/>
          <w:sz w:val="24"/>
          <w:szCs w:val="24"/>
          <w:lang w:val="en-US"/>
        </w:rPr>
        <w:t xml:space="preserve"> of two </w:t>
      </w:r>
      <w:r w:rsidR="00CD39FD">
        <w:rPr>
          <w:rFonts w:ascii="Arial" w:hAnsi="Arial" w:cs="Arial"/>
          <w:sz w:val="24"/>
          <w:szCs w:val="24"/>
          <w:lang w:val="en-US"/>
        </w:rPr>
        <w:t>systems of</w:t>
      </w:r>
      <w:r w:rsidRPr="003B1AF9">
        <w:rPr>
          <w:rFonts w:ascii="Arial" w:hAnsi="Arial" w:cs="Arial"/>
          <w:sz w:val="24"/>
          <w:szCs w:val="24"/>
          <w:lang w:val="en-US"/>
        </w:rPr>
        <w:t xml:space="preserve"> weights</w:t>
      </w:r>
      <w:r w:rsidR="00CD39FD">
        <w:rPr>
          <w:rFonts w:ascii="Arial" w:hAnsi="Arial" w:cs="Arial"/>
          <w:sz w:val="24"/>
          <w:szCs w:val="24"/>
          <w:lang w:val="en-US"/>
        </w:rPr>
        <w:t xml:space="preserve"> – before and after calibration</w:t>
      </w:r>
      <w:r w:rsidRPr="003B1AF9">
        <w:rPr>
          <w:rFonts w:ascii="Arial" w:hAnsi="Arial" w:cs="Arial"/>
          <w:sz w:val="24"/>
          <w:szCs w:val="24"/>
          <w:lang w:val="en-US"/>
        </w:rPr>
        <w:t xml:space="preserve">. With a large number of </w:t>
      </w:r>
      <w:r w:rsidRPr="003B1AF9">
        <w:rPr>
          <w:rFonts w:ascii="Arial" w:hAnsi="Arial" w:cs="Arial"/>
          <w:sz w:val="24"/>
          <w:szCs w:val="24"/>
          <w:lang w:val="en-US"/>
        </w:rPr>
        <w:lastRenderedPageBreak/>
        <w:t>indicators and varying degrees of detail</w:t>
      </w:r>
      <w:r w:rsidR="00CD39FD">
        <w:rPr>
          <w:rFonts w:ascii="Arial" w:hAnsi="Arial" w:cs="Arial"/>
          <w:sz w:val="24"/>
          <w:szCs w:val="24"/>
          <w:lang w:val="en-US"/>
        </w:rPr>
        <w:t>ing</w:t>
      </w:r>
      <w:r w:rsidRPr="003B1AF9">
        <w:rPr>
          <w:rFonts w:ascii="Arial" w:hAnsi="Arial" w:cs="Arial"/>
          <w:sz w:val="24"/>
          <w:szCs w:val="24"/>
          <w:lang w:val="en-US"/>
        </w:rPr>
        <w:t>, it is probably</w:t>
      </w:r>
      <w:r w:rsidR="00CD39FD">
        <w:rPr>
          <w:rFonts w:ascii="Arial" w:hAnsi="Arial" w:cs="Arial"/>
          <w:sz w:val="24"/>
          <w:szCs w:val="24"/>
          <w:lang w:val="en-US"/>
        </w:rPr>
        <w:t xml:space="preserve"> will be</w:t>
      </w:r>
      <w:r w:rsidRPr="003B1AF9">
        <w:rPr>
          <w:rFonts w:ascii="Arial" w:hAnsi="Arial" w:cs="Arial"/>
          <w:sz w:val="24"/>
          <w:szCs w:val="24"/>
          <w:lang w:val="en-US"/>
        </w:rPr>
        <w:t xml:space="preserve"> necessary to apply </w:t>
      </w:r>
      <w:r w:rsidR="00CD39FD">
        <w:rPr>
          <w:rFonts w:ascii="Arial" w:hAnsi="Arial" w:cs="Arial"/>
          <w:sz w:val="24"/>
          <w:szCs w:val="24"/>
          <w:lang w:val="en-US"/>
        </w:rPr>
        <w:t>special</w:t>
      </w:r>
      <w:r w:rsidRPr="003B1AF9">
        <w:rPr>
          <w:rFonts w:ascii="Arial" w:hAnsi="Arial" w:cs="Arial"/>
          <w:sz w:val="24"/>
          <w:szCs w:val="24"/>
          <w:lang w:val="en-US"/>
        </w:rPr>
        <w:t xml:space="preserve"> procedures</w:t>
      </w:r>
      <w:r w:rsidR="00CD39FD">
        <w:rPr>
          <w:rFonts w:ascii="Arial" w:hAnsi="Arial" w:cs="Arial"/>
          <w:sz w:val="24"/>
          <w:szCs w:val="24"/>
          <w:lang w:val="en-US"/>
        </w:rPr>
        <w:t>, for instance, smoothing or trimming, t</w:t>
      </w:r>
      <w:r w:rsidR="00CD39FD" w:rsidRPr="00CD39FD">
        <w:rPr>
          <w:rFonts w:ascii="Arial" w:hAnsi="Arial" w:cs="Arial"/>
          <w:sz w:val="24"/>
          <w:szCs w:val="24"/>
          <w:lang w:val="en-US"/>
        </w:rPr>
        <w:t xml:space="preserve">o avoid </w:t>
      </w:r>
      <w:r w:rsidR="00CD39FD">
        <w:rPr>
          <w:rFonts w:ascii="Arial" w:hAnsi="Arial" w:cs="Arial"/>
          <w:sz w:val="24"/>
          <w:szCs w:val="24"/>
          <w:lang w:val="en-US"/>
        </w:rPr>
        <w:t xml:space="preserve">large </w:t>
      </w:r>
      <w:r w:rsidR="00CD39FD" w:rsidRPr="00CD39FD">
        <w:rPr>
          <w:rFonts w:ascii="Arial" w:hAnsi="Arial" w:cs="Arial"/>
          <w:sz w:val="24"/>
          <w:szCs w:val="24"/>
          <w:lang w:val="en-US"/>
        </w:rPr>
        <w:t>mistakes</w:t>
      </w:r>
      <w:r w:rsidRPr="003B1AF9">
        <w:rPr>
          <w:rFonts w:ascii="Arial" w:hAnsi="Arial" w:cs="Arial"/>
          <w:sz w:val="24"/>
          <w:szCs w:val="24"/>
          <w:lang w:val="en-US"/>
        </w:rPr>
        <w:t>.</w:t>
      </w:r>
    </w:p>
    <w:p w:rsidR="00F30C27" w:rsidRDefault="002367F8" w:rsidP="00DE15E7">
      <w:pPr>
        <w:spacing w:before="360" w:after="0" w:line="360" w:lineRule="auto"/>
        <w:jc w:val="both"/>
        <w:rPr>
          <w:rFonts w:ascii="Arial" w:hAnsi="Arial" w:cs="Arial"/>
          <w:b/>
          <w:sz w:val="24"/>
          <w:szCs w:val="24"/>
          <w:lang w:val="en-GB"/>
        </w:rPr>
      </w:pPr>
      <w:r w:rsidRPr="003B1AF9">
        <w:rPr>
          <w:rFonts w:ascii="Arial" w:hAnsi="Arial" w:cs="Arial"/>
          <w:sz w:val="24"/>
          <w:szCs w:val="24"/>
          <w:lang w:val="en-US"/>
        </w:rPr>
        <w:t xml:space="preserve"> </w:t>
      </w:r>
      <w:r w:rsidR="000F4AAC">
        <w:rPr>
          <w:rFonts w:ascii="Arial" w:hAnsi="Arial" w:cs="Arial"/>
          <w:b/>
          <w:sz w:val="24"/>
          <w:szCs w:val="24"/>
          <w:lang w:val="en-GB"/>
        </w:rPr>
        <w:t>4</w:t>
      </w:r>
      <w:r w:rsidR="00F30C27" w:rsidRPr="00EC5F5A">
        <w:rPr>
          <w:rFonts w:ascii="Arial" w:hAnsi="Arial" w:cs="Arial"/>
          <w:b/>
          <w:sz w:val="24"/>
          <w:szCs w:val="24"/>
          <w:lang w:val="en-GB"/>
        </w:rPr>
        <w:t>. References</w:t>
      </w:r>
    </w:p>
    <w:p w:rsidR="008957C6" w:rsidRPr="00CC3567" w:rsidRDefault="008957C6" w:rsidP="00E94D20">
      <w:pPr>
        <w:spacing w:after="120" w:line="360" w:lineRule="auto"/>
        <w:jc w:val="both"/>
        <w:rPr>
          <w:rFonts w:ascii="Arial" w:hAnsi="Arial" w:cs="Arial"/>
          <w:sz w:val="24"/>
          <w:szCs w:val="24"/>
          <w:lang w:val="uk-UA"/>
        </w:rPr>
      </w:pPr>
      <w:r w:rsidRPr="00CC3567">
        <w:rPr>
          <w:rFonts w:ascii="Arial" w:hAnsi="Arial" w:cs="Arial"/>
          <w:sz w:val="24"/>
          <w:szCs w:val="24"/>
          <w:lang w:val="en-US"/>
        </w:rPr>
        <w:t>Deville, J.-C. and Särndal, C.-E. (1992). Calibration estimators in survey sampling. Journal of the American Statistical Association, 87:376–382.</w:t>
      </w:r>
    </w:p>
    <w:p w:rsidR="000F4AAC" w:rsidRPr="000F4AAC" w:rsidRDefault="000F4AAC" w:rsidP="00E94D20">
      <w:pPr>
        <w:spacing w:after="120" w:line="360" w:lineRule="auto"/>
        <w:jc w:val="both"/>
        <w:rPr>
          <w:rFonts w:ascii="Arial" w:hAnsi="Arial" w:cs="Arial"/>
          <w:sz w:val="24"/>
          <w:szCs w:val="24"/>
          <w:lang w:val="en-US"/>
        </w:rPr>
      </w:pPr>
      <w:r w:rsidRPr="000F4AAC">
        <w:rPr>
          <w:rFonts w:ascii="Arial" w:eastAsia="Times New Roman" w:hAnsi="Arial" w:cs="Arial"/>
          <w:bCs/>
          <w:color w:val="000000"/>
          <w:sz w:val="24"/>
          <w:szCs w:val="24"/>
          <w:lang w:val="en-US" w:eastAsia="uk-UA"/>
        </w:rPr>
        <w:t>Methodology of calculating the sampling weights for grossing up of the results of the State Household Living Conditions Sample Survey on the population.</w:t>
      </w:r>
      <w:r>
        <w:rPr>
          <w:rFonts w:ascii="Arial" w:eastAsia="Times New Roman" w:hAnsi="Arial" w:cs="Arial"/>
          <w:bCs/>
          <w:color w:val="000000"/>
          <w:sz w:val="24"/>
          <w:szCs w:val="24"/>
          <w:lang w:val="en-US" w:eastAsia="uk-UA"/>
        </w:rPr>
        <w:t xml:space="preserve"> – </w:t>
      </w:r>
      <w:r w:rsidRPr="003E50DF">
        <w:rPr>
          <w:rFonts w:ascii="Arial" w:hAnsi="Arial" w:cs="Arial"/>
          <w:bCs/>
          <w:iCs/>
          <w:color w:val="000000"/>
          <w:sz w:val="24"/>
          <w:szCs w:val="24"/>
          <w:lang w:val="en-US"/>
        </w:rPr>
        <w:t>Kyiv, State Statistics Service of Ukraine (SSSU), 201</w:t>
      </w:r>
      <w:r>
        <w:rPr>
          <w:rFonts w:ascii="Arial" w:hAnsi="Arial" w:cs="Arial"/>
          <w:bCs/>
          <w:iCs/>
          <w:color w:val="000000"/>
          <w:sz w:val="24"/>
          <w:szCs w:val="24"/>
          <w:lang w:val="en-US"/>
        </w:rPr>
        <w:t xml:space="preserve">1 </w:t>
      </w:r>
      <w:r w:rsidRPr="003E50DF">
        <w:rPr>
          <w:rFonts w:ascii="Arial" w:hAnsi="Arial" w:cs="Arial"/>
          <w:bCs/>
          <w:iCs/>
          <w:color w:val="000000"/>
          <w:sz w:val="24"/>
          <w:szCs w:val="24"/>
          <w:lang w:val="en-US"/>
        </w:rPr>
        <w:t xml:space="preserve">(in Ukrainian). </w:t>
      </w:r>
      <w:r w:rsidRPr="003E50DF">
        <w:rPr>
          <w:rFonts w:ascii="Arial" w:hAnsi="Arial" w:cs="Arial"/>
          <w:sz w:val="24"/>
          <w:szCs w:val="24"/>
          <w:lang w:val="en-US"/>
        </w:rPr>
        <w:t>Available at:</w:t>
      </w:r>
      <w:r>
        <w:rPr>
          <w:rFonts w:ascii="Arial" w:hAnsi="Arial" w:cs="Arial"/>
          <w:sz w:val="24"/>
          <w:szCs w:val="24"/>
          <w:lang w:val="en-US"/>
        </w:rPr>
        <w:t xml:space="preserve"> </w:t>
      </w:r>
      <w:hyperlink r:id="rId8" w:history="1">
        <w:r w:rsidRPr="00695BA9">
          <w:rPr>
            <w:rStyle w:val="Hipercze"/>
            <w:rFonts w:ascii="Arial" w:hAnsi="Arial" w:cs="Arial"/>
            <w:sz w:val="24"/>
            <w:szCs w:val="24"/>
            <w:lang w:val="uk-UA"/>
          </w:rPr>
          <w:t>http://www.ukrstat.gov.ua/metod_polog/metod_doc/2006/521/metod.htm</w:t>
        </w:r>
      </w:hyperlink>
      <w:r>
        <w:rPr>
          <w:rFonts w:ascii="Arial" w:hAnsi="Arial" w:cs="Arial"/>
          <w:sz w:val="24"/>
          <w:szCs w:val="24"/>
          <w:lang w:val="en-US"/>
        </w:rPr>
        <w:t xml:space="preserve"> </w:t>
      </w:r>
      <w:r w:rsidRPr="003E50DF">
        <w:rPr>
          <w:rFonts w:ascii="Arial" w:hAnsi="Arial" w:cs="Arial"/>
          <w:sz w:val="24"/>
          <w:szCs w:val="24"/>
          <w:lang w:val="en-US"/>
        </w:rPr>
        <w:t>(Accessed: 18 May 2018).</w:t>
      </w:r>
    </w:p>
    <w:p w:rsidR="00D06D62" w:rsidRDefault="00D06D62" w:rsidP="00E94D20">
      <w:pPr>
        <w:tabs>
          <w:tab w:val="num" w:pos="840"/>
        </w:tabs>
        <w:spacing w:after="120" w:line="360" w:lineRule="auto"/>
        <w:jc w:val="both"/>
        <w:rPr>
          <w:rFonts w:ascii="Arial" w:hAnsi="Arial" w:cs="Arial"/>
          <w:sz w:val="24"/>
          <w:szCs w:val="24"/>
          <w:lang w:val="en-US"/>
        </w:rPr>
      </w:pPr>
      <w:r w:rsidRPr="00D06D62">
        <w:rPr>
          <w:rFonts w:ascii="Arial" w:hAnsi="Arial" w:cs="Arial"/>
          <w:sz w:val="24"/>
          <w:szCs w:val="24"/>
          <w:lang w:val="en-US"/>
        </w:rPr>
        <w:t xml:space="preserve">Methodology of adjustment of household’s living condition </w:t>
      </w:r>
      <w:r w:rsidRPr="002B240A">
        <w:rPr>
          <w:rFonts w:ascii="Arial" w:hAnsi="Arial" w:cs="Arial"/>
          <w:sz w:val="24"/>
          <w:szCs w:val="24"/>
          <w:lang w:val="en-US"/>
        </w:rPr>
        <w:t xml:space="preserve">indicators with the purpose of </w:t>
      </w:r>
      <w:r w:rsidRPr="003E50DF">
        <w:rPr>
          <w:rFonts w:ascii="Arial" w:hAnsi="Arial" w:cs="Arial"/>
          <w:sz w:val="24"/>
          <w:szCs w:val="24"/>
          <w:lang w:val="en-US"/>
        </w:rPr>
        <w:t>taking into account income and expenditure</w:t>
      </w:r>
      <w:r w:rsidR="002B240A" w:rsidRPr="003E50DF">
        <w:rPr>
          <w:rFonts w:ascii="Arial" w:hAnsi="Arial" w:cs="Arial"/>
          <w:sz w:val="24"/>
          <w:szCs w:val="24"/>
          <w:lang w:val="en-US"/>
        </w:rPr>
        <w:t>s</w:t>
      </w:r>
      <w:r w:rsidRPr="003E50DF">
        <w:rPr>
          <w:rFonts w:ascii="Arial" w:hAnsi="Arial" w:cs="Arial"/>
          <w:sz w:val="24"/>
          <w:szCs w:val="24"/>
          <w:lang w:val="en-US"/>
        </w:rPr>
        <w:t xml:space="preserve"> of the well-to-do population</w:t>
      </w:r>
      <w:r w:rsidRPr="003E50DF">
        <w:rPr>
          <w:rFonts w:ascii="Arial" w:hAnsi="Arial" w:cs="Arial"/>
          <w:bCs/>
          <w:iCs/>
          <w:color w:val="000000"/>
          <w:sz w:val="24"/>
          <w:szCs w:val="24"/>
          <w:lang w:val="en-US"/>
        </w:rPr>
        <w:t>.</w:t>
      </w:r>
      <w:r w:rsidR="002B240A" w:rsidRPr="003E50DF">
        <w:rPr>
          <w:rFonts w:ascii="Arial" w:hAnsi="Arial" w:cs="Arial"/>
          <w:bCs/>
          <w:iCs/>
          <w:color w:val="000000"/>
          <w:sz w:val="24"/>
          <w:szCs w:val="24"/>
          <w:lang w:val="en-US"/>
        </w:rPr>
        <w:t xml:space="preserve"> – Kyiv,</w:t>
      </w:r>
      <w:r w:rsidRPr="003E50DF">
        <w:rPr>
          <w:rFonts w:ascii="Arial" w:hAnsi="Arial" w:cs="Arial"/>
          <w:bCs/>
          <w:iCs/>
          <w:color w:val="000000"/>
          <w:sz w:val="24"/>
          <w:szCs w:val="24"/>
          <w:lang w:val="en-US"/>
        </w:rPr>
        <w:t xml:space="preserve"> State Statistics Service of Ukraine (SSSU), 2014</w:t>
      </w:r>
      <w:r w:rsidR="002B240A" w:rsidRPr="003E50DF">
        <w:rPr>
          <w:rFonts w:ascii="Arial" w:hAnsi="Arial" w:cs="Arial"/>
          <w:bCs/>
          <w:iCs/>
          <w:color w:val="000000"/>
          <w:sz w:val="24"/>
          <w:szCs w:val="24"/>
          <w:lang w:val="en-US"/>
        </w:rPr>
        <w:t xml:space="preserve"> (in Ukrainian).</w:t>
      </w:r>
      <w:r w:rsidRPr="003E50DF">
        <w:rPr>
          <w:rFonts w:ascii="Arial" w:hAnsi="Arial" w:cs="Arial"/>
          <w:bCs/>
          <w:iCs/>
          <w:color w:val="000000"/>
          <w:sz w:val="24"/>
          <w:szCs w:val="24"/>
          <w:lang w:val="en-US"/>
        </w:rPr>
        <w:t xml:space="preserve"> </w:t>
      </w:r>
      <w:r w:rsidRPr="003E50DF">
        <w:rPr>
          <w:rFonts w:ascii="Arial" w:hAnsi="Arial" w:cs="Arial"/>
          <w:sz w:val="24"/>
          <w:szCs w:val="24"/>
          <w:lang w:val="en-US"/>
        </w:rPr>
        <w:t>Available at:</w:t>
      </w:r>
      <w:r w:rsidR="000F4AAC">
        <w:rPr>
          <w:rFonts w:ascii="Arial" w:hAnsi="Arial" w:cs="Arial"/>
          <w:sz w:val="24"/>
          <w:szCs w:val="24"/>
          <w:lang w:val="en-US"/>
        </w:rPr>
        <w:t xml:space="preserve"> </w:t>
      </w:r>
      <w:hyperlink r:id="rId9" w:history="1">
        <w:r w:rsidRPr="003E50DF">
          <w:rPr>
            <w:rStyle w:val="Hipercze"/>
            <w:rFonts w:ascii="Arial" w:hAnsi="Arial" w:cs="Arial"/>
            <w:sz w:val="24"/>
            <w:szCs w:val="24"/>
            <w:lang w:val="en-US"/>
          </w:rPr>
          <w:t>http://www.ukrstat.gov.ua/metod_polog/metod_doc/2014/415/metod_pol_koryg_zhrn.zip</w:t>
        </w:r>
      </w:hyperlink>
      <w:r w:rsidRPr="003E50DF">
        <w:rPr>
          <w:rFonts w:ascii="Arial" w:hAnsi="Arial" w:cs="Arial"/>
          <w:sz w:val="24"/>
          <w:szCs w:val="24"/>
          <w:lang w:val="en-US"/>
        </w:rPr>
        <w:t xml:space="preserve"> (Accessed: 18 May 2018).</w:t>
      </w:r>
    </w:p>
    <w:p w:rsidR="007410A2" w:rsidRPr="0028150C" w:rsidRDefault="002A763F" w:rsidP="00E94D20">
      <w:pPr>
        <w:spacing w:after="120" w:line="360" w:lineRule="auto"/>
        <w:jc w:val="both"/>
        <w:rPr>
          <w:rFonts w:ascii="Arial" w:hAnsi="Arial" w:cs="Arial"/>
          <w:sz w:val="24"/>
          <w:szCs w:val="24"/>
          <w:lang w:val="en-GB"/>
        </w:rPr>
      </w:pPr>
      <w:r w:rsidRPr="003E50DF">
        <w:rPr>
          <w:rFonts w:ascii="Arial" w:hAnsi="Arial" w:cs="Arial"/>
          <w:bCs/>
          <w:iCs/>
          <w:color w:val="000000"/>
          <w:sz w:val="24"/>
          <w:szCs w:val="24"/>
          <w:lang w:val="en-US"/>
        </w:rPr>
        <w:t>Expenditure and resources of households</w:t>
      </w:r>
      <w:r>
        <w:rPr>
          <w:rFonts w:ascii="Arial" w:hAnsi="Arial" w:cs="Arial"/>
          <w:bCs/>
          <w:iCs/>
          <w:color w:val="000000"/>
          <w:sz w:val="24"/>
          <w:szCs w:val="24"/>
          <w:lang w:val="uk-UA"/>
        </w:rPr>
        <w:t xml:space="preserve"> of </w:t>
      </w:r>
      <w:r>
        <w:rPr>
          <w:rFonts w:ascii="Arial" w:hAnsi="Arial" w:cs="Arial"/>
          <w:bCs/>
          <w:iCs/>
          <w:color w:val="000000"/>
          <w:sz w:val="24"/>
          <w:szCs w:val="24"/>
          <w:lang w:val="en-US"/>
        </w:rPr>
        <w:t>U</w:t>
      </w:r>
      <w:r w:rsidRPr="00FC6566">
        <w:rPr>
          <w:rFonts w:ascii="Arial" w:hAnsi="Arial" w:cs="Arial"/>
          <w:bCs/>
          <w:iCs/>
          <w:color w:val="000000"/>
          <w:sz w:val="24"/>
          <w:szCs w:val="24"/>
          <w:lang w:val="uk-UA"/>
        </w:rPr>
        <w:t>kraine in 2016 year</w:t>
      </w:r>
      <w:r w:rsidR="003E50DF">
        <w:rPr>
          <w:rFonts w:ascii="Arial" w:hAnsi="Arial" w:cs="Arial"/>
          <w:bCs/>
          <w:iCs/>
          <w:color w:val="000000"/>
          <w:sz w:val="24"/>
          <w:szCs w:val="24"/>
          <w:lang w:val="en-US"/>
        </w:rPr>
        <w:t xml:space="preserve"> </w:t>
      </w:r>
      <w:r w:rsidR="002B240A">
        <w:rPr>
          <w:rFonts w:ascii="Arial" w:hAnsi="Arial" w:cs="Arial"/>
          <w:bCs/>
          <w:iCs/>
          <w:color w:val="000000"/>
          <w:sz w:val="24"/>
          <w:szCs w:val="24"/>
          <w:lang w:val="en-US"/>
        </w:rPr>
        <w:t>/</w:t>
      </w:r>
      <w:r w:rsidR="003E50DF">
        <w:rPr>
          <w:rFonts w:ascii="Arial" w:hAnsi="Arial" w:cs="Arial"/>
          <w:bCs/>
          <w:iCs/>
          <w:color w:val="000000"/>
          <w:sz w:val="24"/>
          <w:szCs w:val="24"/>
          <w:lang w:val="en-US"/>
        </w:rPr>
        <w:t xml:space="preserve"> </w:t>
      </w:r>
      <w:r w:rsidRPr="002A763F">
        <w:rPr>
          <w:rFonts w:ascii="Arial" w:hAnsi="Arial" w:cs="Arial"/>
          <w:bCs/>
          <w:iCs/>
          <w:color w:val="000000"/>
          <w:sz w:val="24"/>
          <w:szCs w:val="24"/>
          <w:lang w:val="en-US"/>
        </w:rPr>
        <w:t xml:space="preserve">Statistical </w:t>
      </w:r>
      <w:r>
        <w:rPr>
          <w:rFonts w:ascii="Arial" w:hAnsi="Arial" w:cs="Arial"/>
          <w:bCs/>
          <w:iCs/>
          <w:color w:val="000000"/>
          <w:sz w:val="24"/>
          <w:szCs w:val="24"/>
          <w:lang w:val="en-US"/>
        </w:rPr>
        <w:t>Publication</w:t>
      </w:r>
      <w:r w:rsidRPr="002A763F">
        <w:rPr>
          <w:rFonts w:ascii="Arial" w:hAnsi="Arial" w:cs="Arial"/>
          <w:bCs/>
          <w:iCs/>
          <w:color w:val="000000"/>
          <w:sz w:val="24"/>
          <w:szCs w:val="24"/>
          <w:lang w:val="en-US"/>
        </w:rPr>
        <w:t>.</w:t>
      </w:r>
      <w:r w:rsidR="003E50DF">
        <w:rPr>
          <w:rFonts w:ascii="Arial" w:hAnsi="Arial" w:cs="Arial"/>
          <w:bCs/>
          <w:iCs/>
          <w:color w:val="000000"/>
          <w:sz w:val="24"/>
          <w:szCs w:val="24"/>
          <w:lang w:val="en-US"/>
        </w:rPr>
        <w:t xml:space="preserve"> </w:t>
      </w:r>
      <w:r w:rsidR="003E50DF" w:rsidRPr="003E50DF">
        <w:rPr>
          <w:rFonts w:ascii="Arial" w:hAnsi="Arial" w:cs="Arial"/>
          <w:bCs/>
          <w:iCs/>
          <w:color w:val="000000"/>
          <w:sz w:val="24"/>
          <w:szCs w:val="24"/>
          <w:lang w:val="en-US"/>
        </w:rPr>
        <w:t xml:space="preserve">. – Kyiv, </w:t>
      </w:r>
      <w:r w:rsidRPr="002A763F">
        <w:rPr>
          <w:rFonts w:ascii="Arial" w:hAnsi="Arial" w:cs="Arial"/>
          <w:bCs/>
          <w:iCs/>
          <w:color w:val="000000"/>
          <w:sz w:val="24"/>
          <w:szCs w:val="24"/>
          <w:lang w:val="en-US"/>
        </w:rPr>
        <w:t>State Statistics Service of Ukraine</w:t>
      </w:r>
      <w:r w:rsidR="007410A2">
        <w:rPr>
          <w:rFonts w:ascii="Arial" w:hAnsi="Arial" w:cs="Arial"/>
          <w:bCs/>
          <w:iCs/>
          <w:color w:val="000000"/>
          <w:sz w:val="24"/>
          <w:szCs w:val="24"/>
          <w:lang w:val="en-US"/>
        </w:rPr>
        <w:t xml:space="preserve"> (SSSU)</w:t>
      </w:r>
      <w:r>
        <w:rPr>
          <w:rFonts w:ascii="Arial" w:hAnsi="Arial" w:cs="Arial"/>
          <w:bCs/>
          <w:iCs/>
          <w:color w:val="000000"/>
          <w:sz w:val="24"/>
          <w:szCs w:val="24"/>
          <w:lang w:val="en-US"/>
        </w:rPr>
        <w:t>, 2017.</w:t>
      </w:r>
      <w:r w:rsidR="007410A2">
        <w:rPr>
          <w:rFonts w:ascii="Arial" w:hAnsi="Arial" w:cs="Arial"/>
          <w:bCs/>
          <w:iCs/>
          <w:color w:val="000000"/>
          <w:sz w:val="24"/>
          <w:szCs w:val="24"/>
          <w:lang w:val="en-US"/>
        </w:rPr>
        <w:t xml:space="preserve"> </w:t>
      </w:r>
      <w:r w:rsidR="007410A2" w:rsidRPr="00EC5F5A">
        <w:rPr>
          <w:rFonts w:ascii="Arial" w:hAnsi="Arial" w:cs="Arial"/>
          <w:sz w:val="24"/>
          <w:szCs w:val="24"/>
          <w:lang w:val="en-GB"/>
        </w:rPr>
        <w:t xml:space="preserve">Available at: </w:t>
      </w:r>
      <w:hyperlink r:id="rId10" w:history="1">
        <w:r w:rsidR="00202613" w:rsidRPr="00695BA9">
          <w:rPr>
            <w:rStyle w:val="Hipercze"/>
            <w:rFonts w:ascii="Arial" w:hAnsi="Arial" w:cs="Arial"/>
            <w:sz w:val="24"/>
            <w:szCs w:val="24"/>
            <w:lang w:val="uk-UA"/>
          </w:rPr>
          <w:t>http://www.ukrstat.gov.ua/druk/publicat/kat_u/2017/zb/03/zb_ndgttk2016_pdf.zip</w:t>
        </w:r>
      </w:hyperlink>
      <w:r w:rsidR="00202613">
        <w:rPr>
          <w:rStyle w:val="Hipercze"/>
          <w:rFonts w:ascii="Arial" w:hAnsi="Arial" w:cs="Arial"/>
          <w:sz w:val="24"/>
          <w:szCs w:val="24"/>
          <w:lang w:val="en-US"/>
        </w:rPr>
        <w:t xml:space="preserve"> </w:t>
      </w:r>
      <w:r w:rsidR="007410A2" w:rsidRPr="00EC5F5A">
        <w:rPr>
          <w:rFonts w:ascii="Arial" w:hAnsi="Arial" w:cs="Arial"/>
          <w:sz w:val="24"/>
          <w:szCs w:val="24"/>
          <w:lang w:val="en-GB"/>
        </w:rPr>
        <w:t xml:space="preserve"> </w:t>
      </w:r>
      <w:r w:rsidR="000F4AAC" w:rsidRPr="003E50DF">
        <w:rPr>
          <w:rFonts w:ascii="Arial" w:hAnsi="Arial" w:cs="Arial"/>
          <w:sz w:val="24"/>
          <w:szCs w:val="24"/>
          <w:lang w:val="en-US"/>
        </w:rPr>
        <w:t>(Accessed: 18 May 2018).</w:t>
      </w:r>
    </w:p>
    <w:p w:rsidR="004740F1" w:rsidRDefault="004740F1" w:rsidP="00C74A1D">
      <w:pPr>
        <w:rPr>
          <w:rFonts w:ascii="Arial" w:hAnsi="Arial" w:cs="Arial"/>
          <w:sz w:val="24"/>
          <w:szCs w:val="24"/>
          <w:lang w:val="en-GB"/>
        </w:rPr>
      </w:pPr>
    </w:p>
    <w:p w:rsidR="009B7029" w:rsidRPr="00EC5F5A" w:rsidRDefault="009B7029" w:rsidP="00C74A1D">
      <w:pPr>
        <w:rPr>
          <w:rFonts w:ascii="Arial" w:hAnsi="Arial" w:cs="Arial"/>
          <w:sz w:val="24"/>
          <w:szCs w:val="24"/>
          <w:lang w:val="en-GB"/>
        </w:rPr>
      </w:pPr>
    </w:p>
    <w:sectPr w:rsidR="009B7029" w:rsidRPr="00EC5F5A"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BE" w:rsidRDefault="004620BE" w:rsidP="00E82B25">
      <w:pPr>
        <w:spacing w:after="0" w:line="240" w:lineRule="auto"/>
      </w:pPr>
      <w:r>
        <w:separator/>
      </w:r>
    </w:p>
  </w:endnote>
  <w:endnote w:type="continuationSeparator" w:id="0">
    <w:p w:rsidR="004620BE" w:rsidRDefault="004620BE"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D55A1A" w:rsidRPr="009378F5" w:rsidRDefault="00BC4CBD" w:rsidP="0035694D">
        <w:pPr>
          <w:pStyle w:val="Stopka"/>
          <w:jc w:val="right"/>
          <w:rPr>
            <w:rFonts w:ascii="Arial" w:hAnsi="Arial" w:cs="Arial"/>
            <w:sz w:val="24"/>
            <w:szCs w:val="24"/>
          </w:rPr>
        </w:pPr>
        <w:r w:rsidRPr="009378F5">
          <w:rPr>
            <w:rFonts w:ascii="Arial" w:hAnsi="Arial" w:cs="Arial"/>
            <w:sz w:val="24"/>
            <w:szCs w:val="24"/>
          </w:rPr>
          <w:fldChar w:fldCharType="begin"/>
        </w:r>
        <w:r w:rsidR="00D55A1A" w:rsidRPr="009378F5">
          <w:rPr>
            <w:rFonts w:ascii="Arial" w:hAnsi="Arial" w:cs="Arial"/>
            <w:sz w:val="24"/>
            <w:szCs w:val="24"/>
          </w:rPr>
          <w:instrText>PAGE   \* MERGEFORMAT</w:instrText>
        </w:r>
        <w:r w:rsidRPr="009378F5">
          <w:rPr>
            <w:rFonts w:ascii="Arial" w:hAnsi="Arial" w:cs="Arial"/>
            <w:sz w:val="24"/>
            <w:szCs w:val="24"/>
          </w:rPr>
          <w:fldChar w:fldCharType="separate"/>
        </w:r>
        <w:r w:rsidR="00920C1D">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BE" w:rsidRDefault="004620BE" w:rsidP="00E82B25">
      <w:pPr>
        <w:spacing w:after="0" w:line="240" w:lineRule="auto"/>
      </w:pPr>
      <w:r>
        <w:separator/>
      </w:r>
    </w:p>
  </w:footnote>
  <w:footnote w:type="continuationSeparator" w:id="0">
    <w:p w:rsidR="004620BE" w:rsidRDefault="004620BE"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1A" w:rsidRDefault="00920C1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1A" w:rsidRDefault="00920C1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1A" w:rsidRDefault="00920C1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2C3"/>
    <w:multiLevelType w:val="hybridMultilevel"/>
    <w:tmpl w:val="4920BA84"/>
    <w:lvl w:ilvl="0" w:tplc="3468CF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566E7310"/>
    <w:multiLevelType w:val="multilevel"/>
    <w:tmpl w:val="BBEA7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1364C"/>
    <w:multiLevelType w:val="multilevel"/>
    <w:tmpl w:val="95B81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17FB"/>
    <w:rsid w:val="0001133F"/>
    <w:rsid w:val="00016BF6"/>
    <w:rsid w:val="00026CD3"/>
    <w:rsid w:val="00047C24"/>
    <w:rsid w:val="00051D53"/>
    <w:rsid w:val="00056B76"/>
    <w:rsid w:val="000613CC"/>
    <w:rsid w:val="00070925"/>
    <w:rsid w:val="0007704A"/>
    <w:rsid w:val="00077A1B"/>
    <w:rsid w:val="000957CC"/>
    <w:rsid w:val="000C4F93"/>
    <w:rsid w:val="000C6472"/>
    <w:rsid w:val="000C679E"/>
    <w:rsid w:val="000D705A"/>
    <w:rsid w:val="000F337F"/>
    <w:rsid w:val="000F4AAC"/>
    <w:rsid w:val="001274ED"/>
    <w:rsid w:val="00133E07"/>
    <w:rsid w:val="00142A8D"/>
    <w:rsid w:val="00144A3B"/>
    <w:rsid w:val="00157DAD"/>
    <w:rsid w:val="00160406"/>
    <w:rsid w:val="00161358"/>
    <w:rsid w:val="0016743D"/>
    <w:rsid w:val="00173B96"/>
    <w:rsid w:val="00182357"/>
    <w:rsid w:val="001E2F95"/>
    <w:rsid w:val="001E3C9B"/>
    <w:rsid w:val="001E43DC"/>
    <w:rsid w:val="00202613"/>
    <w:rsid w:val="00207B48"/>
    <w:rsid w:val="00214A58"/>
    <w:rsid w:val="00221F17"/>
    <w:rsid w:val="002348A2"/>
    <w:rsid w:val="00234927"/>
    <w:rsid w:val="0023623C"/>
    <w:rsid w:val="002367F8"/>
    <w:rsid w:val="00242620"/>
    <w:rsid w:val="00255551"/>
    <w:rsid w:val="0027059B"/>
    <w:rsid w:val="0028150C"/>
    <w:rsid w:val="00282B53"/>
    <w:rsid w:val="00293580"/>
    <w:rsid w:val="002A763F"/>
    <w:rsid w:val="002B240A"/>
    <w:rsid w:val="002B474E"/>
    <w:rsid w:val="002B6D33"/>
    <w:rsid w:val="002C23C9"/>
    <w:rsid w:val="002D2ED1"/>
    <w:rsid w:val="002E6507"/>
    <w:rsid w:val="00336E21"/>
    <w:rsid w:val="0035694D"/>
    <w:rsid w:val="00362815"/>
    <w:rsid w:val="003A1D16"/>
    <w:rsid w:val="003B1AF9"/>
    <w:rsid w:val="003C4FD0"/>
    <w:rsid w:val="003E25EF"/>
    <w:rsid w:val="003E50DF"/>
    <w:rsid w:val="004150F5"/>
    <w:rsid w:val="00427D66"/>
    <w:rsid w:val="00450DFB"/>
    <w:rsid w:val="004620BE"/>
    <w:rsid w:val="004740F1"/>
    <w:rsid w:val="004861AC"/>
    <w:rsid w:val="00493026"/>
    <w:rsid w:val="004A12A7"/>
    <w:rsid w:val="004A1A99"/>
    <w:rsid w:val="004B39C1"/>
    <w:rsid w:val="004B6729"/>
    <w:rsid w:val="004C5048"/>
    <w:rsid w:val="004F04B4"/>
    <w:rsid w:val="005215E8"/>
    <w:rsid w:val="00530FD6"/>
    <w:rsid w:val="00532347"/>
    <w:rsid w:val="005507E6"/>
    <w:rsid w:val="0056609E"/>
    <w:rsid w:val="005711A9"/>
    <w:rsid w:val="005812C5"/>
    <w:rsid w:val="005A1F57"/>
    <w:rsid w:val="005A45A4"/>
    <w:rsid w:val="005B6971"/>
    <w:rsid w:val="005E79C1"/>
    <w:rsid w:val="006052BF"/>
    <w:rsid w:val="0062048B"/>
    <w:rsid w:val="00642C6B"/>
    <w:rsid w:val="00653D6C"/>
    <w:rsid w:val="00661CAE"/>
    <w:rsid w:val="00667788"/>
    <w:rsid w:val="0069009D"/>
    <w:rsid w:val="00697934"/>
    <w:rsid w:val="006B5A4A"/>
    <w:rsid w:val="006C5879"/>
    <w:rsid w:val="006C6957"/>
    <w:rsid w:val="006D1D6B"/>
    <w:rsid w:val="007166F1"/>
    <w:rsid w:val="007410A2"/>
    <w:rsid w:val="00757335"/>
    <w:rsid w:val="007730C4"/>
    <w:rsid w:val="00776C97"/>
    <w:rsid w:val="00786240"/>
    <w:rsid w:val="00787E27"/>
    <w:rsid w:val="007A397F"/>
    <w:rsid w:val="007D7D80"/>
    <w:rsid w:val="007E62E7"/>
    <w:rsid w:val="007E6D8C"/>
    <w:rsid w:val="0081701B"/>
    <w:rsid w:val="0082373C"/>
    <w:rsid w:val="00835B52"/>
    <w:rsid w:val="00867B2C"/>
    <w:rsid w:val="00873330"/>
    <w:rsid w:val="00883326"/>
    <w:rsid w:val="008856B7"/>
    <w:rsid w:val="008957C6"/>
    <w:rsid w:val="008A71D2"/>
    <w:rsid w:val="008B0935"/>
    <w:rsid w:val="008D549A"/>
    <w:rsid w:val="008D56E1"/>
    <w:rsid w:val="008D6094"/>
    <w:rsid w:val="008E2C15"/>
    <w:rsid w:val="008F08B9"/>
    <w:rsid w:val="00902A7F"/>
    <w:rsid w:val="00920C1D"/>
    <w:rsid w:val="00921A0B"/>
    <w:rsid w:val="009326A1"/>
    <w:rsid w:val="009378F5"/>
    <w:rsid w:val="00973B8D"/>
    <w:rsid w:val="00995EEE"/>
    <w:rsid w:val="00996CE9"/>
    <w:rsid w:val="009A28E0"/>
    <w:rsid w:val="009B3F08"/>
    <w:rsid w:val="009B7029"/>
    <w:rsid w:val="009D7EB9"/>
    <w:rsid w:val="009E0429"/>
    <w:rsid w:val="009E5493"/>
    <w:rsid w:val="00A23816"/>
    <w:rsid w:val="00A3172B"/>
    <w:rsid w:val="00A454B6"/>
    <w:rsid w:val="00A531F2"/>
    <w:rsid w:val="00A6013E"/>
    <w:rsid w:val="00AC53FD"/>
    <w:rsid w:val="00AD1423"/>
    <w:rsid w:val="00AD496E"/>
    <w:rsid w:val="00AD4AEE"/>
    <w:rsid w:val="00B47197"/>
    <w:rsid w:val="00B72169"/>
    <w:rsid w:val="00B74218"/>
    <w:rsid w:val="00B77A7F"/>
    <w:rsid w:val="00B86FC7"/>
    <w:rsid w:val="00B912C3"/>
    <w:rsid w:val="00BB19AC"/>
    <w:rsid w:val="00BC26CE"/>
    <w:rsid w:val="00BC4CBD"/>
    <w:rsid w:val="00BF026D"/>
    <w:rsid w:val="00BF6DBC"/>
    <w:rsid w:val="00C16E8E"/>
    <w:rsid w:val="00C261EA"/>
    <w:rsid w:val="00C40213"/>
    <w:rsid w:val="00C444A7"/>
    <w:rsid w:val="00C5404F"/>
    <w:rsid w:val="00C55909"/>
    <w:rsid w:val="00C643D1"/>
    <w:rsid w:val="00C65C0B"/>
    <w:rsid w:val="00C726EA"/>
    <w:rsid w:val="00C74A1D"/>
    <w:rsid w:val="00CA45BC"/>
    <w:rsid w:val="00CB2B44"/>
    <w:rsid w:val="00CB4074"/>
    <w:rsid w:val="00CC1C1D"/>
    <w:rsid w:val="00CC3567"/>
    <w:rsid w:val="00CD39FD"/>
    <w:rsid w:val="00CE17EA"/>
    <w:rsid w:val="00CF33AD"/>
    <w:rsid w:val="00CF656A"/>
    <w:rsid w:val="00D0258C"/>
    <w:rsid w:val="00D0270E"/>
    <w:rsid w:val="00D06D62"/>
    <w:rsid w:val="00D12432"/>
    <w:rsid w:val="00D20550"/>
    <w:rsid w:val="00D2769B"/>
    <w:rsid w:val="00D3638C"/>
    <w:rsid w:val="00D52194"/>
    <w:rsid w:val="00D55A1A"/>
    <w:rsid w:val="00D65C24"/>
    <w:rsid w:val="00DA74F6"/>
    <w:rsid w:val="00DB0159"/>
    <w:rsid w:val="00DB0399"/>
    <w:rsid w:val="00DD38D1"/>
    <w:rsid w:val="00DD4526"/>
    <w:rsid w:val="00DD4977"/>
    <w:rsid w:val="00DE01B4"/>
    <w:rsid w:val="00DE15E7"/>
    <w:rsid w:val="00DE387A"/>
    <w:rsid w:val="00DF24A6"/>
    <w:rsid w:val="00DF27A8"/>
    <w:rsid w:val="00E261EB"/>
    <w:rsid w:val="00E40F1F"/>
    <w:rsid w:val="00E7228E"/>
    <w:rsid w:val="00E82B25"/>
    <w:rsid w:val="00E90A8D"/>
    <w:rsid w:val="00E92831"/>
    <w:rsid w:val="00E9313B"/>
    <w:rsid w:val="00E94D20"/>
    <w:rsid w:val="00EB7A63"/>
    <w:rsid w:val="00EC5F5A"/>
    <w:rsid w:val="00EE4A70"/>
    <w:rsid w:val="00F30C27"/>
    <w:rsid w:val="00F42D13"/>
    <w:rsid w:val="00F51570"/>
    <w:rsid w:val="00F74EA2"/>
    <w:rsid w:val="00F76F65"/>
    <w:rsid w:val="00FC6566"/>
    <w:rsid w:val="00FE36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0D17EA77-ABCC-4B4D-935E-6BA1DDE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1AC"/>
  </w:style>
  <w:style w:type="paragraph" w:styleId="Nagwek3">
    <w:name w:val="heading 3"/>
    <w:basedOn w:val="Normalny"/>
    <w:link w:val="Nagwek3Znak"/>
    <w:uiPriority w:val="9"/>
    <w:qFormat/>
    <w:rsid w:val="009B702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character" w:customStyle="1" w:styleId="Nagwek3Znak">
    <w:name w:val="Nagłówek 3 Znak"/>
    <w:basedOn w:val="Domylnaczcionkaakapitu"/>
    <w:link w:val="Nagwek3"/>
    <w:uiPriority w:val="9"/>
    <w:rsid w:val="009B7029"/>
    <w:rPr>
      <w:rFonts w:ascii="Times New Roman" w:eastAsia="Times New Roman" w:hAnsi="Times New Roman" w:cs="Times New Roman"/>
      <w:b/>
      <w:bCs/>
      <w:sz w:val="27"/>
      <w:szCs w:val="27"/>
      <w:lang w:val="uk-UA" w:eastAsia="uk-UA"/>
    </w:rPr>
  </w:style>
  <w:style w:type="character" w:styleId="Pogrubienie">
    <w:name w:val="Strong"/>
    <w:basedOn w:val="Domylnaczcionkaakapitu"/>
    <w:uiPriority w:val="22"/>
    <w:qFormat/>
    <w:rsid w:val="009B7029"/>
    <w:rPr>
      <w:b/>
      <w:bCs/>
    </w:rPr>
  </w:style>
  <w:style w:type="paragraph" w:styleId="NormalnyWeb">
    <w:name w:val="Normal (Web)"/>
    <w:basedOn w:val="Normalny"/>
    <w:uiPriority w:val="99"/>
    <w:semiHidden/>
    <w:unhideWhenUsed/>
    <w:rsid w:val="009B70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214A5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kapitzlist">
    <w:name w:val="List Paragraph"/>
    <w:basedOn w:val="Normalny"/>
    <w:uiPriority w:val="34"/>
    <w:qFormat/>
    <w:rsid w:val="002C23C9"/>
    <w:pPr>
      <w:spacing w:after="0" w:line="240" w:lineRule="auto"/>
      <w:ind w:left="720"/>
      <w:contextualSpacing/>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7022">
      <w:bodyDiv w:val="1"/>
      <w:marLeft w:val="0"/>
      <w:marRight w:val="0"/>
      <w:marTop w:val="0"/>
      <w:marBottom w:val="0"/>
      <w:divBdr>
        <w:top w:val="none" w:sz="0" w:space="0" w:color="auto"/>
        <w:left w:val="none" w:sz="0" w:space="0" w:color="auto"/>
        <w:bottom w:val="none" w:sz="0" w:space="0" w:color="auto"/>
        <w:right w:val="none" w:sz="0" w:space="0" w:color="auto"/>
      </w:divBdr>
    </w:div>
    <w:div w:id="588663093">
      <w:bodyDiv w:val="1"/>
      <w:marLeft w:val="0"/>
      <w:marRight w:val="0"/>
      <w:marTop w:val="0"/>
      <w:marBottom w:val="0"/>
      <w:divBdr>
        <w:top w:val="none" w:sz="0" w:space="0" w:color="auto"/>
        <w:left w:val="none" w:sz="0" w:space="0" w:color="auto"/>
        <w:bottom w:val="none" w:sz="0" w:space="0" w:color="auto"/>
        <w:right w:val="none" w:sz="0" w:space="0" w:color="auto"/>
      </w:divBdr>
    </w:div>
    <w:div w:id="780994759">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51317649">
      <w:bodyDiv w:val="1"/>
      <w:marLeft w:val="0"/>
      <w:marRight w:val="0"/>
      <w:marTop w:val="0"/>
      <w:marBottom w:val="0"/>
      <w:divBdr>
        <w:top w:val="none" w:sz="0" w:space="0" w:color="auto"/>
        <w:left w:val="none" w:sz="0" w:space="0" w:color="auto"/>
        <w:bottom w:val="none" w:sz="0" w:space="0" w:color="auto"/>
        <w:right w:val="none" w:sz="0" w:space="0" w:color="auto"/>
      </w:divBdr>
    </w:div>
    <w:div w:id="1525635134">
      <w:bodyDiv w:val="1"/>
      <w:marLeft w:val="0"/>
      <w:marRight w:val="0"/>
      <w:marTop w:val="0"/>
      <w:marBottom w:val="0"/>
      <w:divBdr>
        <w:top w:val="none" w:sz="0" w:space="0" w:color="auto"/>
        <w:left w:val="none" w:sz="0" w:space="0" w:color="auto"/>
        <w:bottom w:val="none" w:sz="0" w:space="0" w:color="auto"/>
        <w:right w:val="none" w:sz="0" w:space="0" w:color="auto"/>
      </w:divBdr>
    </w:div>
    <w:div w:id="1627857672">
      <w:bodyDiv w:val="1"/>
      <w:marLeft w:val="0"/>
      <w:marRight w:val="0"/>
      <w:marTop w:val="0"/>
      <w:marBottom w:val="0"/>
      <w:divBdr>
        <w:top w:val="none" w:sz="0" w:space="0" w:color="auto"/>
        <w:left w:val="none" w:sz="0" w:space="0" w:color="auto"/>
        <w:bottom w:val="none" w:sz="0" w:space="0" w:color="auto"/>
        <w:right w:val="none" w:sz="0" w:space="0" w:color="auto"/>
      </w:divBdr>
    </w:div>
    <w:div w:id="1715226157">
      <w:bodyDiv w:val="1"/>
      <w:marLeft w:val="0"/>
      <w:marRight w:val="0"/>
      <w:marTop w:val="0"/>
      <w:marBottom w:val="0"/>
      <w:divBdr>
        <w:top w:val="none" w:sz="0" w:space="0" w:color="auto"/>
        <w:left w:val="none" w:sz="0" w:space="0" w:color="auto"/>
        <w:bottom w:val="none" w:sz="0" w:space="0" w:color="auto"/>
        <w:right w:val="none" w:sz="0" w:space="0" w:color="auto"/>
      </w:divBdr>
    </w:div>
    <w:div w:id="1799376754">
      <w:bodyDiv w:val="1"/>
      <w:marLeft w:val="0"/>
      <w:marRight w:val="0"/>
      <w:marTop w:val="0"/>
      <w:marBottom w:val="0"/>
      <w:divBdr>
        <w:top w:val="none" w:sz="0" w:space="0" w:color="auto"/>
        <w:left w:val="none" w:sz="0" w:space="0" w:color="auto"/>
        <w:bottom w:val="none" w:sz="0" w:space="0" w:color="auto"/>
        <w:right w:val="none" w:sz="0" w:space="0" w:color="auto"/>
      </w:divBdr>
    </w:div>
    <w:div w:id="191948605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metod_polog/metod_doc/2006/521/metod.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krstat.gov.ua/druk/publicat/kat_u/2017/zb/03/zb_ndgttk2016_pdf.zip" TargetMode="External"/><Relationship Id="rId4" Type="http://schemas.openxmlformats.org/officeDocument/2006/relationships/settings" Target="settings.xml"/><Relationship Id="rId9" Type="http://schemas.openxmlformats.org/officeDocument/2006/relationships/hyperlink" Target="http://www.ukrstat.gov.ua/metod_polog/metod_doc/2014/415/metod_pol_koryg_zhrn.zi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E2BE-3375-439C-8772-4122CE42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9034</Characters>
  <Application>Microsoft Office Word</Application>
  <DocSecurity>0</DocSecurity>
  <Lines>75</Lines>
  <Paragraphs>21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Retired</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2018-02-22T12:09:00Z</cp:lastPrinted>
  <dcterms:created xsi:type="dcterms:W3CDTF">2018-05-25T05:53:00Z</dcterms:created>
  <dcterms:modified xsi:type="dcterms:W3CDTF">2018-05-25T05:53:00Z</dcterms:modified>
</cp:coreProperties>
</file>