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99" w:rsidRPr="00EC5F5A" w:rsidRDefault="00161DE9" w:rsidP="00D0270E">
      <w:pPr>
        <w:spacing w:before="480" w:after="480" w:line="360" w:lineRule="auto"/>
        <w:jc w:val="center"/>
        <w:rPr>
          <w:rFonts w:ascii="Arial" w:hAnsi="Arial" w:cs="Arial"/>
          <w:b/>
          <w:sz w:val="48"/>
          <w:szCs w:val="48"/>
          <w:lang w:val="en-GB"/>
        </w:rPr>
      </w:pPr>
      <w:r w:rsidRPr="00691542">
        <w:rPr>
          <w:rFonts w:ascii="Arial" w:hAnsi="Arial" w:cs="Arial"/>
          <w:b/>
          <w:sz w:val="48"/>
          <w:szCs w:val="48"/>
        </w:rPr>
        <w:t>The R-Package ‘surveysd’ - Estimating Standard Errors in Complex Surveys with Rotating Panel Design</w:t>
      </w:r>
    </w:p>
    <w:p w:rsidR="00161DE9" w:rsidRPr="00161DE9" w:rsidRDefault="00161DE9" w:rsidP="00161DE9">
      <w:pPr>
        <w:spacing w:after="0" w:line="360" w:lineRule="auto"/>
        <w:jc w:val="both"/>
        <w:rPr>
          <w:rFonts w:ascii="Arial" w:hAnsi="Arial" w:cs="Arial"/>
          <w:sz w:val="24"/>
          <w:szCs w:val="24"/>
          <w:lang w:val="en-GB"/>
        </w:rPr>
      </w:pPr>
      <w:r w:rsidRPr="00161DE9">
        <w:rPr>
          <w:rFonts w:ascii="Arial" w:hAnsi="Arial" w:cs="Arial"/>
          <w:sz w:val="24"/>
          <w:szCs w:val="24"/>
          <w:lang w:val="en-GB"/>
        </w:rPr>
        <w:t xml:space="preserve">Johannes </w:t>
      </w:r>
      <w:proofErr w:type="spellStart"/>
      <w:r w:rsidRPr="00161DE9">
        <w:rPr>
          <w:rFonts w:ascii="Arial" w:hAnsi="Arial" w:cs="Arial"/>
          <w:sz w:val="24"/>
          <w:szCs w:val="24"/>
          <w:lang w:val="en-GB"/>
        </w:rPr>
        <w:t>Gussenbauer</w:t>
      </w:r>
      <w:proofErr w:type="spellEnd"/>
      <w:r w:rsidRPr="00161DE9">
        <w:rPr>
          <w:rFonts w:ascii="Arial" w:hAnsi="Arial" w:cs="Arial"/>
          <w:sz w:val="24"/>
          <w:szCs w:val="24"/>
          <w:lang w:val="en-GB"/>
        </w:rPr>
        <w:t>, Statistics Austria, Johannes.Gussenbauer@statistik.gv.at</w:t>
      </w:r>
    </w:p>
    <w:p w:rsidR="00161DE9" w:rsidRPr="00161DE9" w:rsidRDefault="00161DE9" w:rsidP="00161DE9">
      <w:pPr>
        <w:spacing w:after="0" w:line="360" w:lineRule="auto"/>
        <w:jc w:val="both"/>
        <w:rPr>
          <w:rFonts w:ascii="Arial" w:hAnsi="Arial" w:cs="Arial"/>
          <w:sz w:val="24"/>
          <w:szCs w:val="24"/>
          <w:lang w:val="en-GB"/>
        </w:rPr>
      </w:pPr>
      <w:r w:rsidRPr="00161DE9">
        <w:rPr>
          <w:rFonts w:ascii="Arial" w:hAnsi="Arial" w:cs="Arial"/>
          <w:sz w:val="24"/>
          <w:szCs w:val="24"/>
          <w:lang w:val="en-GB"/>
        </w:rPr>
        <w:t xml:space="preserve">Alexander </w:t>
      </w:r>
      <w:proofErr w:type="spellStart"/>
      <w:r w:rsidRPr="00161DE9">
        <w:rPr>
          <w:rFonts w:ascii="Arial" w:hAnsi="Arial" w:cs="Arial"/>
          <w:sz w:val="24"/>
          <w:szCs w:val="24"/>
          <w:lang w:val="en-GB"/>
        </w:rPr>
        <w:t>Kowarik</w:t>
      </w:r>
      <w:proofErr w:type="spellEnd"/>
      <w:r w:rsidRPr="00161DE9">
        <w:rPr>
          <w:rFonts w:ascii="Arial" w:hAnsi="Arial" w:cs="Arial"/>
          <w:sz w:val="24"/>
          <w:szCs w:val="24"/>
          <w:lang w:val="en-GB"/>
        </w:rPr>
        <w:t xml:space="preserve">, Statistics Austria, </w:t>
      </w:r>
      <w:hyperlink r:id="rId9" w:history="1">
        <w:r w:rsidRPr="00161DE9">
          <w:rPr>
            <w:rStyle w:val="Hyperlink"/>
            <w:rFonts w:ascii="Arial" w:hAnsi="Arial" w:cs="Arial"/>
            <w:sz w:val="24"/>
            <w:szCs w:val="24"/>
            <w:lang w:val="en-GB"/>
          </w:rPr>
          <w:t xml:space="preserve"> Alexander.Kowarik@statistik.gv.at</w:t>
        </w:r>
      </w:hyperlink>
    </w:p>
    <w:p w:rsidR="000D705A" w:rsidRPr="00EC5F5A" w:rsidRDefault="00161DE9" w:rsidP="00161DE9">
      <w:pPr>
        <w:spacing w:after="0" w:line="360" w:lineRule="auto"/>
        <w:jc w:val="both"/>
        <w:rPr>
          <w:rFonts w:ascii="Arial" w:hAnsi="Arial" w:cs="Arial"/>
          <w:sz w:val="24"/>
          <w:szCs w:val="24"/>
          <w:lang w:val="en-GB"/>
        </w:rPr>
      </w:pPr>
      <w:r w:rsidRPr="00161DE9">
        <w:rPr>
          <w:rFonts w:ascii="Arial" w:hAnsi="Arial" w:cs="Arial"/>
          <w:sz w:val="24"/>
          <w:szCs w:val="24"/>
          <w:lang w:val="en-GB"/>
        </w:rPr>
        <w:t>Matthias Till, Statistics Austria, Matthias.Till@statistik.gv.at</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161DE9" w:rsidRPr="00161DE9" w:rsidRDefault="00161DE9" w:rsidP="00161DE9">
      <w:pPr>
        <w:spacing w:after="0" w:line="240" w:lineRule="auto"/>
        <w:jc w:val="both"/>
        <w:rPr>
          <w:rFonts w:ascii="Arial" w:hAnsi="Arial" w:cs="Arial"/>
          <w:i/>
          <w:sz w:val="20"/>
          <w:szCs w:val="20"/>
          <w:lang w:val="de-AT"/>
        </w:rPr>
      </w:pPr>
      <w:proofErr w:type="spellStart"/>
      <w:r w:rsidRPr="00161DE9">
        <w:rPr>
          <w:rFonts w:ascii="Arial" w:hAnsi="Arial" w:cs="Arial"/>
          <w:i/>
          <w:sz w:val="20"/>
          <w:szCs w:val="20"/>
          <w:lang w:val="de-AT"/>
        </w:rPr>
        <w:t>There</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is</w:t>
      </w:r>
      <w:proofErr w:type="spellEnd"/>
      <w:r w:rsidRPr="00161DE9">
        <w:rPr>
          <w:rFonts w:ascii="Arial" w:hAnsi="Arial" w:cs="Arial"/>
          <w:i/>
          <w:sz w:val="20"/>
          <w:szCs w:val="20"/>
          <w:lang w:val="de-AT"/>
        </w:rPr>
        <w:t xml:space="preserve"> an urgent </w:t>
      </w:r>
      <w:proofErr w:type="spellStart"/>
      <w:r w:rsidRPr="00161DE9">
        <w:rPr>
          <w:rFonts w:ascii="Arial" w:hAnsi="Arial" w:cs="Arial"/>
          <w:i/>
          <w:sz w:val="20"/>
          <w:szCs w:val="20"/>
          <w:lang w:val="de-AT"/>
        </w:rPr>
        <w:t>need</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for</w:t>
      </w:r>
      <w:proofErr w:type="spellEnd"/>
      <w:r w:rsidRPr="00161DE9">
        <w:rPr>
          <w:rFonts w:ascii="Arial" w:hAnsi="Arial" w:cs="Arial"/>
          <w:i/>
          <w:sz w:val="20"/>
          <w:szCs w:val="20"/>
          <w:lang w:val="de-AT"/>
        </w:rPr>
        <w:t xml:space="preserve"> regional </w:t>
      </w:r>
      <w:proofErr w:type="spellStart"/>
      <w:r w:rsidRPr="00161DE9">
        <w:rPr>
          <w:rFonts w:ascii="Arial" w:hAnsi="Arial" w:cs="Arial"/>
          <w:i/>
          <w:sz w:val="20"/>
          <w:szCs w:val="20"/>
          <w:lang w:val="de-AT"/>
        </w:rPr>
        <w:t>indicators</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especially</w:t>
      </w:r>
      <w:proofErr w:type="spellEnd"/>
      <w:r w:rsidRPr="00161DE9">
        <w:rPr>
          <w:rFonts w:ascii="Arial" w:hAnsi="Arial" w:cs="Arial"/>
          <w:i/>
          <w:sz w:val="20"/>
          <w:szCs w:val="20"/>
          <w:lang w:val="de-AT"/>
        </w:rPr>
        <w:t xml:space="preserve"> on </w:t>
      </w:r>
      <w:proofErr w:type="spellStart"/>
      <w:r w:rsidRPr="00161DE9">
        <w:rPr>
          <w:rFonts w:ascii="Arial" w:hAnsi="Arial" w:cs="Arial"/>
          <w:i/>
          <w:sz w:val="20"/>
          <w:szCs w:val="20"/>
          <w:lang w:val="de-AT"/>
        </w:rPr>
        <w:t>poverty</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and</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social</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exclusion</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by</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policy</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makers</w:t>
      </w:r>
      <w:proofErr w:type="spellEnd"/>
      <w:r w:rsidRPr="00161DE9">
        <w:rPr>
          <w:rFonts w:ascii="Arial" w:hAnsi="Arial" w:cs="Arial"/>
          <w:i/>
          <w:sz w:val="20"/>
          <w:szCs w:val="20"/>
          <w:lang w:val="de-AT"/>
        </w:rPr>
        <w:t xml:space="preserve"> in </w:t>
      </w:r>
      <w:proofErr w:type="spellStart"/>
      <w:r w:rsidRPr="00161DE9">
        <w:rPr>
          <w:rFonts w:ascii="Arial" w:hAnsi="Arial" w:cs="Arial"/>
          <w:i/>
          <w:sz w:val="20"/>
          <w:szCs w:val="20"/>
          <w:lang w:val="de-AT"/>
        </w:rPr>
        <w:t>the</w:t>
      </w:r>
      <w:proofErr w:type="spellEnd"/>
      <w:r w:rsidRPr="00161DE9">
        <w:rPr>
          <w:rFonts w:ascii="Arial" w:hAnsi="Arial" w:cs="Arial"/>
          <w:i/>
          <w:sz w:val="20"/>
          <w:szCs w:val="20"/>
          <w:lang w:val="de-AT"/>
        </w:rPr>
        <w:t xml:space="preserve"> EU. Surveys </w:t>
      </w:r>
      <w:proofErr w:type="spellStart"/>
      <w:r w:rsidRPr="00161DE9">
        <w:rPr>
          <w:rFonts w:ascii="Arial" w:hAnsi="Arial" w:cs="Arial"/>
          <w:i/>
          <w:sz w:val="20"/>
          <w:szCs w:val="20"/>
          <w:lang w:val="de-AT"/>
        </w:rPr>
        <w:t>which</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were</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designed</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to</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estimate</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these</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indicators</w:t>
      </w:r>
      <w:proofErr w:type="spellEnd"/>
      <w:r w:rsidRPr="00161DE9">
        <w:rPr>
          <w:rFonts w:ascii="Arial" w:hAnsi="Arial" w:cs="Arial"/>
          <w:i/>
          <w:sz w:val="20"/>
          <w:szCs w:val="20"/>
          <w:lang w:val="de-AT"/>
        </w:rPr>
        <w:t xml:space="preserve"> on national </w:t>
      </w:r>
      <w:proofErr w:type="spellStart"/>
      <w:r w:rsidRPr="00161DE9">
        <w:rPr>
          <w:rFonts w:ascii="Arial" w:hAnsi="Arial" w:cs="Arial"/>
          <w:i/>
          <w:sz w:val="20"/>
          <w:szCs w:val="20"/>
          <w:lang w:val="de-AT"/>
        </w:rPr>
        <w:t>level</w:t>
      </w:r>
      <w:proofErr w:type="spellEnd"/>
      <w:r w:rsidRPr="00161DE9">
        <w:rPr>
          <w:rFonts w:ascii="Arial" w:hAnsi="Arial" w:cs="Arial"/>
          <w:i/>
          <w:sz w:val="20"/>
          <w:szCs w:val="20"/>
          <w:lang w:val="de-AT"/>
        </w:rPr>
        <w:t xml:space="preserve">, such </w:t>
      </w:r>
      <w:proofErr w:type="spellStart"/>
      <w:r w:rsidRPr="00161DE9">
        <w:rPr>
          <w:rFonts w:ascii="Arial" w:hAnsi="Arial" w:cs="Arial"/>
          <w:i/>
          <w:sz w:val="20"/>
          <w:szCs w:val="20"/>
          <w:lang w:val="de-AT"/>
        </w:rPr>
        <w:t>as</w:t>
      </w:r>
      <w:proofErr w:type="spellEnd"/>
      <w:r w:rsidRPr="00161DE9">
        <w:rPr>
          <w:rFonts w:ascii="Arial" w:hAnsi="Arial" w:cs="Arial"/>
          <w:i/>
          <w:sz w:val="20"/>
          <w:szCs w:val="20"/>
          <w:lang w:val="de-AT"/>
        </w:rPr>
        <w:t xml:space="preserve"> EU-SILC, </w:t>
      </w:r>
      <w:proofErr w:type="spellStart"/>
      <w:r w:rsidRPr="00161DE9">
        <w:rPr>
          <w:rFonts w:ascii="Arial" w:hAnsi="Arial" w:cs="Arial"/>
          <w:i/>
          <w:sz w:val="20"/>
          <w:szCs w:val="20"/>
          <w:lang w:val="de-AT"/>
        </w:rPr>
        <w:t>usually</w:t>
      </w:r>
      <w:proofErr w:type="spellEnd"/>
      <w:r w:rsidRPr="00161DE9">
        <w:rPr>
          <w:rFonts w:ascii="Arial" w:hAnsi="Arial" w:cs="Arial"/>
          <w:i/>
          <w:sz w:val="20"/>
          <w:szCs w:val="20"/>
          <w:lang w:val="de-AT"/>
        </w:rPr>
        <w:t xml:space="preserve"> do not </w:t>
      </w:r>
      <w:proofErr w:type="spellStart"/>
      <w:r w:rsidRPr="00161DE9">
        <w:rPr>
          <w:rFonts w:ascii="Arial" w:hAnsi="Arial" w:cs="Arial"/>
          <w:i/>
          <w:sz w:val="20"/>
          <w:szCs w:val="20"/>
          <w:lang w:val="de-AT"/>
        </w:rPr>
        <w:t>provide</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the</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required</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precision</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for</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reliable</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estimates</w:t>
      </w:r>
      <w:proofErr w:type="spellEnd"/>
      <w:r w:rsidRPr="00161DE9">
        <w:rPr>
          <w:rFonts w:ascii="Arial" w:hAnsi="Arial" w:cs="Arial"/>
          <w:i/>
          <w:sz w:val="20"/>
          <w:szCs w:val="20"/>
          <w:lang w:val="de-AT"/>
        </w:rPr>
        <w:t xml:space="preserve"> on regional </w:t>
      </w:r>
      <w:proofErr w:type="spellStart"/>
      <w:r w:rsidRPr="00161DE9">
        <w:rPr>
          <w:rFonts w:ascii="Arial" w:hAnsi="Arial" w:cs="Arial"/>
          <w:i/>
          <w:sz w:val="20"/>
          <w:szCs w:val="20"/>
          <w:lang w:val="de-AT"/>
        </w:rPr>
        <w:t>levels</w:t>
      </w:r>
      <w:proofErr w:type="spellEnd"/>
      <w:r w:rsidRPr="00161DE9">
        <w:rPr>
          <w:rFonts w:ascii="Arial" w:hAnsi="Arial" w:cs="Arial"/>
          <w:i/>
          <w:sz w:val="20"/>
          <w:szCs w:val="20"/>
          <w:lang w:val="de-AT"/>
        </w:rPr>
        <w:t xml:space="preserve"> like NUTS2 </w:t>
      </w:r>
      <w:proofErr w:type="spellStart"/>
      <w:r w:rsidRPr="00161DE9">
        <w:rPr>
          <w:rFonts w:ascii="Arial" w:hAnsi="Arial" w:cs="Arial"/>
          <w:i/>
          <w:sz w:val="20"/>
          <w:szCs w:val="20"/>
          <w:lang w:val="de-AT"/>
        </w:rPr>
        <w:t>and</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below</w:t>
      </w:r>
      <w:proofErr w:type="spellEnd"/>
      <w:r w:rsidRPr="00161DE9">
        <w:rPr>
          <w:rFonts w:ascii="Arial" w:hAnsi="Arial" w:cs="Arial"/>
          <w:i/>
          <w:sz w:val="20"/>
          <w:szCs w:val="20"/>
          <w:lang w:val="de-AT"/>
        </w:rPr>
        <w:t>.</w:t>
      </w:r>
    </w:p>
    <w:p w:rsidR="000D705A" w:rsidRPr="00EC5F5A" w:rsidRDefault="00161DE9" w:rsidP="00161DE9">
      <w:pPr>
        <w:spacing w:after="0" w:line="240" w:lineRule="auto"/>
        <w:jc w:val="both"/>
        <w:rPr>
          <w:rFonts w:ascii="Arial" w:hAnsi="Arial" w:cs="Arial"/>
          <w:i/>
          <w:sz w:val="20"/>
          <w:szCs w:val="20"/>
          <w:lang w:val="en-GB"/>
        </w:rPr>
      </w:pPr>
      <w:proofErr w:type="spellStart"/>
      <w:r w:rsidRPr="00161DE9">
        <w:rPr>
          <w:rFonts w:ascii="Arial" w:hAnsi="Arial" w:cs="Arial"/>
          <w:i/>
          <w:sz w:val="20"/>
          <w:szCs w:val="20"/>
          <w:lang w:val="de-AT"/>
        </w:rPr>
        <w:t>With</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the</w:t>
      </w:r>
      <w:proofErr w:type="spellEnd"/>
      <w:r w:rsidRPr="00161DE9">
        <w:rPr>
          <w:rFonts w:ascii="Arial" w:hAnsi="Arial" w:cs="Arial"/>
          <w:i/>
          <w:sz w:val="20"/>
          <w:szCs w:val="20"/>
          <w:lang w:val="de-AT"/>
        </w:rPr>
        <w:t xml:space="preserve"> R-Package ‚</w:t>
      </w:r>
      <w:proofErr w:type="spellStart"/>
      <w:r w:rsidRPr="00161DE9">
        <w:rPr>
          <w:rFonts w:ascii="Arial" w:hAnsi="Arial" w:cs="Arial"/>
          <w:i/>
          <w:sz w:val="20"/>
          <w:szCs w:val="20"/>
          <w:lang w:val="de-AT"/>
        </w:rPr>
        <w:t>surveysd</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we</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present</w:t>
      </w:r>
      <w:proofErr w:type="spellEnd"/>
      <w:r w:rsidRPr="00161DE9">
        <w:rPr>
          <w:rFonts w:ascii="Arial" w:hAnsi="Arial" w:cs="Arial"/>
          <w:i/>
          <w:sz w:val="20"/>
          <w:szCs w:val="20"/>
          <w:lang w:val="de-AT"/>
        </w:rPr>
        <w:t xml:space="preserve"> a </w:t>
      </w:r>
      <w:proofErr w:type="spellStart"/>
      <w:r w:rsidRPr="00161DE9">
        <w:rPr>
          <w:rFonts w:ascii="Arial" w:hAnsi="Arial" w:cs="Arial"/>
          <w:i/>
          <w:sz w:val="20"/>
          <w:szCs w:val="20"/>
          <w:lang w:val="de-AT"/>
        </w:rPr>
        <w:t>package</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to</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improve</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precision</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and</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estimate</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standard</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errors</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for</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social</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indicators</w:t>
      </w:r>
      <w:proofErr w:type="spellEnd"/>
      <w:r w:rsidRPr="00161DE9">
        <w:rPr>
          <w:rFonts w:ascii="Arial" w:hAnsi="Arial" w:cs="Arial"/>
          <w:i/>
          <w:sz w:val="20"/>
          <w:szCs w:val="20"/>
          <w:lang w:val="de-AT"/>
        </w:rPr>
        <w:t xml:space="preserve"> on regional </w:t>
      </w:r>
      <w:proofErr w:type="spellStart"/>
      <w:r w:rsidRPr="00161DE9">
        <w:rPr>
          <w:rFonts w:ascii="Arial" w:hAnsi="Arial" w:cs="Arial"/>
          <w:i/>
          <w:sz w:val="20"/>
          <w:szCs w:val="20"/>
          <w:lang w:val="de-AT"/>
        </w:rPr>
        <w:t>levels</w:t>
      </w:r>
      <w:proofErr w:type="spellEnd"/>
      <w:r w:rsidRPr="00161DE9">
        <w:rPr>
          <w:rFonts w:ascii="Arial" w:hAnsi="Arial" w:cs="Arial"/>
          <w:i/>
          <w:sz w:val="20"/>
          <w:szCs w:val="20"/>
          <w:lang w:val="de-AT"/>
        </w:rPr>
        <w:t xml:space="preserve"> in a </w:t>
      </w:r>
      <w:proofErr w:type="spellStart"/>
      <w:r w:rsidRPr="00161DE9">
        <w:rPr>
          <w:rFonts w:ascii="Arial" w:hAnsi="Arial" w:cs="Arial"/>
          <w:i/>
          <w:sz w:val="20"/>
          <w:szCs w:val="20"/>
          <w:lang w:val="de-AT"/>
        </w:rPr>
        <w:t>straightforward</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way</w:t>
      </w:r>
      <w:proofErr w:type="spellEnd"/>
      <w:r w:rsidRPr="00161DE9">
        <w:rPr>
          <w:rFonts w:ascii="Arial" w:hAnsi="Arial" w:cs="Arial"/>
          <w:i/>
          <w:sz w:val="20"/>
          <w:szCs w:val="20"/>
          <w:lang w:val="de-AT"/>
        </w:rPr>
        <w:t xml:space="preserve">. Regional </w:t>
      </w:r>
      <w:proofErr w:type="spellStart"/>
      <w:r w:rsidRPr="00161DE9">
        <w:rPr>
          <w:rFonts w:ascii="Arial" w:hAnsi="Arial" w:cs="Arial"/>
          <w:i/>
          <w:sz w:val="20"/>
          <w:szCs w:val="20"/>
          <w:lang w:val="de-AT"/>
        </w:rPr>
        <w:t>estimates</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from</w:t>
      </w:r>
      <w:proofErr w:type="spellEnd"/>
      <w:r w:rsidRPr="00161DE9">
        <w:rPr>
          <w:rFonts w:ascii="Arial" w:hAnsi="Arial" w:cs="Arial"/>
          <w:i/>
          <w:sz w:val="20"/>
          <w:szCs w:val="20"/>
          <w:lang w:val="de-AT"/>
        </w:rPr>
        <w:t xml:space="preserve"> subsequent </w:t>
      </w:r>
      <w:proofErr w:type="spellStart"/>
      <w:r w:rsidRPr="00161DE9">
        <w:rPr>
          <w:rFonts w:ascii="Arial" w:hAnsi="Arial" w:cs="Arial"/>
          <w:i/>
          <w:sz w:val="20"/>
          <w:szCs w:val="20"/>
          <w:lang w:val="de-AT"/>
        </w:rPr>
        <w:t>waves</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are</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simply</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cumulated</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over</w:t>
      </w:r>
      <w:proofErr w:type="spellEnd"/>
      <w:r w:rsidRPr="00161DE9">
        <w:rPr>
          <w:rFonts w:ascii="Arial" w:hAnsi="Arial" w:cs="Arial"/>
          <w:i/>
          <w:sz w:val="20"/>
          <w:szCs w:val="20"/>
          <w:lang w:val="de-AT"/>
        </w:rPr>
        <w:t xml:space="preserve"> time, </w:t>
      </w:r>
      <w:proofErr w:type="spellStart"/>
      <w:r w:rsidRPr="00161DE9">
        <w:rPr>
          <w:rFonts w:ascii="Arial" w:hAnsi="Arial" w:cs="Arial"/>
          <w:i/>
          <w:sz w:val="20"/>
          <w:szCs w:val="20"/>
          <w:lang w:val="de-AT"/>
        </w:rPr>
        <w:t>assuming</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that</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these</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structural</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patterns</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remain</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fairly</w:t>
      </w:r>
      <w:proofErr w:type="spellEnd"/>
      <w:r w:rsidRPr="00161DE9">
        <w:rPr>
          <w:rFonts w:ascii="Arial" w:hAnsi="Arial" w:cs="Arial"/>
          <w:i/>
          <w:sz w:val="20"/>
          <w:szCs w:val="20"/>
          <w:lang w:val="de-AT"/>
        </w:rPr>
        <w:t xml:space="preserve"> robust. </w:t>
      </w:r>
      <w:proofErr w:type="spellStart"/>
      <w:r w:rsidRPr="00161DE9">
        <w:rPr>
          <w:rFonts w:ascii="Arial" w:hAnsi="Arial" w:cs="Arial"/>
          <w:i/>
          <w:sz w:val="20"/>
          <w:szCs w:val="20"/>
          <w:lang w:val="de-AT"/>
        </w:rPr>
        <w:t>Variance</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estimation</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for</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pooled</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data</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is</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complicated</w:t>
      </w:r>
      <w:proofErr w:type="spellEnd"/>
      <w:r w:rsidRPr="00161DE9">
        <w:rPr>
          <w:rFonts w:ascii="Arial" w:hAnsi="Arial" w:cs="Arial"/>
          <w:i/>
          <w:sz w:val="20"/>
          <w:szCs w:val="20"/>
          <w:lang w:val="de-AT"/>
        </w:rPr>
        <w:t xml:space="preserve"> due </w:t>
      </w:r>
      <w:proofErr w:type="spellStart"/>
      <w:r w:rsidRPr="00161DE9">
        <w:rPr>
          <w:rFonts w:ascii="Arial" w:hAnsi="Arial" w:cs="Arial"/>
          <w:i/>
          <w:sz w:val="20"/>
          <w:szCs w:val="20"/>
          <w:lang w:val="de-AT"/>
        </w:rPr>
        <w:t>to</w:t>
      </w:r>
      <w:proofErr w:type="spellEnd"/>
      <w:r w:rsidRPr="00161DE9">
        <w:rPr>
          <w:rFonts w:ascii="Arial" w:hAnsi="Arial" w:cs="Arial"/>
          <w:i/>
          <w:sz w:val="20"/>
          <w:szCs w:val="20"/>
          <w:lang w:val="de-AT"/>
        </w:rPr>
        <w:t xml:space="preserve"> a high </w:t>
      </w:r>
      <w:proofErr w:type="spellStart"/>
      <w:r w:rsidRPr="00161DE9">
        <w:rPr>
          <w:rFonts w:ascii="Arial" w:hAnsi="Arial" w:cs="Arial"/>
          <w:i/>
          <w:sz w:val="20"/>
          <w:szCs w:val="20"/>
          <w:lang w:val="de-AT"/>
        </w:rPr>
        <w:t>correlation</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within</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the</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pooled</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data</w:t>
      </w:r>
      <w:proofErr w:type="spellEnd"/>
      <w:r w:rsidRPr="00161DE9">
        <w:rPr>
          <w:rFonts w:ascii="Arial" w:hAnsi="Arial" w:cs="Arial"/>
          <w:i/>
          <w:sz w:val="20"/>
          <w:szCs w:val="20"/>
          <w:lang w:val="de-AT"/>
        </w:rPr>
        <w:t xml:space="preserve">. The </w:t>
      </w:r>
      <w:proofErr w:type="spellStart"/>
      <w:r w:rsidRPr="00161DE9">
        <w:rPr>
          <w:rFonts w:ascii="Arial" w:hAnsi="Arial" w:cs="Arial"/>
          <w:i/>
          <w:sz w:val="20"/>
          <w:szCs w:val="20"/>
          <w:lang w:val="de-AT"/>
        </w:rPr>
        <w:t>package</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resolves</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the</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problem</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by</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using</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bootstrap</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techniques</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that</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incorporate</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pooling</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of</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correlated</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samples</w:t>
      </w:r>
      <w:proofErr w:type="spellEnd"/>
      <w:r w:rsidRPr="00161DE9">
        <w:rPr>
          <w:rFonts w:ascii="Arial" w:hAnsi="Arial" w:cs="Arial"/>
          <w:i/>
          <w:sz w:val="20"/>
          <w:szCs w:val="20"/>
          <w:lang w:val="de-AT"/>
        </w:rPr>
        <w:t xml:space="preserve">, like </w:t>
      </w:r>
      <w:proofErr w:type="spellStart"/>
      <w:r w:rsidRPr="00161DE9">
        <w:rPr>
          <w:rFonts w:ascii="Arial" w:hAnsi="Arial" w:cs="Arial"/>
          <w:i/>
          <w:sz w:val="20"/>
          <w:szCs w:val="20"/>
          <w:lang w:val="de-AT"/>
        </w:rPr>
        <w:t>annual</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waves</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of</w:t>
      </w:r>
      <w:proofErr w:type="spellEnd"/>
      <w:r w:rsidRPr="00161DE9">
        <w:rPr>
          <w:rFonts w:ascii="Arial" w:hAnsi="Arial" w:cs="Arial"/>
          <w:i/>
          <w:sz w:val="20"/>
          <w:szCs w:val="20"/>
          <w:lang w:val="de-AT"/>
        </w:rPr>
        <w:t xml:space="preserve"> EUSILC. In </w:t>
      </w:r>
      <w:proofErr w:type="spellStart"/>
      <w:r w:rsidRPr="00161DE9">
        <w:rPr>
          <w:rFonts w:ascii="Arial" w:hAnsi="Arial" w:cs="Arial"/>
          <w:i/>
          <w:sz w:val="20"/>
          <w:szCs w:val="20"/>
          <w:lang w:val="de-AT"/>
        </w:rPr>
        <w:t>addition</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to</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variance</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estimation</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for</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point</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estimates</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the</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variance</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estimation</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for</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differences</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is</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supported</w:t>
      </w:r>
      <w:proofErr w:type="spellEnd"/>
      <w:r w:rsidRPr="00161DE9">
        <w:rPr>
          <w:rFonts w:ascii="Arial" w:hAnsi="Arial" w:cs="Arial"/>
          <w:i/>
          <w:sz w:val="20"/>
          <w:szCs w:val="20"/>
          <w:lang w:val="de-AT"/>
        </w:rPr>
        <w:t xml:space="preserve">. Usability </w:t>
      </w:r>
      <w:proofErr w:type="spellStart"/>
      <w:r w:rsidRPr="00161DE9">
        <w:rPr>
          <w:rFonts w:ascii="Arial" w:hAnsi="Arial" w:cs="Arial"/>
          <w:i/>
          <w:sz w:val="20"/>
          <w:szCs w:val="20"/>
          <w:lang w:val="de-AT"/>
        </w:rPr>
        <w:t>of</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the</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package</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and</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variance</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improvement</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using</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this</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bootstrap</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methodology</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is</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demonstrated</w:t>
      </w:r>
      <w:proofErr w:type="spellEnd"/>
      <w:r w:rsidRPr="00161DE9">
        <w:rPr>
          <w:rFonts w:ascii="Arial" w:hAnsi="Arial" w:cs="Arial"/>
          <w:i/>
          <w:sz w:val="20"/>
          <w:szCs w:val="20"/>
          <w:lang w:val="de-AT"/>
        </w:rPr>
        <w:t xml:space="preserve"> on EU-SILC UDB-</w:t>
      </w:r>
      <w:proofErr w:type="spellStart"/>
      <w:r w:rsidRPr="00161DE9">
        <w:rPr>
          <w:rFonts w:ascii="Arial" w:hAnsi="Arial" w:cs="Arial"/>
          <w:i/>
          <w:sz w:val="20"/>
          <w:szCs w:val="20"/>
          <w:lang w:val="de-AT"/>
        </w:rPr>
        <w:t>data</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of</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selected</w:t>
      </w:r>
      <w:proofErr w:type="spellEnd"/>
      <w:r w:rsidRPr="00161DE9">
        <w:rPr>
          <w:rFonts w:ascii="Arial" w:hAnsi="Arial" w:cs="Arial"/>
          <w:i/>
          <w:sz w:val="20"/>
          <w:szCs w:val="20"/>
          <w:lang w:val="de-AT"/>
        </w:rPr>
        <w:t xml:space="preserve"> countries </w:t>
      </w:r>
      <w:proofErr w:type="spellStart"/>
      <w:r w:rsidRPr="00161DE9">
        <w:rPr>
          <w:rFonts w:ascii="Arial" w:hAnsi="Arial" w:cs="Arial"/>
          <w:i/>
          <w:sz w:val="20"/>
          <w:szCs w:val="20"/>
          <w:lang w:val="de-AT"/>
        </w:rPr>
        <w:t>with</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various</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sampling</w:t>
      </w:r>
      <w:proofErr w:type="spellEnd"/>
      <w:r w:rsidRPr="00161DE9">
        <w:rPr>
          <w:rFonts w:ascii="Arial" w:hAnsi="Arial" w:cs="Arial"/>
          <w:i/>
          <w:sz w:val="20"/>
          <w:szCs w:val="20"/>
          <w:lang w:val="de-AT"/>
        </w:rPr>
        <w:t xml:space="preserve"> </w:t>
      </w:r>
      <w:proofErr w:type="spellStart"/>
      <w:r w:rsidRPr="00161DE9">
        <w:rPr>
          <w:rFonts w:ascii="Arial" w:hAnsi="Arial" w:cs="Arial"/>
          <w:i/>
          <w:sz w:val="20"/>
          <w:szCs w:val="20"/>
          <w:lang w:val="de-AT"/>
        </w:rPr>
        <w:t>designs</w:t>
      </w:r>
      <w:proofErr w:type="spellEnd"/>
      <w:r w:rsidRPr="00161DE9">
        <w:rPr>
          <w:rFonts w:ascii="Arial" w:hAnsi="Arial" w:cs="Arial"/>
          <w:i/>
          <w:sz w:val="20"/>
          <w:szCs w:val="20"/>
          <w:lang w:val="de-AT"/>
        </w:rPr>
        <w:t>.</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161DE9" w:rsidRPr="00161DE9">
        <w:rPr>
          <w:rFonts w:ascii="Arial" w:hAnsi="Arial" w:cs="Arial"/>
          <w:sz w:val="20"/>
          <w:szCs w:val="20"/>
        </w:rPr>
        <w:t xml:space="preserve">Variance </w:t>
      </w:r>
      <w:r w:rsidR="00840658">
        <w:rPr>
          <w:rFonts w:ascii="Arial" w:hAnsi="Arial" w:cs="Arial"/>
          <w:sz w:val="20"/>
          <w:szCs w:val="20"/>
        </w:rPr>
        <w:t>E</w:t>
      </w:r>
      <w:bookmarkStart w:id="0" w:name="_GoBack"/>
      <w:bookmarkEnd w:id="0"/>
      <w:r w:rsidR="00161DE9" w:rsidRPr="00161DE9">
        <w:rPr>
          <w:rFonts w:ascii="Arial" w:hAnsi="Arial" w:cs="Arial"/>
          <w:sz w:val="20"/>
          <w:szCs w:val="20"/>
        </w:rPr>
        <w:t xml:space="preserve">stimation, </w:t>
      </w:r>
      <w:r w:rsidR="00840658">
        <w:rPr>
          <w:rFonts w:ascii="Arial" w:hAnsi="Arial" w:cs="Arial"/>
          <w:sz w:val="20"/>
          <w:szCs w:val="20"/>
        </w:rPr>
        <w:t>B</w:t>
      </w:r>
      <w:r w:rsidR="00161DE9" w:rsidRPr="00161DE9">
        <w:rPr>
          <w:rFonts w:ascii="Arial" w:hAnsi="Arial" w:cs="Arial"/>
          <w:sz w:val="20"/>
          <w:szCs w:val="20"/>
        </w:rPr>
        <w:t>ootstrapping, EU-SILC, R-Programming</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CE75DB" w:rsidRPr="00CE75DB">
        <w:rPr>
          <w:rFonts w:ascii="Arial" w:hAnsi="Arial" w:cs="Arial"/>
          <w:b/>
          <w:sz w:val="24"/>
          <w:szCs w:val="24"/>
          <w:lang w:val="en-US"/>
        </w:rPr>
        <w:t>Introduction</w:t>
      </w:r>
    </w:p>
    <w:p w:rsidR="00CE75DB" w:rsidRPr="00CE75DB" w:rsidRDefault="00CE75DB" w:rsidP="00CE75DB">
      <w:pPr>
        <w:spacing w:before="360" w:after="0" w:line="360" w:lineRule="auto"/>
        <w:jc w:val="both"/>
        <w:rPr>
          <w:rFonts w:ascii="Arial" w:hAnsi="Arial" w:cs="Arial"/>
          <w:sz w:val="24"/>
          <w:szCs w:val="24"/>
          <w:lang w:val="en-GB"/>
        </w:rPr>
      </w:pPr>
      <w:r w:rsidRPr="00CE75DB">
        <w:rPr>
          <w:rFonts w:ascii="Arial" w:hAnsi="Arial" w:cs="Arial"/>
          <w:sz w:val="24"/>
          <w:szCs w:val="24"/>
          <w:lang w:val="en-GB"/>
        </w:rPr>
        <w:t xml:space="preserve">At EU level, social inclusion policies implemented by Member States are monitored mainly with comparative indicators based on EU-SILC data (prior to EU-SILC, they were based on the European Community Household Panel [ECHP]). Over time the original set of so-called </w:t>
      </w:r>
      <w:proofErr w:type="spellStart"/>
      <w:r w:rsidRPr="00CE75DB">
        <w:rPr>
          <w:rFonts w:ascii="Arial" w:hAnsi="Arial" w:cs="Arial"/>
          <w:sz w:val="24"/>
          <w:szCs w:val="24"/>
          <w:lang w:val="en-GB"/>
        </w:rPr>
        <w:t>Laeken</w:t>
      </w:r>
      <w:proofErr w:type="spellEnd"/>
      <w:r w:rsidRPr="00CE75DB">
        <w:rPr>
          <w:rFonts w:ascii="Arial" w:hAnsi="Arial" w:cs="Arial"/>
          <w:sz w:val="24"/>
          <w:szCs w:val="24"/>
          <w:lang w:val="en-GB"/>
        </w:rPr>
        <w:t xml:space="preserve"> indicators endorsed at the </w:t>
      </w:r>
      <w:proofErr w:type="spellStart"/>
      <w:r w:rsidRPr="00CE75DB">
        <w:rPr>
          <w:rFonts w:ascii="Arial" w:hAnsi="Arial" w:cs="Arial"/>
          <w:sz w:val="24"/>
          <w:szCs w:val="24"/>
          <w:lang w:val="en-GB"/>
        </w:rPr>
        <w:t>Laeken</w:t>
      </w:r>
      <w:proofErr w:type="spellEnd"/>
      <w:r w:rsidRPr="00CE75DB">
        <w:rPr>
          <w:rFonts w:ascii="Arial" w:hAnsi="Arial" w:cs="Arial"/>
          <w:sz w:val="24"/>
          <w:szCs w:val="24"/>
          <w:lang w:val="en-GB"/>
        </w:rPr>
        <w:t xml:space="preserve"> European Summit in 2001 has been further developed (Atkinson et al. 2002, Marlier et al 2007 and European Commission 2015). Since 2010, EU-SILC indicators have come to guide the “social inclusion target”, i.e. a reduction by 20 million of the number of people in the EU who are at risk of poverty or social exclusion, as one of the five headline targets of the Europe 2020 strategy to promote smart, sustainable and inclusive growth (Atkinson et al. 2017). </w:t>
      </w:r>
    </w:p>
    <w:p w:rsidR="00CE75DB" w:rsidRPr="00CE75DB" w:rsidRDefault="00CE75DB" w:rsidP="00CE75DB">
      <w:pPr>
        <w:spacing w:before="360" w:after="0" w:line="360" w:lineRule="auto"/>
        <w:jc w:val="both"/>
        <w:rPr>
          <w:rFonts w:ascii="Arial" w:hAnsi="Arial" w:cs="Arial"/>
          <w:sz w:val="24"/>
          <w:szCs w:val="24"/>
          <w:lang w:val="en-GB"/>
        </w:rPr>
      </w:pPr>
      <w:r w:rsidRPr="00CE75DB">
        <w:rPr>
          <w:rFonts w:ascii="Arial" w:hAnsi="Arial" w:cs="Arial"/>
          <w:sz w:val="24"/>
          <w:szCs w:val="24"/>
          <w:lang w:val="en-GB"/>
        </w:rPr>
        <w:lastRenderedPageBreak/>
        <w:t>EU-SILC is conducted annually in each country. In the great majority of countries EU-SILC is implemented as a sample survey with a rotating panel design of 4 waves (</w:t>
      </w:r>
      <w:proofErr w:type="spellStart"/>
      <w:r w:rsidRPr="00CE75DB">
        <w:rPr>
          <w:rFonts w:ascii="Arial" w:hAnsi="Arial" w:cs="Arial"/>
          <w:sz w:val="24"/>
          <w:szCs w:val="24"/>
          <w:lang w:val="en-GB"/>
        </w:rPr>
        <w:t>Trindade</w:t>
      </w:r>
      <w:proofErr w:type="spellEnd"/>
      <w:r w:rsidRPr="00CE75DB">
        <w:rPr>
          <w:rFonts w:ascii="Arial" w:hAnsi="Arial" w:cs="Arial"/>
          <w:sz w:val="24"/>
          <w:szCs w:val="24"/>
          <w:lang w:val="en-GB"/>
        </w:rPr>
        <w:t xml:space="preserve">, </w:t>
      </w:r>
      <w:proofErr w:type="spellStart"/>
      <w:r w:rsidRPr="00CE75DB">
        <w:rPr>
          <w:rFonts w:ascii="Arial" w:hAnsi="Arial" w:cs="Arial"/>
          <w:sz w:val="24"/>
          <w:szCs w:val="24"/>
          <w:lang w:val="en-GB"/>
        </w:rPr>
        <w:t>Goedemé</w:t>
      </w:r>
      <w:proofErr w:type="spellEnd"/>
      <w:r w:rsidRPr="00CE75DB">
        <w:rPr>
          <w:rFonts w:ascii="Arial" w:hAnsi="Arial" w:cs="Arial"/>
          <w:sz w:val="24"/>
          <w:szCs w:val="24"/>
          <w:lang w:val="en-GB"/>
        </w:rPr>
        <w:t xml:space="preserve"> 2016).</w:t>
      </w:r>
    </w:p>
    <w:p w:rsidR="00CE75DB" w:rsidRPr="00CE75DB" w:rsidRDefault="00CE75DB" w:rsidP="00CE75DB">
      <w:pPr>
        <w:spacing w:before="360" w:after="0" w:line="360" w:lineRule="auto"/>
        <w:jc w:val="both"/>
        <w:rPr>
          <w:rFonts w:ascii="Arial" w:hAnsi="Arial" w:cs="Arial"/>
          <w:sz w:val="24"/>
          <w:szCs w:val="24"/>
          <w:lang w:val="en-GB"/>
        </w:rPr>
      </w:pPr>
      <w:r w:rsidRPr="00CE75DB">
        <w:rPr>
          <w:rFonts w:ascii="Arial" w:hAnsi="Arial" w:cs="Arial"/>
          <w:sz w:val="24"/>
          <w:szCs w:val="24"/>
          <w:lang w:val="en-GB"/>
        </w:rPr>
        <w:t>Design and size of the sample ensure adequate precision of EU-SILC indicators at the level of the Member States. EU-SILC has however so far not delivered sufficient subnational precision as has been subject of an earlier assessment of the robustness of EU-SILC based indicators at regional level (</w:t>
      </w:r>
      <w:proofErr w:type="spellStart"/>
      <w:r w:rsidRPr="00CE75DB">
        <w:rPr>
          <w:rFonts w:ascii="Arial" w:hAnsi="Arial" w:cs="Arial"/>
          <w:sz w:val="24"/>
          <w:szCs w:val="24"/>
          <w:lang w:val="en-GB"/>
        </w:rPr>
        <w:t>Verma</w:t>
      </w:r>
      <w:proofErr w:type="spellEnd"/>
      <w:r w:rsidRPr="00CE75DB">
        <w:rPr>
          <w:rFonts w:ascii="Arial" w:hAnsi="Arial" w:cs="Arial"/>
          <w:sz w:val="24"/>
          <w:szCs w:val="24"/>
          <w:lang w:val="en-GB"/>
        </w:rPr>
        <w:t xml:space="preserve">, </w:t>
      </w:r>
      <w:proofErr w:type="spellStart"/>
      <w:r w:rsidRPr="00CE75DB">
        <w:rPr>
          <w:rFonts w:ascii="Arial" w:hAnsi="Arial" w:cs="Arial"/>
          <w:sz w:val="24"/>
          <w:szCs w:val="24"/>
          <w:lang w:val="en-GB"/>
        </w:rPr>
        <w:t>Betti</w:t>
      </w:r>
      <w:proofErr w:type="spellEnd"/>
      <w:r w:rsidRPr="00CE75DB">
        <w:rPr>
          <w:rFonts w:ascii="Arial" w:hAnsi="Arial" w:cs="Arial"/>
          <w:sz w:val="24"/>
          <w:szCs w:val="24"/>
          <w:lang w:val="en-GB"/>
        </w:rPr>
        <w:t xml:space="preserve"> and </w:t>
      </w:r>
      <w:proofErr w:type="spellStart"/>
      <w:r w:rsidRPr="00CE75DB">
        <w:rPr>
          <w:rFonts w:ascii="Arial" w:hAnsi="Arial" w:cs="Arial"/>
          <w:sz w:val="24"/>
          <w:szCs w:val="24"/>
          <w:lang w:val="en-GB"/>
        </w:rPr>
        <w:t>Gagliardi</w:t>
      </w:r>
      <w:proofErr w:type="spellEnd"/>
      <w:r w:rsidRPr="00CE75DB">
        <w:rPr>
          <w:rFonts w:ascii="Arial" w:hAnsi="Arial" w:cs="Arial"/>
          <w:sz w:val="24"/>
          <w:szCs w:val="24"/>
          <w:lang w:val="en-GB"/>
        </w:rPr>
        <w:t xml:space="preserve"> 2010b). </w:t>
      </w:r>
    </w:p>
    <w:p w:rsidR="00CE75DB" w:rsidRPr="00CE75DB" w:rsidRDefault="00CE75DB" w:rsidP="00CE75DB">
      <w:pPr>
        <w:spacing w:before="360" w:after="0" w:line="360" w:lineRule="auto"/>
        <w:jc w:val="both"/>
        <w:rPr>
          <w:rFonts w:ascii="Arial" w:hAnsi="Arial" w:cs="Arial"/>
          <w:sz w:val="24"/>
          <w:szCs w:val="24"/>
          <w:lang w:val="en-GB"/>
        </w:rPr>
      </w:pPr>
      <w:r w:rsidRPr="00CE75DB">
        <w:rPr>
          <w:rFonts w:ascii="Arial" w:hAnsi="Arial" w:cs="Arial"/>
          <w:sz w:val="24"/>
          <w:szCs w:val="24"/>
          <w:lang w:val="en-GB"/>
        </w:rPr>
        <w:t>When it comes to regional indicators based on sample data such as EU-SILC, broadly three approaches are known to improve their precision (Verma et al. 2017, p. 176):</w:t>
      </w:r>
    </w:p>
    <w:p w:rsidR="00CE75DB" w:rsidRPr="00CE75DB" w:rsidRDefault="00CE75DB" w:rsidP="00CE75DB">
      <w:pPr>
        <w:numPr>
          <w:ilvl w:val="0"/>
          <w:numId w:val="1"/>
        </w:numPr>
        <w:spacing w:before="360" w:after="0" w:line="360" w:lineRule="auto"/>
        <w:jc w:val="both"/>
        <w:rPr>
          <w:rFonts w:ascii="Arial" w:hAnsi="Arial" w:cs="Arial"/>
          <w:sz w:val="24"/>
          <w:szCs w:val="24"/>
          <w:lang w:val="en-GB"/>
        </w:rPr>
      </w:pPr>
      <w:r w:rsidRPr="00CE75DB">
        <w:rPr>
          <w:rFonts w:ascii="Arial" w:hAnsi="Arial" w:cs="Arial"/>
          <w:sz w:val="24"/>
          <w:szCs w:val="24"/>
          <w:lang w:val="en-GB"/>
        </w:rPr>
        <w:t xml:space="preserve">Improved size, allocation or design of regional samples; </w:t>
      </w:r>
    </w:p>
    <w:p w:rsidR="00CE75DB" w:rsidRPr="00CE75DB" w:rsidRDefault="00CE75DB" w:rsidP="00CE75DB">
      <w:pPr>
        <w:numPr>
          <w:ilvl w:val="0"/>
          <w:numId w:val="1"/>
        </w:numPr>
        <w:spacing w:before="360" w:after="0" w:line="360" w:lineRule="auto"/>
        <w:jc w:val="both"/>
        <w:rPr>
          <w:rFonts w:ascii="Arial" w:hAnsi="Arial" w:cs="Arial"/>
          <w:sz w:val="24"/>
          <w:szCs w:val="24"/>
          <w:lang w:val="en-GB"/>
        </w:rPr>
      </w:pPr>
      <w:r w:rsidRPr="00CE75DB">
        <w:rPr>
          <w:rFonts w:ascii="Arial" w:hAnsi="Arial" w:cs="Arial"/>
          <w:sz w:val="24"/>
          <w:szCs w:val="24"/>
          <w:lang w:val="en-GB"/>
        </w:rPr>
        <w:t>Improved estimation techniques which use auxiliary information;</w:t>
      </w:r>
    </w:p>
    <w:p w:rsidR="00CE75DB" w:rsidRPr="00CE75DB" w:rsidRDefault="00CE75DB" w:rsidP="00CE75DB">
      <w:pPr>
        <w:numPr>
          <w:ilvl w:val="0"/>
          <w:numId w:val="1"/>
        </w:numPr>
        <w:spacing w:before="360" w:after="0" w:line="360" w:lineRule="auto"/>
        <w:jc w:val="both"/>
        <w:rPr>
          <w:rFonts w:ascii="Arial" w:hAnsi="Arial" w:cs="Arial"/>
          <w:sz w:val="24"/>
          <w:szCs w:val="24"/>
          <w:lang w:val="en-GB"/>
        </w:rPr>
      </w:pPr>
      <w:r w:rsidRPr="00CE75DB">
        <w:rPr>
          <w:rFonts w:ascii="Arial" w:hAnsi="Arial" w:cs="Arial"/>
          <w:sz w:val="24"/>
          <w:szCs w:val="24"/>
          <w:lang w:val="en-GB"/>
        </w:rPr>
        <w:t>Relaxing requirements of reporting by aggregating information over space, time or indicators.</w:t>
      </w:r>
    </w:p>
    <w:p w:rsidR="00CE75DB" w:rsidRPr="00CE75DB" w:rsidRDefault="00CE75DB" w:rsidP="00CE75DB">
      <w:pPr>
        <w:spacing w:before="360" w:after="0" w:line="360" w:lineRule="auto"/>
        <w:jc w:val="both"/>
        <w:rPr>
          <w:rFonts w:ascii="Arial" w:hAnsi="Arial" w:cs="Arial"/>
          <w:sz w:val="24"/>
          <w:szCs w:val="24"/>
          <w:lang w:val="en-GB"/>
        </w:rPr>
      </w:pPr>
      <w:r w:rsidRPr="00CE75DB">
        <w:rPr>
          <w:rFonts w:ascii="Arial" w:hAnsi="Arial" w:cs="Arial"/>
          <w:sz w:val="24"/>
          <w:szCs w:val="24"/>
          <w:lang w:val="en-GB"/>
        </w:rPr>
        <w:t>The first approach requires changes in the data collection which imply considerable cost and needs time for implementation. In any case size and (regional) allocation of the EU-SILC sample have indeed become essential elements for the future revision of EU-SILC (Eurostat 2013).</w:t>
      </w:r>
    </w:p>
    <w:p w:rsidR="00CE75DB" w:rsidRPr="00CE75DB" w:rsidRDefault="00CE75DB" w:rsidP="00CE75DB">
      <w:pPr>
        <w:spacing w:before="360" w:after="0" w:line="360" w:lineRule="auto"/>
        <w:jc w:val="both"/>
        <w:rPr>
          <w:rFonts w:ascii="Arial" w:hAnsi="Arial" w:cs="Arial"/>
          <w:sz w:val="24"/>
          <w:szCs w:val="24"/>
          <w:lang w:val="en-GB"/>
        </w:rPr>
      </w:pPr>
      <w:r w:rsidRPr="00CE75DB">
        <w:rPr>
          <w:rFonts w:ascii="Arial" w:hAnsi="Arial" w:cs="Arial"/>
          <w:sz w:val="24"/>
          <w:szCs w:val="24"/>
          <w:lang w:val="en-GB"/>
        </w:rPr>
        <w:t>Small Area Estimation (SAE) has been developed as an alternative (or complementary) strategy to changes in sample design (</w:t>
      </w:r>
      <w:proofErr w:type="spellStart"/>
      <w:r w:rsidRPr="00CE75DB">
        <w:rPr>
          <w:rFonts w:ascii="Arial" w:hAnsi="Arial" w:cs="Arial"/>
          <w:sz w:val="24"/>
          <w:szCs w:val="24"/>
          <w:lang w:val="en-GB"/>
        </w:rPr>
        <w:t>Tzavidis</w:t>
      </w:r>
      <w:proofErr w:type="spellEnd"/>
      <w:r w:rsidRPr="00CE75DB">
        <w:rPr>
          <w:rFonts w:ascii="Arial" w:hAnsi="Arial" w:cs="Arial"/>
          <w:sz w:val="24"/>
          <w:szCs w:val="24"/>
          <w:lang w:val="en-GB"/>
        </w:rPr>
        <w:t xml:space="preserve"> et al 2016). Various approaches are known and each may yield different results, precision gains and also potential bias. This can be challenging for users. A model based approach which is widely used, has for example been developed by the World Bank (</w:t>
      </w:r>
      <w:proofErr w:type="spellStart"/>
      <w:r w:rsidRPr="00CE75DB">
        <w:rPr>
          <w:rFonts w:ascii="Arial" w:hAnsi="Arial" w:cs="Arial"/>
          <w:sz w:val="24"/>
          <w:szCs w:val="24"/>
          <w:lang w:val="en-GB"/>
        </w:rPr>
        <w:t>Qinghua</w:t>
      </w:r>
      <w:proofErr w:type="spellEnd"/>
      <w:r w:rsidRPr="00CE75DB">
        <w:rPr>
          <w:rFonts w:ascii="Arial" w:hAnsi="Arial" w:cs="Arial"/>
          <w:sz w:val="24"/>
          <w:szCs w:val="24"/>
          <w:lang w:val="en-GB"/>
        </w:rPr>
        <w:t xml:space="preserve"> and </w:t>
      </w:r>
      <w:proofErr w:type="spellStart"/>
      <w:r w:rsidRPr="00CE75DB">
        <w:rPr>
          <w:rFonts w:ascii="Arial" w:hAnsi="Arial" w:cs="Arial"/>
          <w:sz w:val="24"/>
          <w:szCs w:val="24"/>
          <w:lang w:val="en-GB"/>
        </w:rPr>
        <w:t>Lanjouw</w:t>
      </w:r>
      <w:proofErr w:type="spellEnd"/>
      <w:r w:rsidRPr="00CE75DB">
        <w:rPr>
          <w:rFonts w:ascii="Arial" w:hAnsi="Arial" w:cs="Arial"/>
          <w:sz w:val="24"/>
          <w:szCs w:val="24"/>
          <w:lang w:val="en-GB"/>
        </w:rPr>
        <w:t xml:space="preserve"> 2009). It combines sample data and census information. </w:t>
      </w:r>
    </w:p>
    <w:p w:rsidR="00CE75DB" w:rsidRPr="00CE75DB" w:rsidRDefault="00CE75DB" w:rsidP="00CE75DB">
      <w:pPr>
        <w:spacing w:before="360" w:after="0" w:line="360" w:lineRule="auto"/>
        <w:jc w:val="both"/>
        <w:rPr>
          <w:rFonts w:ascii="Arial" w:hAnsi="Arial" w:cs="Arial"/>
          <w:sz w:val="24"/>
          <w:szCs w:val="24"/>
          <w:lang w:val="en-GB"/>
        </w:rPr>
      </w:pPr>
      <w:r w:rsidRPr="00CE75DB">
        <w:rPr>
          <w:rFonts w:ascii="Arial" w:hAnsi="Arial" w:cs="Arial"/>
          <w:sz w:val="24"/>
          <w:szCs w:val="24"/>
          <w:lang w:val="en-GB"/>
        </w:rPr>
        <w:t xml:space="preserve">This paper addresses primarily cumulation over three years. The cumulation refers to estimates, instead of pooling data at micro level. Those estimates are weighted equally. The cumulated estimate can thus be considered as an estimate for the </w:t>
      </w:r>
      <w:r w:rsidRPr="00CE75DB">
        <w:rPr>
          <w:rFonts w:ascii="Arial" w:hAnsi="Arial" w:cs="Arial"/>
          <w:sz w:val="24"/>
          <w:szCs w:val="24"/>
          <w:lang w:val="en-GB"/>
        </w:rPr>
        <w:lastRenderedPageBreak/>
        <w:t>middle of the observation period, even if the sample size of adjacent years happens to be larger.</w:t>
      </w:r>
      <w:r w:rsidRPr="00CE75DB">
        <w:rPr>
          <w:rFonts w:ascii="Arial" w:hAnsi="Arial" w:cs="Arial"/>
          <w:sz w:val="24"/>
          <w:szCs w:val="24"/>
          <w:vertAlign w:val="superscript"/>
          <w:lang w:val="en-GB"/>
        </w:rPr>
        <w:footnoteReference w:id="1"/>
      </w:r>
      <w:r w:rsidRPr="00CE75DB">
        <w:rPr>
          <w:rFonts w:ascii="Arial" w:hAnsi="Arial" w:cs="Arial"/>
          <w:sz w:val="24"/>
          <w:szCs w:val="24"/>
          <w:lang w:val="en-GB"/>
        </w:rPr>
        <w:t xml:space="preserve"> To distinguish such estimates with enhanced precision from single year direct estimates, they are here referred as the Approximate Annual Average (AAA). The approach is particularly flexible and may in fact be applied to any estimate that is based on population subgroups with small sample size, such as certain groups of migrants, occupations etc…Also the approach can easily accommodate any type of indicator, including complex nonlinear indicators such as the Gini coefficient.  </w:t>
      </w:r>
    </w:p>
    <w:p w:rsidR="00D0258C" w:rsidRPr="0028150C" w:rsidRDefault="00D0258C" w:rsidP="00CE75DB">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8A3F85" w:rsidRPr="008A3F85">
        <w:rPr>
          <w:rFonts w:ascii="Arial" w:hAnsi="Arial" w:cs="Arial"/>
          <w:b/>
          <w:sz w:val="24"/>
          <w:szCs w:val="24"/>
          <w:lang w:val="en-US"/>
        </w:rPr>
        <w:t>Assessing the Precision of AAA Estimates</w:t>
      </w:r>
    </w:p>
    <w:p w:rsidR="008C0976" w:rsidRDefault="008C0976" w:rsidP="008C0976">
      <w:pPr>
        <w:spacing w:before="360" w:after="0" w:line="360" w:lineRule="auto"/>
        <w:jc w:val="both"/>
        <w:rPr>
          <w:rFonts w:ascii="Arial" w:hAnsi="Arial" w:cs="Arial"/>
          <w:sz w:val="24"/>
          <w:szCs w:val="24"/>
          <w:lang w:val="en-GB"/>
        </w:rPr>
      </w:pPr>
      <w:r w:rsidRPr="008A3F85">
        <w:rPr>
          <w:rFonts w:ascii="Arial" w:hAnsi="Arial" w:cs="Arial"/>
          <w:sz w:val="24"/>
          <w:szCs w:val="24"/>
          <w:lang w:val="en-GB"/>
        </w:rPr>
        <w:t xml:space="preserve">In the first round of Net-SILC </w:t>
      </w:r>
      <w:proofErr w:type="spellStart"/>
      <w:r w:rsidRPr="008A3F85">
        <w:rPr>
          <w:rFonts w:ascii="Arial" w:hAnsi="Arial" w:cs="Arial"/>
          <w:sz w:val="24"/>
          <w:szCs w:val="24"/>
          <w:lang w:val="en-GB"/>
        </w:rPr>
        <w:t>Verma</w:t>
      </w:r>
      <w:proofErr w:type="spellEnd"/>
      <w:r w:rsidRPr="008A3F85">
        <w:rPr>
          <w:rFonts w:ascii="Arial" w:hAnsi="Arial" w:cs="Arial"/>
          <w:sz w:val="24"/>
          <w:szCs w:val="24"/>
          <w:lang w:val="en-GB"/>
        </w:rPr>
        <w:t xml:space="preserve">, </w:t>
      </w:r>
      <w:proofErr w:type="spellStart"/>
      <w:r w:rsidRPr="008A3F85">
        <w:rPr>
          <w:rFonts w:ascii="Arial" w:hAnsi="Arial" w:cs="Arial"/>
          <w:sz w:val="24"/>
          <w:szCs w:val="24"/>
          <w:lang w:val="en-GB"/>
        </w:rPr>
        <w:t>Betti</w:t>
      </w:r>
      <w:proofErr w:type="spellEnd"/>
      <w:r w:rsidRPr="008A3F85">
        <w:rPr>
          <w:rFonts w:ascii="Arial" w:hAnsi="Arial" w:cs="Arial"/>
          <w:sz w:val="24"/>
          <w:szCs w:val="24"/>
          <w:lang w:val="en-GB"/>
        </w:rPr>
        <w:t xml:space="preserve"> and </w:t>
      </w:r>
      <w:proofErr w:type="spellStart"/>
      <w:r w:rsidRPr="008A3F85">
        <w:rPr>
          <w:rFonts w:ascii="Arial" w:hAnsi="Arial" w:cs="Arial"/>
          <w:sz w:val="24"/>
          <w:szCs w:val="24"/>
          <w:lang w:val="en-GB"/>
        </w:rPr>
        <w:t>Gagliardi</w:t>
      </w:r>
      <w:proofErr w:type="spellEnd"/>
      <w:r w:rsidRPr="008A3F85">
        <w:rPr>
          <w:rFonts w:ascii="Arial" w:hAnsi="Arial" w:cs="Arial"/>
          <w:sz w:val="24"/>
          <w:szCs w:val="24"/>
          <w:lang w:val="en-GB"/>
        </w:rPr>
        <w:t xml:space="preserve"> (2010a) had originally suggested </w:t>
      </w:r>
      <w:proofErr w:type="spellStart"/>
      <w:r w:rsidRPr="008A3F85">
        <w:rPr>
          <w:rFonts w:ascii="Arial" w:hAnsi="Arial" w:cs="Arial"/>
          <w:sz w:val="24"/>
          <w:szCs w:val="24"/>
          <w:lang w:val="en-GB"/>
        </w:rPr>
        <w:t>Jackknife</w:t>
      </w:r>
      <w:proofErr w:type="spellEnd"/>
      <w:r w:rsidRPr="008A3F85">
        <w:rPr>
          <w:rFonts w:ascii="Arial" w:hAnsi="Arial" w:cs="Arial"/>
          <w:sz w:val="24"/>
          <w:szCs w:val="24"/>
          <w:lang w:val="en-GB"/>
        </w:rPr>
        <w:t xml:space="preserve"> Repeated Replications (JRR) to be used for the estimation of standard errors in EU-SILC.</w:t>
      </w:r>
      <w:r w:rsidRPr="008A3F85">
        <w:rPr>
          <w:rFonts w:ascii="Arial" w:hAnsi="Arial" w:cs="Arial"/>
          <w:sz w:val="24"/>
          <w:szCs w:val="24"/>
          <w:vertAlign w:val="superscript"/>
          <w:lang w:val="en-GB"/>
        </w:rPr>
        <w:footnoteReference w:id="2"/>
      </w:r>
      <w:r w:rsidRPr="008A3F85">
        <w:rPr>
          <w:rFonts w:ascii="Arial" w:hAnsi="Arial" w:cs="Arial"/>
          <w:sz w:val="24"/>
          <w:szCs w:val="24"/>
          <w:lang w:val="en-GB"/>
        </w:rPr>
        <w:t xml:space="preserve"> As an extension of their approach, </w:t>
      </w:r>
      <w:proofErr w:type="spellStart"/>
      <w:r w:rsidRPr="008A3F85">
        <w:rPr>
          <w:rFonts w:ascii="Arial" w:hAnsi="Arial" w:cs="Arial"/>
          <w:sz w:val="24"/>
          <w:szCs w:val="24"/>
          <w:lang w:val="en-GB"/>
        </w:rPr>
        <w:t>Verma</w:t>
      </w:r>
      <w:proofErr w:type="spellEnd"/>
      <w:r w:rsidRPr="008A3F85">
        <w:rPr>
          <w:rFonts w:ascii="Arial" w:hAnsi="Arial" w:cs="Arial"/>
          <w:sz w:val="24"/>
          <w:szCs w:val="24"/>
          <w:lang w:val="en-GB"/>
        </w:rPr>
        <w:t xml:space="preserve">, </w:t>
      </w:r>
      <w:proofErr w:type="spellStart"/>
      <w:r w:rsidRPr="008A3F85">
        <w:rPr>
          <w:rFonts w:ascii="Arial" w:hAnsi="Arial" w:cs="Arial"/>
          <w:sz w:val="24"/>
          <w:szCs w:val="24"/>
          <w:lang w:val="en-GB"/>
        </w:rPr>
        <w:t>Betti</w:t>
      </w:r>
      <w:proofErr w:type="spellEnd"/>
      <w:r w:rsidRPr="008A3F85">
        <w:rPr>
          <w:rFonts w:ascii="Arial" w:hAnsi="Arial" w:cs="Arial"/>
          <w:sz w:val="24"/>
          <w:szCs w:val="24"/>
          <w:lang w:val="en-GB"/>
        </w:rPr>
        <w:t xml:space="preserve"> and </w:t>
      </w:r>
      <w:proofErr w:type="spellStart"/>
      <w:r w:rsidRPr="008A3F85">
        <w:rPr>
          <w:rFonts w:ascii="Arial" w:hAnsi="Arial" w:cs="Arial"/>
          <w:sz w:val="24"/>
          <w:szCs w:val="24"/>
          <w:lang w:val="en-GB"/>
        </w:rPr>
        <w:t>Gagliardi</w:t>
      </w:r>
      <w:proofErr w:type="spellEnd"/>
      <w:r w:rsidRPr="008A3F85">
        <w:rPr>
          <w:rFonts w:ascii="Arial" w:hAnsi="Arial" w:cs="Arial"/>
          <w:sz w:val="24"/>
          <w:szCs w:val="24"/>
          <w:lang w:val="en-GB"/>
        </w:rPr>
        <w:t xml:space="preserve"> (2010b) had suggested to also assess the variance of cumulated EU-SILC estimates by common set of </w:t>
      </w:r>
      <w:proofErr w:type="spellStart"/>
      <w:r w:rsidRPr="008A3F85">
        <w:rPr>
          <w:rFonts w:ascii="Arial" w:hAnsi="Arial" w:cs="Arial"/>
          <w:sz w:val="24"/>
          <w:szCs w:val="24"/>
          <w:lang w:val="en-GB"/>
        </w:rPr>
        <w:t>Jackknife</w:t>
      </w:r>
      <w:proofErr w:type="spellEnd"/>
      <w:r w:rsidRPr="008A3F85">
        <w:rPr>
          <w:rFonts w:ascii="Arial" w:hAnsi="Arial" w:cs="Arial"/>
          <w:sz w:val="24"/>
          <w:szCs w:val="24"/>
          <w:lang w:val="en-GB"/>
        </w:rPr>
        <w:t xml:space="preserve"> Repeated Replications. Using EU-SILC longitudinal data for 2005 and 2006 from Czech Republic and Poland </w:t>
      </w:r>
      <w:proofErr w:type="spellStart"/>
      <w:r w:rsidRPr="008A3F85">
        <w:rPr>
          <w:rFonts w:ascii="Arial" w:hAnsi="Arial" w:cs="Arial"/>
          <w:sz w:val="24"/>
          <w:szCs w:val="24"/>
          <w:lang w:val="en-GB"/>
        </w:rPr>
        <w:t>Verma</w:t>
      </w:r>
      <w:proofErr w:type="spellEnd"/>
      <w:r w:rsidRPr="008A3F85">
        <w:rPr>
          <w:rFonts w:ascii="Arial" w:hAnsi="Arial" w:cs="Arial"/>
          <w:sz w:val="24"/>
          <w:szCs w:val="24"/>
          <w:lang w:val="en-GB"/>
        </w:rPr>
        <w:t xml:space="preserve">, </w:t>
      </w:r>
      <w:proofErr w:type="spellStart"/>
      <w:r w:rsidRPr="008A3F85">
        <w:rPr>
          <w:rFonts w:ascii="Arial" w:hAnsi="Arial" w:cs="Arial"/>
          <w:sz w:val="24"/>
          <w:szCs w:val="24"/>
          <w:lang w:val="en-GB"/>
        </w:rPr>
        <w:t>Betti</w:t>
      </w:r>
      <w:proofErr w:type="spellEnd"/>
      <w:r w:rsidRPr="008A3F85">
        <w:rPr>
          <w:rFonts w:ascii="Arial" w:hAnsi="Arial" w:cs="Arial"/>
          <w:sz w:val="24"/>
          <w:szCs w:val="24"/>
          <w:lang w:val="en-GB"/>
        </w:rPr>
        <w:t xml:space="preserve"> and </w:t>
      </w:r>
      <w:proofErr w:type="spellStart"/>
      <w:r w:rsidRPr="008A3F85">
        <w:rPr>
          <w:rFonts w:ascii="Arial" w:hAnsi="Arial" w:cs="Arial"/>
          <w:sz w:val="24"/>
          <w:szCs w:val="24"/>
          <w:lang w:val="en-GB"/>
        </w:rPr>
        <w:t>Gagliardi</w:t>
      </w:r>
      <w:proofErr w:type="spellEnd"/>
      <w:r w:rsidRPr="008A3F85">
        <w:rPr>
          <w:rFonts w:ascii="Arial" w:hAnsi="Arial" w:cs="Arial"/>
          <w:sz w:val="24"/>
          <w:szCs w:val="24"/>
          <w:lang w:val="en-GB"/>
        </w:rPr>
        <w:t xml:space="preserve"> (2010b p45) could demonstrate that the standard error of the at-risk-of poverty (AROP) indicator is reduced by 17% when cumulating over two successive years. </w:t>
      </w:r>
    </w:p>
    <w:p w:rsidR="008A3F85" w:rsidRPr="008A3F85" w:rsidRDefault="008A3F85" w:rsidP="008A3F85">
      <w:pPr>
        <w:spacing w:before="360" w:after="0" w:line="360" w:lineRule="auto"/>
        <w:jc w:val="both"/>
        <w:rPr>
          <w:rFonts w:ascii="Arial" w:hAnsi="Arial" w:cs="Arial"/>
          <w:sz w:val="24"/>
          <w:szCs w:val="24"/>
          <w:lang w:val="en-GB"/>
        </w:rPr>
      </w:pPr>
      <w:r w:rsidRPr="008A3F85">
        <w:rPr>
          <w:rFonts w:ascii="Arial" w:hAnsi="Arial" w:cs="Arial"/>
          <w:sz w:val="24"/>
          <w:szCs w:val="24"/>
          <w:lang w:val="en-GB"/>
        </w:rPr>
        <w:t xml:space="preserve">During Net-SILC2 the ultimate cluster approach has been suggested as a pragmatic solution for estimating standard errors (Berger, Osier, and </w:t>
      </w:r>
      <w:proofErr w:type="spellStart"/>
      <w:r w:rsidRPr="008A3F85">
        <w:rPr>
          <w:rFonts w:ascii="Arial" w:hAnsi="Arial" w:cs="Arial"/>
          <w:sz w:val="24"/>
          <w:szCs w:val="24"/>
          <w:lang w:val="en-GB"/>
        </w:rPr>
        <w:t>Goedemé</w:t>
      </w:r>
      <w:proofErr w:type="spellEnd"/>
      <w:r w:rsidRPr="008A3F85">
        <w:rPr>
          <w:rFonts w:ascii="Arial" w:hAnsi="Arial" w:cs="Arial"/>
          <w:sz w:val="24"/>
          <w:szCs w:val="24"/>
          <w:lang w:val="en-GB"/>
        </w:rPr>
        <w:t xml:space="preserve"> 2017). The approach simplifies variance estimation for complex samples by approximating total sampling variance from the variance between clusters at the first stage (‘ultimate clusters’) of the sampling process (</w:t>
      </w:r>
      <w:proofErr w:type="spellStart"/>
      <w:r w:rsidRPr="008A3F85">
        <w:rPr>
          <w:rFonts w:ascii="Arial" w:hAnsi="Arial" w:cs="Arial"/>
          <w:sz w:val="24"/>
          <w:szCs w:val="24"/>
          <w:lang w:val="en-GB"/>
        </w:rPr>
        <w:t>Särndal</w:t>
      </w:r>
      <w:proofErr w:type="spellEnd"/>
      <w:r w:rsidRPr="008A3F85">
        <w:rPr>
          <w:rFonts w:ascii="Arial" w:hAnsi="Arial" w:cs="Arial"/>
          <w:sz w:val="24"/>
          <w:szCs w:val="24"/>
          <w:lang w:val="en-GB"/>
        </w:rPr>
        <w:t xml:space="preserve">, </w:t>
      </w:r>
      <w:proofErr w:type="spellStart"/>
      <w:r w:rsidRPr="008A3F85">
        <w:rPr>
          <w:rFonts w:ascii="Arial" w:hAnsi="Arial" w:cs="Arial"/>
          <w:sz w:val="24"/>
          <w:szCs w:val="24"/>
          <w:lang w:val="en-GB"/>
        </w:rPr>
        <w:t>Swensson</w:t>
      </w:r>
      <w:proofErr w:type="spellEnd"/>
      <w:r w:rsidRPr="008A3F85">
        <w:rPr>
          <w:rFonts w:ascii="Arial" w:hAnsi="Arial" w:cs="Arial"/>
          <w:sz w:val="24"/>
          <w:szCs w:val="24"/>
          <w:lang w:val="en-GB"/>
        </w:rPr>
        <w:t xml:space="preserve">, and </w:t>
      </w:r>
      <w:proofErr w:type="spellStart"/>
      <w:r w:rsidRPr="008A3F85">
        <w:rPr>
          <w:rFonts w:ascii="Arial" w:hAnsi="Arial" w:cs="Arial"/>
          <w:sz w:val="24"/>
          <w:szCs w:val="24"/>
          <w:lang w:val="en-GB"/>
        </w:rPr>
        <w:t>Wretman</w:t>
      </w:r>
      <w:proofErr w:type="spellEnd"/>
      <w:r w:rsidRPr="008A3F85">
        <w:rPr>
          <w:rFonts w:ascii="Arial" w:hAnsi="Arial" w:cs="Arial"/>
          <w:sz w:val="24"/>
          <w:szCs w:val="24"/>
          <w:lang w:val="en-GB"/>
        </w:rPr>
        <w:t xml:space="preserve"> 1992). The approach is considered easy to implement in standard software and has also been implemented in an R-package called </w:t>
      </w:r>
      <w:proofErr w:type="spellStart"/>
      <w:r w:rsidRPr="008A3F85">
        <w:rPr>
          <w:rFonts w:ascii="Arial" w:hAnsi="Arial" w:cs="Arial"/>
          <w:sz w:val="24"/>
          <w:szCs w:val="24"/>
          <w:lang w:val="en-GB"/>
        </w:rPr>
        <w:t>vardpoor</w:t>
      </w:r>
      <w:proofErr w:type="spellEnd"/>
      <w:r w:rsidRPr="008A3F85">
        <w:rPr>
          <w:rFonts w:ascii="Arial" w:hAnsi="Arial" w:cs="Arial"/>
          <w:sz w:val="24"/>
          <w:szCs w:val="24"/>
          <w:lang w:val="en-GB"/>
        </w:rPr>
        <w:t xml:space="preserve"> (</w:t>
      </w:r>
      <w:proofErr w:type="spellStart"/>
      <w:r w:rsidRPr="008A3F85">
        <w:rPr>
          <w:rFonts w:ascii="Arial" w:hAnsi="Arial" w:cs="Arial"/>
          <w:sz w:val="24"/>
          <w:szCs w:val="24"/>
          <w:lang w:val="en-GB"/>
        </w:rPr>
        <w:t>Breidaks</w:t>
      </w:r>
      <w:proofErr w:type="spellEnd"/>
      <w:r w:rsidRPr="008A3F85">
        <w:rPr>
          <w:rFonts w:ascii="Arial" w:hAnsi="Arial" w:cs="Arial"/>
          <w:sz w:val="24"/>
          <w:szCs w:val="24"/>
          <w:lang w:val="en-GB"/>
        </w:rPr>
        <w:t xml:space="preserve">, </w:t>
      </w:r>
      <w:proofErr w:type="spellStart"/>
      <w:r w:rsidRPr="008A3F85">
        <w:rPr>
          <w:rFonts w:ascii="Arial" w:hAnsi="Arial" w:cs="Arial"/>
          <w:sz w:val="24"/>
          <w:szCs w:val="24"/>
          <w:lang w:val="en-GB"/>
        </w:rPr>
        <w:t>Liberts</w:t>
      </w:r>
      <w:proofErr w:type="spellEnd"/>
      <w:r w:rsidRPr="008A3F85">
        <w:rPr>
          <w:rFonts w:ascii="Arial" w:hAnsi="Arial" w:cs="Arial"/>
          <w:sz w:val="24"/>
          <w:szCs w:val="24"/>
          <w:lang w:val="en-GB"/>
        </w:rPr>
        <w:t xml:space="preserve"> and Ivanova 2017). In this method, standard errors for nonlinear indicators are calculated upon </w:t>
      </w:r>
      <w:proofErr w:type="spellStart"/>
      <w:r w:rsidRPr="008A3F85">
        <w:rPr>
          <w:rFonts w:ascii="Arial" w:hAnsi="Arial" w:cs="Arial"/>
          <w:sz w:val="24"/>
          <w:szCs w:val="24"/>
          <w:lang w:val="en-GB"/>
        </w:rPr>
        <w:t>linearised</w:t>
      </w:r>
      <w:proofErr w:type="spellEnd"/>
      <w:r w:rsidRPr="008A3F85">
        <w:rPr>
          <w:rFonts w:ascii="Arial" w:hAnsi="Arial" w:cs="Arial"/>
          <w:sz w:val="24"/>
          <w:szCs w:val="24"/>
          <w:lang w:val="en-GB"/>
        </w:rPr>
        <w:t xml:space="preserve"> variables which have asymptotically the same variance properties as the indicators in question (Deville 1999, Osier 2009).</w:t>
      </w:r>
    </w:p>
    <w:p w:rsidR="008A3F85" w:rsidRPr="008A3F85" w:rsidRDefault="008A3F85" w:rsidP="008A3F85">
      <w:pPr>
        <w:spacing w:before="360" w:after="0" w:line="360" w:lineRule="auto"/>
        <w:jc w:val="both"/>
        <w:rPr>
          <w:rFonts w:ascii="Arial" w:hAnsi="Arial" w:cs="Arial"/>
          <w:sz w:val="24"/>
          <w:szCs w:val="24"/>
          <w:lang w:val="en-GB"/>
        </w:rPr>
      </w:pPr>
      <w:r w:rsidRPr="008A3F85">
        <w:rPr>
          <w:rFonts w:ascii="Arial" w:hAnsi="Arial" w:cs="Arial"/>
          <w:sz w:val="24"/>
          <w:szCs w:val="24"/>
          <w:lang w:val="en-GB"/>
        </w:rPr>
        <w:lastRenderedPageBreak/>
        <w:t>In a comprehensive study of poverty in NUTS 2 regions (Bauer et al 2013) Statistics Austria has derived standard errors with a bootstrap replication method which partly drew on experience made in the AMELI project (</w:t>
      </w:r>
      <w:proofErr w:type="spellStart"/>
      <w:r w:rsidRPr="008A3F85">
        <w:rPr>
          <w:rFonts w:ascii="Arial" w:hAnsi="Arial" w:cs="Arial"/>
          <w:sz w:val="24"/>
          <w:szCs w:val="24"/>
          <w:lang w:val="en-GB"/>
        </w:rPr>
        <w:t>Alfons</w:t>
      </w:r>
      <w:proofErr w:type="spellEnd"/>
      <w:r w:rsidRPr="008A3F85">
        <w:rPr>
          <w:rFonts w:ascii="Arial" w:hAnsi="Arial" w:cs="Arial"/>
          <w:sz w:val="24"/>
          <w:szCs w:val="24"/>
          <w:lang w:val="en-GB"/>
        </w:rPr>
        <w:t>, Templ 2012). Results were compared over several years, indicators and estimation methods. Standard errors of EU-SILC estimates which are cumulated over three successive years were found to be about 25% below that of single years. This implies an increase of effective sample size by approximately 78%. Martin et al (2013) also showed that results from more advanced Small Area Estimation techniques could generally not provide more stable results.</w:t>
      </w:r>
    </w:p>
    <w:p w:rsidR="008A3F85" w:rsidRPr="008A2E01" w:rsidRDefault="008A3F85" w:rsidP="008A2E01">
      <w:pPr>
        <w:spacing w:before="360" w:line="360" w:lineRule="auto"/>
        <w:jc w:val="both"/>
        <w:rPr>
          <w:rFonts w:ascii="Arial" w:hAnsi="Arial" w:cs="Arial"/>
          <w:b/>
          <w:bCs/>
          <w:i/>
          <w:sz w:val="24"/>
          <w:szCs w:val="24"/>
          <w:lang w:val="en-GB"/>
        </w:rPr>
      </w:pPr>
      <w:r>
        <w:rPr>
          <w:rFonts w:ascii="Arial" w:hAnsi="Arial" w:cs="Arial"/>
          <w:i/>
          <w:sz w:val="24"/>
          <w:szCs w:val="24"/>
          <w:lang w:val="en-GB"/>
        </w:rPr>
        <w:t>2</w:t>
      </w:r>
      <w:r w:rsidRPr="00EC5F5A">
        <w:rPr>
          <w:rFonts w:ascii="Arial" w:hAnsi="Arial" w:cs="Arial"/>
          <w:i/>
          <w:sz w:val="24"/>
          <w:szCs w:val="24"/>
          <w:lang w:val="en-GB"/>
        </w:rPr>
        <w:t>.</w:t>
      </w:r>
      <w:r>
        <w:rPr>
          <w:rFonts w:ascii="Arial" w:hAnsi="Arial" w:cs="Arial"/>
          <w:i/>
          <w:sz w:val="24"/>
          <w:szCs w:val="24"/>
          <w:lang w:val="en-GB"/>
        </w:rPr>
        <w:t>2</w:t>
      </w:r>
      <w:r w:rsidRPr="00EC5F5A">
        <w:rPr>
          <w:rFonts w:ascii="Arial" w:hAnsi="Arial" w:cs="Arial"/>
          <w:i/>
          <w:sz w:val="24"/>
          <w:szCs w:val="24"/>
          <w:lang w:val="en-GB"/>
        </w:rPr>
        <w:t xml:space="preserve">. </w:t>
      </w:r>
      <w:r w:rsidR="008A2E01" w:rsidRPr="008A2E01">
        <w:rPr>
          <w:rFonts w:ascii="Arial" w:hAnsi="Arial" w:cs="Arial"/>
          <w:bCs/>
          <w:i/>
          <w:sz w:val="24"/>
          <w:szCs w:val="24"/>
          <w:lang w:val="en-GB"/>
        </w:rPr>
        <w:t xml:space="preserve">Validating the precision of AAA estimates with the </w:t>
      </w:r>
      <w:proofErr w:type="spellStart"/>
      <w:r w:rsidR="008A2E01" w:rsidRPr="008A2E01">
        <w:rPr>
          <w:rFonts w:ascii="Arial" w:hAnsi="Arial" w:cs="Arial"/>
          <w:bCs/>
          <w:i/>
          <w:sz w:val="24"/>
          <w:szCs w:val="24"/>
          <w:lang w:val="en-GB"/>
        </w:rPr>
        <w:t>surveysd</w:t>
      </w:r>
      <w:proofErr w:type="spellEnd"/>
      <w:r w:rsidR="008A2E01" w:rsidRPr="008A2E01">
        <w:rPr>
          <w:rFonts w:ascii="Arial" w:hAnsi="Arial" w:cs="Arial"/>
          <w:bCs/>
          <w:i/>
          <w:sz w:val="24"/>
          <w:szCs w:val="24"/>
          <w:lang w:val="en-GB"/>
        </w:rPr>
        <w:t xml:space="preserve"> </w:t>
      </w:r>
      <w:r w:rsidR="008C0976">
        <w:rPr>
          <w:rFonts w:ascii="Arial" w:hAnsi="Arial" w:cs="Arial"/>
          <w:bCs/>
          <w:i/>
          <w:sz w:val="24"/>
          <w:szCs w:val="24"/>
          <w:lang w:val="en-GB"/>
        </w:rPr>
        <w:t>package</w:t>
      </w:r>
    </w:p>
    <w:p w:rsidR="008A3F85" w:rsidRPr="008A3F85" w:rsidRDefault="008A3F85" w:rsidP="008A3F85">
      <w:pPr>
        <w:spacing w:before="360" w:after="0" w:line="360" w:lineRule="auto"/>
        <w:jc w:val="both"/>
        <w:rPr>
          <w:rFonts w:ascii="Arial" w:hAnsi="Arial" w:cs="Arial"/>
          <w:sz w:val="24"/>
          <w:szCs w:val="24"/>
          <w:lang w:val="en-GB"/>
        </w:rPr>
      </w:pPr>
      <w:r w:rsidRPr="008A3F85">
        <w:rPr>
          <w:rFonts w:ascii="Arial" w:hAnsi="Arial" w:cs="Arial"/>
          <w:sz w:val="24"/>
          <w:szCs w:val="24"/>
          <w:lang w:val="en-GB"/>
        </w:rPr>
        <w:t>Based on prior experience for estimating standard errors in EU-SILC (Bauer et al 2013) and the Labour Force Survey (LFS) (</w:t>
      </w:r>
      <w:proofErr w:type="spellStart"/>
      <w:r w:rsidRPr="008A3F85">
        <w:rPr>
          <w:rFonts w:ascii="Arial" w:hAnsi="Arial" w:cs="Arial"/>
          <w:sz w:val="24"/>
          <w:szCs w:val="24"/>
          <w:lang w:val="en-GB"/>
        </w:rPr>
        <w:t>Meraner</w:t>
      </w:r>
      <w:proofErr w:type="spellEnd"/>
      <w:r w:rsidRPr="008A3F85">
        <w:rPr>
          <w:rFonts w:ascii="Arial" w:hAnsi="Arial" w:cs="Arial"/>
          <w:sz w:val="24"/>
          <w:szCs w:val="24"/>
          <w:lang w:val="en-GB"/>
        </w:rPr>
        <w:t xml:space="preserve">, </w:t>
      </w:r>
      <w:proofErr w:type="spellStart"/>
      <w:r w:rsidRPr="008A3F85">
        <w:rPr>
          <w:rFonts w:ascii="Arial" w:hAnsi="Arial" w:cs="Arial"/>
          <w:sz w:val="24"/>
          <w:szCs w:val="24"/>
          <w:lang w:val="en-GB"/>
        </w:rPr>
        <w:t>Gumprecht</w:t>
      </w:r>
      <w:proofErr w:type="spellEnd"/>
      <w:r w:rsidRPr="008A3F85">
        <w:rPr>
          <w:rFonts w:ascii="Arial" w:hAnsi="Arial" w:cs="Arial"/>
          <w:sz w:val="24"/>
          <w:szCs w:val="24"/>
          <w:lang w:val="en-GB"/>
        </w:rPr>
        <w:t xml:space="preserve">, and </w:t>
      </w:r>
      <w:proofErr w:type="spellStart"/>
      <w:r w:rsidRPr="008A3F85">
        <w:rPr>
          <w:rFonts w:ascii="Arial" w:hAnsi="Arial" w:cs="Arial"/>
          <w:sz w:val="24"/>
          <w:szCs w:val="24"/>
          <w:lang w:val="en-GB"/>
        </w:rPr>
        <w:t>Kowarik</w:t>
      </w:r>
      <w:proofErr w:type="spellEnd"/>
      <w:r w:rsidRPr="008A3F85">
        <w:rPr>
          <w:rFonts w:ascii="Arial" w:hAnsi="Arial" w:cs="Arial"/>
          <w:sz w:val="24"/>
          <w:szCs w:val="24"/>
          <w:lang w:val="en-GB"/>
        </w:rPr>
        <w:t xml:space="preserve"> 2016) this paper presents a bootstrap replication approach to calculate standard errors for survey data which is especially useful to assess the precision of AAA estimates in EU-SILC.</w:t>
      </w:r>
    </w:p>
    <w:p w:rsidR="008A3F85" w:rsidRPr="008A3F85" w:rsidRDefault="008A3F85" w:rsidP="008A3F85">
      <w:pPr>
        <w:spacing w:before="360" w:after="0" w:line="360" w:lineRule="auto"/>
        <w:jc w:val="both"/>
        <w:rPr>
          <w:rFonts w:ascii="Arial" w:hAnsi="Arial" w:cs="Arial"/>
          <w:sz w:val="24"/>
          <w:szCs w:val="24"/>
          <w:lang w:val="en-GB"/>
        </w:rPr>
      </w:pPr>
      <w:r w:rsidRPr="008A3F85">
        <w:rPr>
          <w:rFonts w:ascii="Arial" w:hAnsi="Arial" w:cs="Arial"/>
          <w:sz w:val="24"/>
          <w:szCs w:val="24"/>
          <w:lang w:val="en-GB"/>
        </w:rPr>
        <w:t xml:space="preserve">The algorithm involves replication of the sample design. Because the longitudinal component is integrated into the cross sectional sample longitudinal identifiers must also be available to trace the origin of sample units. This information was not available in the UDB before the 2014 wave. Linkable longitudinal identifiers for all cross sectional data since 2008 were provided by INE to Statistics Austria. The </w:t>
      </w:r>
      <w:proofErr w:type="spellStart"/>
      <w:r w:rsidRPr="008A3F85">
        <w:rPr>
          <w:rFonts w:ascii="Arial" w:hAnsi="Arial" w:cs="Arial"/>
          <w:sz w:val="24"/>
          <w:szCs w:val="24"/>
          <w:lang w:val="en-GB"/>
        </w:rPr>
        <w:t>surveysd</w:t>
      </w:r>
      <w:proofErr w:type="spellEnd"/>
      <w:r w:rsidRPr="008A3F85">
        <w:rPr>
          <w:rFonts w:ascii="Arial" w:hAnsi="Arial" w:cs="Arial"/>
          <w:sz w:val="24"/>
          <w:szCs w:val="24"/>
          <w:lang w:val="en-GB"/>
        </w:rPr>
        <w:t xml:space="preserve"> </w:t>
      </w:r>
      <w:r w:rsidR="008C0976">
        <w:rPr>
          <w:rFonts w:ascii="Arial" w:hAnsi="Arial" w:cs="Arial"/>
          <w:sz w:val="24"/>
          <w:szCs w:val="24"/>
          <w:lang w:val="en-GB"/>
        </w:rPr>
        <w:t>package</w:t>
      </w:r>
      <w:r w:rsidRPr="008A3F85">
        <w:rPr>
          <w:rFonts w:ascii="Arial" w:hAnsi="Arial" w:cs="Arial"/>
          <w:sz w:val="24"/>
          <w:szCs w:val="24"/>
          <w:lang w:val="en-GB"/>
        </w:rPr>
        <w:t xml:space="preserve"> is implemented in the free R-software and its current version can be downloaded together with a detailed manual.</w:t>
      </w:r>
      <w:r w:rsidRPr="008A3F85">
        <w:rPr>
          <w:rFonts w:ascii="Arial" w:hAnsi="Arial" w:cs="Arial"/>
          <w:sz w:val="24"/>
          <w:szCs w:val="24"/>
          <w:vertAlign w:val="superscript"/>
          <w:lang w:val="en-GB"/>
        </w:rPr>
        <w:footnoteReference w:id="3"/>
      </w:r>
      <w:r w:rsidRPr="008A3F85">
        <w:rPr>
          <w:rFonts w:ascii="Arial" w:hAnsi="Arial" w:cs="Arial"/>
          <w:sz w:val="24"/>
          <w:szCs w:val="24"/>
          <w:vertAlign w:val="superscript"/>
          <w:lang w:val="en-GB"/>
        </w:rPr>
        <w:t xml:space="preserve"> </w:t>
      </w:r>
    </w:p>
    <w:p w:rsidR="008A3F85" w:rsidRPr="008A3F85" w:rsidRDefault="008A3F85" w:rsidP="008A3F85">
      <w:pPr>
        <w:spacing w:before="360" w:after="0" w:line="360" w:lineRule="auto"/>
        <w:jc w:val="both"/>
        <w:rPr>
          <w:rFonts w:ascii="Arial" w:hAnsi="Arial" w:cs="Arial"/>
          <w:sz w:val="24"/>
          <w:szCs w:val="24"/>
          <w:lang w:val="en-GB"/>
        </w:rPr>
      </w:pPr>
      <w:r w:rsidRPr="008A3F85">
        <w:rPr>
          <w:rFonts w:ascii="Arial" w:hAnsi="Arial" w:cs="Arial"/>
          <w:sz w:val="24"/>
          <w:szCs w:val="24"/>
          <w:lang w:val="en-GB"/>
        </w:rPr>
        <w:t xml:space="preserve">The approach presented below goes beyond the ultimate cluster approach as it can handle multistage sampling designs, provided that this information is specified in the micro data. </w:t>
      </w:r>
      <w:proofErr w:type="gramStart"/>
      <w:r w:rsidRPr="008A3F85">
        <w:rPr>
          <w:rFonts w:ascii="Arial" w:hAnsi="Arial" w:cs="Arial"/>
          <w:sz w:val="24"/>
          <w:szCs w:val="24"/>
          <w:lang w:val="en-GB"/>
        </w:rPr>
        <w:t>it</w:t>
      </w:r>
      <w:proofErr w:type="gramEnd"/>
      <w:r w:rsidRPr="008A3F85">
        <w:rPr>
          <w:rFonts w:ascii="Arial" w:hAnsi="Arial" w:cs="Arial"/>
          <w:sz w:val="24"/>
          <w:szCs w:val="24"/>
          <w:lang w:val="en-GB"/>
        </w:rPr>
        <w:t xml:space="preserve"> also allows to consider the effect of calibration. The methodology can be summarised in three stages:</w:t>
      </w:r>
    </w:p>
    <w:p w:rsidR="008A3F85" w:rsidRPr="00F15D59" w:rsidRDefault="008A3F85" w:rsidP="00F15D59">
      <w:pPr>
        <w:pStyle w:val="Listenabsatz"/>
        <w:numPr>
          <w:ilvl w:val="0"/>
          <w:numId w:val="3"/>
        </w:numPr>
        <w:spacing w:before="360" w:after="0" w:line="360" w:lineRule="auto"/>
        <w:jc w:val="both"/>
        <w:rPr>
          <w:rFonts w:ascii="Arial" w:hAnsi="Arial" w:cs="Arial"/>
          <w:sz w:val="24"/>
          <w:szCs w:val="24"/>
          <w:lang w:val="en-GB"/>
        </w:rPr>
      </w:pPr>
      <w:r w:rsidRPr="00F15D59">
        <w:rPr>
          <w:rFonts w:ascii="Arial" w:hAnsi="Arial" w:cs="Arial"/>
          <w:sz w:val="24"/>
          <w:szCs w:val="24"/>
          <w:lang w:val="en-GB"/>
        </w:rPr>
        <w:t xml:space="preserve">Draw </w:t>
      </w:r>
      <m:oMath>
        <m:r>
          <w:rPr>
            <w:rFonts w:ascii="Cambria Math" w:hAnsi="Cambria Math" w:cs="Arial"/>
            <w:sz w:val="24"/>
            <w:szCs w:val="24"/>
            <w:lang w:val="en-GB"/>
          </w:rPr>
          <m:t>B</m:t>
        </m:r>
      </m:oMath>
      <w:r w:rsidRPr="00F15D59">
        <w:rPr>
          <w:rFonts w:ascii="Arial" w:hAnsi="Arial" w:cs="Arial"/>
          <w:sz w:val="24"/>
          <w:szCs w:val="24"/>
          <w:lang w:val="en-GB"/>
        </w:rPr>
        <w:t xml:space="preserve"> bootstrap replicates from EU-SILC data for year</w:t>
      </w:r>
      <w:r w:rsidR="00A244F3">
        <w:rPr>
          <w:rFonts w:ascii="Arial" w:hAnsi="Arial" w:cs="Arial"/>
          <w:sz w:val="24"/>
          <w:szCs w:val="24"/>
          <w:lang w:val="en-GB"/>
        </w:rPr>
        <w:t>s</w:t>
      </w:r>
      <w:r w:rsidRPr="00F15D59">
        <w:rPr>
          <w:rFonts w:ascii="Arial" w:hAnsi="Arial" w:cs="Arial"/>
          <w:sz w:val="24"/>
          <w:szCs w:val="24"/>
          <w:lang w:val="en-GB"/>
        </w:rPr>
        <w:t xml:space="preserve"> </w:t>
      </w:r>
      <m:oMath>
        <m:sSub>
          <m:sSubPr>
            <m:ctrlPr>
              <w:rPr>
                <w:rFonts w:ascii="Cambria Math" w:hAnsi="Cambria Math" w:cs="Arial"/>
                <w:sz w:val="24"/>
                <w:szCs w:val="24"/>
                <w:lang w:val="en-GB"/>
              </w:rPr>
            </m:ctrlPr>
          </m:sSubPr>
          <m:e>
            <m:r>
              <w:rPr>
                <w:rFonts w:ascii="Cambria Math" w:hAnsi="Cambria Math" w:cs="Arial"/>
                <w:sz w:val="24"/>
                <w:szCs w:val="24"/>
                <w:lang w:val="en-GB"/>
              </w:rPr>
              <m:t>y</m:t>
            </m:r>
          </m:e>
          <m:sub>
            <m:r>
              <w:rPr>
                <w:rFonts w:ascii="Cambria Math" w:hAnsi="Cambria Math" w:cs="Arial"/>
                <w:sz w:val="24"/>
                <w:szCs w:val="24"/>
                <w:lang w:val="en-GB"/>
              </w:rPr>
              <m:t>t</m:t>
            </m:r>
          </m:sub>
        </m:sSub>
      </m:oMath>
      <w:r w:rsidRPr="00F15D59">
        <w:rPr>
          <w:rFonts w:ascii="Arial" w:hAnsi="Arial" w:cs="Arial"/>
          <w:sz w:val="24"/>
          <w:szCs w:val="24"/>
          <w:lang w:val="en-GB"/>
        </w:rPr>
        <w:t xml:space="preserve">, </w:t>
      </w:r>
      <m:oMath>
        <m:r>
          <w:rPr>
            <w:rFonts w:ascii="Cambria Math" w:hAnsi="Cambria Math" w:cs="Arial"/>
            <w:sz w:val="24"/>
            <w:szCs w:val="24"/>
            <w:lang w:val="en-GB"/>
          </w:rPr>
          <m:t>t=1,…,</m:t>
        </m:r>
        <m:sSub>
          <m:sSubPr>
            <m:ctrlPr>
              <w:rPr>
                <w:rFonts w:ascii="Cambria Math" w:hAnsi="Cambria Math" w:cs="Arial"/>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y</m:t>
            </m:r>
          </m:sub>
        </m:sSub>
      </m:oMath>
      <w:r w:rsidRPr="00F15D59">
        <w:rPr>
          <w:rFonts w:ascii="Arial" w:hAnsi="Arial" w:cs="Arial"/>
          <w:sz w:val="24"/>
          <w:szCs w:val="24"/>
          <w:lang w:val="en-GB"/>
        </w:rPr>
        <w:t xml:space="preserve">. </w:t>
      </w:r>
    </w:p>
    <w:p w:rsidR="008A3F85" w:rsidRPr="00F15D59" w:rsidRDefault="00712BF7" w:rsidP="00F15D59">
      <w:pPr>
        <w:pStyle w:val="Listenabsatz"/>
        <w:numPr>
          <w:ilvl w:val="0"/>
          <w:numId w:val="3"/>
        </w:numPr>
        <w:spacing w:before="360" w:after="0" w:line="360" w:lineRule="auto"/>
        <w:jc w:val="both"/>
        <w:rPr>
          <w:rFonts w:ascii="Arial" w:hAnsi="Arial" w:cs="Arial"/>
          <w:sz w:val="24"/>
          <w:szCs w:val="24"/>
          <w:lang w:val="en-GB"/>
        </w:rPr>
      </w:pPr>
      <w:r>
        <w:rPr>
          <w:rFonts w:ascii="Arial" w:hAnsi="Arial" w:cs="Arial"/>
          <w:sz w:val="24"/>
          <w:szCs w:val="24"/>
          <w:lang w:val="en-GB"/>
        </w:rPr>
        <w:lastRenderedPageBreak/>
        <w:t>Recalibrate</w:t>
      </w:r>
      <w:r w:rsidR="008A3F85" w:rsidRPr="00F15D59">
        <w:rPr>
          <w:rFonts w:ascii="Arial" w:hAnsi="Arial" w:cs="Arial"/>
          <w:sz w:val="24"/>
          <w:szCs w:val="24"/>
          <w:lang w:val="en-GB"/>
        </w:rPr>
        <w:t xml:space="preserve"> weights by multiplying each set of bootstrap replicates by the sampling weights and calibrate each of the uncalibrated bootstrap weights using iterative proportional fitting.</w:t>
      </w:r>
    </w:p>
    <w:p w:rsidR="00F15D59" w:rsidRPr="00F15D59" w:rsidRDefault="008A3F85" w:rsidP="00F15D59">
      <w:pPr>
        <w:pStyle w:val="Listenabsatz"/>
        <w:numPr>
          <w:ilvl w:val="0"/>
          <w:numId w:val="3"/>
        </w:numPr>
        <w:spacing w:before="360" w:after="0" w:line="360" w:lineRule="auto"/>
        <w:jc w:val="both"/>
        <w:rPr>
          <w:rFonts w:ascii="Arial" w:hAnsi="Arial" w:cs="Arial"/>
          <w:sz w:val="24"/>
          <w:szCs w:val="24"/>
          <w:lang w:val="en-GB"/>
        </w:rPr>
      </w:pPr>
      <w:r w:rsidRPr="00F15D59">
        <w:rPr>
          <w:rFonts w:ascii="Arial" w:hAnsi="Arial" w:cs="Arial"/>
          <w:sz w:val="24"/>
          <w:szCs w:val="24"/>
          <w:lang w:val="en-GB"/>
        </w:rPr>
        <w:t xml:space="preserve">Estimate the point estimate of interest </w:t>
      </w:r>
      <m:oMath>
        <m:r>
          <w:rPr>
            <w:rFonts w:ascii="Cambria Math" w:hAnsi="Cambria Math" w:cs="Arial"/>
            <w:sz w:val="24"/>
            <w:szCs w:val="24"/>
            <w:lang w:val="en-GB"/>
          </w:rPr>
          <m:t>θ</m:t>
        </m:r>
      </m:oMath>
      <w:r w:rsidRPr="00F15D59">
        <w:rPr>
          <w:rFonts w:ascii="Arial" w:hAnsi="Arial" w:cs="Arial"/>
          <w:sz w:val="24"/>
          <w:szCs w:val="24"/>
          <w:lang w:val="en-GB"/>
        </w:rPr>
        <w:t xml:space="preserve">, for each year and each calibrated bootstrap weight to obtain </w:t>
      </w:r>
      <m:oMath>
        <m:sSup>
          <m:sSupPr>
            <m:ctrlPr>
              <w:rPr>
                <w:rFonts w:ascii="Cambria Math" w:hAnsi="Cambria Math" w:cs="Arial"/>
                <w:sz w:val="24"/>
                <w:szCs w:val="24"/>
                <w:lang w:val="en-GB"/>
              </w:rPr>
            </m:ctrlPr>
          </m:sSupPr>
          <m:e>
            <m:groupChr>
              <m:groupChrPr>
                <m:chr m:val="̃"/>
                <m:pos m:val="top"/>
                <m:vertJc m:val="bot"/>
                <m:ctrlPr>
                  <w:rPr>
                    <w:rFonts w:ascii="Cambria Math" w:hAnsi="Cambria Math" w:cs="Arial"/>
                    <w:sz w:val="24"/>
                    <w:szCs w:val="24"/>
                    <w:lang w:val="en-GB"/>
                  </w:rPr>
                </m:ctrlPr>
              </m:groupChrPr>
              <m:e>
                <m:r>
                  <w:rPr>
                    <w:rFonts w:ascii="Cambria Math" w:hAnsi="Cambria Math" w:cs="Arial"/>
                    <w:sz w:val="24"/>
                    <w:szCs w:val="24"/>
                    <w:lang w:val="en-GB"/>
                  </w:rPr>
                  <m:t>θ</m:t>
                </m:r>
              </m:e>
            </m:groupChr>
          </m:e>
          <m:sup>
            <m:r>
              <w:rPr>
                <w:rFonts w:ascii="Cambria Math" w:hAnsi="Cambria Math" w:cs="Arial"/>
                <w:sz w:val="24"/>
                <w:szCs w:val="24"/>
                <w:lang w:val="en-GB"/>
              </w:rPr>
              <m:t>(i,</m:t>
            </m:r>
            <m:sSub>
              <m:sSubPr>
                <m:ctrlPr>
                  <w:rPr>
                    <w:rFonts w:ascii="Cambria Math" w:hAnsi="Cambria Math" w:cs="Arial"/>
                    <w:sz w:val="24"/>
                    <w:szCs w:val="24"/>
                    <w:lang w:val="en-GB"/>
                  </w:rPr>
                </m:ctrlPr>
              </m:sSubPr>
              <m:e>
                <m:r>
                  <w:rPr>
                    <w:rFonts w:ascii="Cambria Math" w:hAnsi="Cambria Math" w:cs="Arial"/>
                    <w:sz w:val="24"/>
                    <w:szCs w:val="24"/>
                    <w:lang w:val="en-GB"/>
                  </w:rPr>
                  <m:t>y</m:t>
                </m:r>
              </m:e>
              <m:sub>
                <m:r>
                  <w:rPr>
                    <w:rFonts w:ascii="Cambria Math" w:hAnsi="Cambria Math" w:cs="Arial"/>
                    <w:sz w:val="24"/>
                    <w:szCs w:val="24"/>
                    <w:lang w:val="en-GB"/>
                  </w:rPr>
                  <m:t>t</m:t>
                </m:r>
              </m:sub>
            </m:sSub>
            <m:r>
              <w:rPr>
                <w:rFonts w:ascii="Cambria Math" w:hAnsi="Cambria Math" w:cs="Arial"/>
                <w:sz w:val="24"/>
                <w:szCs w:val="24"/>
                <w:lang w:val="en-GB"/>
              </w:rPr>
              <m:t>)</m:t>
            </m:r>
          </m:sup>
        </m:sSup>
      </m:oMath>
      <w:r w:rsidRPr="00F15D59">
        <w:rPr>
          <w:rFonts w:ascii="Arial" w:hAnsi="Arial" w:cs="Arial"/>
          <w:sz w:val="24"/>
          <w:szCs w:val="24"/>
          <w:lang w:val="en-GB"/>
        </w:rPr>
        <w:t xml:space="preserve">, </w:t>
      </w:r>
      <m:oMath>
        <m:r>
          <w:rPr>
            <w:rFonts w:ascii="Cambria Math" w:hAnsi="Cambria Math" w:cs="Arial"/>
            <w:sz w:val="24"/>
            <w:szCs w:val="24"/>
            <w:lang w:val="en-GB"/>
          </w:rPr>
          <m:t>t=1,…,</m:t>
        </m:r>
        <m:sSub>
          <m:sSubPr>
            <m:ctrlPr>
              <w:rPr>
                <w:rFonts w:ascii="Cambria Math" w:hAnsi="Cambria Math" w:cs="Arial"/>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y</m:t>
            </m:r>
          </m:sub>
        </m:sSub>
      </m:oMath>
      <w:r w:rsidRPr="00F15D59">
        <w:rPr>
          <w:rFonts w:ascii="Arial" w:hAnsi="Arial" w:cs="Arial"/>
          <w:sz w:val="24"/>
          <w:szCs w:val="24"/>
          <w:lang w:val="en-GB"/>
        </w:rPr>
        <w:t xml:space="preserve">, </w:t>
      </w:r>
      <m:oMath>
        <m:r>
          <w:rPr>
            <w:rFonts w:ascii="Cambria Math" w:hAnsi="Cambria Math" w:cs="Arial"/>
            <w:sz w:val="24"/>
            <w:szCs w:val="24"/>
            <w:lang w:val="en-GB"/>
          </w:rPr>
          <m:t>i=1,…,B</m:t>
        </m:r>
      </m:oMath>
      <w:r w:rsidRPr="00F15D59">
        <w:rPr>
          <w:rFonts w:ascii="Arial" w:hAnsi="Arial" w:cs="Arial"/>
          <w:sz w:val="24"/>
          <w:szCs w:val="24"/>
          <w:lang w:val="en-GB"/>
        </w:rPr>
        <w:t xml:space="preserve">. For fixed </w:t>
      </w:r>
      <m:oMath>
        <m:sSub>
          <m:sSubPr>
            <m:ctrlPr>
              <w:rPr>
                <w:rFonts w:ascii="Cambria Math" w:hAnsi="Cambria Math" w:cs="Arial"/>
                <w:sz w:val="24"/>
                <w:szCs w:val="24"/>
                <w:lang w:val="en-GB"/>
              </w:rPr>
            </m:ctrlPr>
          </m:sSubPr>
          <m:e>
            <m:r>
              <w:rPr>
                <w:rFonts w:ascii="Cambria Math" w:hAnsi="Cambria Math" w:cs="Arial"/>
                <w:sz w:val="24"/>
                <w:szCs w:val="24"/>
                <w:lang w:val="en-GB"/>
              </w:rPr>
              <m:t>y</m:t>
            </m:r>
          </m:e>
          <m:sub>
            <m:r>
              <w:rPr>
                <w:rFonts w:ascii="Cambria Math" w:hAnsi="Cambria Math" w:cs="Arial"/>
                <w:sz w:val="24"/>
                <w:szCs w:val="24"/>
                <w:lang w:val="en-GB"/>
              </w:rPr>
              <m:t>t</m:t>
            </m:r>
          </m:sub>
        </m:sSub>
      </m:oMath>
      <w:r w:rsidRPr="00F15D59">
        <w:rPr>
          <w:rFonts w:ascii="Arial" w:hAnsi="Arial" w:cs="Arial"/>
          <w:sz w:val="24"/>
          <w:szCs w:val="24"/>
          <w:lang w:val="en-GB"/>
        </w:rPr>
        <w:t xml:space="preserve"> apply a filter with equal weights for each </w:t>
      </w:r>
      <m:oMath>
        <m:r>
          <w:rPr>
            <w:rFonts w:ascii="Cambria Math" w:hAnsi="Cambria Math" w:cs="Arial"/>
            <w:sz w:val="24"/>
            <w:szCs w:val="24"/>
            <w:lang w:val="en-GB"/>
          </w:rPr>
          <m:t>i</m:t>
        </m:r>
      </m:oMath>
      <w:r w:rsidRPr="00F15D59">
        <w:rPr>
          <w:rFonts w:ascii="Arial" w:hAnsi="Arial" w:cs="Arial"/>
          <w:sz w:val="24"/>
          <w:szCs w:val="24"/>
          <w:lang w:val="en-GB"/>
        </w:rPr>
        <w:t xml:space="preserve"> on </w:t>
      </w:r>
      <m:oMath>
        <m:sSup>
          <m:sSupPr>
            <m:ctrlPr>
              <w:rPr>
                <w:rFonts w:ascii="Cambria Math" w:hAnsi="Cambria Math" w:cs="Arial"/>
                <w:sz w:val="24"/>
                <w:szCs w:val="24"/>
                <w:lang w:val="en-GB"/>
              </w:rPr>
            </m:ctrlPr>
          </m:sSupPr>
          <m:e>
            <m:groupChr>
              <m:groupChrPr>
                <m:chr m:val="̃"/>
                <m:pos m:val="top"/>
                <m:vertJc m:val="bot"/>
                <m:ctrlPr>
                  <w:rPr>
                    <w:rFonts w:ascii="Cambria Math" w:hAnsi="Cambria Math" w:cs="Arial"/>
                    <w:sz w:val="24"/>
                    <w:szCs w:val="24"/>
                    <w:lang w:val="en-GB"/>
                  </w:rPr>
                </m:ctrlPr>
              </m:groupChrPr>
              <m:e>
                <m:r>
                  <w:rPr>
                    <w:rFonts w:ascii="Cambria Math" w:hAnsi="Cambria Math" w:cs="Arial"/>
                    <w:sz w:val="24"/>
                    <w:szCs w:val="24"/>
                    <w:lang w:val="en-GB"/>
                  </w:rPr>
                  <m:t>θ</m:t>
                </m:r>
              </m:e>
            </m:groupChr>
          </m:e>
          <m:sup>
            <m:r>
              <w:rPr>
                <w:rFonts w:ascii="Cambria Math" w:hAnsi="Cambria Math" w:cs="Arial"/>
                <w:sz w:val="24"/>
                <w:szCs w:val="24"/>
                <w:lang w:val="en-GB"/>
              </w:rPr>
              <m:t>(i,</m:t>
            </m:r>
            <m:sSup>
              <m:sSupPr>
                <m:ctrlPr>
                  <w:rPr>
                    <w:rFonts w:ascii="Cambria Math" w:hAnsi="Cambria Math" w:cs="Arial"/>
                    <w:sz w:val="24"/>
                    <w:szCs w:val="24"/>
                    <w:lang w:val="en-GB"/>
                  </w:rPr>
                </m:ctrlPr>
              </m:sSupPr>
              <m:e>
                <m:r>
                  <w:rPr>
                    <w:rFonts w:ascii="Cambria Math" w:hAnsi="Cambria Math" w:cs="Arial"/>
                    <w:sz w:val="24"/>
                    <w:szCs w:val="24"/>
                    <w:lang w:val="en-GB"/>
                  </w:rPr>
                  <m:t>y</m:t>
                </m:r>
              </m:e>
              <m:sup>
                <m:r>
                  <w:rPr>
                    <w:rFonts w:ascii="Cambria Math" w:hAnsi="Cambria Math" w:cs="Arial"/>
                    <w:sz w:val="24"/>
                    <w:szCs w:val="24"/>
                    <w:lang w:val="en-GB"/>
                  </w:rPr>
                  <m:t>*</m:t>
                </m:r>
              </m:sup>
            </m:sSup>
            <m:r>
              <w:rPr>
                <w:rFonts w:ascii="Cambria Math" w:hAnsi="Cambria Math" w:cs="Arial"/>
                <w:sz w:val="24"/>
                <w:szCs w:val="24"/>
                <w:lang w:val="en-GB"/>
              </w:rPr>
              <m:t>)</m:t>
            </m:r>
          </m:sup>
        </m:sSup>
      </m:oMath>
      <w:r w:rsidRPr="00F15D59">
        <w:rPr>
          <w:rFonts w:ascii="Arial" w:hAnsi="Arial" w:cs="Arial"/>
          <w:sz w:val="24"/>
          <w:szCs w:val="24"/>
          <w:lang w:val="en-GB"/>
        </w:rPr>
        <w:t xml:space="preserve">, </w:t>
      </w:r>
      <m:oMath>
        <m:sSup>
          <m:sSupPr>
            <m:ctrlPr>
              <w:rPr>
                <w:rFonts w:ascii="Cambria Math" w:hAnsi="Cambria Math" w:cs="Arial"/>
                <w:sz w:val="24"/>
                <w:szCs w:val="24"/>
                <w:lang w:val="en-GB"/>
              </w:rPr>
            </m:ctrlPr>
          </m:sSupPr>
          <m:e>
            <m:r>
              <w:rPr>
                <w:rFonts w:ascii="Cambria Math" w:hAnsi="Cambria Math" w:cs="Arial"/>
                <w:sz w:val="24"/>
                <w:szCs w:val="24"/>
                <w:lang w:val="en-GB"/>
              </w:rPr>
              <m:t>y</m:t>
            </m:r>
          </m:e>
          <m:sup>
            <m:r>
              <w:rPr>
                <w:rFonts w:ascii="Cambria Math" w:hAnsi="Cambria Math" w:cs="Arial"/>
                <w:sz w:val="24"/>
                <w:szCs w:val="24"/>
                <w:lang w:val="en-GB"/>
              </w:rPr>
              <m:t>*</m:t>
            </m:r>
          </m:sup>
        </m:sSup>
        <m:r>
          <w:rPr>
            <w:rFonts w:ascii="Cambria Math" w:hAnsi="Cambria Math" w:cs="Arial"/>
            <w:sz w:val="24"/>
            <w:szCs w:val="24"/>
            <w:lang w:val="en-GB"/>
          </w:rPr>
          <m:t>∈{</m:t>
        </m:r>
        <m:sSub>
          <m:sSubPr>
            <m:ctrlPr>
              <w:rPr>
                <w:rFonts w:ascii="Cambria Math" w:hAnsi="Cambria Math" w:cs="Arial"/>
                <w:sz w:val="24"/>
                <w:szCs w:val="24"/>
                <w:lang w:val="en-GB"/>
              </w:rPr>
            </m:ctrlPr>
          </m:sSubPr>
          <m:e>
            <m:r>
              <w:rPr>
                <w:rFonts w:ascii="Cambria Math" w:hAnsi="Cambria Math" w:cs="Arial"/>
                <w:sz w:val="24"/>
                <w:szCs w:val="24"/>
                <w:lang w:val="en-GB"/>
              </w:rPr>
              <m:t>y</m:t>
            </m:r>
          </m:e>
          <m:sub>
            <m:r>
              <w:rPr>
                <w:rFonts w:ascii="Cambria Math" w:hAnsi="Cambria Math" w:cs="Arial"/>
                <w:sz w:val="24"/>
                <w:szCs w:val="24"/>
                <w:lang w:val="en-GB"/>
              </w:rPr>
              <m:t>t-1</m:t>
            </m:r>
          </m:sub>
        </m:sSub>
        <m:r>
          <w:rPr>
            <w:rFonts w:ascii="Cambria Math" w:hAnsi="Cambria Math" w:cs="Arial"/>
            <w:sz w:val="24"/>
            <w:szCs w:val="24"/>
            <w:lang w:val="en-GB"/>
          </w:rPr>
          <m:t>,</m:t>
        </m:r>
        <m:sSub>
          <m:sSubPr>
            <m:ctrlPr>
              <w:rPr>
                <w:rFonts w:ascii="Cambria Math" w:hAnsi="Cambria Math" w:cs="Arial"/>
                <w:sz w:val="24"/>
                <w:szCs w:val="24"/>
                <w:lang w:val="en-GB"/>
              </w:rPr>
            </m:ctrlPr>
          </m:sSubPr>
          <m:e>
            <m:r>
              <w:rPr>
                <w:rFonts w:ascii="Cambria Math" w:hAnsi="Cambria Math" w:cs="Arial"/>
                <w:sz w:val="24"/>
                <w:szCs w:val="24"/>
                <w:lang w:val="en-GB"/>
              </w:rPr>
              <m:t>y</m:t>
            </m:r>
          </m:e>
          <m:sub>
            <m:r>
              <w:rPr>
                <w:rFonts w:ascii="Cambria Math" w:hAnsi="Cambria Math" w:cs="Arial"/>
                <w:sz w:val="24"/>
                <w:szCs w:val="24"/>
                <w:lang w:val="en-GB"/>
              </w:rPr>
              <m:t>t</m:t>
            </m:r>
          </m:sub>
        </m:sSub>
        <m:r>
          <w:rPr>
            <w:rFonts w:ascii="Cambria Math" w:hAnsi="Cambria Math" w:cs="Arial"/>
            <w:sz w:val="24"/>
            <w:szCs w:val="24"/>
            <w:lang w:val="en-GB"/>
          </w:rPr>
          <m:t>,</m:t>
        </m:r>
        <m:sSub>
          <m:sSubPr>
            <m:ctrlPr>
              <w:rPr>
                <w:rFonts w:ascii="Cambria Math" w:hAnsi="Cambria Math" w:cs="Arial"/>
                <w:sz w:val="24"/>
                <w:szCs w:val="24"/>
                <w:lang w:val="en-GB"/>
              </w:rPr>
            </m:ctrlPr>
          </m:sSubPr>
          <m:e>
            <m:r>
              <w:rPr>
                <w:rFonts w:ascii="Cambria Math" w:hAnsi="Cambria Math" w:cs="Arial"/>
                <w:sz w:val="24"/>
                <w:szCs w:val="24"/>
                <w:lang w:val="en-GB"/>
              </w:rPr>
              <m:t>y</m:t>
            </m:r>
          </m:e>
          <m:sub>
            <m:r>
              <w:rPr>
                <w:rFonts w:ascii="Cambria Math" w:hAnsi="Cambria Math" w:cs="Arial"/>
                <w:sz w:val="24"/>
                <w:szCs w:val="24"/>
                <w:lang w:val="en-GB"/>
              </w:rPr>
              <m:t>t+1</m:t>
            </m:r>
          </m:sub>
        </m:sSub>
        <m:r>
          <w:rPr>
            <w:rFonts w:ascii="Cambria Math" w:hAnsi="Cambria Math" w:cs="Arial"/>
            <w:sz w:val="24"/>
            <w:szCs w:val="24"/>
            <w:lang w:val="en-GB"/>
          </w:rPr>
          <m:t>}</m:t>
        </m:r>
      </m:oMath>
      <w:r w:rsidRPr="00F15D59">
        <w:rPr>
          <w:rFonts w:ascii="Arial" w:hAnsi="Arial" w:cs="Arial"/>
          <w:sz w:val="24"/>
          <w:szCs w:val="24"/>
          <w:lang w:val="en-GB"/>
        </w:rPr>
        <w:t xml:space="preserve"> , to obtain </w:t>
      </w:r>
      <m:oMath>
        <m:sSup>
          <m:sSupPr>
            <m:ctrlPr>
              <w:rPr>
                <w:rFonts w:ascii="Cambria Math" w:hAnsi="Cambria Math" w:cs="Arial"/>
                <w:sz w:val="24"/>
                <w:szCs w:val="24"/>
                <w:lang w:val="en-GB"/>
              </w:rPr>
            </m:ctrlPr>
          </m:sSupPr>
          <m:e>
            <m:groupChr>
              <m:groupChrPr>
                <m:chr m:val="̃"/>
                <m:pos m:val="top"/>
                <m:vertJc m:val="bot"/>
                <m:ctrlPr>
                  <w:rPr>
                    <w:rFonts w:ascii="Cambria Math" w:hAnsi="Cambria Math" w:cs="Arial"/>
                    <w:sz w:val="24"/>
                    <w:szCs w:val="24"/>
                    <w:lang w:val="en-GB"/>
                  </w:rPr>
                </m:ctrlPr>
              </m:groupChrPr>
              <m:e>
                <m:r>
                  <w:rPr>
                    <w:rFonts w:ascii="Cambria Math" w:hAnsi="Cambria Math" w:cs="Arial"/>
                    <w:sz w:val="24"/>
                    <w:szCs w:val="24"/>
                    <w:lang w:val="en-GB"/>
                  </w:rPr>
                  <m:t>θ</m:t>
                </m:r>
              </m:e>
            </m:groupChr>
          </m:e>
          <m:sup>
            <m:r>
              <w:rPr>
                <w:rFonts w:ascii="Cambria Math" w:hAnsi="Cambria Math" w:cs="Arial"/>
                <w:sz w:val="24"/>
                <w:szCs w:val="24"/>
                <w:lang w:val="en-GB"/>
              </w:rPr>
              <m:t>(i,</m:t>
            </m:r>
            <m:sSub>
              <m:sSubPr>
                <m:ctrlPr>
                  <w:rPr>
                    <w:rFonts w:ascii="Cambria Math" w:hAnsi="Cambria Math" w:cs="Arial"/>
                    <w:sz w:val="24"/>
                    <w:szCs w:val="24"/>
                    <w:lang w:val="en-GB"/>
                  </w:rPr>
                </m:ctrlPr>
              </m:sSubPr>
              <m:e>
                <m:r>
                  <w:rPr>
                    <w:rFonts w:ascii="Cambria Math" w:hAnsi="Cambria Math" w:cs="Arial"/>
                    <w:sz w:val="24"/>
                    <w:szCs w:val="24"/>
                    <w:lang w:val="en-GB"/>
                  </w:rPr>
                  <m:t>y</m:t>
                </m:r>
              </m:e>
              <m:sub>
                <m:r>
                  <w:rPr>
                    <w:rFonts w:ascii="Cambria Math" w:hAnsi="Cambria Math" w:cs="Arial"/>
                    <w:sz w:val="24"/>
                    <w:szCs w:val="24"/>
                    <w:lang w:val="en-GB"/>
                  </w:rPr>
                  <m:t>t</m:t>
                </m:r>
              </m:sub>
            </m:sSub>
            <m:r>
              <w:rPr>
                <w:rFonts w:ascii="Cambria Math" w:hAnsi="Cambria Math" w:cs="Arial"/>
                <w:sz w:val="24"/>
                <w:szCs w:val="24"/>
                <w:lang w:val="en-GB"/>
              </w:rPr>
              <m:t>)</m:t>
            </m:r>
          </m:sup>
        </m:sSup>
      </m:oMath>
      <w:r w:rsidRPr="00F15D59">
        <w:rPr>
          <w:rFonts w:ascii="Arial" w:hAnsi="Arial" w:cs="Arial"/>
          <w:sz w:val="24"/>
          <w:szCs w:val="24"/>
          <w:lang w:val="en-GB"/>
        </w:rPr>
        <w:t xml:space="preserve">. Estimate the variance of </w:t>
      </w:r>
      <m:oMath>
        <m:r>
          <w:rPr>
            <w:rFonts w:ascii="Cambria Math" w:hAnsi="Cambria Math" w:cs="Arial"/>
            <w:sz w:val="24"/>
            <w:szCs w:val="24"/>
            <w:lang w:val="en-GB"/>
          </w:rPr>
          <m:t>θ</m:t>
        </m:r>
      </m:oMath>
      <w:r w:rsidRPr="00F15D59">
        <w:rPr>
          <w:rFonts w:ascii="Arial" w:hAnsi="Arial" w:cs="Arial"/>
          <w:sz w:val="24"/>
          <w:szCs w:val="24"/>
          <w:lang w:val="en-GB"/>
        </w:rPr>
        <w:t xml:space="preserve"> using the distribution of </w:t>
      </w:r>
      <m:oMath>
        <m:sSup>
          <m:sSupPr>
            <m:ctrlPr>
              <w:rPr>
                <w:rFonts w:ascii="Cambria Math" w:hAnsi="Cambria Math" w:cs="Arial"/>
                <w:sz w:val="24"/>
                <w:szCs w:val="24"/>
                <w:lang w:val="en-GB"/>
              </w:rPr>
            </m:ctrlPr>
          </m:sSupPr>
          <m:e>
            <m:groupChr>
              <m:groupChrPr>
                <m:chr m:val="̃"/>
                <m:pos m:val="top"/>
                <m:vertJc m:val="bot"/>
                <m:ctrlPr>
                  <w:rPr>
                    <w:rFonts w:ascii="Cambria Math" w:hAnsi="Cambria Math" w:cs="Arial"/>
                    <w:sz w:val="24"/>
                    <w:szCs w:val="24"/>
                    <w:lang w:val="en-GB"/>
                  </w:rPr>
                </m:ctrlPr>
              </m:groupChrPr>
              <m:e>
                <m:r>
                  <w:rPr>
                    <w:rFonts w:ascii="Cambria Math" w:hAnsi="Cambria Math" w:cs="Arial"/>
                    <w:sz w:val="24"/>
                    <w:szCs w:val="24"/>
                    <w:lang w:val="en-GB"/>
                  </w:rPr>
                  <m:t>θ</m:t>
                </m:r>
              </m:e>
            </m:groupChr>
          </m:e>
          <m:sup>
            <m:r>
              <w:rPr>
                <w:rFonts w:ascii="Cambria Math" w:hAnsi="Cambria Math" w:cs="Arial"/>
                <w:sz w:val="24"/>
                <w:szCs w:val="24"/>
                <w:lang w:val="en-GB"/>
              </w:rPr>
              <m:t>(i,</m:t>
            </m:r>
            <m:sSub>
              <m:sSubPr>
                <m:ctrlPr>
                  <w:rPr>
                    <w:rFonts w:ascii="Cambria Math" w:hAnsi="Cambria Math" w:cs="Arial"/>
                    <w:sz w:val="24"/>
                    <w:szCs w:val="24"/>
                    <w:lang w:val="en-GB"/>
                  </w:rPr>
                </m:ctrlPr>
              </m:sSubPr>
              <m:e>
                <m:r>
                  <w:rPr>
                    <w:rFonts w:ascii="Cambria Math" w:hAnsi="Cambria Math" w:cs="Arial"/>
                    <w:sz w:val="24"/>
                    <w:szCs w:val="24"/>
                    <w:lang w:val="en-GB"/>
                  </w:rPr>
                  <m:t>y</m:t>
                </m:r>
              </m:e>
              <m:sub>
                <m:r>
                  <w:rPr>
                    <w:rFonts w:ascii="Cambria Math" w:hAnsi="Cambria Math" w:cs="Arial"/>
                    <w:sz w:val="24"/>
                    <w:szCs w:val="24"/>
                    <w:lang w:val="en-GB"/>
                  </w:rPr>
                  <m:t>t</m:t>
                </m:r>
              </m:sub>
            </m:sSub>
            <m:r>
              <w:rPr>
                <w:rFonts w:ascii="Cambria Math" w:hAnsi="Cambria Math" w:cs="Arial"/>
                <w:sz w:val="24"/>
                <w:szCs w:val="24"/>
                <w:lang w:val="en-GB"/>
              </w:rPr>
              <m:t>)</m:t>
            </m:r>
          </m:sup>
        </m:sSup>
      </m:oMath>
      <w:r w:rsidRPr="00F15D59">
        <w:rPr>
          <w:rFonts w:ascii="Arial" w:hAnsi="Arial" w:cs="Arial"/>
          <w:sz w:val="24"/>
          <w:szCs w:val="24"/>
          <w:lang w:val="en-GB"/>
        </w:rPr>
        <w:t>.</w:t>
      </w:r>
    </w:p>
    <w:p w:rsidR="00F15D59" w:rsidRPr="00EC5F5A" w:rsidRDefault="00F15D59" w:rsidP="00581E33">
      <w:pPr>
        <w:spacing w:before="360" w:after="0" w:line="360" w:lineRule="auto"/>
        <w:jc w:val="both"/>
        <w:rPr>
          <w:rFonts w:ascii="Arial" w:hAnsi="Arial" w:cs="Arial"/>
          <w:i/>
          <w:sz w:val="24"/>
          <w:szCs w:val="24"/>
          <w:lang w:val="en-GB"/>
        </w:rPr>
      </w:pPr>
      <w:bookmarkStart w:id="1" w:name="_Hlk513998259"/>
      <w:bookmarkStart w:id="2" w:name="_Hlk513998407"/>
      <w:r>
        <w:rPr>
          <w:rFonts w:ascii="Arial" w:hAnsi="Arial" w:cs="Arial"/>
          <w:i/>
          <w:sz w:val="24"/>
          <w:szCs w:val="24"/>
          <w:lang w:val="en-GB"/>
        </w:rPr>
        <w:t>2</w:t>
      </w:r>
      <w:r w:rsidRPr="00EC5F5A">
        <w:rPr>
          <w:rFonts w:ascii="Arial" w:hAnsi="Arial" w:cs="Arial"/>
          <w:i/>
          <w:sz w:val="24"/>
          <w:szCs w:val="24"/>
          <w:lang w:val="en-GB"/>
        </w:rPr>
        <w:t>.</w:t>
      </w:r>
      <w:r>
        <w:rPr>
          <w:rFonts w:ascii="Arial" w:hAnsi="Arial" w:cs="Arial"/>
          <w:i/>
          <w:sz w:val="24"/>
          <w:szCs w:val="24"/>
          <w:lang w:val="en-GB"/>
        </w:rPr>
        <w:t>3</w:t>
      </w:r>
      <w:r w:rsidRPr="00EC5F5A">
        <w:rPr>
          <w:rFonts w:ascii="Arial" w:hAnsi="Arial" w:cs="Arial"/>
          <w:i/>
          <w:sz w:val="24"/>
          <w:szCs w:val="24"/>
          <w:lang w:val="en-GB"/>
        </w:rPr>
        <w:t xml:space="preserve">. </w:t>
      </w:r>
      <w:r w:rsidR="00204412" w:rsidRPr="00204412">
        <w:rPr>
          <w:rFonts w:ascii="Arial" w:hAnsi="Arial" w:cs="Arial"/>
          <w:i/>
          <w:sz w:val="24"/>
          <w:szCs w:val="24"/>
          <w:lang w:val="en-GB"/>
        </w:rPr>
        <w:t>Draw bootstrap replicates</w:t>
      </w:r>
    </w:p>
    <w:bookmarkEnd w:id="1"/>
    <w:p w:rsidR="008C0976" w:rsidRDefault="00204412" w:rsidP="00204412">
      <w:pPr>
        <w:spacing w:before="360" w:after="0" w:line="360" w:lineRule="auto"/>
        <w:jc w:val="both"/>
        <w:rPr>
          <w:rFonts w:ascii="Arial" w:hAnsi="Arial" w:cs="Arial"/>
          <w:sz w:val="24"/>
          <w:szCs w:val="24"/>
          <w:lang w:val="en-GB"/>
        </w:rPr>
      </w:pPr>
      <w:r w:rsidRPr="00204412">
        <w:rPr>
          <w:rFonts w:ascii="Arial" w:hAnsi="Arial" w:cs="Arial"/>
          <w:sz w:val="24"/>
          <w:szCs w:val="24"/>
          <w:lang w:val="en-GB"/>
        </w:rPr>
        <w:t>Bootstrapping has been used widely to estimate confidence intervals and standard errors of point estimates (</w:t>
      </w:r>
      <w:proofErr w:type="spellStart"/>
      <w:r w:rsidRPr="00204412">
        <w:rPr>
          <w:rFonts w:ascii="Arial" w:hAnsi="Arial" w:cs="Arial"/>
          <w:sz w:val="24"/>
          <w:szCs w:val="24"/>
          <w:lang w:val="en-GB"/>
        </w:rPr>
        <w:t>Efron</w:t>
      </w:r>
      <w:proofErr w:type="spellEnd"/>
      <w:r w:rsidRPr="00204412">
        <w:rPr>
          <w:rFonts w:ascii="Arial" w:hAnsi="Arial" w:cs="Arial"/>
          <w:sz w:val="24"/>
          <w:szCs w:val="24"/>
          <w:lang w:val="en-GB"/>
        </w:rPr>
        <w:t xml:space="preserve"> 1979)</w:t>
      </w:r>
      <w:r w:rsidR="008A2E01">
        <w:rPr>
          <w:rFonts w:ascii="Arial" w:hAnsi="Arial" w:cs="Arial"/>
          <w:sz w:val="24"/>
          <w:szCs w:val="24"/>
          <w:lang w:val="en-GB"/>
        </w:rPr>
        <w:t>.</w:t>
      </w:r>
      <w:r w:rsidRPr="00204412">
        <w:rPr>
          <w:rFonts w:ascii="Arial" w:hAnsi="Arial" w:cs="Arial"/>
          <w:sz w:val="24"/>
          <w:szCs w:val="24"/>
          <w:lang w:val="en-GB"/>
        </w:rPr>
        <w:t xml:space="preserve"> </w:t>
      </w:r>
      <w:bookmarkEnd w:id="2"/>
      <w:r w:rsidRPr="00204412">
        <w:rPr>
          <w:rFonts w:ascii="Arial" w:hAnsi="Arial" w:cs="Arial"/>
          <w:sz w:val="24"/>
          <w:szCs w:val="24"/>
          <w:lang w:val="en-GB"/>
        </w:rPr>
        <w:t xml:space="preserve">Most EU-SILC samples are stratified and drawn without replacement from a finite population. </w:t>
      </w:r>
      <w:r w:rsidR="008C0976">
        <w:rPr>
          <w:rFonts w:ascii="Arial" w:hAnsi="Arial" w:cs="Arial"/>
          <w:sz w:val="24"/>
          <w:szCs w:val="24"/>
          <w:lang w:val="en-GB"/>
        </w:rPr>
        <w:t>Na</w:t>
      </w:r>
      <w:r w:rsidRPr="00204412">
        <w:rPr>
          <w:rFonts w:ascii="Arial" w:hAnsi="Arial" w:cs="Arial"/>
          <w:sz w:val="24"/>
          <w:szCs w:val="24"/>
          <w:lang w:val="en-GB"/>
        </w:rPr>
        <w:t>ive bootstrap procedure does not take into account the specific sample design</w:t>
      </w:r>
      <w:r w:rsidR="008C0976">
        <w:rPr>
          <w:rFonts w:ascii="Arial" w:hAnsi="Arial" w:cs="Arial"/>
          <w:sz w:val="24"/>
          <w:szCs w:val="24"/>
          <w:lang w:val="en-GB"/>
        </w:rPr>
        <w:t xml:space="preserve"> whereas</w:t>
      </w:r>
      <w:r w:rsidRPr="00204412">
        <w:rPr>
          <w:rFonts w:ascii="Arial" w:hAnsi="Arial" w:cs="Arial"/>
          <w:sz w:val="24"/>
          <w:szCs w:val="24"/>
          <w:lang w:val="en-GB"/>
        </w:rPr>
        <w:t xml:space="preserve"> rescaled bootstrap procedure (Rao and Wu 1988) allows for a more appropriate representation of inclusion probabilities. In </w:t>
      </w:r>
      <w:r w:rsidR="006C1343">
        <w:rPr>
          <w:rFonts w:ascii="Arial" w:hAnsi="Arial" w:cs="Arial"/>
          <w:sz w:val="24"/>
          <w:szCs w:val="24"/>
          <w:lang w:val="en-GB"/>
        </w:rPr>
        <w:t xml:space="preserve">the </w:t>
      </w:r>
      <w:proofErr w:type="spellStart"/>
      <w:r w:rsidR="006C1343">
        <w:rPr>
          <w:rFonts w:ascii="Arial" w:hAnsi="Arial" w:cs="Arial"/>
          <w:sz w:val="24"/>
          <w:szCs w:val="24"/>
          <w:lang w:val="en-GB"/>
        </w:rPr>
        <w:t>surveysd</w:t>
      </w:r>
      <w:proofErr w:type="spellEnd"/>
      <w:r w:rsidR="006C1343">
        <w:rPr>
          <w:rFonts w:ascii="Arial" w:hAnsi="Arial" w:cs="Arial"/>
          <w:sz w:val="24"/>
          <w:szCs w:val="24"/>
          <w:lang w:val="en-GB"/>
        </w:rPr>
        <w:t xml:space="preserve"> package</w:t>
      </w:r>
      <w:r w:rsidRPr="00204412">
        <w:rPr>
          <w:rFonts w:ascii="Arial" w:hAnsi="Arial" w:cs="Arial"/>
          <w:sz w:val="24"/>
          <w:szCs w:val="24"/>
          <w:lang w:val="en-GB"/>
        </w:rPr>
        <w:t>, bootstrap samples are selected without replacement and can incorporate stratification as well as clustering on multiple stages (Chipperfield and Preston 2007, Preston 2009).</w:t>
      </w:r>
    </w:p>
    <w:p w:rsidR="00204412" w:rsidRPr="008C0976" w:rsidRDefault="008C0976" w:rsidP="00204412">
      <w:pPr>
        <w:spacing w:before="360" w:after="0" w:line="360" w:lineRule="auto"/>
        <w:jc w:val="both"/>
        <w:rPr>
          <w:rFonts w:ascii="Arial" w:hAnsi="Arial" w:cs="Arial"/>
          <w:sz w:val="24"/>
          <w:szCs w:val="24"/>
          <w:lang w:val="en-GB"/>
        </w:rPr>
      </w:pPr>
      <w:r>
        <w:rPr>
          <w:rFonts w:ascii="Arial" w:hAnsi="Arial" w:cs="Arial"/>
          <w:sz w:val="24"/>
          <w:szCs w:val="24"/>
          <w:lang w:val="en-GB"/>
        </w:rPr>
        <w:t>R</w:t>
      </w:r>
      <w:r w:rsidR="00204412" w:rsidRPr="00204412">
        <w:rPr>
          <w:rFonts w:ascii="Arial" w:hAnsi="Arial" w:cs="Arial"/>
          <w:sz w:val="24"/>
          <w:szCs w:val="24"/>
          <w:lang w:val="en-GB"/>
        </w:rPr>
        <w:t>eplication methods require certain assumptions to be met. These include the presence of more than one PSU within each stratum. In practice, this condition is met for most EU-SILC samples. However, there may be exceptions which can lead to the occurrence of single PSUs within strata (</w:t>
      </w:r>
      <w:proofErr w:type="spellStart"/>
      <w:r w:rsidR="00204412" w:rsidRPr="00204412">
        <w:rPr>
          <w:rFonts w:ascii="Arial" w:hAnsi="Arial" w:cs="Arial"/>
          <w:sz w:val="24"/>
          <w:szCs w:val="24"/>
          <w:lang w:val="en-GB"/>
        </w:rPr>
        <w:t>Verma</w:t>
      </w:r>
      <w:proofErr w:type="spellEnd"/>
      <w:r w:rsidR="00204412" w:rsidRPr="00204412">
        <w:rPr>
          <w:rFonts w:ascii="Arial" w:hAnsi="Arial" w:cs="Arial"/>
          <w:sz w:val="24"/>
          <w:szCs w:val="24"/>
          <w:lang w:val="en-GB"/>
        </w:rPr>
        <w:t xml:space="preserve"> and </w:t>
      </w:r>
      <w:proofErr w:type="spellStart"/>
      <w:r w:rsidR="00204412" w:rsidRPr="00204412">
        <w:rPr>
          <w:rFonts w:ascii="Arial" w:hAnsi="Arial" w:cs="Arial"/>
          <w:sz w:val="24"/>
          <w:szCs w:val="24"/>
          <w:lang w:val="en-GB"/>
        </w:rPr>
        <w:t>Betti</w:t>
      </w:r>
      <w:proofErr w:type="spellEnd"/>
      <w:r w:rsidR="00204412" w:rsidRPr="00204412">
        <w:rPr>
          <w:rFonts w:ascii="Arial" w:hAnsi="Arial" w:cs="Arial"/>
          <w:sz w:val="24"/>
          <w:szCs w:val="24"/>
          <w:lang w:val="en-GB"/>
        </w:rPr>
        <w:t xml:space="preserve"> 2010). Once such PSUs are detected, the algorithm </w:t>
      </w:r>
      <w:r>
        <w:rPr>
          <w:rFonts w:ascii="Arial" w:hAnsi="Arial" w:cs="Arial"/>
          <w:sz w:val="24"/>
          <w:szCs w:val="24"/>
          <w:lang w:val="en-GB"/>
        </w:rPr>
        <w:t xml:space="preserve">implemented in the </w:t>
      </w:r>
      <w:proofErr w:type="spellStart"/>
      <w:r>
        <w:rPr>
          <w:rFonts w:ascii="Arial" w:hAnsi="Arial" w:cs="Arial"/>
          <w:sz w:val="24"/>
          <w:szCs w:val="24"/>
          <w:lang w:val="en-GB"/>
        </w:rPr>
        <w:t>surveysd</w:t>
      </w:r>
      <w:proofErr w:type="spellEnd"/>
      <w:r>
        <w:rPr>
          <w:rFonts w:ascii="Arial" w:hAnsi="Arial" w:cs="Arial"/>
          <w:sz w:val="24"/>
          <w:szCs w:val="24"/>
          <w:lang w:val="en-GB"/>
        </w:rPr>
        <w:t xml:space="preserve"> package</w:t>
      </w:r>
      <w:r w:rsidR="00204412" w:rsidRPr="00204412">
        <w:rPr>
          <w:rFonts w:ascii="Arial" w:hAnsi="Arial" w:cs="Arial"/>
          <w:sz w:val="24"/>
          <w:szCs w:val="24"/>
          <w:lang w:val="en-GB"/>
        </w:rPr>
        <w:t xml:space="preserve"> automatically redefine</w:t>
      </w:r>
      <w:r>
        <w:rPr>
          <w:rFonts w:ascii="Arial" w:hAnsi="Arial" w:cs="Arial"/>
          <w:sz w:val="24"/>
          <w:szCs w:val="24"/>
          <w:lang w:val="en-GB"/>
        </w:rPr>
        <w:t>s</w:t>
      </w:r>
      <w:r w:rsidR="00204412" w:rsidRPr="00204412">
        <w:rPr>
          <w:rFonts w:ascii="Arial" w:hAnsi="Arial" w:cs="Arial"/>
          <w:sz w:val="24"/>
          <w:szCs w:val="24"/>
          <w:lang w:val="en-GB"/>
        </w:rPr>
        <w:t xml:space="preserve"> the computational sample structure by combining this stratum with the next smallest stratum before bootstrapping. </w:t>
      </w:r>
    </w:p>
    <w:p w:rsidR="006C1343" w:rsidRDefault="006C1343" w:rsidP="00204412">
      <w:pPr>
        <w:spacing w:before="360" w:after="0" w:line="360" w:lineRule="auto"/>
        <w:jc w:val="both"/>
        <w:rPr>
          <w:rFonts w:ascii="Arial" w:hAnsi="Arial" w:cs="Arial"/>
          <w:sz w:val="24"/>
          <w:szCs w:val="24"/>
          <w:lang w:val="en-GB"/>
        </w:rPr>
      </w:pPr>
      <w:r>
        <w:rPr>
          <w:rFonts w:ascii="Arial" w:hAnsi="Arial" w:cs="Arial"/>
          <w:sz w:val="24"/>
          <w:szCs w:val="24"/>
          <w:lang w:val="en-GB"/>
        </w:rPr>
        <w:t>The bootstrap procedure considers the rotational panel design by taking bootstrap replicates forward for all household members in consecutive waves. This is also done for h</w:t>
      </w:r>
      <w:r w:rsidR="00204412" w:rsidRPr="00204412">
        <w:rPr>
          <w:rFonts w:ascii="Arial" w:hAnsi="Arial" w:cs="Arial"/>
          <w:sz w:val="24"/>
          <w:szCs w:val="24"/>
          <w:lang w:val="en-GB"/>
        </w:rPr>
        <w:t xml:space="preserve">ousehold members which were interviewed in the EU-SILC survey </w:t>
      </w:r>
      <w:r>
        <w:rPr>
          <w:rFonts w:ascii="Arial" w:hAnsi="Arial" w:cs="Arial"/>
          <w:sz w:val="24"/>
          <w:szCs w:val="24"/>
          <w:lang w:val="en-GB"/>
        </w:rPr>
        <w:t>and form so called split households in subsequent waves.</w:t>
      </w:r>
    </w:p>
    <w:p w:rsidR="00204412" w:rsidRDefault="00204412" w:rsidP="00204412">
      <w:pPr>
        <w:spacing w:before="360" w:after="0" w:line="360" w:lineRule="auto"/>
        <w:jc w:val="both"/>
        <w:rPr>
          <w:rFonts w:ascii="Arial" w:hAnsi="Arial" w:cs="Arial"/>
          <w:sz w:val="24"/>
          <w:szCs w:val="24"/>
          <w:lang w:val="en-GB"/>
        </w:rPr>
      </w:pPr>
      <w:r w:rsidRPr="00204412">
        <w:rPr>
          <w:rFonts w:ascii="Arial" w:hAnsi="Arial" w:cs="Arial"/>
          <w:sz w:val="24"/>
          <w:szCs w:val="24"/>
          <w:lang w:val="en-GB"/>
        </w:rPr>
        <w:t xml:space="preserve">Tables 1 illustrate the mechanism. Consider a household that enters EU-SILC in the year 2013. The household, HID=47500, contained 4 household members of which </w:t>
      </w:r>
      <w:r w:rsidRPr="00204412">
        <w:rPr>
          <w:rFonts w:ascii="Arial" w:hAnsi="Arial" w:cs="Arial"/>
          <w:sz w:val="24"/>
          <w:szCs w:val="24"/>
          <w:lang w:val="en-GB"/>
        </w:rPr>
        <w:lastRenderedPageBreak/>
        <w:t>one household member, PID=4750003, moved to a new household in year 2014. Thus creating the split household, HID=47501, in year 2014. The bootstrap procedure is applied on each year separately so that in this example the household was selected in the year 2013 (</w:t>
      </w:r>
      <w:r w:rsidR="00A16EF3">
        <w:rPr>
          <w:rFonts w:ascii="Arial" w:hAnsi="Arial" w:cs="Arial"/>
          <w:sz w:val="24"/>
          <w:szCs w:val="24"/>
          <w:lang w:val="en-GB"/>
        </w:rPr>
        <w:t>BR.ORIGINAL</w:t>
      </w:r>
      <w:r w:rsidRPr="00204412">
        <w:rPr>
          <w:rFonts w:ascii="Arial" w:hAnsi="Arial" w:cs="Arial"/>
          <w:sz w:val="24"/>
          <w:szCs w:val="24"/>
          <w:lang w:val="en-GB"/>
        </w:rPr>
        <w:t>=2) but in this example neither HID=47500 or HID=47501 were included in the random selection for the year 2014 (</w:t>
      </w:r>
      <w:r w:rsidR="00A16EF3">
        <w:rPr>
          <w:rFonts w:ascii="Arial" w:hAnsi="Arial" w:cs="Arial"/>
          <w:sz w:val="24"/>
          <w:szCs w:val="24"/>
          <w:lang w:val="en-GB"/>
        </w:rPr>
        <w:t>BR.ORIGINAL</w:t>
      </w:r>
      <w:r w:rsidRPr="00204412">
        <w:rPr>
          <w:rFonts w:ascii="Arial" w:hAnsi="Arial" w:cs="Arial"/>
          <w:sz w:val="24"/>
          <w:szCs w:val="24"/>
          <w:lang w:val="en-GB"/>
        </w:rPr>
        <w:t>=0).</w:t>
      </w:r>
    </w:p>
    <w:p w:rsidR="00DD4526" w:rsidRPr="00EC5F5A" w:rsidRDefault="00DD4526" w:rsidP="004740F1">
      <w:pPr>
        <w:spacing w:before="120" w:after="0" w:line="360" w:lineRule="auto"/>
        <w:jc w:val="both"/>
        <w:rPr>
          <w:rFonts w:ascii="Arial" w:hAnsi="Arial" w:cs="Arial"/>
          <w:sz w:val="24"/>
          <w:szCs w:val="24"/>
          <w:lang w:val="en-GB"/>
        </w:rPr>
      </w:pPr>
    </w:p>
    <w:p w:rsidR="00DD4526" w:rsidRPr="00EC5F5A" w:rsidRDefault="00DD4526" w:rsidP="00DD4526">
      <w:pPr>
        <w:pStyle w:val="Beschriftung"/>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Pr="00EC5F5A">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sidR="001B2178" w:rsidRPr="001B2178">
        <w:rPr>
          <w:rFonts w:ascii="Arial" w:hAnsi="Arial" w:cs="Arial"/>
          <w:b/>
          <w:i w:val="0"/>
          <w:color w:val="auto"/>
          <w:sz w:val="20"/>
          <w:szCs w:val="20"/>
          <w:lang w:val="en-GB"/>
        </w:rPr>
        <w:t>Example of independent bootstrap replicates for a split household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Caption w:val="Household with 4 members in year 2013 and 3 members plus 1 split household in year 2014."/>
      </w:tblPr>
      <w:tblGrid>
        <w:gridCol w:w="1403"/>
        <w:gridCol w:w="1810"/>
        <w:gridCol w:w="1406"/>
        <w:gridCol w:w="2799"/>
        <w:gridCol w:w="1870"/>
      </w:tblGrid>
      <w:tr w:rsidR="00A16EF3" w:rsidRPr="005A01D6" w:rsidTr="006C1343">
        <w:trPr>
          <w:trHeight w:val="284"/>
          <w:jc w:val="center"/>
        </w:trPr>
        <w:tc>
          <w:tcPr>
            <w:tcW w:w="0" w:type="auto"/>
            <w:vAlign w:val="center"/>
          </w:tcPr>
          <w:p w:rsidR="001B2178" w:rsidRPr="001B2178" w:rsidRDefault="001B2178" w:rsidP="001B2178">
            <w:pPr>
              <w:pStyle w:val="Compact"/>
              <w:keepNext/>
              <w:jc w:val="center"/>
              <w:rPr>
                <w:b/>
                <w:sz w:val="20"/>
                <w:lang w:val="en-GB"/>
              </w:rPr>
            </w:pPr>
            <w:r w:rsidRPr="001B2178">
              <w:rPr>
                <w:b/>
                <w:sz w:val="20"/>
                <w:lang w:val="en-GB"/>
              </w:rPr>
              <w:t>YEAR</w:t>
            </w:r>
          </w:p>
        </w:tc>
        <w:tc>
          <w:tcPr>
            <w:tcW w:w="0" w:type="auto"/>
            <w:vAlign w:val="center"/>
          </w:tcPr>
          <w:p w:rsidR="001B2178" w:rsidRPr="001B2178" w:rsidRDefault="001B2178" w:rsidP="001B2178">
            <w:pPr>
              <w:pStyle w:val="Compact"/>
              <w:keepNext/>
              <w:jc w:val="center"/>
              <w:rPr>
                <w:b/>
                <w:sz w:val="20"/>
                <w:lang w:val="en-GB"/>
              </w:rPr>
            </w:pPr>
            <w:r w:rsidRPr="001B2178">
              <w:rPr>
                <w:b/>
                <w:sz w:val="20"/>
                <w:lang w:val="en-GB"/>
              </w:rPr>
              <w:t>PID</w:t>
            </w:r>
          </w:p>
        </w:tc>
        <w:tc>
          <w:tcPr>
            <w:tcW w:w="0" w:type="auto"/>
            <w:vAlign w:val="center"/>
          </w:tcPr>
          <w:p w:rsidR="001B2178" w:rsidRPr="001B2178" w:rsidRDefault="001B2178" w:rsidP="001B2178">
            <w:pPr>
              <w:pStyle w:val="Compact"/>
              <w:keepNext/>
              <w:jc w:val="center"/>
              <w:rPr>
                <w:b/>
                <w:sz w:val="20"/>
                <w:lang w:val="en-GB"/>
              </w:rPr>
            </w:pPr>
            <w:r w:rsidRPr="001B2178">
              <w:rPr>
                <w:b/>
                <w:sz w:val="20"/>
                <w:lang w:val="en-GB"/>
              </w:rPr>
              <w:t>HID</w:t>
            </w:r>
          </w:p>
        </w:tc>
        <w:tc>
          <w:tcPr>
            <w:tcW w:w="0" w:type="auto"/>
            <w:vAlign w:val="center"/>
          </w:tcPr>
          <w:p w:rsidR="001B2178" w:rsidRPr="001B2178" w:rsidRDefault="001B2178" w:rsidP="001B2178">
            <w:pPr>
              <w:pStyle w:val="Compact"/>
              <w:keepNext/>
              <w:jc w:val="center"/>
              <w:rPr>
                <w:b/>
                <w:sz w:val="20"/>
                <w:lang w:val="en-GB"/>
              </w:rPr>
            </w:pPr>
            <w:r w:rsidRPr="001B2178">
              <w:rPr>
                <w:b/>
                <w:sz w:val="20"/>
                <w:lang w:val="en-GB"/>
              </w:rPr>
              <w:t>BR</w:t>
            </w:r>
            <w:r w:rsidR="00A16EF3">
              <w:rPr>
                <w:b/>
                <w:sz w:val="20"/>
                <w:lang w:val="en-GB"/>
              </w:rPr>
              <w:t>.ORIGINAL</w:t>
            </w:r>
          </w:p>
        </w:tc>
        <w:tc>
          <w:tcPr>
            <w:tcW w:w="0" w:type="auto"/>
            <w:vAlign w:val="center"/>
          </w:tcPr>
          <w:p w:rsidR="001B2178" w:rsidRPr="001B2178" w:rsidRDefault="001B2178" w:rsidP="001B2178">
            <w:pPr>
              <w:pStyle w:val="Compact"/>
              <w:keepNext/>
              <w:jc w:val="center"/>
              <w:rPr>
                <w:b/>
                <w:sz w:val="20"/>
                <w:lang w:val="en-GB"/>
              </w:rPr>
            </w:pPr>
            <w:r w:rsidRPr="001B2178">
              <w:rPr>
                <w:b/>
                <w:sz w:val="20"/>
                <w:lang w:val="en-GB"/>
              </w:rPr>
              <w:t>BR</w:t>
            </w:r>
            <w:r w:rsidR="00A16EF3">
              <w:rPr>
                <w:b/>
                <w:sz w:val="20"/>
                <w:lang w:val="en-GB"/>
              </w:rPr>
              <w:t>.NEW</w:t>
            </w:r>
          </w:p>
        </w:tc>
      </w:tr>
      <w:tr w:rsidR="00A16EF3" w:rsidRPr="005A01D6" w:rsidTr="006C1343">
        <w:trPr>
          <w:trHeight w:val="284"/>
          <w:jc w:val="center"/>
        </w:trPr>
        <w:tc>
          <w:tcPr>
            <w:tcW w:w="0" w:type="auto"/>
            <w:vAlign w:val="center"/>
          </w:tcPr>
          <w:p w:rsidR="001B2178" w:rsidRPr="005A01D6" w:rsidRDefault="001B2178" w:rsidP="001B2178">
            <w:pPr>
              <w:pStyle w:val="Compact"/>
              <w:keepNext/>
              <w:jc w:val="center"/>
              <w:rPr>
                <w:sz w:val="20"/>
                <w:lang w:val="en-GB"/>
              </w:rPr>
            </w:pPr>
            <w:r w:rsidRPr="005A01D6">
              <w:rPr>
                <w:sz w:val="20"/>
                <w:lang w:val="en-GB"/>
              </w:rPr>
              <w:t>2013</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4750001</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47500</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2</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2</w:t>
            </w:r>
          </w:p>
        </w:tc>
      </w:tr>
      <w:tr w:rsidR="00A16EF3" w:rsidRPr="005A01D6" w:rsidTr="006C1343">
        <w:trPr>
          <w:trHeight w:val="284"/>
          <w:jc w:val="center"/>
        </w:trPr>
        <w:tc>
          <w:tcPr>
            <w:tcW w:w="0" w:type="auto"/>
            <w:vAlign w:val="center"/>
          </w:tcPr>
          <w:p w:rsidR="001B2178" w:rsidRPr="005A01D6" w:rsidRDefault="001B2178" w:rsidP="001B2178">
            <w:pPr>
              <w:pStyle w:val="Compact"/>
              <w:keepNext/>
              <w:jc w:val="center"/>
              <w:rPr>
                <w:sz w:val="20"/>
                <w:lang w:val="en-GB"/>
              </w:rPr>
            </w:pPr>
            <w:r w:rsidRPr="005A01D6">
              <w:rPr>
                <w:sz w:val="20"/>
                <w:lang w:val="en-GB"/>
              </w:rPr>
              <w:t>2013</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4750002</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47500</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2</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2</w:t>
            </w:r>
          </w:p>
        </w:tc>
      </w:tr>
      <w:tr w:rsidR="00A16EF3" w:rsidRPr="005A01D6" w:rsidTr="006C1343">
        <w:trPr>
          <w:trHeight w:val="284"/>
          <w:jc w:val="center"/>
        </w:trPr>
        <w:tc>
          <w:tcPr>
            <w:tcW w:w="0" w:type="auto"/>
            <w:vAlign w:val="center"/>
          </w:tcPr>
          <w:p w:rsidR="001B2178" w:rsidRPr="005A01D6" w:rsidRDefault="001B2178" w:rsidP="001B2178">
            <w:pPr>
              <w:pStyle w:val="Compact"/>
              <w:keepNext/>
              <w:jc w:val="center"/>
              <w:rPr>
                <w:sz w:val="20"/>
                <w:lang w:val="en-GB"/>
              </w:rPr>
            </w:pPr>
            <w:r w:rsidRPr="005A01D6">
              <w:rPr>
                <w:sz w:val="20"/>
                <w:lang w:val="en-GB"/>
              </w:rPr>
              <w:t>2013</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4750003</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47500</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2</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2</w:t>
            </w:r>
          </w:p>
        </w:tc>
      </w:tr>
      <w:tr w:rsidR="00A16EF3" w:rsidRPr="005A01D6" w:rsidTr="006C1343">
        <w:trPr>
          <w:trHeight w:val="284"/>
          <w:jc w:val="center"/>
        </w:trPr>
        <w:tc>
          <w:tcPr>
            <w:tcW w:w="0" w:type="auto"/>
            <w:vAlign w:val="center"/>
          </w:tcPr>
          <w:p w:rsidR="001B2178" w:rsidRPr="005A01D6" w:rsidRDefault="001B2178" w:rsidP="001B2178">
            <w:pPr>
              <w:pStyle w:val="Compact"/>
              <w:keepNext/>
              <w:jc w:val="center"/>
              <w:rPr>
                <w:sz w:val="20"/>
                <w:lang w:val="en-GB"/>
              </w:rPr>
            </w:pPr>
            <w:r w:rsidRPr="005A01D6">
              <w:rPr>
                <w:sz w:val="20"/>
                <w:lang w:val="en-GB"/>
              </w:rPr>
              <w:t>2013</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4750004</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47500</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2</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2</w:t>
            </w:r>
          </w:p>
        </w:tc>
      </w:tr>
      <w:tr w:rsidR="00A16EF3" w:rsidRPr="005A01D6" w:rsidTr="006C1343">
        <w:trPr>
          <w:trHeight w:val="284"/>
          <w:jc w:val="center"/>
        </w:trPr>
        <w:tc>
          <w:tcPr>
            <w:tcW w:w="0" w:type="auto"/>
            <w:vAlign w:val="center"/>
          </w:tcPr>
          <w:p w:rsidR="001B2178" w:rsidRPr="005A01D6" w:rsidRDefault="001B2178" w:rsidP="001B2178">
            <w:pPr>
              <w:pStyle w:val="Compact"/>
              <w:keepNext/>
              <w:jc w:val="center"/>
              <w:rPr>
                <w:sz w:val="20"/>
                <w:lang w:val="en-GB"/>
              </w:rPr>
            </w:pPr>
            <w:r w:rsidRPr="005A01D6">
              <w:rPr>
                <w:sz w:val="20"/>
                <w:lang w:val="en-GB"/>
              </w:rPr>
              <w:t>2014</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4750001</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47500</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0</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2</w:t>
            </w:r>
          </w:p>
        </w:tc>
      </w:tr>
      <w:tr w:rsidR="00A16EF3" w:rsidRPr="005A01D6" w:rsidTr="006C1343">
        <w:trPr>
          <w:trHeight w:val="284"/>
          <w:jc w:val="center"/>
        </w:trPr>
        <w:tc>
          <w:tcPr>
            <w:tcW w:w="0" w:type="auto"/>
            <w:vAlign w:val="center"/>
          </w:tcPr>
          <w:p w:rsidR="001B2178" w:rsidRPr="005A01D6" w:rsidRDefault="001B2178" w:rsidP="001B2178">
            <w:pPr>
              <w:pStyle w:val="Compact"/>
              <w:keepNext/>
              <w:jc w:val="center"/>
              <w:rPr>
                <w:sz w:val="20"/>
                <w:lang w:val="en-GB"/>
              </w:rPr>
            </w:pPr>
            <w:r w:rsidRPr="005A01D6">
              <w:rPr>
                <w:sz w:val="20"/>
                <w:lang w:val="en-GB"/>
              </w:rPr>
              <w:t>2014</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4750002</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47500</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0</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2</w:t>
            </w:r>
          </w:p>
        </w:tc>
      </w:tr>
      <w:tr w:rsidR="00A16EF3" w:rsidRPr="005A01D6" w:rsidTr="006C1343">
        <w:trPr>
          <w:trHeight w:val="284"/>
          <w:jc w:val="center"/>
        </w:trPr>
        <w:tc>
          <w:tcPr>
            <w:tcW w:w="0" w:type="auto"/>
            <w:vAlign w:val="center"/>
          </w:tcPr>
          <w:p w:rsidR="001B2178" w:rsidRPr="005A01D6" w:rsidRDefault="001B2178" w:rsidP="001B2178">
            <w:pPr>
              <w:pStyle w:val="Compact"/>
              <w:keepNext/>
              <w:jc w:val="center"/>
              <w:rPr>
                <w:sz w:val="20"/>
                <w:lang w:val="en-GB"/>
              </w:rPr>
            </w:pPr>
            <w:r w:rsidRPr="005A01D6">
              <w:rPr>
                <w:sz w:val="20"/>
                <w:lang w:val="en-GB"/>
              </w:rPr>
              <w:t>2014</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4750004</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47500</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0</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2</w:t>
            </w:r>
          </w:p>
        </w:tc>
      </w:tr>
      <w:tr w:rsidR="00A16EF3" w:rsidRPr="005A01D6" w:rsidTr="006C1343">
        <w:trPr>
          <w:trHeight w:val="284"/>
          <w:jc w:val="center"/>
        </w:trPr>
        <w:tc>
          <w:tcPr>
            <w:tcW w:w="0" w:type="auto"/>
            <w:vAlign w:val="center"/>
          </w:tcPr>
          <w:p w:rsidR="001B2178" w:rsidRPr="005A01D6" w:rsidRDefault="001B2178" w:rsidP="001B2178">
            <w:pPr>
              <w:pStyle w:val="Compact"/>
              <w:keepNext/>
              <w:jc w:val="center"/>
              <w:rPr>
                <w:sz w:val="20"/>
                <w:lang w:val="en-GB"/>
              </w:rPr>
            </w:pPr>
            <w:r w:rsidRPr="005A01D6">
              <w:rPr>
                <w:sz w:val="20"/>
                <w:lang w:val="en-GB"/>
              </w:rPr>
              <w:t>2014</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4750003</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47501</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0</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2</w:t>
            </w:r>
          </w:p>
        </w:tc>
      </w:tr>
      <w:tr w:rsidR="00A16EF3" w:rsidRPr="005A01D6" w:rsidTr="006C1343">
        <w:trPr>
          <w:trHeight w:val="284"/>
          <w:jc w:val="center"/>
        </w:trPr>
        <w:tc>
          <w:tcPr>
            <w:tcW w:w="0" w:type="auto"/>
            <w:vAlign w:val="center"/>
          </w:tcPr>
          <w:p w:rsidR="001B2178" w:rsidRPr="005A01D6" w:rsidRDefault="001B2178" w:rsidP="001B2178">
            <w:pPr>
              <w:pStyle w:val="Compact"/>
              <w:keepNext/>
              <w:jc w:val="center"/>
              <w:rPr>
                <w:sz w:val="20"/>
                <w:lang w:val="en-GB"/>
              </w:rPr>
            </w:pPr>
            <w:r w:rsidRPr="005A01D6">
              <w:rPr>
                <w:sz w:val="20"/>
                <w:lang w:val="en-GB"/>
              </w:rPr>
              <w:t>2014</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4750101</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47501</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0</w:t>
            </w:r>
          </w:p>
        </w:tc>
        <w:tc>
          <w:tcPr>
            <w:tcW w:w="0" w:type="auto"/>
            <w:vAlign w:val="center"/>
          </w:tcPr>
          <w:p w:rsidR="001B2178" w:rsidRPr="005A01D6" w:rsidRDefault="001B2178" w:rsidP="001B2178">
            <w:pPr>
              <w:pStyle w:val="Compact"/>
              <w:keepNext/>
              <w:jc w:val="center"/>
              <w:rPr>
                <w:sz w:val="20"/>
                <w:lang w:val="en-GB"/>
              </w:rPr>
            </w:pPr>
            <w:r w:rsidRPr="005A01D6">
              <w:rPr>
                <w:sz w:val="20"/>
                <w:lang w:val="en-GB"/>
              </w:rPr>
              <w:t>2</w:t>
            </w:r>
          </w:p>
        </w:tc>
      </w:tr>
    </w:tbl>
    <w:p w:rsidR="00DD4526" w:rsidRPr="00EC5F5A" w:rsidRDefault="00DD4526" w:rsidP="00DD4526">
      <w:pPr>
        <w:spacing w:after="0" w:line="360" w:lineRule="auto"/>
        <w:jc w:val="both"/>
        <w:rPr>
          <w:rFonts w:ascii="Arial" w:hAnsi="Arial" w:cs="Arial"/>
          <w:sz w:val="20"/>
          <w:szCs w:val="20"/>
          <w:lang w:val="en-GB"/>
        </w:rPr>
      </w:pPr>
    </w:p>
    <w:p w:rsidR="001B2178" w:rsidRPr="001B2178" w:rsidRDefault="001B2178" w:rsidP="001B2178">
      <w:pPr>
        <w:spacing w:line="360" w:lineRule="auto"/>
        <w:rPr>
          <w:rFonts w:ascii="Arial" w:hAnsi="Arial" w:cs="Arial"/>
          <w:sz w:val="24"/>
          <w:szCs w:val="24"/>
          <w:lang w:val="en-GB"/>
        </w:rPr>
      </w:pPr>
      <w:r w:rsidRPr="001B2178">
        <w:rPr>
          <w:rFonts w:ascii="Arial" w:hAnsi="Arial" w:cs="Arial"/>
          <w:sz w:val="24"/>
          <w:szCs w:val="24"/>
          <w:lang w:val="en-GB"/>
        </w:rPr>
        <w:t xml:space="preserve">When bootstrap replicates are taken forward they will be set equal to the bootstrap replicates for 2013. This is also true for the split household since it was created through the household member PID=4750003, which moved out of household HID=47500 between 2013 and 2014. Every household member in of HID=47501 will therefore inherit the bootstrap replicate which household member PID=4750003 had in the year 2013. </w:t>
      </w:r>
      <w:r w:rsidR="00A16EF3">
        <w:rPr>
          <w:rFonts w:ascii="Arial" w:hAnsi="Arial" w:cs="Arial"/>
          <w:sz w:val="24"/>
          <w:szCs w:val="24"/>
          <w:lang w:val="en-GB"/>
        </w:rPr>
        <w:t xml:space="preserve">Column BR.NEW </w:t>
      </w:r>
      <w:r w:rsidRPr="001B2178">
        <w:rPr>
          <w:rFonts w:ascii="Arial" w:hAnsi="Arial" w:cs="Arial"/>
          <w:sz w:val="24"/>
          <w:szCs w:val="24"/>
          <w:lang w:val="en-GB"/>
        </w:rPr>
        <w:t>shows the bootstrap replicates after they have been taken forward from 2013.</w:t>
      </w:r>
    </w:p>
    <w:p w:rsidR="00581E33" w:rsidRDefault="001B2178" w:rsidP="001B2178">
      <w:pPr>
        <w:spacing w:line="360" w:lineRule="auto"/>
        <w:rPr>
          <w:rFonts w:ascii="Arial" w:hAnsi="Arial" w:cs="Arial"/>
          <w:sz w:val="24"/>
          <w:szCs w:val="24"/>
          <w:lang w:val="en-GB"/>
        </w:rPr>
      </w:pPr>
      <w:r w:rsidRPr="001B2178">
        <w:rPr>
          <w:rFonts w:ascii="Arial" w:hAnsi="Arial" w:cs="Arial"/>
          <w:sz w:val="24"/>
          <w:szCs w:val="24"/>
          <w:lang w:val="en-GB"/>
        </w:rPr>
        <w:t>Taking bootstrap replicates forward as well as considering split households ensures that bootstrap replicates are more comparable in structure with the longitudinal design of EU-SILC.</w:t>
      </w:r>
    </w:p>
    <w:p w:rsidR="00581E33" w:rsidRDefault="00581E33" w:rsidP="001B2178">
      <w:pPr>
        <w:spacing w:line="360" w:lineRule="auto"/>
        <w:rPr>
          <w:rFonts w:ascii="Arial" w:hAnsi="Arial" w:cs="Arial"/>
          <w:sz w:val="24"/>
          <w:szCs w:val="24"/>
          <w:lang w:val="en-GB"/>
        </w:rPr>
      </w:pPr>
    </w:p>
    <w:p w:rsidR="00581E33" w:rsidRPr="00581E33" w:rsidRDefault="00581E33" w:rsidP="00581E33">
      <w:pPr>
        <w:spacing w:line="360" w:lineRule="auto"/>
        <w:jc w:val="both"/>
        <w:rPr>
          <w:rFonts w:ascii="Arial" w:hAnsi="Arial" w:cs="Arial"/>
          <w:i/>
          <w:sz w:val="24"/>
          <w:szCs w:val="24"/>
          <w:lang w:val="en-GB"/>
        </w:rPr>
      </w:pPr>
      <w:bookmarkStart w:id="3" w:name="_Hlk513998607"/>
      <w:bookmarkStart w:id="4" w:name="_Hlk513998169"/>
      <w:r w:rsidRPr="00581E33">
        <w:rPr>
          <w:rFonts w:ascii="Arial" w:hAnsi="Arial" w:cs="Arial"/>
          <w:i/>
          <w:sz w:val="24"/>
          <w:szCs w:val="24"/>
          <w:lang w:val="en-GB"/>
        </w:rPr>
        <w:t xml:space="preserve">2.3. </w:t>
      </w:r>
      <w:r w:rsidR="00712BF7">
        <w:rPr>
          <w:rFonts w:ascii="Arial" w:hAnsi="Arial" w:cs="Arial"/>
          <w:i/>
          <w:sz w:val="24"/>
          <w:szCs w:val="24"/>
          <w:lang w:val="en-GB"/>
        </w:rPr>
        <w:t>Recalibrate</w:t>
      </w:r>
      <w:r>
        <w:rPr>
          <w:rFonts w:ascii="Arial" w:hAnsi="Arial" w:cs="Arial"/>
          <w:i/>
          <w:sz w:val="24"/>
          <w:szCs w:val="24"/>
          <w:lang w:val="en-GB"/>
        </w:rPr>
        <w:t xml:space="preserve"> weights</w:t>
      </w:r>
    </w:p>
    <w:p w:rsidR="00581E33" w:rsidRDefault="00581E33" w:rsidP="00581E33">
      <w:pPr>
        <w:spacing w:line="360" w:lineRule="auto"/>
        <w:jc w:val="both"/>
        <w:rPr>
          <w:rFonts w:ascii="Arial" w:hAnsi="Arial" w:cs="Arial"/>
          <w:sz w:val="24"/>
          <w:szCs w:val="24"/>
          <w:lang w:val="en-GB"/>
        </w:rPr>
      </w:pPr>
      <w:r w:rsidRPr="00581E33">
        <w:rPr>
          <w:rFonts w:ascii="Arial" w:hAnsi="Arial" w:cs="Arial"/>
          <w:sz w:val="24"/>
          <w:szCs w:val="24"/>
          <w:lang w:val="en-GB"/>
        </w:rPr>
        <w:t xml:space="preserve">Using the </w:t>
      </w:r>
      <m:oMath>
        <m:r>
          <m:rPr>
            <m:sty m:val="p"/>
          </m:rPr>
          <w:rPr>
            <w:rFonts w:ascii="Cambria Math" w:hAnsi="Cambria Math" w:cs="Arial"/>
            <w:sz w:val="24"/>
            <w:szCs w:val="24"/>
            <w:lang w:val="en-GB"/>
          </w:rPr>
          <m:t>i</m:t>
        </m:r>
      </m:oMath>
      <w:r w:rsidRPr="00581E33">
        <w:rPr>
          <w:rFonts w:ascii="Arial" w:hAnsi="Arial" w:cs="Arial"/>
          <w:sz w:val="24"/>
          <w:szCs w:val="24"/>
          <w:lang w:val="en-GB"/>
        </w:rPr>
        <w:t xml:space="preserve">-th bootstrap replicate </w:t>
      </w:r>
      <w:r w:rsidR="00A16EF3">
        <w:rPr>
          <w:rFonts w:ascii="Arial" w:hAnsi="Arial" w:cs="Arial"/>
          <w:sz w:val="24"/>
          <w:szCs w:val="24"/>
          <w:lang w:val="en-GB"/>
        </w:rPr>
        <w:t>and multiplying it with</w:t>
      </w:r>
      <w:r w:rsidR="00F337A9">
        <w:rPr>
          <w:rFonts w:ascii="Arial" w:hAnsi="Arial" w:cs="Arial"/>
          <w:sz w:val="24"/>
          <w:szCs w:val="24"/>
          <w:lang w:val="en-GB"/>
        </w:rPr>
        <w:t xml:space="preserve"> the</w:t>
      </w:r>
      <w:r w:rsidR="00A16EF3">
        <w:rPr>
          <w:rFonts w:ascii="Arial" w:hAnsi="Arial" w:cs="Arial"/>
          <w:sz w:val="24"/>
          <w:szCs w:val="24"/>
          <w:lang w:val="en-GB"/>
        </w:rPr>
        <w:t xml:space="preserve"> </w:t>
      </w:r>
      <m:oMath>
        <m:r>
          <w:rPr>
            <w:rFonts w:ascii="Cambria Math" w:hAnsi="Cambria Math" w:cs="Arial"/>
            <w:sz w:val="24"/>
            <w:szCs w:val="24"/>
            <w:lang w:val="en-GB"/>
          </w:rPr>
          <m:t>j</m:t>
        </m:r>
      </m:oMath>
      <w:r w:rsidR="00A16EF3" w:rsidRPr="00581E33">
        <w:rPr>
          <w:rFonts w:ascii="Arial" w:hAnsi="Arial" w:cs="Arial"/>
          <w:sz w:val="24"/>
          <w:szCs w:val="24"/>
          <w:lang w:val="en-GB"/>
        </w:rPr>
        <w:t xml:space="preserve">-th </w:t>
      </w:r>
      <w:r w:rsidR="00A16EF3">
        <w:rPr>
          <w:rFonts w:ascii="Arial" w:hAnsi="Arial" w:cs="Arial"/>
          <w:sz w:val="24"/>
          <w:szCs w:val="24"/>
          <w:lang w:val="en-GB"/>
        </w:rPr>
        <w:t>household weight</w:t>
      </w:r>
      <w:r w:rsidR="00712BF7">
        <w:rPr>
          <w:rFonts w:ascii="Arial" w:hAnsi="Arial" w:cs="Arial"/>
          <w:sz w:val="24"/>
          <w:szCs w:val="24"/>
          <w:lang w:val="en-GB"/>
        </w:rPr>
        <w:t>s</w:t>
      </w:r>
      <w:r w:rsidR="00A16EF3">
        <w:rPr>
          <w:rFonts w:ascii="Arial" w:hAnsi="Arial" w:cs="Arial"/>
          <w:sz w:val="24"/>
          <w:szCs w:val="24"/>
          <w:lang w:val="en-GB"/>
        </w:rPr>
        <w:t xml:space="preserve"> yields </w:t>
      </w:r>
      <w:r w:rsidRPr="00581E33">
        <w:rPr>
          <w:rFonts w:ascii="Arial" w:hAnsi="Arial" w:cs="Arial"/>
          <w:sz w:val="24"/>
          <w:szCs w:val="24"/>
          <w:lang w:val="en-GB"/>
        </w:rPr>
        <w:t xml:space="preserve">the </w:t>
      </w:r>
      <m:oMath>
        <m:r>
          <m:rPr>
            <m:sty m:val="p"/>
          </m:rPr>
          <w:rPr>
            <w:rFonts w:ascii="Cambria Math" w:hAnsi="Cambria Math" w:cs="Arial"/>
            <w:sz w:val="24"/>
            <w:szCs w:val="24"/>
            <w:lang w:val="en-GB"/>
          </w:rPr>
          <m:t>i</m:t>
        </m:r>
      </m:oMath>
      <w:r w:rsidRPr="00581E33">
        <w:rPr>
          <w:rFonts w:ascii="Arial" w:hAnsi="Arial" w:cs="Arial"/>
          <w:sz w:val="24"/>
          <w:szCs w:val="24"/>
          <w:lang w:val="en-GB"/>
        </w:rPr>
        <w:t xml:space="preserve">-th uncalibrated bootstrap </w:t>
      </w:r>
      <w:bookmarkEnd w:id="3"/>
      <w:r w:rsidRPr="00581E33">
        <w:rPr>
          <w:rFonts w:ascii="Arial" w:hAnsi="Arial" w:cs="Arial"/>
          <w:sz w:val="24"/>
          <w:szCs w:val="24"/>
          <w:lang w:val="en-GB"/>
        </w:rPr>
        <w:t xml:space="preserve">weight </w:t>
      </w:r>
      <m:oMath>
        <m:sSubSup>
          <m:sSubSupPr>
            <m:ctrlPr>
              <w:rPr>
                <w:rFonts w:ascii="Cambria Math" w:hAnsi="Cambria Math" w:cs="Arial"/>
                <w:sz w:val="24"/>
                <w:szCs w:val="24"/>
                <w:lang w:val="en-GB"/>
              </w:rPr>
            </m:ctrlPr>
          </m:sSubSupPr>
          <m:e>
            <m:groupChr>
              <m:groupChrPr>
                <m:chr m:val="̃"/>
                <m:pos m:val="top"/>
                <m:vertJc m:val="bot"/>
                <m:ctrlPr>
                  <w:rPr>
                    <w:rFonts w:ascii="Cambria Math" w:hAnsi="Cambria Math" w:cs="Arial"/>
                    <w:sz w:val="24"/>
                    <w:szCs w:val="24"/>
                    <w:lang w:val="en-GB"/>
                  </w:rPr>
                </m:ctrlPr>
              </m:groupChrPr>
              <m:e>
                <m:r>
                  <m:rPr>
                    <m:sty m:val="p"/>
                  </m:rPr>
                  <w:rPr>
                    <w:rFonts w:ascii="Cambria Math" w:hAnsi="Cambria Math" w:cs="Arial"/>
                    <w:sz w:val="24"/>
                    <w:szCs w:val="24"/>
                    <w:lang w:val="en-GB"/>
                  </w:rPr>
                  <m:t>b</m:t>
                </m:r>
              </m:e>
            </m:groupChr>
          </m:e>
          <m:sub>
            <m:r>
              <m:rPr>
                <m:sty m:val="p"/>
              </m:rPr>
              <w:rPr>
                <w:rFonts w:ascii="Cambria Math" w:hAnsi="Cambria Math" w:cs="Arial"/>
                <w:sz w:val="24"/>
                <w:szCs w:val="24"/>
                <w:lang w:val="en-GB"/>
              </w:rPr>
              <m:t>j</m:t>
            </m:r>
          </m:sub>
          <m:sup>
            <m:r>
              <m:rPr>
                <m:sty m:val="p"/>
              </m:rPr>
              <w:rPr>
                <w:rFonts w:ascii="Cambria Math" w:hAnsi="Cambria Math" w:cs="Arial"/>
                <w:sz w:val="24"/>
                <w:szCs w:val="24"/>
                <w:lang w:val="en-GB"/>
              </w:rPr>
              <m:t>i</m:t>
            </m:r>
          </m:sup>
        </m:sSubSup>
      </m:oMath>
      <w:r w:rsidR="00A16EF3">
        <w:rPr>
          <w:rFonts w:ascii="Arial" w:hAnsi="Arial" w:cs="Arial"/>
          <w:sz w:val="24"/>
          <w:szCs w:val="24"/>
          <w:lang w:val="en-GB"/>
        </w:rPr>
        <w:t xml:space="preserve">. </w:t>
      </w:r>
      <w:r w:rsidRPr="00581E33">
        <w:rPr>
          <w:rFonts w:ascii="Arial" w:hAnsi="Arial" w:cs="Arial"/>
          <w:sz w:val="24"/>
          <w:szCs w:val="24"/>
          <w:lang w:val="en-GB"/>
        </w:rPr>
        <w:t xml:space="preserve">The uncalibrated bootstrap weights </w:t>
      </w:r>
      <m:oMath>
        <m:sSubSup>
          <m:sSubSupPr>
            <m:ctrlPr>
              <w:rPr>
                <w:rFonts w:ascii="Cambria Math" w:hAnsi="Cambria Math" w:cs="Arial"/>
                <w:sz w:val="24"/>
                <w:szCs w:val="24"/>
                <w:lang w:val="en-GB"/>
              </w:rPr>
            </m:ctrlPr>
          </m:sSubSupPr>
          <m:e>
            <m:groupChr>
              <m:groupChrPr>
                <m:chr m:val="̃"/>
                <m:pos m:val="top"/>
                <m:vertJc m:val="bot"/>
                <m:ctrlPr>
                  <w:rPr>
                    <w:rFonts w:ascii="Cambria Math" w:hAnsi="Cambria Math" w:cs="Arial"/>
                    <w:sz w:val="24"/>
                    <w:szCs w:val="24"/>
                    <w:lang w:val="en-GB"/>
                  </w:rPr>
                </m:ctrlPr>
              </m:groupChrPr>
              <m:e>
                <m:r>
                  <m:rPr>
                    <m:sty m:val="p"/>
                  </m:rPr>
                  <w:rPr>
                    <w:rFonts w:ascii="Cambria Math" w:hAnsi="Cambria Math" w:cs="Arial"/>
                    <w:sz w:val="24"/>
                    <w:szCs w:val="24"/>
                    <w:lang w:val="en-GB"/>
                  </w:rPr>
                  <m:t>b</m:t>
                </m:r>
              </m:e>
            </m:groupChr>
          </m:e>
          <m:sub>
            <m:r>
              <m:rPr>
                <m:sty m:val="p"/>
              </m:rPr>
              <w:rPr>
                <w:rFonts w:ascii="Cambria Math" w:hAnsi="Cambria Math" w:cs="Arial"/>
                <w:sz w:val="24"/>
                <w:szCs w:val="24"/>
                <w:lang w:val="en-GB"/>
              </w:rPr>
              <m:t>j</m:t>
            </m:r>
          </m:sub>
          <m:sup>
            <m:r>
              <m:rPr>
                <m:sty m:val="p"/>
              </m:rPr>
              <w:rPr>
                <w:rFonts w:ascii="Cambria Math" w:hAnsi="Cambria Math" w:cs="Arial"/>
                <w:sz w:val="24"/>
                <w:szCs w:val="24"/>
                <w:lang w:val="en-GB"/>
              </w:rPr>
              <m:t>i</m:t>
            </m:r>
          </m:sup>
        </m:sSubSup>
      </m:oMath>
      <w:r w:rsidRPr="00581E33">
        <w:rPr>
          <w:rFonts w:ascii="Arial" w:hAnsi="Arial" w:cs="Arial"/>
          <w:sz w:val="24"/>
          <w:szCs w:val="24"/>
          <w:lang w:val="en-GB"/>
        </w:rPr>
        <w:t xml:space="preserve"> computed through the rescaled bootstrap procedure yields population statistics that </w:t>
      </w:r>
      <w:r w:rsidRPr="00581E33">
        <w:rPr>
          <w:rFonts w:ascii="Arial" w:hAnsi="Arial" w:cs="Arial"/>
          <w:sz w:val="24"/>
          <w:szCs w:val="24"/>
          <w:lang w:val="en-GB"/>
        </w:rPr>
        <w:lastRenderedPageBreak/>
        <w:t xml:space="preserve">differ from the known population margins of specified sociodemographic variables for which the base weights </w:t>
      </w:r>
      <m:oMath>
        <m:sSub>
          <m:sSubPr>
            <m:ctrlPr>
              <w:rPr>
                <w:rFonts w:ascii="Cambria Math" w:hAnsi="Cambria Math" w:cs="Arial"/>
                <w:sz w:val="24"/>
                <w:szCs w:val="24"/>
                <w:lang w:val="en-GB"/>
              </w:rPr>
            </m:ctrlPr>
          </m:sSubPr>
          <m:e>
            <m:r>
              <m:rPr>
                <m:sty m:val="p"/>
              </m:rPr>
              <w:rPr>
                <w:rFonts w:ascii="Cambria Math" w:hAnsi="Cambria Math" w:cs="Arial"/>
                <w:sz w:val="24"/>
                <w:szCs w:val="24"/>
                <w:lang w:val="en-GB"/>
              </w:rPr>
              <m:t>w</m:t>
            </m:r>
          </m:e>
          <m:sub>
            <m:r>
              <m:rPr>
                <m:sty m:val="p"/>
              </m:rPr>
              <w:rPr>
                <w:rFonts w:ascii="Cambria Math" w:hAnsi="Cambria Math" w:cs="Arial"/>
                <w:sz w:val="24"/>
                <w:szCs w:val="24"/>
                <w:lang w:val="en-GB"/>
              </w:rPr>
              <m:t>j</m:t>
            </m:r>
          </m:sub>
        </m:sSub>
      </m:oMath>
      <w:r w:rsidRPr="00581E33">
        <w:rPr>
          <w:rFonts w:ascii="Arial" w:hAnsi="Arial" w:cs="Arial"/>
          <w:sz w:val="24"/>
          <w:szCs w:val="24"/>
          <w:lang w:val="en-GB"/>
        </w:rPr>
        <w:t xml:space="preserve"> have been calibrated. To adjust for this, the bootstrap weights </w:t>
      </w:r>
      <m:oMath>
        <m:sSubSup>
          <m:sSubSupPr>
            <m:ctrlPr>
              <w:rPr>
                <w:rFonts w:ascii="Cambria Math" w:hAnsi="Cambria Math" w:cs="Arial"/>
                <w:sz w:val="24"/>
                <w:szCs w:val="24"/>
                <w:lang w:val="en-GB"/>
              </w:rPr>
            </m:ctrlPr>
          </m:sSubSupPr>
          <m:e>
            <m:groupChr>
              <m:groupChrPr>
                <m:chr m:val="̃"/>
                <m:pos m:val="top"/>
                <m:vertJc m:val="bot"/>
                <m:ctrlPr>
                  <w:rPr>
                    <w:rFonts w:ascii="Cambria Math" w:hAnsi="Cambria Math" w:cs="Arial"/>
                    <w:sz w:val="24"/>
                    <w:szCs w:val="24"/>
                    <w:lang w:val="en-GB"/>
                  </w:rPr>
                </m:ctrlPr>
              </m:groupChrPr>
              <m:e>
                <m:r>
                  <m:rPr>
                    <m:sty m:val="p"/>
                  </m:rPr>
                  <w:rPr>
                    <w:rFonts w:ascii="Cambria Math" w:hAnsi="Cambria Math" w:cs="Arial"/>
                    <w:sz w:val="24"/>
                    <w:szCs w:val="24"/>
                    <w:lang w:val="en-GB"/>
                  </w:rPr>
                  <m:t>b</m:t>
                </m:r>
              </m:e>
            </m:groupChr>
          </m:e>
          <m:sub>
            <m:r>
              <m:rPr>
                <m:sty m:val="p"/>
              </m:rPr>
              <w:rPr>
                <w:rFonts w:ascii="Cambria Math" w:hAnsi="Cambria Math" w:cs="Arial"/>
                <w:sz w:val="24"/>
                <w:szCs w:val="24"/>
                <w:lang w:val="en-GB"/>
              </w:rPr>
              <m:t>j</m:t>
            </m:r>
          </m:sub>
          <m:sup>
            <m:r>
              <m:rPr>
                <m:sty m:val="p"/>
              </m:rPr>
              <w:rPr>
                <w:rFonts w:ascii="Cambria Math" w:hAnsi="Cambria Math" w:cs="Arial"/>
                <w:sz w:val="24"/>
                <w:szCs w:val="24"/>
                <w:lang w:val="en-GB"/>
              </w:rPr>
              <m:t>i</m:t>
            </m:r>
          </m:sup>
        </m:sSubSup>
      </m:oMath>
      <w:r w:rsidRPr="00581E33">
        <w:rPr>
          <w:rFonts w:ascii="Arial" w:hAnsi="Arial" w:cs="Arial"/>
          <w:sz w:val="24"/>
          <w:szCs w:val="24"/>
          <w:lang w:val="en-GB"/>
        </w:rPr>
        <w:t xml:space="preserve"> can be recalibrated using iterative proportional fitting (</w:t>
      </w:r>
      <w:proofErr w:type="spellStart"/>
      <w:r w:rsidRPr="00581E33">
        <w:rPr>
          <w:rFonts w:ascii="Arial" w:hAnsi="Arial" w:cs="Arial"/>
          <w:sz w:val="24"/>
          <w:szCs w:val="24"/>
          <w:lang w:val="en-GB"/>
        </w:rPr>
        <w:t>Meraner</w:t>
      </w:r>
      <w:proofErr w:type="spellEnd"/>
      <w:r w:rsidRPr="00581E33">
        <w:rPr>
          <w:rFonts w:ascii="Arial" w:hAnsi="Arial" w:cs="Arial"/>
          <w:sz w:val="24"/>
          <w:szCs w:val="24"/>
          <w:lang w:val="en-GB"/>
        </w:rPr>
        <w:t xml:space="preserve">, </w:t>
      </w:r>
      <w:proofErr w:type="spellStart"/>
      <w:r w:rsidRPr="00581E33">
        <w:rPr>
          <w:rFonts w:ascii="Arial" w:hAnsi="Arial" w:cs="Arial"/>
          <w:sz w:val="24"/>
          <w:szCs w:val="24"/>
          <w:lang w:val="en-GB"/>
        </w:rPr>
        <w:t>Gumprecht</w:t>
      </w:r>
      <w:proofErr w:type="spellEnd"/>
      <w:r w:rsidRPr="00581E33">
        <w:rPr>
          <w:rFonts w:ascii="Arial" w:hAnsi="Arial" w:cs="Arial"/>
          <w:sz w:val="24"/>
          <w:szCs w:val="24"/>
          <w:lang w:val="en-GB"/>
        </w:rPr>
        <w:t xml:space="preserve">, and </w:t>
      </w:r>
      <w:proofErr w:type="spellStart"/>
      <w:r w:rsidRPr="00581E33">
        <w:rPr>
          <w:rFonts w:ascii="Arial" w:hAnsi="Arial" w:cs="Arial"/>
          <w:sz w:val="24"/>
          <w:szCs w:val="24"/>
          <w:lang w:val="en-GB"/>
        </w:rPr>
        <w:t>Kowarik</w:t>
      </w:r>
      <w:proofErr w:type="spellEnd"/>
      <w:r w:rsidRPr="00581E33">
        <w:rPr>
          <w:rFonts w:ascii="Arial" w:hAnsi="Arial" w:cs="Arial"/>
          <w:sz w:val="24"/>
          <w:szCs w:val="24"/>
          <w:lang w:val="en-GB"/>
        </w:rPr>
        <w:t xml:space="preserve"> 2016).</w:t>
      </w:r>
    </w:p>
    <w:p w:rsidR="00581E33" w:rsidRPr="00581E33" w:rsidRDefault="00581E33" w:rsidP="00581E33">
      <w:pPr>
        <w:spacing w:line="360" w:lineRule="auto"/>
        <w:jc w:val="both"/>
        <w:rPr>
          <w:rFonts w:ascii="Arial" w:hAnsi="Arial" w:cs="Arial"/>
          <w:sz w:val="24"/>
          <w:szCs w:val="24"/>
          <w:lang w:val="en-GB"/>
        </w:rPr>
      </w:pPr>
    </w:p>
    <w:p w:rsidR="00581E33" w:rsidRPr="00992208" w:rsidRDefault="00581E33" w:rsidP="00581E33">
      <w:pPr>
        <w:spacing w:line="360" w:lineRule="auto"/>
        <w:rPr>
          <w:rFonts w:ascii="Arial" w:hAnsi="Arial" w:cs="Arial"/>
          <w:i/>
          <w:sz w:val="24"/>
          <w:szCs w:val="24"/>
          <w:lang w:val="en-GB"/>
        </w:rPr>
      </w:pPr>
      <w:bookmarkStart w:id="5" w:name="_Hlk513999272"/>
      <w:bookmarkEnd w:id="4"/>
      <w:r w:rsidRPr="00992208">
        <w:rPr>
          <w:rFonts w:ascii="Arial" w:hAnsi="Arial" w:cs="Arial"/>
          <w:i/>
          <w:sz w:val="24"/>
          <w:szCs w:val="24"/>
          <w:lang w:val="en-GB"/>
        </w:rPr>
        <w:t>2.</w:t>
      </w:r>
      <w:r>
        <w:rPr>
          <w:rFonts w:ascii="Arial" w:hAnsi="Arial" w:cs="Arial"/>
          <w:i/>
          <w:sz w:val="24"/>
          <w:szCs w:val="24"/>
          <w:lang w:val="en-GB"/>
        </w:rPr>
        <w:t>4</w:t>
      </w:r>
      <w:r w:rsidRPr="00992208">
        <w:rPr>
          <w:rFonts w:ascii="Arial" w:hAnsi="Arial" w:cs="Arial"/>
          <w:i/>
          <w:sz w:val="24"/>
          <w:szCs w:val="24"/>
          <w:lang w:val="en-GB"/>
        </w:rPr>
        <w:t xml:space="preserve">. </w:t>
      </w:r>
      <w:r w:rsidR="00FE2AE3">
        <w:rPr>
          <w:rFonts w:ascii="Arial" w:hAnsi="Arial" w:cs="Arial"/>
          <w:i/>
          <w:sz w:val="24"/>
          <w:szCs w:val="24"/>
          <w:lang w:val="en-GB"/>
        </w:rPr>
        <w:t>Estimate variance</w:t>
      </w:r>
    </w:p>
    <w:bookmarkEnd w:id="5"/>
    <w:p w:rsidR="0099775A" w:rsidRPr="0099775A" w:rsidRDefault="003031AD" w:rsidP="0099775A">
      <w:pPr>
        <w:pStyle w:val="FirstParagraph"/>
        <w:spacing w:line="360" w:lineRule="auto"/>
        <w:rPr>
          <w:rFonts w:cs="Arial"/>
          <w:lang w:val="en-GB"/>
        </w:rPr>
      </w:pPr>
      <w:r w:rsidRPr="003031AD">
        <w:rPr>
          <w:rFonts w:cs="Arial"/>
          <w:lang w:val="en-GB"/>
        </w:rPr>
        <w:t xml:space="preserve">Applying the algorithms </w:t>
      </w:r>
      <w:r w:rsidR="00712BF7">
        <w:rPr>
          <w:rFonts w:cs="Arial"/>
          <w:lang w:val="en-GB"/>
        </w:rPr>
        <w:t xml:space="preserve">mentioned above </w:t>
      </w:r>
      <w:r w:rsidRPr="003031AD">
        <w:rPr>
          <w:rFonts w:cs="Arial"/>
          <w:lang w:val="en-GB"/>
        </w:rPr>
        <w:t xml:space="preserve">to EU-SILC data for multiple consecutive years </w:t>
      </w:r>
      <m:oMath>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oMath>
      <w:r w:rsidRPr="003031AD">
        <w:rPr>
          <w:rFonts w:cs="Arial"/>
          <w:lang w:val="en-GB"/>
        </w:rPr>
        <w:t xml:space="preserve">, </w:t>
      </w:r>
      <m:oMath>
        <m:r>
          <w:rPr>
            <w:rFonts w:ascii="Cambria Math" w:hAnsi="Cambria Math" w:cs="Arial"/>
            <w:lang w:val="en-GB"/>
          </w:rPr>
          <m:t>t=1,…</m:t>
        </m:r>
        <m:sSub>
          <m:sSubPr>
            <m:ctrlPr>
              <w:rPr>
                <w:rFonts w:ascii="Cambria Math" w:hAnsi="Cambria Math" w:cs="Arial"/>
                <w:lang w:val="en-GB"/>
              </w:rPr>
            </m:ctrlPr>
          </m:sSubPr>
          <m:e>
            <m:r>
              <w:rPr>
                <w:rFonts w:ascii="Cambria Math" w:hAnsi="Cambria Math" w:cs="Arial"/>
                <w:lang w:val="en-GB"/>
              </w:rPr>
              <m:t>n</m:t>
            </m:r>
          </m:e>
          <m:sub>
            <m:r>
              <w:rPr>
                <w:rFonts w:ascii="Cambria Math" w:hAnsi="Cambria Math" w:cs="Arial"/>
                <w:lang w:val="en-GB"/>
              </w:rPr>
              <m:t>y</m:t>
            </m:r>
          </m:sub>
        </m:sSub>
      </m:oMath>
      <w:r w:rsidRPr="003031AD">
        <w:rPr>
          <w:rFonts w:cs="Arial"/>
          <w:lang w:val="en-GB"/>
        </w:rPr>
        <w:t xml:space="preserve">, yields calibrated bootstrap sample weights </w:t>
      </w:r>
      <m:oMath>
        <m:sSubSup>
          <m:sSubSupPr>
            <m:ctrlPr>
              <w:rPr>
                <w:rFonts w:ascii="Cambria Math" w:hAnsi="Cambria Math" w:cs="Arial"/>
                <w:lang w:val="en-GB"/>
              </w:rPr>
            </m:ctrlPr>
          </m:sSubSupPr>
          <m:e>
            <m:r>
              <w:rPr>
                <w:rFonts w:ascii="Cambria Math" w:hAnsi="Cambria Math" w:cs="Arial"/>
                <w:lang w:val="en-GB"/>
              </w:rPr>
              <m:t>b</m:t>
            </m:r>
          </m:e>
          <m:sub>
            <m:r>
              <w:rPr>
                <w:rFonts w:ascii="Cambria Math" w:hAnsi="Cambria Math" w:cs="Arial"/>
                <w:lang w:val="en-GB"/>
              </w:rPr>
              <m:t>j</m:t>
            </m:r>
          </m:sub>
          <m:sup>
            <m:r>
              <w:rPr>
                <w:rFonts w:ascii="Cambria Math" w:hAnsi="Cambria Math" w:cs="Arial"/>
                <w:lang w:val="en-GB"/>
              </w:rPr>
              <m:t>(i,</m:t>
            </m:r>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r>
              <w:rPr>
                <w:rFonts w:ascii="Cambria Math" w:hAnsi="Cambria Math" w:cs="Arial"/>
                <w:lang w:val="en-GB"/>
              </w:rPr>
              <m:t>)</m:t>
            </m:r>
          </m:sup>
        </m:sSubSup>
      </m:oMath>
      <w:r w:rsidRPr="003031AD">
        <w:rPr>
          <w:rFonts w:cs="Arial"/>
          <w:lang w:val="en-GB"/>
        </w:rPr>
        <w:t xml:space="preserve"> for each year </w:t>
      </w:r>
      <m:oMath>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oMath>
      <w:r w:rsidRPr="003031AD">
        <w:rPr>
          <w:rFonts w:cs="Arial"/>
          <w:lang w:val="en-GB"/>
        </w:rPr>
        <w:t xml:space="preserve">. Using the calibrated bootstrap sample weights it is straight forward to compute the standard error of a point estimate </w:t>
      </w:r>
      <m:oMath>
        <m:r>
          <w:rPr>
            <w:rFonts w:ascii="Cambria Math" w:hAnsi="Cambria Math" w:cs="Arial"/>
            <w:lang w:val="en-GB"/>
          </w:rPr>
          <m:t>θ(</m:t>
        </m:r>
        <m:sSup>
          <m:sSupPr>
            <m:ctrlPr>
              <w:rPr>
                <w:rFonts w:ascii="Cambria Math" w:hAnsi="Cambria Math" w:cs="Arial"/>
                <w:lang w:val="en-GB"/>
              </w:rPr>
            </m:ctrlPr>
          </m:sSupPr>
          <m:e>
            <m:r>
              <m:rPr>
                <m:sty m:val="b"/>
              </m:rPr>
              <w:rPr>
                <w:rFonts w:ascii="Cambria Math" w:hAnsi="Cambria Math" w:cs="Arial"/>
                <w:lang w:val="en-GB"/>
              </w:rPr>
              <m:t>X</m:t>
            </m:r>
          </m:e>
          <m:sup>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sup>
        </m:sSup>
        <m:r>
          <w:rPr>
            <w:rFonts w:ascii="Cambria Math" w:hAnsi="Cambria Math" w:cs="Arial"/>
            <w:lang w:val="en-GB"/>
          </w:rPr>
          <m:t>,</m:t>
        </m:r>
        <m:sSup>
          <m:sSupPr>
            <m:ctrlPr>
              <w:rPr>
                <w:rFonts w:ascii="Cambria Math" w:hAnsi="Cambria Math" w:cs="Arial"/>
                <w:lang w:val="en-GB"/>
              </w:rPr>
            </m:ctrlPr>
          </m:sSupPr>
          <m:e>
            <m:r>
              <m:rPr>
                <m:sty m:val="b"/>
              </m:rPr>
              <w:rPr>
                <w:rFonts w:ascii="Cambria Math" w:hAnsi="Cambria Math" w:cs="Arial"/>
                <w:lang w:val="en-GB"/>
              </w:rPr>
              <m:t>w</m:t>
            </m:r>
          </m:e>
          <m:sup>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sup>
        </m:sSup>
        <m:r>
          <w:rPr>
            <w:rFonts w:ascii="Cambria Math" w:hAnsi="Cambria Math" w:cs="Arial"/>
            <w:lang w:val="en-GB"/>
          </w:rPr>
          <m:t>)</m:t>
        </m:r>
      </m:oMath>
      <w:r w:rsidRPr="003031AD">
        <w:rPr>
          <w:rFonts w:cs="Arial"/>
          <w:lang w:val="en-GB"/>
        </w:rPr>
        <w:t xml:space="preserve"> for year </w:t>
      </w:r>
      <m:oMath>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oMath>
      <w:r w:rsidRPr="003031AD">
        <w:rPr>
          <w:rFonts w:cs="Arial"/>
          <w:lang w:val="en-GB"/>
        </w:rPr>
        <w:t xml:space="preserve"> with </w:t>
      </w:r>
      <m:oMath>
        <m:sSup>
          <m:sSupPr>
            <m:ctrlPr>
              <w:rPr>
                <w:rFonts w:ascii="Cambria Math" w:hAnsi="Cambria Math" w:cs="Arial"/>
                <w:lang w:val="en-GB"/>
              </w:rPr>
            </m:ctrlPr>
          </m:sSupPr>
          <m:e>
            <m:r>
              <m:rPr>
                <m:sty m:val="b"/>
              </m:rPr>
              <w:rPr>
                <w:rFonts w:ascii="Cambria Math" w:hAnsi="Cambria Math" w:cs="Arial"/>
                <w:lang w:val="en-GB"/>
              </w:rPr>
              <m:t>X</m:t>
            </m:r>
          </m:e>
          <m:sup>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sup>
        </m:sSup>
        <m:r>
          <w:rPr>
            <w:rFonts w:ascii="Cambria Math" w:hAnsi="Cambria Math" w:cs="Arial"/>
            <w:lang w:val="en-GB"/>
          </w:rPr>
          <m:t>=(</m:t>
        </m:r>
        <m:sSubSup>
          <m:sSubSupPr>
            <m:ctrlPr>
              <w:rPr>
                <w:rFonts w:ascii="Cambria Math" w:hAnsi="Cambria Math" w:cs="Arial"/>
                <w:lang w:val="en-GB"/>
              </w:rPr>
            </m:ctrlPr>
          </m:sSubSupPr>
          <m:e>
            <m:r>
              <w:rPr>
                <w:rFonts w:ascii="Cambria Math" w:hAnsi="Cambria Math" w:cs="Arial"/>
                <w:lang w:val="en-GB"/>
              </w:rPr>
              <m:t>X</m:t>
            </m:r>
          </m:e>
          <m:sub>
            <m:r>
              <w:rPr>
                <w:rFonts w:ascii="Cambria Math" w:hAnsi="Cambria Math" w:cs="Arial"/>
                <w:lang w:val="en-GB"/>
              </w:rPr>
              <m:t>1</m:t>
            </m:r>
          </m:sub>
          <m:sup>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sup>
        </m:sSubSup>
        <m:r>
          <w:rPr>
            <w:rFonts w:ascii="Cambria Math" w:hAnsi="Cambria Math" w:cs="Arial"/>
            <w:lang w:val="en-GB"/>
          </w:rPr>
          <m:t>,…,</m:t>
        </m:r>
        <m:sSubSup>
          <m:sSubSupPr>
            <m:ctrlPr>
              <w:rPr>
                <w:rFonts w:ascii="Cambria Math" w:hAnsi="Cambria Math" w:cs="Arial"/>
                <w:lang w:val="en-GB"/>
              </w:rPr>
            </m:ctrlPr>
          </m:sSubSupPr>
          <m:e>
            <m:r>
              <w:rPr>
                <w:rFonts w:ascii="Cambria Math" w:hAnsi="Cambria Math" w:cs="Arial"/>
                <w:lang w:val="en-GB"/>
              </w:rPr>
              <m:t>X</m:t>
            </m:r>
          </m:e>
          <m:sub>
            <m:r>
              <w:rPr>
                <w:rFonts w:ascii="Cambria Math" w:hAnsi="Cambria Math" w:cs="Arial"/>
                <w:lang w:val="en-GB"/>
              </w:rPr>
              <m:t>n</m:t>
            </m:r>
          </m:sub>
          <m:sup>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sup>
        </m:sSubSup>
        <m:r>
          <w:rPr>
            <w:rFonts w:ascii="Cambria Math" w:hAnsi="Cambria Math" w:cs="Arial"/>
            <w:lang w:val="en-GB"/>
          </w:rPr>
          <m:t>)</m:t>
        </m:r>
      </m:oMath>
      <w:r w:rsidRPr="003031AD">
        <w:rPr>
          <w:rFonts w:cs="Arial"/>
          <w:lang w:val="en-GB"/>
        </w:rPr>
        <w:t xml:space="preserve"> as the vector of observations for the variable of interest in the survey and </w:t>
      </w:r>
      <m:oMath>
        <m:sSup>
          <m:sSupPr>
            <m:ctrlPr>
              <w:rPr>
                <w:rFonts w:ascii="Cambria Math" w:hAnsi="Cambria Math" w:cs="Arial"/>
                <w:lang w:val="en-GB"/>
              </w:rPr>
            </m:ctrlPr>
          </m:sSupPr>
          <m:e>
            <m:r>
              <m:rPr>
                <m:sty m:val="b"/>
              </m:rPr>
              <w:rPr>
                <w:rFonts w:ascii="Cambria Math" w:hAnsi="Cambria Math" w:cs="Arial"/>
                <w:lang w:val="en-GB"/>
              </w:rPr>
              <m:t>w</m:t>
            </m:r>
          </m:e>
          <m:sup>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sup>
        </m:sSup>
        <m:r>
          <w:rPr>
            <w:rFonts w:ascii="Cambria Math" w:hAnsi="Cambria Math" w:cs="Arial"/>
            <w:lang w:val="en-GB"/>
          </w:rPr>
          <m:t>=(</m:t>
        </m:r>
        <m:sSubSup>
          <m:sSubSupPr>
            <m:ctrlPr>
              <w:rPr>
                <w:rFonts w:ascii="Cambria Math" w:hAnsi="Cambria Math" w:cs="Arial"/>
                <w:lang w:val="en-GB"/>
              </w:rPr>
            </m:ctrlPr>
          </m:sSubSupPr>
          <m:e>
            <m:r>
              <w:rPr>
                <w:rFonts w:ascii="Cambria Math" w:hAnsi="Cambria Math" w:cs="Arial"/>
                <w:lang w:val="en-GB"/>
              </w:rPr>
              <m:t>w</m:t>
            </m:r>
          </m:e>
          <m:sub>
            <m:r>
              <w:rPr>
                <w:rFonts w:ascii="Cambria Math" w:hAnsi="Cambria Math" w:cs="Arial"/>
                <w:lang w:val="en-GB"/>
              </w:rPr>
              <m:t>1</m:t>
            </m:r>
          </m:sub>
          <m:sup>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sup>
        </m:sSubSup>
        <m:r>
          <w:rPr>
            <w:rFonts w:ascii="Cambria Math" w:hAnsi="Cambria Math" w:cs="Arial"/>
            <w:lang w:val="en-GB"/>
          </w:rPr>
          <m:t>,…,</m:t>
        </m:r>
        <m:sSubSup>
          <m:sSubSupPr>
            <m:ctrlPr>
              <w:rPr>
                <w:rFonts w:ascii="Cambria Math" w:hAnsi="Cambria Math" w:cs="Arial"/>
                <w:lang w:val="en-GB"/>
              </w:rPr>
            </m:ctrlPr>
          </m:sSubSupPr>
          <m:e>
            <m:r>
              <w:rPr>
                <w:rFonts w:ascii="Cambria Math" w:hAnsi="Cambria Math" w:cs="Arial"/>
                <w:lang w:val="en-GB"/>
              </w:rPr>
              <m:t>w</m:t>
            </m:r>
          </m:e>
          <m:sub>
            <m:r>
              <w:rPr>
                <w:rFonts w:ascii="Cambria Math" w:hAnsi="Cambria Math" w:cs="Arial"/>
                <w:lang w:val="en-GB"/>
              </w:rPr>
              <m:t>n</m:t>
            </m:r>
          </m:sub>
          <m:sup>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sup>
        </m:sSubSup>
        <m:r>
          <w:rPr>
            <w:rFonts w:ascii="Cambria Math" w:hAnsi="Cambria Math" w:cs="Arial"/>
            <w:lang w:val="en-GB"/>
          </w:rPr>
          <m:t>)</m:t>
        </m:r>
      </m:oMath>
      <w:r w:rsidRPr="003031AD">
        <w:rPr>
          <w:rFonts w:cs="Arial"/>
          <w:lang w:val="en-GB"/>
        </w:rPr>
        <w:t xml:space="preserve"> as the corresponding weight vector, with</w:t>
      </w:r>
      <m:oMath>
        <m:r>
          <m:rPr>
            <m:sty m:val="p"/>
          </m:rPr>
          <w:rPr>
            <w:rFonts w:ascii="Cambria Math" w:hAnsi="Cambria Math"/>
            <w:lang w:val="en-GB"/>
          </w:rPr>
          <w:br/>
        </m:r>
      </m:oMath>
      <m:oMathPara>
        <m:oMath>
          <m:r>
            <w:rPr>
              <w:rFonts w:ascii="Cambria Math" w:hAnsi="Cambria Math" w:cs="Arial"/>
              <w:lang w:val="en-GB"/>
            </w:rPr>
            <m:t>sd(θ)=</m:t>
          </m:r>
          <m:rad>
            <m:radPr>
              <m:degHide m:val="1"/>
              <m:ctrlPr>
                <w:rPr>
                  <w:rFonts w:ascii="Cambria Math" w:hAnsi="Cambria Math" w:cs="Arial"/>
                  <w:lang w:val="en-GB"/>
                </w:rPr>
              </m:ctrlPr>
            </m:radPr>
            <m:deg/>
            <m:e>
              <m:f>
                <m:fPr>
                  <m:ctrlPr>
                    <w:rPr>
                      <w:rFonts w:ascii="Cambria Math" w:hAnsi="Cambria Math" w:cs="Arial"/>
                      <w:lang w:val="en-GB"/>
                    </w:rPr>
                  </m:ctrlPr>
                </m:fPr>
                <m:num>
                  <m:r>
                    <w:rPr>
                      <w:rFonts w:ascii="Cambria Math" w:hAnsi="Cambria Math" w:cs="Arial"/>
                      <w:lang w:val="en-GB"/>
                    </w:rPr>
                    <m:t>1</m:t>
                  </m:r>
                </m:num>
                <m:den>
                  <m:r>
                    <w:rPr>
                      <w:rFonts w:ascii="Cambria Math" w:hAnsi="Cambria Math" w:cs="Arial"/>
                      <w:lang w:val="en-GB"/>
                    </w:rPr>
                    <m:t>B-1</m:t>
                  </m:r>
                </m:den>
              </m:f>
              <m:nary>
                <m:naryPr>
                  <m:chr m:val="∑"/>
                  <m:limLoc m:val="undOvr"/>
                  <m:ctrlPr>
                    <w:rPr>
                      <w:rFonts w:ascii="Cambria Math" w:hAnsi="Cambria Math" w:cs="Arial"/>
                      <w:lang w:val="en-GB"/>
                    </w:rPr>
                  </m:ctrlPr>
                </m:naryPr>
                <m:sub>
                  <m:r>
                    <w:rPr>
                      <w:rFonts w:ascii="Cambria Math" w:hAnsi="Cambria Math" w:cs="Arial"/>
                      <w:lang w:val="en-GB"/>
                    </w:rPr>
                    <m:t>i=1</m:t>
                  </m:r>
                </m:sub>
                <m:sup>
                  <m:r>
                    <w:rPr>
                      <w:rFonts w:ascii="Cambria Math" w:hAnsi="Cambria Math" w:cs="Arial"/>
                      <w:lang w:val="en-GB"/>
                    </w:rPr>
                    <m:t>B</m:t>
                  </m:r>
                </m:sup>
                <m:e>
                  <m:r>
                    <w:rPr>
                      <w:rFonts w:ascii="Cambria Math" w:hAnsi="Cambria Math" w:cs="Arial"/>
                      <w:lang w:val="en-GB"/>
                    </w:rPr>
                    <m:t>(</m:t>
                  </m:r>
                </m:e>
              </m:nary>
              <m:sSup>
                <m:sSupPr>
                  <m:ctrlPr>
                    <w:rPr>
                      <w:rFonts w:ascii="Cambria Math" w:hAnsi="Cambria Math" w:cs="Arial"/>
                      <w:lang w:val="en-GB"/>
                    </w:rPr>
                  </m:ctrlPr>
                </m:sSupPr>
                <m:e>
                  <m:r>
                    <w:rPr>
                      <w:rFonts w:ascii="Cambria Math" w:hAnsi="Cambria Math" w:cs="Arial"/>
                      <w:lang w:val="en-GB"/>
                    </w:rPr>
                    <m:t>θ</m:t>
                  </m:r>
                </m:e>
                <m:sup>
                  <m:r>
                    <w:rPr>
                      <w:rFonts w:ascii="Cambria Math" w:hAnsi="Cambria Math" w:cs="Arial"/>
                      <w:lang w:val="en-GB"/>
                    </w:rPr>
                    <m:t>(i,</m:t>
                  </m:r>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r>
                    <w:rPr>
                      <w:rFonts w:ascii="Cambria Math" w:hAnsi="Cambria Math" w:cs="Arial"/>
                      <w:lang w:val="en-GB"/>
                    </w:rPr>
                    <m:t>)</m:t>
                  </m:r>
                </m:sup>
              </m:sSup>
              <m:r>
                <w:rPr>
                  <w:rFonts w:ascii="Cambria Math" w:hAnsi="Cambria Math" w:cs="Arial"/>
                  <w:lang w:val="en-GB"/>
                </w:rPr>
                <m:t>-</m:t>
              </m:r>
              <m:bar>
                <m:barPr>
                  <m:pos m:val="top"/>
                  <m:ctrlPr>
                    <w:rPr>
                      <w:rFonts w:ascii="Cambria Math" w:hAnsi="Cambria Math" w:cs="Arial"/>
                      <w:lang w:val="en-GB"/>
                    </w:rPr>
                  </m:ctrlPr>
                </m:barPr>
                <m:e>
                  <m:sSup>
                    <m:sSupPr>
                      <m:ctrlPr>
                        <w:rPr>
                          <w:rFonts w:ascii="Cambria Math" w:hAnsi="Cambria Math" w:cs="Arial"/>
                          <w:lang w:val="en-GB"/>
                        </w:rPr>
                      </m:ctrlPr>
                    </m:sSupPr>
                    <m:e>
                      <m:r>
                        <w:rPr>
                          <w:rFonts w:ascii="Cambria Math" w:hAnsi="Cambria Math" w:cs="Arial"/>
                          <w:lang w:val="en-GB"/>
                        </w:rPr>
                        <m:t>θ</m:t>
                      </m:r>
                    </m:e>
                    <m:sup>
                      <m:r>
                        <w:rPr>
                          <w:rFonts w:ascii="Cambria Math" w:hAnsi="Cambria Math" w:cs="Arial"/>
                          <w:lang w:val="en-GB"/>
                        </w:rPr>
                        <m:t>(.,</m:t>
                      </m:r>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r>
                        <w:rPr>
                          <w:rFonts w:ascii="Cambria Math" w:hAnsi="Cambria Math" w:cs="Arial"/>
                          <w:lang w:val="en-GB"/>
                        </w:rPr>
                        <m:t>)</m:t>
                      </m:r>
                    </m:sup>
                  </m:sSup>
                </m:e>
              </m:bar>
              <m:sSup>
                <m:sSupPr>
                  <m:ctrlPr>
                    <w:rPr>
                      <w:rFonts w:ascii="Cambria Math" w:hAnsi="Cambria Math" w:cs="Arial"/>
                      <w:lang w:val="en-GB"/>
                    </w:rPr>
                  </m:ctrlPr>
                </m:sSupPr>
                <m:e>
                  <m:r>
                    <w:rPr>
                      <w:rFonts w:ascii="Cambria Math" w:hAnsi="Cambria Math" w:cs="Arial"/>
                      <w:lang w:val="en-GB"/>
                    </w:rPr>
                    <m:t>)</m:t>
                  </m:r>
                </m:e>
                <m:sup>
                  <m:r>
                    <w:rPr>
                      <w:rFonts w:ascii="Cambria Math" w:hAnsi="Cambria Math" w:cs="Arial"/>
                      <w:lang w:val="en-GB"/>
                    </w:rPr>
                    <m:t>2</m:t>
                  </m:r>
                </m:sup>
              </m:sSup>
            </m:e>
          </m:rad>
        </m:oMath>
      </m:oMathPara>
    </w:p>
    <w:p w:rsidR="0099775A" w:rsidRPr="0099775A" w:rsidRDefault="00840658" w:rsidP="0099775A">
      <w:pPr>
        <w:pStyle w:val="FirstParagraph"/>
        <w:spacing w:line="360" w:lineRule="auto"/>
        <w:rPr>
          <w:rFonts w:cs="Arial"/>
          <w:lang w:val="en-GB"/>
        </w:rPr>
      </w:pPr>
      <m:oMathPara>
        <m:oMathParaPr>
          <m:jc m:val="center"/>
        </m:oMathParaPr>
        <m:oMath>
          <m:bar>
            <m:barPr>
              <m:pos m:val="top"/>
              <m:ctrlPr>
                <w:rPr>
                  <w:rFonts w:ascii="Cambria Math" w:hAnsi="Cambria Math" w:cs="Arial"/>
                  <w:lang w:val="en-GB"/>
                </w:rPr>
              </m:ctrlPr>
            </m:barPr>
            <m:e>
              <m:sSup>
                <m:sSupPr>
                  <m:ctrlPr>
                    <w:rPr>
                      <w:rFonts w:ascii="Cambria Math" w:hAnsi="Cambria Math" w:cs="Arial"/>
                      <w:lang w:val="en-GB"/>
                    </w:rPr>
                  </m:ctrlPr>
                </m:sSupPr>
                <m:e>
                  <m:r>
                    <w:rPr>
                      <w:rFonts w:ascii="Cambria Math" w:hAnsi="Cambria Math" w:cs="Arial"/>
                      <w:lang w:val="en-GB"/>
                    </w:rPr>
                    <m:t>θ</m:t>
                  </m:r>
                </m:e>
                <m:sup>
                  <m:r>
                    <w:rPr>
                      <w:rFonts w:ascii="Cambria Math" w:hAnsi="Cambria Math" w:cs="Arial"/>
                      <w:lang w:val="en-GB"/>
                    </w:rPr>
                    <m:t>(.,</m:t>
                  </m:r>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r>
                    <w:rPr>
                      <w:rFonts w:ascii="Cambria Math" w:hAnsi="Cambria Math" w:cs="Arial"/>
                      <w:lang w:val="en-GB"/>
                    </w:rPr>
                    <m:t>)</m:t>
                  </m:r>
                </m:sup>
              </m:sSup>
            </m:e>
          </m:bar>
          <m:r>
            <w:rPr>
              <w:rFonts w:ascii="Cambria Math" w:hAnsi="Cambria Math" w:cs="Arial"/>
              <w:lang w:val="en-GB"/>
            </w:rPr>
            <m:t>=</m:t>
          </m:r>
          <m:f>
            <m:fPr>
              <m:ctrlPr>
                <w:rPr>
                  <w:rFonts w:ascii="Cambria Math" w:hAnsi="Cambria Math" w:cs="Arial"/>
                  <w:lang w:val="en-GB"/>
                </w:rPr>
              </m:ctrlPr>
            </m:fPr>
            <m:num>
              <m:r>
                <w:rPr>
                  <w:rFonts w:ascii="Cambria Math" w:hAnsi="Cambria Math" w:cs="Arial"/>
                  <w:lang w:val="en-GB"/>
                </w:rPr>
                <m:t>1</m:t>
              </m:r>
            </m:num>
            <m:den>
              <m:r>
                <w:rPr>
                  <w:rFonts w:ascii="Cambria Math" w:hAnsi="Cambria Math" w:cs="Arial"/>
                  <w:lang w:val="en-GB"/>
                </w:rPr>
                <m:t>B</m:t>
              </m:r>
            </m:den>
          </m:f>
          <m:nary>
            <m:naryPr>
              <m:chr m:val="∑"/>
              <m:limLoc m:val="undOvr"/>
              <m:ctrlPr>
                <w:rPr>
                  <w:rFonts w:ascii="Cambria Math" w:hAnsi="Cambria Math" w:cs="Arial"/>
                  <w:lang w:val="en-GB"/>
                </w:rPr>
              </m:ctrlPr>
            </m:naryPr>
            <m:sub>
              <m:r>
                <w:rPr>
                  <w:rFonts w:ascii="Cambria Math" w:hAnsi="Cambria Math" w:cs="Arial"/>
                  <w:lang w:val="en-GB"/>
                </w:rPr>
                <m:t>i=1</m:t>
              </m:r>
            </m:sub>
            <m:sup>
              <m:r>
                <w:rPr>
                  <w:rFonts w:ascii="Cambria Math" w:hAnsi="Cambria Math" w:cs="Arial"/>
                  <w:lang w:val="en-GB"/>
                </w:rPr>
                <m:t>B</m:t>
              </m:r>
            </m:sup>
            <m:e>
              <m:sSup>
                <m:sSupPr>
                  <m:ctrlPr>
                    <w:rPr>
                      <w:rFonts w:ascii="Cambria Math" w:hAnsi="Cambria Math" w:cs="Arial"/>
                      <w:lang w:val="en-GB"/>
                    </w:rPr>
                  </m:ctrlPr>
                </m:sSupPr>
                <m:e>
                  <m:r>
                    <w:rPr>
                      <w:rFonts w:ascii="Cambria Math" w:hAnsi="Cambria Math" w:cs="Arial"/>
                      <w:lang w:val="en-GB"/>
                    </w:rPr>
                    <m:t>θ</m:t>
                  </m:r>
                </m:e>
                <m:sup>
                  <m:r>
                    <w:rPr>
                      <w:rFonts w:ascii="Cambria Math" w:hAnsi="Cambria Math" w:cs="Arial"/>
                      <w:lang w:val="en-GB"/>
                    </w:rPr>
                    <m:t>(i,</m:t>
                  </m:r>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r>
                    <w:rPr>
                      <w:rFonts w:ascii="Cambria Math" w:hAnsi="Cambria Math" w:cs="Arial"/>
                      <w:lang w:val="en-GB"/>
                    </w:rPr>
                    <m:t>)</m:t>
                  </m:r>
                </m:sup>
              </m:sSup>
            </m:e>
          </m:nary>
          <m:r>
            <w:rPr>
              <w:rFonts w:ascii="Cambria Math" w:hAnsi="Cambria Math" w:cs="Arial"/>
              <w:lang w:val="en-GB"/>
            </w:rPr>
            <m:t> ,</m:t>
          </m:r>
        </m:oMath>
      </m:oMathPara>
    </w:p>
    <w:p w:rsidR="0099775A" w:rsidRPr="0099775A" w:rsidRDefault="0099775A" w:rsidP="0099775A">
      <w:pPr>
        <w:pStyle w:val="FirstParagraph"/>
        <w:spacing w:line="360" w:lineRule="auto"/>
        <w:rPr>
          <w:rFonts w:cs="Arial"/>
          <w:lang w:val="en-GB"/>
        </w:rPr>
      </w:pPr>
      <w:proofErr w:type="gramStart"/>
      <w:r w:rsidRPr="0099775A">
        <w:rPr>
          <w:rFonts w:cs="Arial"/>
          <w:lang w:val="en-GB"/>
        </w:rPr>
        <w:t>where</w:t>
      </w:r>
      <w:proofErr w:type="gramEnd"/>
      <w:r w:rsidRPr="0099775A">
        <w:rPr>
          <w:rFonts w:cs="Arial"/>
          <w:lang w:val="en-GB"/>
        </w:rPr>
        <w:t xml:space="preserve"> </w:t>
      </w:r>
      <m:oMath>
        <m:sSup>
          <m:sSupPr>
            <m:ctrlPr>
              <w:rPr>
                <w:rFonts w:ascii="Cambria Math" w:hAnsi="Cambria Math" w:cs="Arial"/>
                <w:lang w:val="en-GB"/>
              </w:rPr>
            </m:ctrlPr>
          </m:sSupPr>
          <m:e>
            <m:r>
              <w:rPr>
                <w:rFonts w:ascii="Cambria Math" w:hAnsi="Cambria Math" w:cs="Arial"/>
                <w:lang w:val="en-GB"/>
              </w:rPr>
              <m:t>θ</m:t>
            </m:r>
          </m:e>
          <m:sup>
            <m:r>
              <w:rPr>
                <w:rFonts w:ascii="Cambria Math" w:hAnsi="Cambria Math" w:cs="Arial"/>
                <w:lang w:val="en-GB"/>
              </w:rPr>
              <m:t>(i,</m:t>
            </m:r>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r>
              <w:rPr>
                <w:rFonts w:ascii="Cambria Math" w:hAnsi="Cambria Math" w:cs="Arial"/>
                <w:lang w:val="en-GB"/>
              </w:rPr>
              <m:t>)</m:t>
            </m:r>
          </m:sup>
        </m:sSup>
        <m:r>
          <w:rPr>
            <w:rFonts w:ascii="Cambria Math" w:hAnsi="Cambria Math" w:cs="Arial"/>
            <w:lang w:val="en-GB"/>
          </w:rPr>
          <m:t>:=θ(</m:t>
        </m:r>
        <m:sSup>
          <m:sSupPr>
            <m:ctrlPr>
              <w:rPr>
                <w:rFonts w:ascii="Cambria Math" w:hAnsi="Cambria Math" w:cs="Arial"/>
                <w:lang w:val="en-GB"/>
              </w:rPr>
            </m:ctrlPr>
          </m:sSupPr>
          <m:e>
            <m:r>
              <m:rPr>
                <m:sty m:val="b"/>
              </m:rPr>
              <w:rPr>
                <w:rFonts w:ascii="Cambria Math" w:hAnsi="Cambria Math" w:cs="Arial"/>
                <w:lang w:val="en-GB"/>
              </w:rPr>
              <m:t>X</m:t>
            </m:r>
          </m:e>
          <m:sup>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sup>
        </m:sSup>
        <m:r>
          <w:rPr>
            <w:rFonts w:ascii="Cambria Math" w:hAnsi="Cambria Math" w:cs="Arial"/>
            <w:lang w:val="en-GB"/>
          </w:rPr>
          <m:t>,</m:t>
        </m:r>
        <m:sSup>
          <m:sSupPr>
            <m:ctrlPr>
              <w:rPr>
                <w:rFonts w:ascii="Cambria Math" w:hAnsi="Cambria Math" w:cs="Arial"/>
                <w:lang w:val="en-GB"/>
              </w:rPr>
            </m:ctrlPr>
          </m:sSupPr>
          <m:e>
            <m:r>
              <m:rPr>
                <m:sty m:val="b"/>
              </m:rPr>
              <w:rPr>
                <w:rFonts w:ascii="Cambria Math" w:hAnsi="Cambria Math" w:cs="Arial"/>
                <w:lang w:val="en-GB"/>
              </w:rPr>
              <m:t>b</m:t>
            </m:r>
          </m:e>
          <m:sup>
            <m:r>
              <w:rPr>
                <w:rFonts w:ascii="Cambria Math" w:hAnsi="Cambria Math" w:cs="Arial"/>
                <w:lang w:val="en-GB"/>
              </w:rPr>
              <m:t>(i,</m:t>
            </m:r>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r>
              <w:rPr>
                <w:rFonts w:ascii="Cambria Math" w:hAnsi="Cambria Math" w:cs="Arial"/>
                <w:lang w:val="en-GB"/>
              </w:rPr>
              <m:t>)</m:t>
            </m:r>
          </m:sup>
        </m:sSup>
        <m:r>
          <w:rPr>
            <w:rFonts w:ascii="Cambria Math" w:hAnsi="Cambria Math" w:cs="Arial"/>
            <w:lang w:val="en-GB"/>
          </w:rPr>
          <m:t>)</m:t>
        </m:r>
      </m:oMath>
      <w:r w:rsidRPr="0099775A">
        <w:rPr>
          <w:rFonts w:cs="Arial"/>
          <w:lang w:val="en-GB"/>
        </w:rPr>
        <w:t xml:space="preserve"> is the estimate of </w:t>
      </w:r>
      <m:oMath>
        <m:r>
          <w:rPr>
            <w:rFonts w:ascii="Cambria Math" w:hAnsi="Cambria Math" w:cs="Arial"/>
            <w:lang w:val="en-GB"/>
          </w:rPr>
          <m:t>θ</m:t>
        </m:r>
      </m:oMath>
      <w:r w:rsidRPr="0099775A">
        <w:rPr>
          <w:rFonts w:cs="Arial"/>
          <w:lang w:val="en-GB"/>
        </w:rPr>
        <w:t xml:space="preserve"> in the year </w:t>
      </w:r>
      <m:oMath>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oMath>
      <w:r w:rsidRPr="0099775A">
        <w:rPr>
          <w:rFonts w:cs="Arial"/>
          <w:lang w:val="en-GB"/>
        </w:rPr>
        <w:t xml:space="preserve"> using the </w:t>
      </w:r>
      <m:oMath>
        <m:r>
          <w:rPr>
            <w:rFonts w:ascii="Cambria Math" w:hAnsi="Cambria Math" w:cs="Arial"/>
            <w:lang w:val="en-GB"/>
          </w:rPr>
          <m:t>i</m:t>
        </m:r>
      </m:oMath>
      <w:r w:rsidRPr="0099775A">
        <w:rPr>
          <w:rFonts w:cs="Arial"/>
          <w:lang w:val="en-GB"/>
        </w:rPr>
        <w:t>-th vector of calibrated bootstrap weights.</w:t>
      </w:r>
    </w:p>
    <w:p w:rsidR="0099775A" w:rsidRPr="0099775A" w:rsidRDefault="0099775A" w:rsidP="0099775A">
      <w:pPr>
        <w:pStyle w:val="FirstParagraph"/>
        <w:spacing w:line="360" w:lineRule="auto"/>
        <w:rPr>
          <w:rFonts w:cs="Arial"/>
          <w:lang w:val="en-GB"/>
        </w:rPr>
      </w:pPr>
    </w:p>
    <w:p w:rsidR="0099775A" w:rsidRPr="0099775A" w:rsidRDefault="0099775A" w:rsidP="0099775A">
      <w:pPr>
        <w:pStyle w:val="FirstParagraph"/>
        <w:spacing w:line="360" w:lineRule="auto"/>
        <w:rPr>
          <w:rFonts w:cs="Arial"/>
          <w:lang w:val="en-GB"/>
        </w:rPr>
      </w:pPr>
      <w:r w:rsidRPr="0099775A">
        <w:rPr>
          <w:rFonts w:cs="Arial"/>
          <w:lang w:val="en-GB"/>
        </w:rPr>
        <w:t xml:space="preserve">When we have cumulated estimates </w:t>
      </w:r>
      <m:oMath>
        <m:r>
          <w:rPr>
            <w:rFonts w:ascii="Cambria Math" w:hAnsi="Cambria Math" w:cs="Arial"/>
            <w:lang w:val="en-GB"/>
          </w:rPr>
          <m:t>θ</m:t>
        </m:r>
      </m:oMath>
      <w:r w:rsidRPr="0099775A">
        <w:rPr>
          <w:rFonts w:cs="Arial"/>
          <w:lang w:val="en-GB"/>
        </w:rPr>
        <w:t xml:space="preserve"> for three consecutive years we calculate </w:t>
      </w:r>
      <m:oMath>
        <m:r>
          <w:rPr>
            <w:rFonts w:ascii="Cambria Math" w:hAnsi="Cambria Math" w:cs="Arial"/>
            <w:lang w:val="en-GB"/>
          </w:rPr>
          <m:t>{</m:t>
        </m:r>
        <m:sSup>
          <m:sSupPr>
            <m:ctrlPr>
              <w:rPr>
                <w:rFonts w:ascii="Cambria Math" w:hAnsi="Cambria Math" w:cs="Arial"/>
                <w:lang w:val="en-GB"/>
              </w:rPr>
            </m:ctrlPr>
          </m:sSupPr>
          <m:e>
            <m:r>
              <w:rPr>
                <w:rFonts w:ascii="Cambria Math" w:hAnsi="Cambria Math" w:cs="Arial"/>
                <w:lang w:val="en-GB"/>
              </w:rPr>
              <m:t>θ</m:t>
            </m:r>
          </m:e>
          <m:sup>
            <m:r>
              <w:rPr>
                <w:rFonts w:ascii="Cambria Math" w:hAnsi="Cambria Math" w:cs="Arial"/>
                <w:lang w:val="en-GB"/>
              </w:rPr>
              <m:t>(i,</m:t>
            </m:r>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t-1</m:t>
                </m:r>
              </m:sub>
            </m:sSub>
            <m:r>
              <w:rPr>
                <w:rFonts w:ascii="Cambria Math" w:hAnsi="Cambria Math" w:cs="Arial"/>
                <w:lang w:val="en-GB"/>
              </w:rPr>
              <m:t>)</m:t>
            </m:r>
          </m:sup>
        </m:sSup>
        <m:r>
          <w:rPr>
            <w:rFonts w:ascii="Cambria Math" w:hAnsi="Cambria Math" w:cs="Arial"/>
            <w:lang w:val="en-GB"/>
          </w:rPr>
          <m:t>,</m:t>
        </m:r>
        <m:sSup>
          <m:sSupPr>
            <m:ctrlPr>
              <w:rPr>
                <w:rFonts w:ascii="Cambria Math" w:hAnsi="Cambria Math" w:cs="Arial"/>
                <w:lang w:val="en-GB"/>
              </w:rPr>
            </m:ctrlPr>
          </m:sSupPr>
          <m:e>
            <m:r>
              <w:rPr>
                <w:rFonts w:ascii="Cambria Math" w:hAnsi="Cambria Math" w:cs="Arial"/>
                <w:lang w:val="en-GB"/>
              </w:rPr>
              <m:t>θ</m:t>
            </m:r>
          </m:e>
          <m:sup>
            <m:r>
              <w:rPr>
                <w:rFonts w:ascii="Cambria Math" w:hAnsi="Cambria Math" w:cs="Arial"/>
                <w:lang w:val="en-GB"/>
              </w:rPr>
              <m:t>(i,</m:t>
            </m:r>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r>
              <w:rPr>
                <w:rFonts w:ascii="Cambria Math" w:hAnsi="Cambria Math" w:cs="Arial"/>
                <w:lang w:val="en-GB"/>
              </w:rPr>
              <m:t>)</m:t>
            </m:r>
          </m:sup>
        </m:sSup>
        <m:r>
          <w:rPr>
            <w:rFonts w:ascii="Cambria Math" w:hAnsi="Cambria Math" w:cs="Arial"/>
            <w:lang w:val="en-GB"/>
          </w:rPr>
          <m:t>,</m:t>
        </m:r>
        <m:sSup>
          <m:sSupPr>
            <m:ctrlPr>
              <w:rPr>
                <w:rFonts w:ascii="Cambria Math" w:hAnsi="Cambria Math" w:cs="Arial"/>
                <w:lang w:val="en-GB"/>
              </w:rPr>
            </m:ctrlPr>
          </m:sSupPr>
          <m:e>
            <m:r>
              <w:rPr>
                <w:rFonts w:ascii="Cambria Math" w:hAnsi="Cambria Math" w:cs="Arial"/>
                <w:lang w:val="en-GB"/>
              </w:rPr>
              <m:t>θ</m:t>
            </m:r>
          </m:e>
          <m:sup>
            <m:r>
              <w:rPr>
                <w:rFonts w:ascii="Cambria Math" w:hAnsi="Cambria Math" w:cs="Arial"/>
                <w:lang w:val="en-GB"/>
              </w:rPr>
              <m:t>(i,</m:t>
            </m:r>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t+1</m:t>
                </m:r>
              </m:sub>
            </m:sSub>
            <m:r>
              <w:rPr>
                <w:rFonts w:ascii="Cambria Math" w:hAnsi="Cambria Math" w:cs="Arial"/>
                <w:lang w:val="en-GB"/>
              </w:rPr>
              <m:t>)</m:t>
            </m:r>
          </m:sup>
        </m:sSup>
        <m:r>
          <w:rPr>
            <w:rFonts w:ascii="Cambria Math" w:hAnsi="Cambria Math" w:cs="Arial"/>
            <w:lang w:val="en-GB"/>
          </w:rPr>
          <m:t>}</m:t>
        </m:r>
      </m:oMath>
      <w:r w:rsidRPr="0099775A">
        <w:rPr>
          <w:rFonts w:cs="Arial"/>
          <w:lang w:val="en-GB"/>
        </w:rPr>
        <w:t xml:space="preserve">, </w:t>
      </w:r>
      <m:oMath>
        <m:r>
          <w:rPr>
            <w:rFonts w:ascii="Cambria Math" w:hAnsi="Cambria Math" w:cs="Arial"/>
            <w:lang w:val="en-GB"/>
          </w:rPr>
          <m:t>i=1,…,B</m:t>
        </m:r>
      </m:oMath>
      <w:r w:rsidRPr="0099775A">
        <w:rPr>
          <w:rFonts w:cs="Arial"/>
          <w:lang w:val="en-GB"/>
        </w:rPr>
        <w:t xml:space="preserve">. For fixed </w:t>
      </w:r>
      <m:oMath>
        <m:r>
          <w:rPr>
            <w:rFonts w:ascii="Cambria Math" w:hAnsi="Cambria Math" w:cs="Arial"/>
            <w:lang w:val="en-GB"/>
          </w:rPr>
          <m:t>i</m:t>
        </m:r>
      </m:oMath>
      <w:r w:rsidRPr="0099775A">
        <w:rPr>
          <w:rFonts w:cs="Arial"/>
          <w:lang w:val="en-GB"/>
        </w:rPr>
        <w:t xml:space="preserve"> a filter with equal filter weights is applied on the time series </w:t>
      </w:r>
      <m:oMath>
        <m:r>
          <w:rPr>
            <w:rFonts w:ascii="Cambria Math" w:hAnsi="Cambria Math" w:cs="Arial"/>
            <w:lang w:val="en-GB"/>
          </w:rPr>
          <m:t>{</m:t>
        </m:r>
        <m:sSup>
          <m:sSupPr>
            <m:ctrlPr>
              <w:rPr>
                <w:rFonts w:ascii="Cambria Math" w:hAnsi="Cambria Math" w:cs="Arial"/>
                <w:lang w:val="en-GB"/>
              </w:rPr>
            </m:ctrlPr>
          </m:sSupPr>
          <m:e>
            <m:r>
              <w:rPr>
                <w:rFonts w:ascii="Cambria Math" w:hAnsi="Cambria Math" w:cs="Arial"/>
                <w:lang w:val="en-GB"/>
              </w:rPr>
              <m:t>θ</m:t>
            </m:r>
          </m:e>
          <m:sup>
            <m:r>
              <w:rPr>
                <w:rFonts w:ascii="Cambria Math" w:hAnsi="Cambria Math" w:cs="Arial"/>
                <w:lang w:val="en-GB"/>
              </w:rPr>
              <m:t>(i,</m:t>
            </m:r>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t-1</m:t>
                </m:r>
              </m:sub>
            </m:sSub>
            <m:r>
              <w:rPr>
                <w:rFonts w:ascii="Cambria Math" w:hAnsi="Cambria Math" w:cs="Arial"/>
                <w:lang w:val="en-GB"/>
              </w:rPr>
              <m:t>)</m:t>
            </m:r>
          </m:sup>
        </m:sSup>
        <m:r>
          <w:rPr>
            <w:rFonts w:ascii="Cambria Math" w:hAnsi="Cambria Math" w:cs="Arial"/>
            <w:lang w:val="en-GB"/>
          </w:rPr>
          <m:t>,</m:t>
        </m:r>
        <m:sSup>
          <m:sSupPr>
            <m:ctrlPr>
              <w:rPr>
                <w:rFonts w:ascii="Cambria Math" w:hAnsi="Cambria Math" w:cs="Arial"/>
                <w:lang w:val="en-GB"/>
              </w:rPr>
            </m:ctrlPr>
          </m:sSupPr>
          <m:e>
            <m:r>
              <w:rPr>
                <w:rFonts w:ascii="Cambria Math" w:hAnsi="Cambria Math" w:cs="Arial"/>
                <w:lang w:val="en-GB"/>
              </w:rPr>
              <m:t>θ</m:t>
            </m:r>
          </m:e>
          <m:sup>
            <m:r>
              <w:rPr>
                <w:rFonts w:ascii="Cambria Math" w:hAnsi="Cambria Math" w:cs="Arial"/>
                <w:lang w:val="en-GB"/>
              </w:rPr>
              <m:t>(i,</m:t>
            </m:r>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r>
              <w:rPr>
                <w:rFonts w:ascii="Cambria Math" w:hAnsi="Cambria Math" w:cs="Arial"/>
                <w:lang w:val="en-GB"/>
              </w:rPr>
              <m:t>)</m:t>
            </m:r>
          </m:sup>
        </m:sSup>
        <m:r>
          <w:rPr>
            <w:rFonts w:ascii="Cambria Math" w:hAnsi="Cambria Math" w:cs="Arial"/>
            <w:lang w:val="en-GB"/>
          </w:rPr>
          <m:t>,</m:t>
        </m:r>
        <m:sSup>
          <m:sSupPr>
            <m:ctrlPr>
              <w:rPr>
                <w:rFonts w:ascii="Cambria Math" w:hAnsi="Cambria Math" w:cs="Arial"/>
                <w:lang w:val="en-GB"/>
              </w:rPr>
            </m:ctrlPr>
          </m:sSupPr>
          <m:e>
            <m:r>
              <w:rPr>
                <w:rFonts w:ascii="Cambria Math" w:hAnsi="Cambria Math" w:cs="Arial"/>
                <w:lang w:val="en-GB"/>
              </w:rPr>
              <m:t>θ</m:t>
            </m:r>
          </m:e>
          <m:sup>
            <m:r>
              <w:rPr>
                <w:rFonts w:ascii="Cambria Math" w:hAnsi="Cambria Math" w:cs="Arial"/>
                <w:lang w:val="en-GB"/>
              </w:rPr>
              <m:t>(i,</m:t>
            </m:r>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t+1</m:t>
                </m:r>
              </m:sub>
            </m:sSub>
            <m:r>
              <w:rPr>
                <w:rFonts w:ascii="Cambria Math" w:hAnsi="Cambria Math" w:cs="Arial"/>
                <w:lang w:val="en-GB"/>
              </w:rPr>
              <m:t>)</m:t>
            </m:r>
          </m:sup>
        </m:sSup>
        <m:r>
          <w:rPr>
            <w:rFonts w:ascii="Cambria Math" w:hAnsi="Cambria Math" w:cs="Arial"/>
            <w:lang w:val="en-GB"/>
          </w:rPr>
          <m:t>}</m:t>
        </m:r>
      </m:oMath>
      <w:r w:rsidRPr="0099775A">
        <w:rPr>
          <w:rFonts w:cs="Arial"/>
          <w:lang w:val="en-GB"/>
        </w:rPr>
        <w:t xml:space="preserve"> to create </w:t>
      </w:r>
      <m:oMath>
        <m:sSup>
          <m:sSupPr>
            <m:ctrlPr>
              <w:rPr>
                <w:rFonts w:ascii="Cambria Math" w:hAnsi="Cambria Math" w:cs="Arial"/>
                <w:lang w:val="en-GB"/>
              </w:rPr>
            </m:ctrlPr>
          </m:sSupPr>
          <m:e>
            <m:groupChr>
              <m:groupChrPr>
                <m:chr m:val="̃"/>
                <m:pos m:val="top"/>
                <m:vertJc m:val="bot"/>
                <m:ctrlPr>
                  <w:rPr>
                    <w:rFonts w:ascii="Cambria Math" w:hAnsi="Cambria Math" w:cs="Arial"/>
                    <w:lang w:val="en-GB"/>
                  </w:rPr>
                </m:ctrlPr>
              </m:groupChrPr>
              <m:e>
                <m:r>
                  <w:rPr>
                    <w:rFonts w:ascii="Cambria Math" w:hAnsi="Cambria Math" w:cs="Arial"/>
                    <w:lang w:val="en-GB"/>
                  </w:rPr>
                  <m:t>θ</m:t>
                </m:r>
              </m:e>
            </m:groupChr>
          </m:e>
          <m:sup>
            <m:r>
              <w:rPr>
                <w:rFonts w:ascii="Cambria Math" w:hAnsi="Cambria Math" w:cs="Arial"/>
                <w:lang w:val="en-GB"/>
              </w:rPr>
              <m:t>(i,</m:t>
            </m:r>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r>
              <w:rPr>
                <w:rFonts w:ascii="Cambria Math" w:hAnsi="Cambria Math" w:cs="Arial"/>
                <w:lang w:val="en-GB"/>
              </w:rPr>
              <m:t>)</m:t>
            </m:r>
          </m:sup>
        </m:sSup>
      </m:oMath>
    </w:p>
    <w:p w:rsidR="0099775A" w:rsidRPr="0099775A" w:rsidRDefault="00840658" w:rsidP="0099775A">
      <w:pPr>
        <w:pStyle w:val="FirstParagraph"/>
        <w:spacing w:line="360" w:lineRule="auto"/>
        <w:rPr>
          <w:rFonts w:cs="Arial"/>
          <w:lang w:val="en-GB"/>
        </w:rPr>
      </w:pPr>
      <m:oMathPara>
        <m:oMathParaPr>
          <m:jc m:val="center"/>
        </m:oMathParaPr>
        <m:oMath>
          <m:sSup>
            <m:sSupPr>
              <m:ctrlPr>
                <w:rPr>
                  <w:rFonts w:ascii="Cambria Math" w:hAnsi="Cambria Math" w:cs="Arial"/>
                  <w:lang w:val="en-GB"/>
                </w:rPr>
              </m:ctrlPr>
            </m:sSupPr>
            <m:e>
              <m:groupChr>
                <m:groupChrPr>
                  <m:chr m:val="̃"/>
                  <m:pos m:val="top"/>
                  <m:vertJc m:val="bot"/>
                  <m:ctrlPr>
                    <w:rPr>
                      <w:rFonts w:ascii="Cambria Math" w:hAnsi="Cambria Math" w:cs="Arial"/>
                      <w:lang w:val="en-GB"/>
                    </w:rPr>
                  </m:ctrlPr>
                </m:groupChrPr>
                <m:e>
                  <m:r>
                    <w:rPr>
                      <w:rFonts w:ascii="Cambria Math" w:hAnsi="Cambria Math" w:cs="Arial"/>
                      <w:lang w:val="en-GB"/>
                    </w:rPr>
                    <m:t>θ</m:t>
                  </m:r>
                </m:e>
              </m:groupChr>
            </m:e>
            <m:sup>
              <m:r>
                <w:rPr>
                  <w:rFonts w:ascii="Cambria Math" w:hAnsi="Cambria Math" w:cs="Arial"/>
                  <w:lang w:val="en-GB"/>
                </w:rPr>
                <m:t>(i,</m:t>
              </m:r>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r>
                <w:rPr>
                  <w:rFonts w:ascii="Cambria Math" w:hAnsi="Cambria Math" w:cs="Arial"/>
                  <w:lang w:val="en-GB"/>
                </w:rPr>
                <m:t>)</m:t>
              </m:r>
            </m:sup>
          </m:sSup>
          <m:r>
            <w:rPr>
              <w:rFonts w:ascii="Cambria Math" w:hAnsi="Cambria Math" w:cs="Arial"/>
              <w:lang w:val="en-GB"/>
            </w:rPr>
            <m:t>=</m:t>
          </m:r>
          <m:f>
            <m:fPr>
              <m:ctrlPr>
                <w:rPr>
                  <w:rFonts w:ascii="Cambria Math" w:hAnsi="Cambria Math" w:cs="Arial"/>
                  <w:lang w:val="en-GB"/>
                </w:rPr>
              </m:ctrlPr>
            </m:fPr>
            <m:num>
              <m:r>
                <w:rPr>
                  <w:rFonts w:ascii="Cambria Math" w:hAnsi="Cambria Math" w:cs="Arial"/>
                  <w:lang w:val="en-GB"/>
                </w:rPr>
                <m:t>1</m:t>
              </m:r>
            </m:num>
            <m:den>
              <m:r>
                <w:rPr>
                  <w:rFonts w:ascii="Cambria Math" w:hAnsi="Cambria Math" w:cs="Arial"/>
                  <w:lang w:val="en-GB"/>
                </w:rPr>
                <m:t>3</m:t>
              </m:r>
            </m:den>
          </m:f>
          <m:d>
            <m:dPr>
              <m:begChr m:val="["/>
              <m:endChr m:val="]"/>
              <m:ctrlPr>
                <w:rPr>
                  <w:rFonts w:ascii="Cambria Math" w:hAnsi="Cambria Math" w:cs="Arial"/>
                  <w:lang w:val="en-GB"/>
                </w:rPr>
              </m:ctrlPr>
            </m:dPr>
            <m:e>
              <m:sSup>
                <m:sSupPr>
                  <m:ctrlPr>
                    <w:rPr>
                      <w:rFonts w:ascii="Cambria Math" w:hAnsi="Cambria Math" w:cs="Arial"/>
                      <w:lang w:val="en-GB"/>
                    </w:rPr>
                  </m:ctrlPr>
                </m:sSupPr>
                <m:e>
                  <m:r>
                    <w:rPr>
                      <w:rFonts w:ascii="Cambria Math" w:hAnsi="Cambria Math" w:cs="Arial"/>
                      <w:lang w:val="en-GB"/>
                    </w:rPr>
                    <m:t>θ</m:t>
                  </m:r>
                </m:e>
                <m:sup>
                  <m:r>
                    <w:rPr>
                      <w:rFonts w:ascii="Cambria Math" w:hAnsi="Cambria Math" w:cs="Arial"/>
                      <w:lang w:val="en-GB"/>
                    </w:rPr>
                    <m:t>(i,</m:t>
                  </m:r>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t-1</m:t>
                      </m:r>
                    </m:sub>
                  </m:sSub>
                  <m:r>
                    <w:rPr>
                      <w:rFonts w:ascii="Cambria Math" w:hAnsi="Cambria Math" w:cs="Arial"/>
                      <w:lang w:val="en-GB"/>
                    </w:rPr>
                    <m:t>)</m:t>
                  </m:r>
                </m:sup>
              </m:sSup>
              <m:r>
                <w:rPr>
                  <w:rFonts w:ascii="Cambria Math" w:hAnsi="Cambria Math" w:cs="Arial"/>
                  <w:lang w:val="en-GB"/>
                </w:rPr>
                <m:t>+</m:t>
              </m:r>
              <m:sSup>
                <m:sSupPr>
                  <m:ctrlPr>
                    <w:rPr>
                      <w:rFonts w:ascii="Cambria Math" w:hAnsi="Cambria Math" w:cs="Arial"/>
                      <w:lang w:val="en-GB"/>
                    </w:rPr>
                  </m:ctrlPr>
                </m:sSupPr>
                <m:e>
                  <m:r>
                    <w:rPr>
                      <w:rFonts w:ascii="Cambria Math" w:hAnsi="Cambria Math" w:cs="Arial"/>
                      <w:lang w:val="en-GB"/>
                    </w:rPr>
                    <m:t>θ</m:t>
                  </m:r>
                </m:e>
                <m:sup>
                  <m:r>
                    <w:rPr>
                      <w:rFonts w:ascii="Cambria Math" w:hAnsi="Cambria Math" w:cs="Arial"/>
                      <w:lang w:val="en-GB"/>
                    </w:rPr>
                    <m:t>(i,</m:t>
                  </m:r>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r>
                    <w:rPr>
                      <w:rFonts w:ascii="Cambria Math" w:hAnsi="Cambria Math" w:cs="Arial"/>
                      <w:lang w:val="en-GB"/>
                    </w:rPr>
                    <m:t>)</m:t>
                  </m:r>
                </m:sup>
              </m:sSup>
              <m:r>
                <w:rPr>
                  <w:rFonts w:ascii="Cambria Math" w:hAnsi="Cambria Math" w:cs="Arial"/>
                  <w:lang w:val="en-GB"/>
                </w:rPr>
                <m:t>+</m:t>
              </m:r>
              <m:sSup>
                <m:sSupPr>
                  <m:ctrlPr>
                    <w:rPr>
                      <w:rFonts w:ascii="Cambria Math" w:hAnsi="Cambria Math" w:cs="Arial"/>
                      <w:lang w:val="en-GB"/>
                    </w:rPr>
                  </m:ctrlPr>
                </m:sSupPr>
                <m:e>
                  <m:r>
                    <w:rPr>
                      <w:rFonts w:ascii="Cambria Math" w:hAnsi="Cambria Math" w:cs="Arial"/>
                      <w:lang w:val="en-GB"/>
                    </w:rPr>
                    <m:t>θ</m:t>
                  </m:r>
                </m:e>
                <m:sup>
                  <m:r>
                    <w:rPr>
                      <w:rFonts w:ascii="Cambria Math" w:hAnsi="Cambria Math" w:cs="Arial"/>
                      <w:lang w:val="en-GB"/>
                    </w:rPr>
                    <m:t>(i,</m:t>
                  </m:r>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t+1</m:t>
                      </m:r>
                    </m:sub>
                  </m:sSub>
                  <m:r>
                    <w:rPr>
                      <w:rFonts w:ascii="Cambria Math" w:hAnsi="Cambria Math" w:cs="Arial"/>
                      <w:lang w:val="en-GB"/>
                    </w:rPr>
                    <m:t>)</m:t>
                  </m:r>
                </m:sup>
              </m:sSup>
            </m:e>
          </m:d>
          <m:r>
            <w:rPr>
              <w:rFonts w:ascii="Cambria Math" w:hAnsi="Cambria Math" w:cs="Arial"/>
              <w:lang w:val="en-GB"/>
            </w:rPr>
            <m:t> .</m:t>
          </m:r>
        </m:oMath>
      </m:oMathPara>
    </w:p>
    <w:p w:rsidR="0099775A" w:rsidRPr="0099775A" w:rsidRDefault="0099775A" w:rsidP="0099775A">
      <w:pPr>
        <w:pStyle w:val="FirstParagraph"/>
        <w:spacing w:line="360" w:lineRule="auto"/>
        <w:rPr>
          <w:rFonts w:cs="Arial"/>
          <w:lang w:val="en-GB"/>
        </w:rPr>
      </w:pPr>
      <w:r w:rsidRPr="0099775A">
        <w:rPr>
          <w:rFonts w:cs="Arial"/>
          <w:lang w:val="en-GB"/>
        </w:rPr>
        <w:t xml:space="preserve">Doing this for all </w:t>
      </w:r>
      <m:oMath>
        <m:r>
          <w:rPr>
            <w:rFonts w:ascii="Cambria Math" w:hAnsi="Cambria Math" w:cs="Arial"/>
            <w:lang w:val="en-GB"/>
          </w:rPr>
          <m:t>i</m:t>
        </m:r>
      </m:oMath>
      <w:r w:rsidRPr="0099775A">
        <w:rPr>
          <w:rFonts w:cs="Arial"/>
          <w:lang w:val="en-GB"/>
        </w:rPr>
        <w:t xml:space="preserve">, </w:t>
      </w:r>
      <m:oMath>
        <m:r>
          <w:rPr>
            <w:rFonts w:ascii="Cambria Math" w:hAnsi="Cambria Math" w:cs="Arial"/>
            <w:lang w:val="en-GB"/>
          </w:rPr>
          <m:t>i=1,…,B</m:t>
        </m:r>
      </m:oMath>
      <w:r w:rsidRPr="0099775A">
        <w:rPr>
          <w:rFonts w:cs="Arial"/>
          <w:lang w:val="en-GB"/>
        </w:rPr>
        <w:t xml:space="preserve">, yields </w:t>
      </w:r>
      <m:oMath>
        <m:sSup>
          <m:sSupPr>
            <m:ctrlPr>
              <w:rPr>
                <w:rFonts w:ascii="Cambria Math" w:hAnsi="Cambria Math" w:cs="Arial"/>
                <w:lang w:val="en-GB"/>
              </w:rPr>
            </m:ctrlPr>
          </m:sSupPr>
          <m:e>
            <m:groupChr>
              <m:groupChrPr>
                <m:chr m:val="̃"/>
                <m:pos m:val="top"/>
                <m:vertJc m:val="bot"/>
                <m:ctrlPr>
                  <w:rPr>
                    <w:rFonts w:ascii="Cambria Math" w:hAnsi="Cambria Math" w:cs="Arial"/>
                    <w:lang w:val="en-GB"/>
                  </w:rPr>
                </m:ctrlPr>
              </m:groupChrPr>
              <m:e>
                <m:r>
                  <w:rPr>
                    <w:rFonts w:ascii="Cambria Math" w:hAnsi="Cambria Math" w:cs="Arial"/>
                    <w:lang w:val="en-GB"/>
                  </w:rPr>
                  <m:t>θ</m:t>
                </m:r>
              </m:e>
            </m:groupChr>
          </m:e>
          <m:sup>
            <m:r>
              <w:rPr>
                <w:rFonts w:ascii="Cambria Math" w:hAnsi="Cambria Math" w:cs="Arial"/>
                <w:lang w:val="en-GB"/>
              </w:rPr>
              <m:t>(i,</m:t>
            </m:r>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r>
              <w:rPr>
                <w:rFonts w:ascii="Cambria Math" w:hAnsi="Cambria Math" w:cs="Arial"/>
                <w:lang w:val="en-GB"/>
              </w:rPr>
              <m:t>)</m:t>
            </m:r>
          </m:sup>
        </m:sSup>
      </m:oMath>
      <w:r w:rsidRPr="0099775A">
        <w:rPr>
          <w:rFonts w:cs="Arial"/>
          <w:lang w:val="en-GB"/>
        </w:rPr>
        <w:t xml:space="preserve">, </w:t>
      </w:r>
      <m:oMath>
        <m:r>
          <w:rPr>
            <w:rFonts w:ascii="Cambria Math" w:hAnsi="Cambria Math" w:cs="Arial"/>
            <w:lang w:val="en-GB"/>
          </w:rPr>
          <m:t>i=1,…,B</m:t>
        </m:r>
      </m:oMath>
      <w:r w:rsidRPr="0099775A">
        <w:rPr>
          <w:rFonts w:cs="Arial"/>
          <w:lang w:val="en-GB"/>
        </w:rPr>
        <w:t xml:space="preserve">. The standard error of </w:t>
      </w:r>
      <m:oMath>
        <m:r>
          <w:rPr>
            <w:rFonts w:ascii="Cambria Math" w:hAnsi="Cambria Math" w:cs="Arial"/>
            <w:lang w:val="en-GB"/>
          </w:rPr>
          <m:t>θ</m:t>
        </m:r>
      </m:oMath>
      <w:r w:rsidRPr="0099775A">
        <w:rPr>
          <w:rFonts w:cs="Arial"/>
          <w:lang w:val="en-GB"/>
        </w:rPr>
        <w:t xml:space="preserve"> can then be estimated with</w:t>
      </w:r>
    </w:p>
    <w:p w:rsidR="0099775A" w:rsidRPr="0099775A" w:rsidRDefault="0099775A" w:rsidP="0099775A">
      <w:pPr>
        <w:pStyle w:val="FirstParagraph"/>
        <w:spacing w:line="360" w:lineRule="auto"/>
        <w:rPr>
          <w:rFonts w:cs="Arial"/>
          <w:lang w:val="en-GB"/>
        </w:rPr>
      </w:pPr>
      <m:oMathPara>
        <m:oMathParaPr>
          <m:jc m:val="center"/>
        </m:oMathParaPr>
        <m:oMath>
          <m:r>
            <w:rPr>
              <w:rFonts w:ascii="Cambria Math" w:hAnsi="Cambria Math" w:cs="Arial"/>
              <w:lang w:val="en-GB"/>
            </w:rPr>
            <m:t>sd(θ)=</m:t>
          </m:r>
          <m:rad>
            <m:radPr>
              <m:degHide m:val="1"/>
              <m:ctrlPr>
                <w:rPr>
                  <w:rFonts w:ascii="Cambria Math" w:hAnsi="Cambria Math" w:cs="Arial"/>
                  <w:lang w:val="en-GB"/>
                </w:rPr>
              </m:ctrlPr>
            </m:radPr>
            <m:deg/>
            <m:e>
              <m:f>
                <m:fPr>
                  <m:ctrlPr>
                    <w:rPr>
                      <w:rFonts w:ascii="Cambria Math" w:hAnsi="Cambria Math" w:cs="Arial"/>
                      <w:lang w:val="en-GB"/>
                    </w:rPr>
                  </m:ctrlPr>
                </m:fPr>
                <m:num>
                  <m:r>
                    <w:rPr>
                      <w:rFonts w:ascii="Cambria Math" w:hAnsi="Cambria Math" w:cs="Arial"/>
                      <w:lang w:val="en-GB"/>
                    </w:rPr>
                    <m:t>1</m:t>
                  </m:r>
                </m:num>
                <m:den>
                  <m:r>
                    <w:rPr>
                      <w:rFonts w:ascii="Cambria Math" w:hAnsi="Cambria Math" w:cs="Arial"/>
                      <w:lang w:val="en-GB"/>
                    </w:rPr>
                    <m:t>B-1</m:t>
                  </m:r>
                </m:den>
              </m:f>
              <m:nary>
                <m:naryPr>
                  <m:chr m:val="∑"/>
                  <m:limLoc m:val="undOvr"/>
                  <m:ctrlPr>
                    <w:rPr>
                      <w:rFonts w:ascii="Cambria Math" w:hAnsi="Cambria Math" w:cs="Arial"/>
                      <w:lang w:val="en-GB"/>
                    </w:rPr>
                  </m:ctrlPr>
                </m:naryPr>
                <m:sub>
                  <m:r>
                    <w:rPr>
                      <w:rFonts w:ascii="Cambria Math" w:hAnsi="Cambria Math" w:cs="Arial"/>
                      <w:lang w:val="en-GB"/>
                    </w:rPr>
                    <m:t>i=1</m:t>
                  </m:r>
                </m:sub>
                <m:sup>
                  <m:r>
                    <w:rPr>
                      <w:rFonts w:ascii="Cambria Math" w:hAnsi="Cambria Math" w:cs="Arial"/>
                      <w:lang w:val="en-GB"/>
                    </w:rPr>
                    <m:t>B</m:t>
                  </m:r>
                </m:sup>
                <m:e>
                  <m:r>
                    <w:rPr>
                      <w:rFonts w:ascii="Cambria Math" w:hAnsi="Cambria Math" w:cs="Arial"/>
                      <w:lang w:val="en-GB"/>
                    </w:rPr>
                    <m:t>(</m:t>
                  </m:r>
                </m:e>
              </m:nary>
              <m:sSup>
                <m:sSupPr>
                  <m:ctrlPr>
                    <w:rPr>
                      <w:rFonts w:ascii="Cambria Math" w:hAnsi="Cambria Math" w:cs="Arial"/>
                      <w:lang w:val="en-GB"/>
                    </w:rPr>
                  </m:ctrlPr>
                </m:sSupPr>
                <m:e>
                  <m:groupChr>
                    <m:groupChrPr>
                      <m:chr m:val="̃"/>
                      <m:pos m:val="top"/>
                      <m:vertJc m:val="bot"/>
                      <m:ctrlPr>
                        <w:rPr>
                          <w:rFonts w:ascii="Cambria Math" w:hAnsi="Cambria Math" w:cs="Arial"/>
                          <w:lang w:val="en-GB"/>
                        </w:rPr>
                      </m:ctrlPr>
                    </m:groupChrPr>
                    <m:e>
                      <m:r>
                        <w:rPr>
                          <w:rFonts w:ascii="Cambria Math" w:hAnsi="Cambria Math" w:cs="Arial"/>
                          <w:lang w:val="en-GB"/>
                        </w:rPr>
                        <m:t>θ</m:t>
                      </m:r>
                    </m:e>
                  </m:groupChr>
                </m:e>
                <m:sup>
                  <m:r>
                    <w:rPr>
                      <w:rFonts w:ascii="Cambria Math" w:hAnsi="Cambria Math" w:cs="Arial"/>
                      <w:lang w:val="en-GB"/>
                    </w:rPr>
                    <m:t>(i,</m:t>
                  </m:r>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r>
                    <w:rPr>
                      <w:rFonts w:ascii="Cambria Math" w:hAnsi="Cambria Math" w:cs="Arial"/>
                      <w:lang w:val="en-GB"/>
                    </w:rPr>
                    <m:t>)</m:t>
                  </m:r>
                </m:sup>
              </m:sSup>
              <m:r>
                <w:rPr>
                  <w:rFonts w:ascii="Cambria Math" w:hAnsi="Cambria Math" w:cs="Arial"/>
                  <w:lang w:val="en-GB"/>
                </w:rPr>
                <m:t>-</m:t>
              </m:r>
              <m:bar>
                <m:barPr>
                  <m:pos m:val="top"/>
                  <m:ctrlPr>
                    <w:rPr>
                      <w:rFonts w:ascii="Cambria Math" w:hAnsi="Cambria Math" w:cs="Arial"/>
                      <w:lang w:val="en-GB"/>
                    </w:rPr>
                  </m:ctrlPr>
                </m:barPr>
                <m:e>
                  <m:sSup>
                    <m:sSupPr>
                      <m:ctrlPr>
                        <w:rPr>
                          <w:rFonts w:ascii="Cambria Math" w:hAnsi="Cambria Math" w:cs="Arial"/>
                          <w:lang w:val="en-GB"/>
                        </w:rPr>
                      </m:ctrlPr>
                    </m:sSupPr>
                    <m:e>
                      <m:groupChr>
                        <m:groupChrPr>
                          <m:chr m:val="̃"/>
                          <m:pos m:val="top"/>
                          <m:vertJc m:val="bot"/>
                          <m:ctrlPr>
                            <w:rPr>
                              <w:rFonts w:ascii="Cambria Math" w:hAnsi="Cambria Math" w:cs="Arial"/>
                              <w:lang w:val="en-GB"/>
                            </w:rPr>
                          </m:ctrlPr>
                        </m:groupChrPr>
                        <m:e>
                          <m:r>
                            <w:rPr>
                              <w:rFonts w:ascii="Cambria Math" w:hAnsi="Cambria Math" w:cs="Arial"/>
                              <w:lang w:val="en-GB"/>
                            </w:rPr>
                            <m:t>θ</m:t>
                          </m:r>
                        </m:e>
                      </m:groupChr>
                    </m:e>
                    <m:sup>
                      <m:r>
                        <w:rPr>
                          <w:rFonts w:ascii="Cambria Math" w:hAnsi="Cambria Math" w:cs="Arial"/>
                          <w:lang w:val="en-GB"/>
                        </w:rPr>
                        <m:t>(.,</m:t>
                      </m:r>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r>
                        <w:rPr>
                          <w:rFonts w:ascii="Cambria Math" w:hAnsi="Cambria Math" w:cs="Arial"/>
                          <w:lang w:val="en-GB"/>
                        </w:rPr>
                        <m:t>)</m:t>
                      </m:r>
                    </m:sup>
                  </m:sSup>
                </m:e>
              </m:bar>
              <m:sSup>
                <m:sSupPr>
                  <m:ctrlPr>
                    <w:rPr>
                      <w:rFonts w:ascii="Cambria Math" w:hAnsi="Cambria Math" w:cs="Arial"/>
                      <w:lang w:val="en-GB"/>
                    </w:rPr>
                  </m:ctrlPr>
                </m:sSupPr>
                <m:e>
                  <m:r>
                    <w:rPr>
                      <w:rFonts w:ascii="Cambria Math" w:hAnsi="Cambria Math" w:cs="Arial"/>
                      <w:lang w:val="en-GB"/>
                    </w:rPr>
                    <m:t>)</m:t>
                  </m:r>
                </m:e>
                <m:sup>
                  <m:r>
                    <w:rPr>
                      <w:rFonts w:ascii="Cambria Math" w:hAnsi="Cambria Math" w:cs="Arial"/>
                      <w:lang w:val="en-GB"/>
                    </w:rPr>
                    <m:t>2</m:t>
                  </m:r>
                </m:sup>
              </m:sSup>
            </m:e>
          </m:rad>
        </m:oMath>
      </m:oMathPara>
    </w:p>
    <w:p w:rsidR="0099775A" w:rsidRPr="0099775A" w:rsidRDefault="0099775A" w:rsidP="0099775A">
      <w:pPr>
        <w:pStyle w:val="FirstParagraph"/>
        <w:spacing w:line="360" w:lineRule="auto"/>
        <w:rPr>
          <w:rFonts w:cs="Arial"/>
          <w:lang w:val="en-GB"/>
        </w:rPr>
      </w:pPr>
      <w:r w:rsidRPr="0099775A">
        <w:rPr>
          <w:rFonts w:cs="Arial"/>
          <w:lang w:val="en-GB"/>
        </w:rPr>
        <w:t>with</w:t>
      </w:r>
    </w:p>
    <w:p w:rsidR="0099775A" w:rsidRPr="0099775A" w:rsidRDefault="00840658" w:rsidP="0099775A">
      <w:pPr>
        <w:pStyle w:val="FirstParagraph"/>
        <w:spacing w:line="360" w:lineRule="auto"/>
        <w:rPr>
          <w:rFonts w:cs="Arial"/>
          <w:lang w:val="en-GB"/>
        </w:rPr>
      </w:pPr>
      <m:oMathPara>
        <m:oMathParaPr>
          <m:jc m:val="center"/>
        </m:oMathParaPr>
        <m:oMath>
          <m:bar>
            <m:barPr>
              <m:pos m:val="top"/>
              <m:ctrlPr>
                <w:rPr>
                  <w:rFonts w:ascii="Cambria Math" w:hAnsi="Cambria Math" w:cs="Arial"/>
                  <w:lang w:val="en-GB"/>
                </w:rPr>
              </m:ctrlPr>
            </m:barPr>
            <m:e>
              <m:sSup>
                <m:sSupPr>
                  <m:ctrlPr>
                    <w:rPr>
                      <w:rFonts w:ascii="Cambria Math" w:hAnsi="Cambria Math" w:cs="Arial"/>
                      <w:lang w:val="en-GB"/>
                    </w:rPr>
                  </m:ctrlPr>
                </m:sSupPr>
                <m:e>
                  <m:groupChr>
                    <m:groupChrPr>
                      <m:chr m:val="̃"/>
                      <m:pos m:val="top"/>
                      <m:vertJc m:val="bot"/>
                      <m:ctrlPr>
                        <w:rPr>
                          <w:rFonts w:ascii="Cambria Math" w:hAnsi="Cambria Math" w:cs="Arial"/>
                          <w:lang w:val="en-GB"/>
                        </w:rPr>
                      </m:ctrlPr>
                    </m:groupChrPr>
                    <m:e>
                      <m:r>
                        <w:rPr>
                          <w:rFonts w:ascii="Cambria Math" w:hAnsi="Cambria Math" w:cs="Arial"/>
                          <w:lang w:val="en-GB"/>
                        </w:rPr>
                        <m:t>θ</m:t>
                      </m:r>
                    </m:e>
                  </m:groupChr>
                </m:e>
                <m:sup>
                  <m:r>
                    <w:rPr>
                      <w:rFonts w:ascii="Cambria Math" w:hAnsi="Cambria Math" w:cs="Arial"/>
                      <w:lang w:val="en-GB"/>
                    </w:rPr>
                    <m:t>(.,</m:t>
                  </m:r>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r>
                    <w:rPr>
                      <w:rFonts w:ascii="Cambria Math" w:hAnsi="Cambria Math" w:cs="Arial"/>
                      <w:lang w:val="en-GB"/>
                    </w:rPr>
                    <m:t>)</m:t>
                  </m:r>
                </m:sup>
              </m:sSup>
            </m:e>
          </m:bar>
          <m:r>
            <w:rPr>
              <w:rFonts w:ascii="Cambria Math" w:hAnsi="Cambria Math" w:cs="Arial"/>
              <w:lang w:val="en-GB"/>
            </w:rPr>
            <m:t>=</m:t>
          </m:r>
          <m:f>
            <m:fPr>
              <m:ctrlPr>
                <w:rPr>
                  <w:rFonts w:ascii="Cambria Math" w:hAnsi="Cambria Math" w:cs="Arial"/>
                  <w:lang w:val="en-GB"/>
                </w:rPr>
              </m:ctrlPr>
            </m:fPr>
            <m:num>
              <m:r>
                <w:rPr>
                  <w:rFonts w:ascii="Cambria Math" w:hAnsi="Cambria Math" w:cs="Arial"/>
                  <w:lang w:val="en-GB"/>
                </w:rPr>
                <m:t>1</m:t>
              </m:r>
            </m:num>
            <m:den>
              <m:r>
                <w:rPr>
                  <w:rFonts w:ascii="Cambria Math" w:hAnsi="Cambria Math" w:cs="Arial"/>
                  <w:lang w:val="en-GB"/>
                </w:rPr>
                <m:t>B</m:t>
              </m:r>
            </m:den>
          </m:f>
          <m:nary>
            <m:naryPr>
              <m:chr m:val="∑"/>
              <m:limLoc m:val="undOvr"/>
              <m:ctrlPr>
                <w:rPr>
                  <w:rFonts w:ascii="Cambria Math" w:hAnsi="Cambria Math" w:cs="Arial"/>
                  <w:lang w:val="en-GB"/>
                </w:rPr>
              </m:ctrlPr>
            </m:naryPr>
            <m:sub>
              <m:r>
                <w:rPr>
                  <w:rFonts w:ascii="Cambria Math" w:hAnsi="Cambria Math" w:cs="Arial"/>
                  <w:lang w:val="en-GB"/>
                </w:rPr>
                <m:t>i=1</m:t>
              </m:r>
            </m:sub>
            <m:sup>
              <m:r>
                <w:rPr>
                  <w:rFonts w:ascii="Cambria Math" w:hAnsi="Cambria Math" w:cs="Arial"/>
                  <w:lang w:val="en-GB"/>
                </w:rPr>
                <m:t>B</m:t>
              </m:r>
            </m:sup>
            <m:e>
              <m:sSup>
                <m:sSupPr>
                  <m:ctrlPr>
                    <w:rPr>
                      <w:rFonts w:ascii="Cambria Math" w:hAnsi="Cambria Math" w:cs="Arial"/>
                      <w:lang w:val="en-GB"/>
                    </w:rPr>
                  </m:ctrlPr>
                </m:sSupPr>
                <m:e>
                  <m:groupChr>
                    <m:groupChrPr>
                      <m:chr m:val="̃"/>
                      <m:pos m:val="top"/>
                      <m:vertJc m:val="bot"/>
                      <m:ctrlPr>
                        <w:rPr>
                          <w:rFonts w:ascii="Cambria Math" w:hAnsi="Cambria Math" w:cs="Arial"/>
                          <w:lang w:val="en-GB"/>
                        </w:rPr>
                      </m:ctrlPr>
                    </m:groupChrPr>
                    <m:e>
                      <m:r>
                        <w:rPr>
                          <w:rFonts w:ascii="Cambria Math" w:hAnsi="Cambria Math" w:cs="Arial"/>
                          <w:lang w:val="en-GB"/>
                        </w:rPr>
                        <m:t>θ</m:t>
                      </m:r>
                    </m:e>
                  </m:groupChr>
                </m:e>
                <m:sup>
                  <m:r>
                    <w:rPr>
                      <w:rFonts w:ascii="Cambria Math" w:hAnsi="Cambria Math" w:cs="Arial"/>
                      <w:lang w:val="en-GB"/>
                    </w:rPr>
                    <m:t>(i,</m:t>
                  </m:r>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r>
                    <w:rPr>
                      <w:rFonts w:ascii="Cambria Math" w:hAnsi="Cambria Math" w:cs="Arial"/>
                      <w:lang w:val="en-GB"/>
                    </w:rPr>
                    <m:t>)</m:t>
                  </m:r>
                </m:sup>
              </m:sSup>
            </m:e>
          </m:nary>
          <m:r>
            <w:rPr>
              <w:rFonts w:ascii="Cambria Math" w:hAnsi="Cambria Math" w:cs="Arial"/>
              <w:lang w:val="en-GB"/>
            </w:rPr>
            <m:t> .</m:t>
          </m:r>
        </m:oMath>
      </m:oMathPara>
    </w:p>
    <w:p w:rsidR="0099775A" w:rsidRPr="0099775A" w:rsidRDefault="0099775A" w:rsidP="0099775A">
      <w:pPr>
        <w:pStyle w:val="FirstParagraph"/>
        <w:spacing w:line="360" w:lineRule="auto"/>
        <w:rPr>
          <w:rFonts w:cs="Arial"/>
          <w:lang w:val="en-GB"/>
        </w:rPr>
      </w:pPr>
      <w:r w:rsidRPr="0099775A">
        <w:rPr>
          <w:rFonts w:cs="Arial"/>
          <w:lang w:val="en-GB"/>
        </w:rPr>
        <w:t xml:space="preserve">Applying the filter over the time series of estimated </w:t>
      </w:r>
      <m:oMath>
        <m:sSup>
          <m:sSupPr>
            <m:ctrlPr>
              <w:rPr>
                <w:rFonts w:ascii="Cambria Math" w:hAnsi="Cambria Math" w:cs="Arial"/>
                <w:lang w:val="en-GB"/>
              </w:rPr>
            </m:ctrlPr>
          </m:sSupPr>
          <m:e>
            <m:r>
              <w:rPr>
                <w:rFonts w:ascii="Cambria Math" w:hAnsi="Cambria Math" w:cs="Arial"/>
                <w:lang w:val="en-GB"/>
              </w:rPr>
              <m:t>θ</m:t>
            </m:r>
          </m:e>
          <m:sup>
            <m:r>
              <w:rPr>
                <w:rFonts w:ascii="Cambria Math" w:hAnsi="Cambria Math" w:cs="Arial"/>
                <w:lang w:val="en-GB"/>
              </w:rPr>
              <m:t>(i,</m:t>
            </m:r>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r>
              <w:rPr>
                <w:rFonts w:ascii="Cambria Math" w:hAnsi="Cambria Math" w:cs="Arial"/>
                <w:lang w:val="en-GB"/>
              </w:rPr>
              <m:t>)</m:t>
            </m:r>
          </m:sup>
        </m:sSup>
      </m:oMath>
      <w:r w:rsidRPr="0099775A">
        <w:rPr>
          <w:rFonts w:cs="Arial"/>
          <w:lang w:val="en-GB"/>
        </w:rPr>
        <w:t xml:space="preserve"> leads to a reduction of variance for </w:t>
      </w:r>
      <m:oMath>
        <m:r>
          <w:rPr>
            <w:rFonts w:ascii="Cambria Math" w:hAnsi="Cambria Math" w:cs="Arial"/>
            <w:lang w:val="en-GB"/>
          </w:rPr>
          <m:t>θ</m:t>
        </m:r>
      </m:oMath>
      <w:r w:rsidRPr="0099775A">
        <w:rPr>
          <w:rFonts w:cs="Arial"/>
          <w:lang w:val="en-GB"/>
        </w:rPr>
        <w:t xml:space="preserve"> since the filter reduces the noise in </w:t>
      </w:r>
      <m:oMath>
        <m:r>
          <w:rPr>
            <w:rFonts w:ascii="Cambria Math" w:hAnsi="Cambria Math" w:cs="Arial"/>
            <w:lang w:val="en-GB"/>
          </w:rPr>
          <m:t>{</m:t>
        </m:r>
        <m:sSup>
          <m:sSupPr>
            <m:ctrlPr>
              <w:rPr>
                <w:rFonts w:ascii="Cambria Math" w:hAnsi="Cambria Math" w:cs="Arial"/>
                <w:lang w:val="en-GB"/>
              </w:rPr>
            </m:ctrlPr>
          </m:sSupPr>
          <m:e>
            <m:r>
              <w:rPr>
                <w:rFonts w:ascii="Cambria Math" w:hAnsi="Cambria Math" w:cs="Arial"/>
                <w:lang w:val="en-GB"/>
              </w:rPr>
              <m:t>θ</m:t>
            </m:r>
          </m:e>
          <m:sup>
            <m:r>
              <w:rPr>
                <w:rFonts w:ascii="Cambria Math" w:hAnsi="Cambria Math" w:cs="Arial"/>
                <w:lang w:val="en-GB"/>
              </w:rPr>
              <m:t>(i,</m:t>
            </m:r>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t-1</m:t>
                </m:r>
              </m:sub>
            </m:sSub>
            <m:r>
              <w:rPr>
                <w:rFonts w:ascii="Cambria Math" w:hAnsi="Cambria Math" w:cs="Arial"/>
                <w:lang w:val="en-GB"/>
              </w:rPr>
              <m:t>)</m:t>
            </m:r>
          </m:sup>
        </m:sSup>
        <m:r>
          <w:rPr>
            <w:rFonts w:ascii="Cambria Math" w:hAnsi="Cambria Math" w:cs="Arial"/>
            <w:lang w:val="en-GB"/>
          </w:rPr>
          <m:t>,</m:t>
        </m:r>
        <m:sSup>
          <m:sSupPr>
            <m:ctrlPr>
              <w:rPr>
                <w:rFonts w:ascii="Cambria Math" w:hAnsi="Cambria Math" w:cs="Arial"/>
                <w:lang w:val="en-GB"/>
              </w:rPr>
            </m:ctrlPr>
          </m:sSupPr>
          <m:e>
            <m:r>
              <w:rPr>
                <w:rFonts w:ascii="Cambria Math" w:hAnsi="Cambria Math" w:cs="Arial"/>
                <w:lang w:val="en-GB"/>
              </w:rPr>
              <m:t>θ</m:t>
            </m:r>
          </m:e>
          <m:sup>
            <m:r>
              <w:rPr>
                <w:rFonts w:ascii="Cambria Math" w:hAnsi="Cambria Math" w:cs="Arial"/>
                <w:lang w:val="en-GB"/>
              </w:rPr>
              <m:t>(i,</m:t>
            </m:r>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r>
              <w:rPr>
                <w:rFonts w:ascii="Cambria Math" w:hAnsi="Cambria Math" w:cs="Arial"/>
                <w:lang w:val="en-GB"/>
              </w:rPr>
              <m:t>)</m:t>
            </m:r>
          </m:sup>
        </m:sSup>
        <m:r>
          <w:rPr>
            <w:rFonts w:ascii="Cambria Math" w:hAnsi="Cambria Math" w:cs="Arial"/>
            <w:lang w:val="en-GB"/>
          </w:rPr>
          <m:t>,</m:t>
        </m:r>
        <m:sSup>
          <m:sSupPr>
            <m:ctrlPr>
              <w:rPr>
                <w:rFonts w:ascii="Cambria Math" w:hAnsi="Cambria Math" w:cs="Arial"/>
                <w:lang w:val="en-GB"/>
              </w:rPr>
            </m:ctrlPr>
          </m:sSupPr>
          <m:e>
            <m:r>
              <w:rPr>
                <w:rFonts w:ascii="Cambria Math" w:hAnsi="Cambria Math" w:cs="Arial"/>
                <w:lang w:val="en-GB"/>
              </w:rPr>
              <m:t>θ</m:t>
            </m:r>
          </m:e>
          <m:sup>
            <m:r>
              <w:rPr>
                <w:rFonts w:ascii="Cambria Math" w:hAnsi="Cambria Math" w:cs="Arial"/>
                <w:lang w:val="en-GB"/>
              </w:rPr>
              <m:t>(i,</m:t>
            </m:r>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t+1</m:t>
                </m:r>
              </m:sub>
            </m:sSub>
            <m:r>
              <w:rPr>
                <w:rFonts w:ascii="Cambria Math" w:hAnsi="Cambria Math" w:cs="Arial"/>
                <w:lang w:val="en-GB"/>
              </w:rPr>
              <m:t>)</m:t>
            </m:r>
          </m:sup>
        </m:sSup>
        <m:r>
          <w:rPr>
            <w:rFonts w:ascii="Cambria Math" w:hAnsi="Cambria Math" w:cs="Arial"/>
            <w:lang w:val="en-GB"/>
          </w:rPr>
          <m:t>}</m:t>
        </m:r>
      </m:oMath>
      <w:r w:rsidRPr="0099775A">
        <w:rPr>
          <w:rFonts w:cs="Arial"/>
          <w:lang w:val="en-GB"/>
        </w:rPr>
        <w:t xml:space="preserve"> and thus leads to a more narrow distribution for </w:t>
      </w:r>
      <m:oMath>
        <m:sSup>
          <m:sSupPr>
            <m:ctrlPr>
              <w:rPr>
                <w:rFonts w:ascii="Cambria Math" w:hAnsi="Cambria Math" w:cs="Arial"/>
                <w:lang w:val="en-GB"/>
              </w:rPr>
            </m:ctrlPr>
          </m:sSupPr>
          <m:e>
            <m:groupChr>
              <m:groupChrPr>
                <m:chr m:val="̃"/>
                <m:pos m:val="top"/>
                <m:vertJc m:val="bot"/>
                <m:ctrlPr>
                  <w:rPr>
                    <w:rFonts w:ascii="Cambria Math" w:hAnsi="Cambria Math" w:cs="Arial"/>
                    <w:lang w:val="en-GB"/>
                  </w:rPr>
                </m:ctrlPr>
              </m:groupChrPr>
              <m:e>
                <m:r>
                  <w:rPr>
                    <w:rFonts w:ascii="Cambria Math" w:hAnsi="Cambria Math" w:cs="Arial"/>
                    <w:lang w:val="en-GB"/>
                  </w:rPr>
                  <m:t>θ</m:t>
                </m:r>
              </m:e>
            </m:groupChr>
          </m:e>
          <m:sup>
            <m:r>
              <w:rPr>
                <w:rFonts w:ascii="Cambria Math" w:hAnsi="Cambria Math" w:cs="Arial"/>
                <w:lang w:val="en-GB"/>
              </w:rPr>
              <m:t>(i,</m:t>
            </m:r>
            <m:sSub>
              <m:sSubPr>
                <m:ctrlPr>
                  <w:rPr>
                    <w:rFonts w:ascii="Cambria Math" w:hAnsi="Cambria Math" w:cs="Arial"/>
                    <w:lang w:val="en-GB"/>
                  </w:rPr>
                </m:ctrlPr>
              </m:sSubPr>
              <m:e>
                <m:r>
                  <w:rPr>
                    <w:rFonts w:ascii="Cambria Math" w:hAnsi="Cambria Math" w:cs="Arial"/>
                    <w:lang w:val="en-GB"/>
                  </w:rPr>
                  <m:t>y</m:t>
                </m:r>
              </m:e>
              <m:sub>
                <m:r>
                  <w:rPr>
                    <w:rFonts w:ascii="Cambria Math" w:hAnsi="Cambria Math" w:cs="Arial"/>
                    <w:lang w:val="en-GB"/>
                  </w:rPr>
                  <m:t>t</m:t>
                </m:r>
              </m:sub>
            </m:sSub>
            <m:r>
              <w:rPr>
                <w:rFonts w:ascii="Cambria Math" w:hAnsi="Cambria Math" w:cs="Arial"/>
                <w:lang w:val="en-GB"/>
              </w:rPr>
              <m:t>)</m:t>
            </m:r>
          </m:sup>
        </m:sSup>
      </m:oMath>
      <w:r w:rsidRPr="0099775A">
        <w:rPr>
          <w:rFonts w:cs="Arial"/>
          <w:lang w:val="en-GB"/>
        </w:rPr>
        <w:t>.</w:t>
      </w:r>
    </w:p>
    <w:p w:rsidR="0099775A" w:rsidRPr="0028150C" w:rsidRDefault="0099775A" w:rsidP="0099775A">
      <w:pPr>
        <w:spacing w:before="360" w:after="0" w:line="360" w:lineRule="auto"/>
        <w:jc w:val="both"/>
        <w:rPr>
          <w:rFonts w:ascii="Arial" w:hAnsi="Arial" w:cs="Arial"/>
          <w:b/>
          <w:sz w:val="24"/>
          <w:szCs w:val="24"/>
          <w:lang w:val="en-GB"/>
        </w:rPr>
      </w:pPr>
      <w:r>
        <w:rPr>
          <w:rFonts w:ascii="Arial" w:hAnsi="Arial" w:cs="Arial"/>
          <w:b/>
          <w:sz w:val="24"/>
          <w:szCs w:val="24"/>
          <w:lang w:val="en-GB"/>
        </w:rPr>
        <w:t>3</w:t>
      </w:r>
      <w:r w:rsidRPr="0028150C">
        <w:rPr>
          <w:rFonts w:ascii="Arial" w:hAnsi="Arial" w:cs="Arial"/>
          <w:b/>
          <w:sz w:val="24"/>
          <w:szCs w:val="24"/>
          <w:lang w:val="en-GB"/>
        </w:rPr>
        <w:t xml:space="preserve">. </w:t>
      </w:r>
      <w:r w:rsidRPr="0099775A">
        <w:rPr>
          <w:rFonts w:ascii="Arial" w:hAnsi="Arial" w:cs="Arial"/>
          <w:b/>
          <w:sz w:val="24"/>
          <w:szCs w:val="24"/>
          <w:lang w:val="en-US"/>
        </w:rPr>
        <w:t>Precision gains</w:t>
      </w:r>
    </w:p>
    <w:p w:rsidR="0099775A" w:rsidRPr="0099775A" w:rsidRDefault="0099775A" w:rsidP="0099775A">
      <w:pPr>
        <w:pStyle w:val="FirstParagraph"/>
        <w:spacing w:line="360" w:lineRule="auto"/>
        <w:rPr>
          <w:rFonts w:cs="Arial"/>
          <w:lang w:val="en-GB"/>
        </w:rPr>
      </w:pPr>
      <w:r w:rsidRPr="0099775A">
        <w:rPr>
          <w:rFonts w:cs="Arial"/>
          <w:lang w:val="en-GB"/>
        </w:rPr>
        <w:t xml:space="preserve">To evaluate AAA estimates empirically, we have applied the above methodology to UDB data of EU-SILC for Spain and Austria. In addition to the variables available in the UDB, INE provided sample design variables; regional classifications as well as longitudinal identifiers for all waves since 2008. Likewise, Statistics Austria augmented its UDB data with the same information. </w:t>
      </w:r>
    </w:p>
    <w:p w:rsidR="0099775A" w:rsidRPr="0099775A" w:rsidRDefault="0099775A" w:rsidP="0099775A">
      <w:pPr>
        <w:pStyle w:val="FirstParagraph"/>
        <w:spacing w:line="360" w:lineRule="auto"/>
        <w:rPr>
          <w:rFonts w:cs="Arial"/>
          <w:lang w:val="en-GB"/>
        </w:rPr>
      </w:pPr>
    </w:p>
    <w:p w:rsidR="0099775A" w:rsidRPr="0099775A" w:rsidRDefault="0099775A" w:rsidP="0099775A">
      <w:pPr>
        <w:pStyle w:val="FirstParagraph"/>
        <w:spacing w:line="360" w:lineRule="auto"/>
        <w:rPr>
          <w:rFonts w:cs="Arial"/>
          <w:lang w:val="en-GB"/>
        </w:rPr>
      </w:pPr>
      <w:r w:rsidRPr="0099775A">
        <w:rPr>
          <w:rFonts w:cs="Arial"/>
          <w:lang w:val="en-GB"/>
        </w:rPr>
        <w:t xml:space="preserve">In this exercise 250 bootstrap replicates were calibrated within each NUTS2 region (DB040) for household size and gender by age group. After that, the weighted ratio for AROPE was estimated, including its standard error for each region (DB040) by degree of urbanisation (DB100) for each year separately as well as cumulating over 3 adjacent years. Figure 2 compares results of this calculation for the year 2015 and the mean over years 2014, 2015 and 2016. </w:t>
      </w:r>
    </w:p>
    <w:p w:rsidR="0099775A" w:rsidRPr="0099775A" w:rsidRDefault="0099775A" w:rsidP="0099775A">
      <w:pPr>
        <w:pStyle w:val="FirstParagraph"/>
        <w:spacing w:line="360" w:lineRule="auto"/>
        <w:rPr>
          <w:rFonts w:cs="Arial"/>
          <w:lang w:val="en-GB"/>
        </w:rPr>
      </w:pPr>
    </w:p>
    <w:p w:rsidR="0099775A" w:rsidRDefault="0099775A" w:rsidP="0099775A">
      <w:pPr>
        <w:pStyle w:val="FirstParagraph"/>
        <w:spacing w:line="360" w:lineRule="auto"/>
        <w:rPr>
          <w:rFonts w:cs="Arial"/>
          <w:lang w:val="en-GB"/>
        </w:rPr>
      </w:pPr>
      <w:r w:rsidRPr="0099775A">
        <w:rPr>
          <w:rFonts w:cs="Arial"/>
          <w:lang w:val="en-GB"/>
        </w:rPr>
        <w:t>The identity line corresponds to the estimates using a single year as basis for standard error estimation and the points show the results for using the years 2014 to 2016. The dotted line represents the 25</w:t>
      </w:r>
      <m:oMath>
        <m:r>
          <w:rPr>
            <w:rFonts w:ascii="Cambria Math" w:hAnsi="Cambria Math" w:cs="Arial"/>
            <w:lang w:val="en-GB"/>
          </w:rPr>
          <m:t>%</m:t>
        </m:r>
      </m:oMath>
      <w:r w:rsidRPr="0099775A">
        <w:rPr>
          <w:rFonts w:cs="Arial"/>
          <w:lang w:val="en-GB"/>
        </w:rPr>
        <w:t xml:space="preserve"> improvement that is to be expected for using the mean over 3 consecutive years (Martin et al. 2013). Most estimates are indeed gathering around that line.</w:t>
      </w:r>
    </w:p>
    <w:p w:rsidR="0099775A" w:rsidRPr="0099775A" w:rsidRDefault="0099775A" w:rsidP="0099775A">
      <w:pPr>
        <w:pStyle w:val="Textkrper"/>
        <w:rPr>
          <w:lang w:val="en-GB"/>
        </w:rPr>
      </w:pPr>
    </w:p>
    <w:p w:rsidR="0099775A" w:rsidRPr="00EC5F5A" w:rsidRDefault="0099775A" w:rsidP="0099775A">
      <w:pPr>
        <w:pStyle w:val="Beschriftung"/>
        <w:keepNext/>
        <w:jc w:val="both"/>
        <w:rPr>
          <w:rFonts w:ascii="Arial" w:hAnsi="Arial" w:cs="Arial"/>
          <w:b/>
          <w:i w:val="0"/>
          <w:color w:val="auto"/>
          <w:sz w:val="20"/>
          <w:szCs w:val="20"/>
          <w:lang w:val="en-GB"/>
        </w:rPr>
      </w:pPr>
      <w:r w:rsidRPr="00EC5F5A">
        <w:rPr>
          <w:rFonts w:ascii="Arial" w:hAnsi="Arial" w:cs="Arial"/>
          <w:b/>
          <w:i w:val="0"/>
          <w:color w:val="auto"/>
          <w:sz w:val="20"/>
          <w:szCs w:val="20"/>
          <w:lang w:val="en-GB"/>
        </w:rPr>
        <w:lastRenderedPageBreak/>
        <w:t xml:space="preserve">Figure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Figure \* ARABIC </w:instrText>
      </w:r>
      <w:r w:rsidRPr="00BF6DBC">
        <w:rPr>
          <w:rFonts w:ascii="Arial" w:hAnsi="Arial" w:cs="Arial"/>
          <w:b/>
          <w:i w:val="0"/>
          <w:color w:val="auto"/>
          <w:sz w:val="20"/>
          <w:szCs w:val="20"/>
          <w:lang w:val="en-GB"/>
        </w:rPr>
        <w:fldChar w:fldCharType="separate"/>
      </w:r>
      <w:r w:rsidRPr="00EC5F5A">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sidRPr="0099775A">
        <w:rPr>
          <w:rFonts w:ascii="Arial" w:hAnsi="Arial" w:cs="Arial"/>
          <w:b/>
          <w:i w:val="0"/>
          <w:color w:val="auto"/>
          <w:sz w:val="20"/>
          <w:szCs w:val="20"/>
          <w:lang w:val="en-GB"/>
        </w:rPr>
        <w:t>AROPE standard error for 2015 compared with AAA (2014-16)</w:t>
      </w:r>
    </w:p>
    <w:p w:rsidR="006C1343" w:rsidRDefault="00AE0D35" w:rsidP="0099775A">
      <w:pPr>
        <w:spacing w:line="360" w:lineRule="auto"/>
        <w:rPr>
          <w:rFonts w:ascii="Arial" w:hAnsi="Arial" w:cs="Arial"/>
          <w:i/>
          <w:sz w:val="24"/>
          <w:szCs w:val="24"/>
          <w:lang w:val="en-GB"/>
        </w:rPr>
      </w:pPr>
      <w:r>
        <w:rPr>
          <w:noProof/>
          <w:lang w:val="de-AT" w:eastAsia="de-AT"/>
        </w:rPr>
        <w:drawing>
          <wp:inline distT="0" distB="0" distL="0" distR="0">
            <wp:extent cx="5676900" cy="2838450"/>
            <wp:effectExtent l="0" t="0" r="0" b="0"/>
            <wp:docPr id="2" name="Grafik 2" descr="M:\Gussenbauer\surveysd\AAA_AT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ussenbauer\surveysd\AAA_AT_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4419" cy="2842209"/>
                    </a:xfrm>
                    <a:prstGeom prst="rect">
                      <a:avLst/>
                    </a:prstGeom>
                    <a:noFill/>
                    <a:ln>
                      <a:noFill/>
                    </a:ln>
                  </pic:spPr>
                </pic:pic>
              </a:graphicData>
            </a:graphic>
          </wp:inline>
        </w:drawing>
      </w:r>
    </w:p>
    <w:p w:rsidR="0099775A" w:rsidRPr="00992208" w:rsidRDefault="0099775A" w:rsidP="0099775A">
      <w:pPr>
        <w:spacing w:line="360" w:lineRule="auto"/>
        <w:rPr>
          <w:rFonts w:ascii="Arial" w:hAnsi="Arial" w:cs="Arial"/>
          <w:i/>
          <w:sz w:val="24"/>
          <w:szCs w:val="24"/>
          <w:lang w:val="en-GB"/>
        </w:rPr>
      </w:pPr>
      <w:r>
        <w:rPr>
          <w:rFonts w:ascii="Arial" w:hAnsi="Arial" w:cs="Arial"/>
          <w:i/>
          <w:sz w:val="24"/>
          <w:szCs w:val="24"/>
          <w:lang w:val="en-GB"/>
        </w:rPr>
        <w:t>3</w:t>
      </w:r>
      <w:r w:rsidRPr="00992208">
        <w:rPr>
          <w:rFonts w:ascii="Arial" w:hAnsi="Arial" w:cs="Arial"/>
          <w:i/>
          <w:sz w:val="24"/>
          <w:szCs w:val="24"/>
          <w:lang w:val="en-GB"/>
        </w:rPr>
        <w:t>.</w:t>
      </w:r>
      <w:r>
        <w:rPr>
          <w:rFonts w:ascii="Arial" w:hAnsi="Arial" w:cs="Arial"/>
          <w:i/>
          <w:sz w:val="24"/>
          <w:szCs w:val="24"/>
          <w:lang w:val="en-GB"/>
        </w:rPr>
        <w:t>1</w:t>
      </w:r>
      <w:r w:rsidRPr="00992208">
        <w:rPr>
          <w:rFonts w:ascii="Arial" w:hAnsi="Arial" w:cs="Arial"/>
          <w:i/>
          <w:sz w:val="24"/>
          <w:szCs w:val="24"/>
          <w:lang w:val="en-GB"/>
        </w:rPr>
        <w:t xml:space="preserve">. </w:t>
      </w:r>
      <w:r w:rsidRPr="0099775A">
        <w:rPr>
          <w:rFonts w:ascii="Arial" w:hAnsi="Arial" w:cs="Arial"/>
          <w:i/>
          <w:sz w:val="24"/>
          <w:szCs w:val="24"/>
          <w:lang w:val="en-GB"/>
        </w:rPr>
        <w:t xml:space="preserve">Benchmarking </w:t>
      </w:r>
      <w:proofErr w:type="spellStart"/>
      <w:r w:rsidRPr="0099775A">
        <w:rPr>
          <w:rFonts w:ascii="Arial" w:hAnsi="Arial" w:cs="Arial"/>
          <w:i/>
          <w:sz w:val="24"/>
          <w:szCs w:val="24"/>
          <w:lang w:val="en-GB"/>
        </w:rPr>
        <w:t>surveysd</w:t>
      </w:r>
      <w:proofErr w:type="spellEnd"/>
      <w:r w:rsidRPr="0099775A">
        <w:rPr>
          <w:rFonts w:ascii="Arial" w:hAnsi="Arial" w:cs="Arial"/>
          <w:i/>
          <w:sz w:val="24"/>
          <w:szCs w:val="24"/>
          <w:lang w:val="en-GB"/>
        </w:rPr>
        <w:t xml:space="preserve"> against R-package </w:t>
      </w:r>
      <w:proofErr w:type="spellStart"/>
      <w:r w:rsidRPr="0099775A">
        <w:rPr>
          <w:rFonts w:ascii="Arial" w:hAnsi="Arial" w:cs="Arial"/>
          <w:i/>
          <w:sz w:val="24"/>
          <w:szCs w:val="24"/>
          <w:lang w:val="en-GB"/>
        </w:rPr>
        <w:t>vardpoor</w:t>
      </w:r>
      <w:proofErr w:type="spellEnd"/>
    </w:p>
    <w:p w:rsidR="0099775A" w:rsidRDefault="0099775A" w:rsidP="0099775A">
      <w:pPr>
        <w:pStyle w:val="FirstParagraph"/>
        <w:spacing w:line="360" w:lineRule="auto"/>
        <w:rPr>
          <w:rFonts w:cs="Arial"/>
          <w:lang w:val="en-GB"/>
        </w:rPr>
      </w:pPr>
      <w:r w:rsidRPr="0099775A">
        <w:rPr>
          <w:rFonts w:cs="Arial"/>
          <w:lang w:val="en-GB"/>
        </w:rPr>
        <w:t xml:space="preserve">The approach implemented in the </w:t>
      </w:r>
      <w:proofErr w:type="spellStart"/>
      <w:r w:rsidRPr="0099775A">
        <w:rPr>
          <w:rFonts w:cs="Arial"/>
          <w:lang w:val="en-GB"/>
        </w:rPr>
        <w:t>surveysd</w:t>
      </w:r>
      <w:proofErr w:type="spellEnd"/>
      <w:r w:rsidRPr="0099775A">
        <w:rPr>
          <w:rFonts w:cs="Arial"/>
          <w:lang w:val="en-GB"/>
        </w:rPr>
        <w:t xml:space="preserve"> algorithm appears </w:t>
      </w:r>
      <w:r w:rsidR="00586E42">
        <w:rPr>
          <w:rFonts w:cs="Arial"/>
          <w:lang w:val="en-GB"/>
        </w:rPr>
        <w:t>to be</w:t>
      </w:r>
      <w:r w:rsidRPr="0099775A">
        <w:rPr>
          <w:rFonts w:cs="Arial"/>
          <w:lang w:val="en-GB"/>
        </w:rPr>
        <w:t xml:space="preserve"> consistent with the approximations suggested in Net-SILC2. Table 4 compares the estimated standard errors for the AROPE indicator 2016 for NUTS2 regions in Spain resulting from both methodologies. Even when additional sample design information is used to account for higher level clustering, standard errors are only marginally increased. Furthermore, there also appear to be differences of similar magnitude when the number of replicates is increased from 250 to 1000 (indicated by columns surveysd_250 and surveysd_1000).</w:t>
      </w:r>
    </w:p>
    <w:p w:rsidR="0099775A" w:rsidRDefault="0099775A" w:rsidP="0099775A">
      <w:pPr>
        <w:pStyle w:val="Beschriftung"/>
        <w:keepNext/>
        <w:rPr>
          <w:rFonts w:ascii="Arial" w:hAnsi="Arial" w:cs="Arial"/>
          <w:b/>
          <w:i w:val="0"/>
          <w:color w:val="auto"/>
          <w:sz w:val="20"/>
          <w:szCs w:val="20"/>
          <w:lang w:val="en-GB"/>
        </w:rPr>
      </w:pPr>
    </w:p>
    <w:p w:rsidR="0099775A" w:rsidRPr="0099775A" w:rsidRDefault="0099775A" w:rsidP="0099775A">
      <w:pPr>
        <w:pStyle w:val="Beschriftung"/>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Pr>
          <w:rFonts w:ascii="Arial" w:hAnsi="Arial" w:cs="Arial"/>
          <w:b/>
          <w:i w:val="0"/>
          <w:color w:val="auto"/>
          <w:sz w:val="20"/>
          <w:szCs w:val="20"/>
          <w:lang w:val="en-GB"/>
        </w:rPr>
        <w:t>2</w:t>
      </w:r>
      <w:r w:rsidRPr="00EC5F5A">
        <w:rPr>
          <w:rFonts w:ascii="Arial" w:hAnsi="Arial" w:cs="Arial"/>
          <w:b/>
          <w:i w:val="0"/>
          <w:color w:val="auto"/>
          <w:sz w:val="20"/>
          <w:szCs w:val="20"/>
          <w:lang w:val="en-GB"/>
        </w:rPr>
        <w:t xml:space="preserve">. </w:t>
      </w:r>
      <w:r w:rsidRPr="0099775A">
        <w:rPr>
          <w:rFonts w:ascii="Arial" w:hAnsi="Arial" w:cs="Arial"/>
          <w:b/>
          <w:i w:val="0"/>
          <w:color w:val="auto"/>
          <w:sz w:val="20"/>
          <w:szCs w:val="20"/>
          <w:lang w:val="en-GB"/>
        </w:rPr>
        <w:t xml:space="preserve">Comparison of regional standard errors (AROPE, Spain, 2016) calculated with </w:t>
      </w:r>
      <w:proofErr w:type="spellStart"/>
      <w:r w:rsidRPr="0099775A">
        <w:rPr>
          <w:rFonts w:ascii="Arial" w:hAnsi="Arial" w:cs="Arial"/>
          <w:b/>
          <w:i w:val="0"/>
          <w:color w:val="auto"/>
          <w:sz w:val="20"/>
          <w:szCs w:val="20"/>
          <w:lang w:val="en-GB"/>
        </w:rPr>
        <w:t>vardpoor</w:t>
      </w:r>
      <w:proofErr w:type="spellEnd"/>
      <w:r w:rsidRPr="0099775A">
        <w:rPr>
          <w:rFonts w:ascii="Arial" w:hAnsi="Arial" w:cs="Arial"/>
          <w:b/>
          <w:i w:val="0"/>
          <w:color w:val="auto"/>
          <w:sz w:val="20"/>
          <w:szCs w:val="20"/>
          <w:lang w:val="en-GB"/>
        </w:rPr>
        <w:t xml:space="preserve"> and </w:t>
      </w:r>
      <w:proofErr w:type="spellStart"/>
      <w:r w:rsidRPr="0099775A">
        <w:rPr>
          <w:rFonts w:ascii="Arial" w:hAnsi="Arial" w:cs="Arial"/>
          <w:b/>
          <w:i w:val="0"/>
          <w:color w:val="auto"/>
          <w:sz w:val="20"/>
          <w:szCs w:val="20"/>
          <w:lang w:val="en-GB"/>
        </w:rPr>
        <w:t>surveysd</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Caption w:val="Standard error estimates with ultimate cluster approximation and bootstrapping."/>
      </w:tblPr>
      <w:tblGrid>
        <w:gridCol w:w="1568"/>
        <w:gridCol w:w="1986"/>
        <w:gridCol w:w="2762"/>
        <w:gridCol w:w="2972"/>
      </w:tblGrid>
      <w:tr w:rsidR="0099775A" w:rsidRPr="005A01D6" w:rsidTr="006C1343">
        <w:trPr>
          <w:trHeight w:val="284"/>
          <w:jc w:val="center"/>
        </w:trPr>
        <w:tc>
          <w:tcPr>
            <w:tcW w:w="844" w:type="pct"/>
            <w:vAlign w:val="center"/>
          </w:tcPr>
          <w:p w:rsidR="0099775A" w:rsidRPr="00F34AB4" w:rsidRDefault="0099775A" w:rsidP="0099775A">
            <w:pPr>
              <w:pStyle w:val="Compact"/>
              <w:keepNext/>
              <w:jc w:val="center"/>
              <w:rPr>
                <w:rFonts w:cs="Arial"/>
                <w:b/>
                <w:sz w:val="20"/>
                <w:szCs w:val="20"/>
                <w:lang w:val="en-GB"/>
              </w:rPr>
            </w:pPr>
            <w:r w:rsidRPr="00F34AB4">
              <w:rPr>
                <w:rFonts w:cs="Arial"/>
                <w:b/>
                <w:sz w:val="20"/>
                <w:szCs w:val="20"/>
                <w:lang w:val="en-GB"/>
              </w:rPr>
              <w:t>DB040</w:t>
            </w:r>
          </w:p>
        </w:tc>
        <w:tc>
          <w:tcPr>
            <w:tcW w:w="1069" w:type="pct"/>
            <w:vAlign w:val="center"/>
          </w:tcPr>
          <w:p w:rsidR="0099775A" w:rsidRPr="00F34AB4" w:rsidRDefault="0099775A" w:rsidP="0099775A">
            <w:pPr>
              <w:pStyle w:val="Compact"/>
              <w:keepNext/>
              <w:jc w:val="center"/>
              <w:rPr>
                <w:rFonts w:cs="Arial"/>
                <w:b/>
                <w:sz w:val="20"/>
                <w:szCs w:val="20"/>
                <w:lang w:val="en-GB"/>
              </w:rPr>
            </w:pPr>
            <w:proofErr w:type="spellStart"/>
            <w:r w:rsidRPr="00F34AB4">
              <w:rPr>
                <w:rFonts w:cs="Arial"/>
                <w:b/>
                <w:sz w:val="20"/>
                <w:szCs w:val="20"/>
                <w:lang w:val="en-GB"/>
              </w:rPr>
              <w:t>vardpoor</w:t>
            </w:r>
            <w:proofErr w:type="spellEnd"/>
          </w:p>
        </w:tc>
        <w:tc>
          <w:tcPr>
            <w:tcW w:w="1487" w:type="pct"/>
            <w:vAlign w:val="center"/>
          </w:tcPr>
          <w:p w:rsidR="0099775A" w:rsidRPr="00F34AB4" w:rsidRDefault="0099775A" w:rsidP="0099775A">
            <w:pPr>
              <w:pStyle w:val="Compact"/>
              <w:keepNext/>
              <w:jc w:val="center"/>
              <w:rPr>
                <w:rFonts w:cs="Arial"/>
                <w:b/>
                <w:sz w:val="20"/>
                <w:szCs w:val="20"/>
                <w:lang w:val="en-GB"/>
              </w:rPr>
            </w:pPr>
            <w:r w:rsidRPr="00F34AB4">
              <w:rPr>
                <w:rFonts w:cs="Arial"/>
                <w:b/>
                <w:sz w:val="20"/>
                <w:szCs w:val="20"/>
                <w:lang w:val="en-GB"/>
              </w:rPr>
              <w:t>surveysd_250</w:t>
            </w:r>
          </w:p>
        </w:tc>
        <w:tc>
          <w:tcPr>
            <w:tcW w:w="1600" w:type="pct"/>
            <w:vAlign w:val="center"/>
          </w:tcPr>
          <w:p w:rsidR="0099775A" w:rsidRPr="00F34AB4" w:rsidRDefault="0099775A" w:rsidP="0099775A">
            <w:pPr>
              <w:pStyle w:val="Compact"/>
              <w:keepNext/>
              <w:jc w:val="center"/>
              <w:rPr>
                <w:rFonts w:cs="Arial"/>
                <w:b/>
                <w:sz w:val="20"/>
                <w:szCs w:val="20"/>
                <w:lang w:val="en-GB"/>
              </w:rPr>
            </w:pPr>
            <w:r w:rsidRPr="00F34AB4">
              <w:rPr>
                <w:rFonts w:cs="Arial"/>
                <w:b/>
                <w:sz w:val="20"/>
                <w:szCs w:val="20"/>
                <w:lang w:val="en-GB"/>
              </w:rPr>
              <w:t>surveysd_1000</w:t>
            </w:r>
          </w:p>
        </w:tc>
      </w:tr>
      <w:tr w:rsidR="0099775A" w:rsidRPr="005A01D6" w:rsidTr="006C1343">
        <w:trPr>
          <w:trHeight w:val="284"/>
          <w:jc w:val="center"/>
        </w:trPr>
        <w:tc>
          <w:tcPr>
            <w:tcW w:w="844"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ES11</w:t>
            </w:r>
          </w:p>
        </w:tc>
        <w:tc>
          <w:tcPr>
            <w:tcW w:w="1069"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1.749898</w:t>
            </w:r>
          </w:p>
        </w:tc>
        <w:tc>
          <w:tcPr>
            <w:tcW w:w="1487"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1.869290</w:t>
            </w:r>
          </w:p>
        </w:tc>
        <w:tc>
          <w:tcPr>
            <w:tcW w:w="1600"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1.829328</w:t>
            </w:r>
          </w:p>
        </w:tc>
      </w:tr>
      <w:tr w:rsidR="0099775A" w:rsidRPr="005A01D6" w:rsidTr="006C1343">
        <w:trPr>
          <w:trHeight w:val="284"/>
          <w:jc w:val="center"/>
        </w:trPr>
        <w:tc>
          <w:tcPr>
            <w:tcW w:w="844"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ES12</w:t>
            </w:r>
          </w:p>
        </w:tc>
        <w:tc>
          <w:tcPr>
            <w:tcW w:w="1069"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2.125473</w:t>
            </w:r>
          </w:p>
        </w:tc>
        <w:tc>
          <w:tcPr>
            <w:tcW w:w="1487"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2.333783</w:t>
            </w:r>
          </w:p>
        </w:tc>
        <w:tc>
          <w:tcPr>
            <w:tcW w:w="1600"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2.224175</w:t>
            </w:r>
          </w:p>
        </w:tc>
      </w:tr>
      <w:tr w:rsidR="0099775A" w:rsidRPr="005A01D6" w:rsidTr="006C1343">
        <w:trPr>
          <w:trHeight w:val="284"/>
          <w:jc w:val="center"/>
        </w:trPr>
        <w:tc>
          <w:tcPr>
            <w:tcW w:w="844"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ES13</w:t>
            </w:r>
          </w:p>
        </w:tc>
        <w:tc>
          <w:tcPr>
            <w:tcW w:w="1069"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2.913933</w:t>
            </w:r>
          </w:p>
        </w:tc>
        <w:tc>
          <w:tcPr>
            <w:tcW w:w="1487"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3.087267</w:t>
            </w:r>
          </w:p>
        </w:tc>
        <w:tc>
          <w:tcPr>
            <w:tcW w:w="1600"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3.036866</w:t>
            </w:r>
          </w:p>
        </w:tc>
      </w:tr>
      <w:tr w:rsidR="0099775A" w:rsidRPr="005A01D6" w:rsidTr="006C1343">
        <w:trPr>
          <w:trHeight w:val="284"/>
          <w:jc w:val="center"/>
        </w:trPr>
        <w:tc>
          <w:tcPr>
            <w:tcW w:w="844"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ES21</w:t>
            </w:r>
          </w:p>
        </w:tc>
        <w:tc>
          <w:tcPr>
            <w:tcW w:w="1069"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1.812530</w:t>
            </w:r>
          </w:p>
        </w:tc>
        <w:tc>
          <w:tcPr>
            <w:tcW w:w="1487"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1.765524</w:t>
            </w:r>
          </w:p>
        </w:tc>
        <w:tc>
          <w:tcPr>
            <w:tcW w:w="1600"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1.895363</w:t>
            </w:r>
          </w:p>
        </w:tc>
      </w:tr>
      <w:tr w:rsidR="0099775A" w:rsidRPr="005A01D6" w:rsidTr="006C1343">
        <w:trPr>
          <w:trHeight w:val="284"/>
          <w:jc w:val="center"/>
        </w:trPr>
        <w:tc>
          <w:tcPr>
            <w:tcW w:w="844"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ES22</w:t>
            </w:r>
          </w:p>
        </w:tc>
        <w:tc>
          <w:tcPr>
            <w:tcW w:w="1069"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2.490208</w:t>
            </w:r>
          </w:p>
        </w:tc>
        <w:tc>
          <w:tcPr>
            <w:tcW w:w="1487"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2.695355</w:t>
            </w:r>
          </w:p>
        </w:tc>
        <w:tc>
          <w:tcPr>
            <w:tcW w:w="1600"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2.717238</w:t>
            </w:r>
          </w:p>
        </w:tc>
      </w:tr>
      <w:tr w:rsidR="0099775A" w:rsidRPr="005A01D6" w:rsidTr="006C1343">
        <w:trPr>
          <w:trHeight w:val="284"/>
          <w:jc w:val="center"/>
        </w:trPr>
        <w:tc>
          <w:tcPr>
            <w:tcW w:w="844"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ES23</w:t>
            </w:r>
          </w:p>
        </w:tc>
        <w:tc>
          <w:tcPr>
            <w:tcW w:w="1069"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2.485835</w:t>
            </w:r>
          </w:p>
        </w:tc>
        <w:tc>
          <w:tcPr>
            <w:tcW w:w="1487"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2.851551</w:t>
            </w:r>
          </w:p>
        </w:tc>
        <w:tc>
          <w:tcPr>
            <w:tcW w:w="1600"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2.795135</w:t>
            </w:r>
          </w:p>
        </w:tc>
      </w:tr>
      <w:tr w:rsidR="0099775A" w:rsidRPr="005A01D6" w:rsidTr="006C1343">
        <w:trPr>
          <w:trHeight w:val="284"/>
          <w:jc w:val="center"/>
        </w:trPr>
        <w:tc>
          <w:tcPr>
            <w:tcW w:w="844"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ES24</w:t>
            </w:r>
          </w:p>
        </w:tc>
        <w:tc>
          <w:tcPr>
            <w:tcW w:w="1069"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2.386610</w:t>
            </w:r>
          </w:p>
        </w:tc>
        <w:tc>
          <w:tcPr>
            <w:tcW w:w="1487"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2.441098</w:t>
            </w:r>
          </w:p>
        </w:tc>
        <w:tc>
          <w:tcPr>
            <w:tcW w:w="1600"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2.604816</w:t>
            </w:r>
          </w:p>
        </w:tc>
      </w:tr>
      <w:tr w:rsidR="0099775A" w:rsidRPr="005A01D6" w:rsidTr="006C1343">
        <w:trPr>
          <w:trHeight w:val="284"/>
          <w:jc w:val="center"/>
        </w:trPr>
        <w:tc>
          <w:tcPr>
            <w:tcW w:w="844"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ES30</w:t>
            </w:r>
          </w:p>
        </w:tc>
        <w:tc>
          <w:tcPr>
            <w:tcW w:w="1069"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1.550924</w:t>
            </w:r>
          </w:p>
        </w:tc>
        <w:tc>
          <w:tcPr>
            <w:tcW w:w="1487"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1.582262</w:t>
            </w:r>
          </w:p>
        </w:tc>
        <w:tc>
          <w:tcPr>
            <w:tcW w:w="1600"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1.651133</w:t>
            </w:r>
          </w:p>
        </w:tc>
      </w:tr>
      <w:tr w:rsidR="0099775A" w:rsidRPr="005A01D6" w:rsidTr="006C1343">
        <w:trPr>
          <w:trHeight w:val="284"/>
          <w:jc w:val="center"/>
        </w:trPr>
        <w:tc>
          <w:tcPr>
            <w:tcW w:w="844"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ES41</w:t>
            </w:r>
          </w:p>
        </w:tc>
        <w:tc>
          <w:tcPr>
            <w:tcW w:w="1069"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1.657396</w:t>
            </w:r>
          </w:p>
        </w:tc>
        <w:tc>
          <w:tcPr>
            <w:tcW w:w="1487"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1.757140</w:t>
            </w:r>
          </w:p>
        </w:tc>
        <w:tc>
          <w:tcPr>
            <w:tcW w:w="1600"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1.795810</w:t>
            </w:r>
          </w:p>
        </w:tc>
      </w:tr>
      <w:tr w:rsidR="0099775A" w:rsidRPr="005A01D6" w:rsidTr="006C1343">
        <w:trPr>
          <w:trHeight w:val="284"/>
          <w:jc w:val="center"/>
        </w:trPr>
        <w:tc>
          <w:tcPr>
            <w:tcW w:w="844"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ES42</w:t>
            </w:r>
          </w:p>
        </w:tc>
        <w:tc>
          <w:tcPr>
            <w:tcW w:w="1069"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2.714761</w:t>
            </w:r>
          </w:p>
        </w:tc>
        <w:tc>
          <w:tcPr>
            <w:tcW w:w="1487"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2.865607</w:t>
            </w:r>
          </w:p>
        </w:tc>
        <w:tc>
          <w:tcPr>
            <w:tcW w:w="1600"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2.914314</w:t>
            </w:r>
          </w:p>
        </w:tc>
      </w:tr>
      <w:tr w:rsidR="0099775A" w:rsidRPr="005A01D6" w:rsidTr="006C1343">
        <w:trPr>
          <w:trHeight w:val="284"/>
          <w:jc w:val="center"/>
        </w:trPr>
        <w:tc>
          <w:tcPr>
            <w:tcW w:w="844"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ES43</w:t>
            </w:r>
          </w:p>
        </w:tc>
        <w:tc>
          <w:tcPr>
            <w:tcW w:w="1069"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2.656992</w:t>
            </w:r>
          </w:p>
        </w:tc>
        <w:tc>
          <w:tcPr>
            <w:tcW w:w="1487"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2.728938</w:t>
            </w:r>
          </w:p>
        </w:tc>
        <w:tc>
          <w:tcPr>
            <w:tcW w:w="1600"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2.793706</w:t>
            </w:r>
          </w:p>
        </w:tc>
      </w:tr>
      <w:tr w:rsidR="0099775A" w:rsidRPr="005A01D6" w:rsidTr="006C1343">
        <w:trPr>
          <w:trHeight w:val="284"/>
          <w:jc w:val="center"/>
        </w:trPr>
        <w:tc>
          <w:tcPr>
            <w:tcW w:w="844"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ES51</w:t>
            </w:r>
          </w:p>
        </w:tc>
        <w:tc>
          <w:tcPr>
            <w:tcW w:w="1069"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1.106510</w:t>
            </w:r>
          </w:p>
        </w:tc>
        <w:tc>
          <w:tcPr>
            <w:tcW w:w="1487"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1.241227</w:t>
            </w:r>
          </w:p>
        </w:tc>
        <w:tc>
          <w:tcPr>
            <w:tcW w:w="1600"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1.202477</w:t>
            </w:r>
          </w:p>
        </w:tc>
      </w:tr>
      <w:tr w:rsidR="0099775A" w:rsidRPr="005A01D6" w:rsidTr="006C1343">
        <w:trPr>
          <w:trHeight w:val="284"/>
          <w:jc w:val="center"/>
        </w:trPr>
        <w:tc>
          <w:tcPr>
            <w:tcW w:w="844"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ES52</w:t>
            </w:r>
          </w:p>
        </w:tc>
        <w:tc>
          <w:tcPr>
            <w:tcW w:w="1069"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2.225909</w:t>
            </w:r>
          </w:p>
        </w:tc>
        <w:tc>
          <w:tcPr>
            <w:tcW w:w="1487"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2.540085</w:t>
            </w:r>
          </w:p>
        </w:tc>
        <w:tc>
          <w:tcPr>
            <w:tcW w:w="1600"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2.375432</w:t>
            </w:r>
          </w:p>
        </w:tc>
      </w:tr>
      <w:tr w:rsidR="0099775A" w:rsidRPr="005A01D6" w:rsidTr="006C1343">
        <w:trPr>
          <w:trHeight w:val="284"/>
          <w:jc w:val="center"/>
        </w:trPr>
        <w:tc>
          <w:tcPr>
            <w:tcW w:w="844"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ES53</w:t>
            </w:r>
          </w:p>
        </w:tc>
        <w:tc>
          <w:tcPr>
            <w:tcW w:w="1069"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2.669413</w:t>
            </w:r>
          </w:p>
        </w:tc>
        <w:tc>
          <w:tcPr>
            <w:tcW w:w="1487"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3.107017</w:t>
            </w:r>
          </w:p>
        </w:tc>
        <w:tc>
          <w:tcPr>
            <w:tcW w:w="1600"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2.965827</w:t>
            </w:r>
          </w:p>
        </w:tc>
      </w:tr>
      <w:tr w:rsidR="0099775A" w:rsidRPr="005A01D6" w:rsidTr="006C1343">
        <w:trPr>
          <w:trHeight w:val="284"/>
          <w:jc w:val="center"/>
        </w:trPr>
        <w:tc>
          <w:tcPr>
            <w:tcW w:w="844"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ES61</w:t>
            </w:r>
          </w:p>
        </w:tc>
        <w:tc>
          <w:tcPr>
            <w:tcW w:w="1069"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1.875178</w:t>
            </w:r>
          </w:p>
        </w:tc>
        <w:tc>
          <w:tcPr>
            <w:tcW w:w="1487"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1.880508</w:t>
            </w:r>
          </w:p>
        </w:tc>
        <w:tc>
          <w:tcPr>
            <w:tcW w:w="1600"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1.971840</w:t>
            </w:r>
          </w:p>
        </w:tc>
      </w:tr>
      <w:tr w:rsidR="0099775A" w:rsidRPr="005A01D6" w:rsidTr="006C1343">
        <w:trPr>
          <w:trHeight w:val="284"/>
          <w:jc w:val="center"/>
        </w:trPr>
        <w:tc>
          <w:tcPr>
            <w:tcW w:w="844"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ES62</w:t>
            </w:r>
          </w:p>
        </w:tc>
        <w:tc>
          <w:tcPr>
            <w:tcW w:w="1069"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2.880729</w:t>
            </w:r>
          </w:p>
        </w:tc>
        <w:tc>
          <w:tcPr>
            <w:tcW w:w="1487"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2.923325</w:t>
            </w:r>
          </w:p>
        </w:tc>
        <w:tc>
          <w:tcPr>
            <w:tcW w:w="1600"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2.994599</w:t>
            </w:r>
          </w:p>
        </w:tc>
      </w:tr>
      <w:tr w:rsidR="0099775A" w:rsidRPr="005A01D6" w:rsidTr="006C1343">
        <w:trPr>
          <w:trHeight w:val="284"/>
          <w:jc w:val="center"/>
        </w:trPr>
        <w:tc>
          <w:tcPr>
            <w:tcW w:w="844"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ES63</w:t>
            </w:r>
          </w:p>
        </w:tc>
        <w:tc>
          <w:tcPr>
            <w:tcW w:w="1069"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5.577841</w:t>
            </w:r>
          </w:p>
        </w:tc>
        <w:tc>
          <w:tcPr>
            <w:tcW w:w="1487"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6.841691</w:t>
            </w:r>
          </w:p>
        </w:tc>
        <w:tc>
          <w:tcPr>
            <w:tcW w:w="1600"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6.753498</w:t>
            </w:r>
          </w:p>
        </w:tc>
      </w:tr>
      <w:tr w:rsidR="0099775A" w:rsidRPr="005A01D6" w:rsidTr="006C1343">
        <w:trPr>
          <w:trHeight w:val="284"/>
          <w:jc w:val="center"/>
        </w:trPr>
        <w:tc>
          <w:tcPr>
            <w:tcW w:w="844"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ES64</w:t>
            </w:r>
          </w:p>
        </w:tc>
        <w:tc>
          <w:tcPr>
            <w:tcW w:w="1069"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6.401432</w:t>
            </w:r>
          </w:p>
        </w:tc>
        <w:tc>
          <w:tcPr>
            <w:tcW w:w="1487"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6.735764</w:t>
            </w:r>
          </w:p>
        </w:tc>
        <w:tc>
          <w:tcPr>
            <w:tcW w:w="1600"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6.818549</w:t>
            </w:r>
          </w:p>
        </w:tc>
      </w:tr>
      <w:tr w:rsidR="0099775A" w:rsidRPr="005A01D6" w:rsidTr="006C1343">
        <w:trPr>
          <w:trHeight w:val="284"/>
          <w:jc w:val="center"/>
        </w:trPr>
        <w:tc>
          <w:tcPr>
            <w:tcW w:w="844"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ES70</w:t>
            </w:r>
          </w:p>
        </w:tc>
        <w:tc>
          <w:tcPr>
            <w:tcW w:w="1069"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3.598554</w:t>
            </w:r>
          </w:p>
        </w:tc>
        <w:tc>
          <w:tcPr>
            <w:tcW w:w="1487"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3.888209</w:t>
            </w:r>
          </w:p>
        </w:tc>
        <w:tc>
          <w:tcPr>
            <w:tcW w:w="1600" w:type="pct"/>
            <w:vAlign w:val="center"/>
          </w:tcPr>
          <w:p w:rsidR="0099775A" w:rsidRPr="005A01D6" w:rsidRDefault="0099775A" w:rsidP="0099775A">
            <w:pPr>
              <w:pStyle w:val="Compact"/>
              <w:keepNext/>
              <w:jc w:val="center"/>
              <w:rPr>
                <w:rFonts w:cs="Arial"/>
                <w:sz w:val="20"/>
                <w:szCs w:val="20"/>
                <w:lang w:val="en-GB"/>
              </w:rPr>
            </w:pPr>
            <w:r w:rsidRPr="005A01D6">
              <w:rPr>
                <w:rFonts w:cs="Arial"/>
                <w:sz w:val="20"/>
                <w:szCs w:val="20"/>
                <w:lang w:val="en-GB"/>
              </w:rPr>
              <w:t>3.822487</w:t>
            </w:r>
          </w:p>
        </w:tc>
      </w:tr>
    </w:tbl>
    <w:p w:rsidR="0099775A" w:rsidRPr="00EC5F5A" w:rsidRDefault="0099775A" w:rsidP="0099775A">
      <w:pPr>
        <w:spacing w:before="360" w:after="0" w:line="360" w:lineRule="auto"/>
        <w:jc w:val="both"/>
        <w:rPr>
          <w:rFonts w:ascii="Arial" w:hAnsi="Arial" w:cs="Arial"/>
          <w:b/>
          <w:sz w:val="24"/>
          <w:szCs w:val="24"/>
          <w:lang w:val="en-GB"/>
        </w:rPr>
      </w:pPr>
      <w:r>
        <w:rPr>
          <w:rFonts w:ascii="Arial" w:hAnsi="Arial" w:cs="Arial"/>
          <w:b/>
          <w:sz w:val="24"/>
          <w:szCs w:val="24"/>
          <w:lang w:val="en-GB"/>
        </w:rPr>
        <w:t>4</w:t>
      </w:r>
      <w:r w:rsidRPr="00EC5F5A">
        <w:rPr>
          <w:rFonts w:ascii="Arial" w:hAnsi="Arial" w:cs="Arial"/>
          <w:b/>
          <w:sz w:val="24"/>
          <w:szCs w:val="24"/>
          <w:lang w:val="en-GB"/>
        </w:rPr>
        <w:t xml:space="preserve">. </w:t>
      </w:r>
      <w:r>
        <w:rPr>
          <w:rFonts w:ascii="Arial" w:hAnsi="Arial" w:cs="Arial"/>
          <w:b/>
          <w:sz w:val="24"/>
          <w:szCs w:val="24"/>
          <w:lang w:val="en-GB"/>
        </w:rPr>
        <w:t>Conclusion and Outlook</w:t>
      </w:r>
    </w:p>
    <w:p w:rsidR="0099775A" w:rsidRPr="0099775A" w:rsidRDefault="0099775A" w:rsidP="0099775A">
      <w:pPr>
        <w:pStyle w:val="FirstParagraph"/>
        <w:spacing w:line="360" w:lineRule="auto"/>
        <w:rPr>
          <w:rFonts w:cs="Arial"/>
          <w:lang w:val="en-GB"/>
        </w:rPr>
      </w:pPr>
      <w:r w:rsidRPr="0099775A">
        <w:rPr>
          <w:rFonts w:cs="Arial"/>
          <w:lang w:val="en-GB"/>
        </w:rPr>
        <w:t>Above all, it is of utmost importance for any future work related to the assessment of sampling precision, that regional identifiers and sample design variables</w:t>
      </w:r>
      <w:r w:rsidR="00AE0D35">
        <w:rPr>
          <w:rFonts w:cs="Arial"/>
          <w:lang w:val="en-GB"/>
        </w:rPr>
        <w:t xml:space="preserve"> are accessible to researchers. </w:t>
      </w:r>
      <w:r w:rsidRPr="0099775A">
        <w:rPr>
          <w:rFonts w:cs="Arial"/>
          <w:lang w:val="en-GB"/>
        </w:rPr>
        <w:t>Great progress has already been made by making longitudinally linkable identifiers available in the cross sectional files of the EU-SILC UDB from 2014 onwards. Given the importance of these identifiers for the replication method described in this paper, it would be suggested to revise sectional identifiers also for previous waves.</w:t>
      </w:r>
    </w:p>
    <w:p w:rsidR="0099775A" w:rsidRPr="0099775A" w:rsidRDefault="0099775A" w:rsidP="0099775A">
      <w:pPr>
        <w:pStyle w:val="FirstParagraph"/>
        <w:spacing w:line="360" w:lineRule="auto"/>
        <w:rPr>
          <w:rFonts w:cs="Arial"/>
          <w:lang w:val="en-GB"/>
        </w:rPr>
      </w:pPr>
    </w:p>
    <w:p w:rsidR="0099775A" w:rsidRPr="0099775A" w:rsidRDefault="0099775A" w:rsidP="0099775A">
      <w:pPr>
        <w:pStyle w:val="FirstParagraph"/>
        <w:spacing w:line="360" w:lineRule="auto"/>
        <w:rPr>
          <w:rFonts w:cs="Arial"/>
          <w:lang w:val="en-GB"/>
        </w:rPr>
      </w:pPr>
      <w:r w:rsidRPr="0099775A">
        <w:rPr>
          <w:rFonts w:cs="Arial"/>
          <w:lang w:val="en-GB"/>
        </w:rPr>
        <w:t>The experience presented in this paper can be summarised as follows.</w:t>
      </w:r>
    </w:p>
    <w:p w:rsidR="0099775A" w:rsidRPr="0099775A" w:rsidRDefault="0099775A" w:rsidP="0099775A">
      <w:pPr>
        <w:pStyle w:val="FirstParagraph"/>
        <w:numPr>
          <w:ilvl w:val="0"/>
          <w:numId w:val="4"/>
        </w:numPr>
        <w:spacing w:line="360" w:lineRule="auto"/>
        <w:rPr>
          <w:rFonts w:cs="Arial"/>
          <w:lang w:val="en-GB"/>
        </w:rPr>
      </w:pPr>
      <w:r w:rsidRPr="0099775A">
        <w:rPr>
          <w:rFonts w:cs="Arial"/>
          <w:lang w:val="en-GB"/>
        </w:rPr>
        <w:t>Multi-Annual Averages Approximation (AAA) promises easy gains compared to alternatives for precision enhancement though sample size increase or SAE.</w:t>
      </w:r>
    </w:p>
    <w:p w:rsidR="0099775A" w:rsidRPr="0099775A" w:rsidRDefault="0099775A" w:rsidP="0099775A">
      <w:pPr>
        <w:pStyle w:val="FirstParagraph"/>
        <w:numPr>
          <w:ilvl w:val="0"/>
          <w:numId w:val="4"/>
        </w:numPr>
        <w:spacing w:line="360" w:lineRule="auto"/>
        <w:rPr>
          <w:rFonts w:cs="Arial"/>
          <w:lang w:val="en-GB"/>
        </w:rPr>
      </w:pPr>
      <w:r w:rsidRPr="0099775A">
        <w:rPr>
          <w:rFonts w:cs="Arial"/>
          <w:lang w:val="en-GB"/>
        </w:rPr>
        <w:lastRenderedPageBreak/>
        <w:t xml:space="preserve">Standard errors obtained from the proposed replication method are slightly higher than those obtained by the ultimate cluster approach proposed in Net-SILC 2. </w:t>
      </w:r>
    </w:p>
    <w:p w:rsidR="0099775A" w:rsidRPr="0099775A" w:rsidRDefault="0099775A" w:rsidP="0099775A">
      <w:pPr>
        <w:pStyle w:val="FirstParagraph"/>
        <w:spacing w:line="360" w:lineRule="auto"/>
        <w:rPr>
          <w:rFonts w:cs="Arial"/>
          <w:lang w:val="en-GB"/>
        </w:rPr>
      </w:pPr>
    </w:p>
    <w:p w:rsidR="0099775A" w:rsidRPr="0099775A" w:rsidRDefault="0099775A" w:rsidP="0099775A">
      <w:pPr>
        <w:pStyle w:val="FirstParagraph"/>
        <w:spacing w:line="360" w:lineRule="auto"/>
        <w:rPr>
          <w:rFonts w:cs="Arial"/>
          <w:lang w:val="en-GB"/>
        </w:rPr>
      </w:pPr>
      <w:r w:rsidRPr="0099775A">
        <w:rPr>
          <w:rFonts w:cs="Arial"/>
          <w:lang w:val="en-GB"/>
        </w:rPr>
        <w:t>This paper has put an emphasis on methodological aspects of estimation of indicators and their variance. The focus was on the AROPE-indicator only. In the future it will be worthwhile to address also multidimensional aspects which, for example may also take into account differences in housing cost (</w:t>
      </w:r>
      <w:proofErr w:type="spellStart"/>
      <w:r w:rsidRPr="0099775A">
        <w:rPr>
          <w:rFonts w:cs="Arial"/>
          <w:lang w:val="en-GB"/>
        </w:rPr>
        <w:t>Annoni</w:t>
      </w:r>
      <w:proofErr w:type="spellEnd"/>
      <w:r w:rsidRPr="0099775A">
        <w:rPr>
          <w:rFonts w:cs="Arial"/>
          <w:lang w:val="en-GB"/>
        </w:rPr>
        <w:t xml:space="preserve"> and </w:t>
      </w:r>
      <w:proofErr w:type="spellStart"/>
      <w:r w:rsidRPr="0099775A">
        <w:rPr>
          <w:rFonts w:cs="Arial"/>
          <w:lang w:val="en-GB"/>
        </w:rPr>
        <w:t>Weziak-BIalowolska</w:t>
      </w:r>
      <w:proofErr w:type="spellEnd"/>
      <w:r w:rsidRPr="0099775A">
        <w:rPr>
          <w:rFonts w:cs="Arial"/>
          <w:lang w:val="en-GB"/>
        </w:rPr>
        <w:t xml:space="preserve"> 2014) and inequalities of income and purchasing powers between regions.</w:t>
      </w:r>
    </w:p>
    <w:p w:rsidR="0099775A" w:rsidRPr="0099775A" w:rsidRDefault="0099775A" w:rsidP="0099775A">
      <w:pPr>
        <w:pStyle w:val="FirstParagraph"/>
        <w:spacing w:line="360" w:lineRule="auto"/>
        <w:rPr>
          <w:rFonts w:cs="Arial"/>
          <w:lang w:val="en-GB"/>
        </w:rPr>
      </w:pPr>
    </w:p>
    <w:p w:rsidR="0099775A" w:rsidRPr="0099775A" w:rsidRDefault="0099775A" w:rsidP="0099775A">
      <w:pPr>
        <w:pStyle w:val="FirstParagraph"/>
        <w:spacing w:line="360" w:lineRule="auto"/>
        <w:rPr>
          <w:rFonts w:cs="Arial"/>
          <w:lang w:val="en-GB"/>
        </w:rPr>
      </w:pPr>
      <w:r w:rsidRPr="0099775A">
        <w:rPr>
          <w:rFonts w:cs="Arial"/>
          <w:lang w:val="en-GB"/>
        </w:rPr>
        <w:t xml:space="preserve">Given the computational flexibility of the replication approach, the </w:t>
      </w:r>
      <w:proofErr w:type="spellStart"/>
      <w:r w:rsidRPr="0099775A">
        <w:rPr>
          <w:rFonts w:cs="Arial"/>
          <w:lang w:val="en-GB"/>
        </w:rPr>
        <w:t>surveysd</w:t>
      </w:r>
      <w:proofErr w:type="spellEnd"/>
      <w:r w:rsidRPr="0099775A">
        <w:rPr>
          <w:rFonts w:cs="Arial"/>
          <w:lang w:val="en-GB"/>
        </w:rPr>
        <w:t xml:space="preserve"> </w:t>
      </w:r>
      <w:r w:rsidR="00AE0D35">
        <w:rPr>
          <w:rFonts w:cs="Arial"/>
          <w:lang w:val="en-GB"/>
        </w:rPr>
        <w:t>package</w:t>
      </w:r>
      <w:r w:rsidRPr="0099775A">
        <w:rPr>
          <w:rFonts w:cs="Arial"/>
          <w:lang w:val="en-GB"/>
        </w:rPr>
        <w:t xml:space="preserve"> may be easily extended, including the following examples:</w:t>
      </w:r>
    </w:p>
    <w:p w:rsidR="0099775A" w:rsidRPr="0099775A" w:rsidRDefault="0099775A" w:rsidP="0099775A">
      <w:pPr>
        <w:pStyle w:val="FirstParagraph"/>
        <w:spacing w:line="360" w:lineRule="auto"/>
        <w:rPr>
          <w:rFonts w:cs="Arial"/>
          <w:lang w:val="en-GB"/>
        </w:rPr>
      </w:pPr>
    </w:p>
    <w:p w:rsidR="0099775A" w:rsidRPr="0099775A" w:rsidRDefault="0099775A" w:rsidP="0099775A">
      <w:pPr>
        <w:pStyle w:val="FirstParagraph"/>
        <w:numPr>
          <w:ilvl w:val="0"/>
          <w:numId w:val="5"/>
        </w:numPr>
        <w:spacing w:line="360" w:lineRule="auto"/>
        <w:rPr>
          <w:rFonts w:cs="Arial"/>
          <w:lang w:val="en-GB"/>
        </w:rPr>
      </w:pPr>
      <w:r w:rsidRPr="0099775A">
        <w:rPr>
          <w:rFonts w:cs="Arial"/>
          <w:lang w:val="en-GB"/>
        </w:rPr>
        <w:t>Assessing the precision gain through consolidated indicators, such as AROP with different income thresholds. (</w:t>
      </w:r>
      <w:proofErr w:type="spellStart"/>
      <w:r w:rsidRPr="0099775A">
        <w:rPr>
          <w:rFonts w:cs="Arial"/>
          <w:lang w:val="en-GB"/>
        </w:rPr>
        <w:t>Verma</w:t>
      </w:r>
      <w:proofErr w:type="spellEnd"/>
      <w:r w:rsidRPr="0099775A">
        <w:rPr>
          <w:rFonts w:cs="Arial"/>
          <w:lang w:val="en-GB"/>
        </w:rPr>
        <w:t xml:space="preserve">, </w:t>
      </w:r>
      <w:proofErr w:type="spellStart"/>
      <w:r w:rsidRPr="0099775A">
        <w:rPr>
          <w:rFonts w:cs="Arial"/>
          <w:lang w:val="en-GB"/>
        </w:rPr>
        <w:t>Betti</w:t>
      </w:r>
      <w:proofErr w:type="spellEnd"/>
      <w:r w:rsidRPr="0099775A">
        <w:rPr>
          <w:rFonts w:cs="Arial"/>
          <w:lang w:val="en-GB"/>
        </w:rPr>
        <w:t xml:space="preserve"> and </w:t>
      </w:r>
      <w:proofErr w:type="spellStart"/>
      <w:r w:rsidRPr="0099775A">
        <w:rPr>
          <w:rFonts w:cs="Arial"/>
          <w:lang w:val="en-GB"/>
        </w:rPr>
        <w:t>Gagliardi</w:t>
      </w:r>
      <w:proofErr w:type="spellEnd"/>
      <w:r w:rsidRPr="0099775A">
        <w:rPr>
          <w:rFonts w:cs="Arial"/>
          <w:lang w:val="en-GB"/>
        </w:rPr>
        <w:t xml:space="preserve"> 2010b)</w:t>
      </w:r>
    </w:p>
    <w:p w:rsidR="0099775A" w:rsidRPr="0099775A" w:rsidRDefault="0099775A" w:rsidP="0099775A">
      <w:pPr>
        <w:pStyle w:val="FirstParagraph"/>
        <w:numPr>
          <w:ilvl w:val="0"/>
          <w:numId w:val="5"/>
        </w:numPr>
        <w:spacing w:line="360" w:lineRule="auto"/>
        <w:rPr>
          <w:rFonts w:cs="Arial"/>
          <w:lang w:val="en-GB"/>
        </w:rPr>
      </w:pPr>
      <w:r w:rsidRPr="0099775A">
        <w:rPr>
          <w:rFonts w:cs="Arial"/>
          <w:lang w:val="en-GB"/>
        </w:rPr>
        <w:t xml:space="preserve">Similar to the cumulation over time, the number of unreliable regional AAA estimates may also be reduced by constructing averages over space. </w:t>
      </w:r>
    </w:p>
    <w:p w:rsidR="0099775A" w:rsidRPr="0099775A" w:rsidRDefault="0099775A" w:rsidP="0099775A">
      <w:pPr>
        <w:pStyle w:val="FirstParagraph"/>
        <w:numPr>
          <w:ilvl w:val="0"/>
          <w:numId w:val="5"/>
        </w:numPr>
        <w:spacing w:line="360" w:lineRule="auto"/>
        <w:rPr>
          <w:rFonts w:cs="Arial"/>
          <w:lang w:val="en-GB"/>
        </w:rPr>
      </w:pPr>
      <w:r w:rsidRPr="0099775A">
        <w:rPr>
          <w:rFonts w:cs="Arial"/>
          <w:lang w:val="en-GB"/>
        </w:rPr>
        <w:t xml:space="preserve">Technical improvement of the replication method may be necessary to represent the actual longitudinal sampling by rotational group. In the present version of the algorithm, bootstrap replicates are generated independently for each wave and only afterwards taken forward for individuals from the same original sample household. </w:t>
      </w:r>
    </w:p>
    <w:p w:rsidR="00F30C27" w:rsidRPr="00EC5F5A" w:rsidRDefault="00F30C27"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5. References</w:t>
      </w:r>
    </w:p>
    <w:p w:rsidR="0099775A" w:rsidRPr="0099775A" w:rsidRDefault="0099775A" w:rsidP="009C0798">
      <w:pPr>
        <w:spacing w:line="360" w:lineRule="auto"/>
        <w:rPr>
          <w:rFonts w:ascii="Arial" w:hAnsi="Arial" w:cs="Arial"/>
          <w:sz w:val="24"/>
          <w:szCs w:val="24"/>
          <w:lang w:val="en-GB"/>
        </w:rPr>
      </w:pPr>
      <w:proofErr w:type="spellStart"/>
      <w:r w:rsidRPr="0099775A">
        <w:rPr>
          <w:rFonts w:ascii="Arial" w:hAnsi="Arial" w:cs="Arial"/>
          <w:sz w:val="24"/>
          <w:szCs w:val="24"/>
          <w:lang w:val="en-GB"/>
        </w:rPr>
        <w:t>Annoni</w:t>
      </w:r>
      <w:proofErr w:type="spellEnd"/>
      <w:r w:rsidRPr="0099775A">
        <w:rPr>
          <w:rFonts w:ascii="Arial" w:hAnsi="Arial" w:cs="Arial"/>
          <w:sz w:val="24"/>
          <w:szCs w:val="24"/>
          <w:lang w:val="en-GB"/>
        </w:rPr>
        <w:t xml:space="preserve">, P. and </w:t>
      </w:r>
      <w:proofErr w:type="spellStart"/>
      <w:r w:rsidRPr="0099775A">
        <w:rPr>
          <w:rFonts w:ascii="Arial" w:hAnsi="Arial" w:cs="Arial"/>
          <w:sz w:val="24"/>
          <w:szCs w:val="24"/>
          <w:lang w:val="en-GB"/>
        </w:rPr>
        <w:t>Weziak-Bialowolska</w:t>
      </w:r>
      <w:proofErr w:type="spellEnd"/>
      <w:r w:rsidRPr="0099775A">
        <w:rPr>
          <w:rFonts w:ascii="Arial" w:hAnsi="Arial" w:cs="Arial"/>
          <w:sz w:val="24"/>
          <w:szCs w:val="24"/>
          <w:lang w:val="en-GB"/>
        </w:rPr>
        <w:t xml:space="preserve">, D. (2016), “A measure to target anti-poverty policies in the European Union regions”, </w:t>
      </w:r>
      <w:proofErr w:type="gramStart"/>
      <w:r w:rsidRPr="0099775A">
        <w:rPr>
          <w:rFonts w:ascii="Arial" w:hAnsi="Arial" w:cs="Arial"/>
          <w:i/>
          <w:sz w:val="24"/>
          <w:szCs w:val="24"/>
          <w:lang w:val="en-GB"/>
        </w:rPr>
        <w:t>Applied</w:t>
      </w:r>
      <w:proofErr w:type="gramEnd"/>
      <w:r w:rsidRPr="0099775A">
        <w:rPr>
          <w:rFonts w:ascii="Arial" w:hAnsi="Arial" w:cs="Arial"/>
          <w:i/>
          <w:sz w:val="24"/>
          <w:szCs w:val="24"/>
          <w:lang w:val="en-GB"/>
        </w:rPr>
        <w:t xml:space="preserve"> Research in Quality of Life</w:t>
      </w:r>
      <w:r w:rsidRPr="0099775A">
        <w:rPr>
          <w:rFonts w:ascii="Arial" w:hAnsi="Arial" w:cs="Arial"/>
          <w:sz w:val="24"/>
          <w:szCs w:val="24"/>
          <w:lang w:val="en-GB"/>
        </w:rPr>
        <w:t>, 11(1): 181-207</w:t>
      </w:r>
    </w:p>
    <w:p w:rsidR="0099775A" w:rsidRPr="0099775A" w:rsidRDefault="0099775A" w:rsidP="009C0798">
      <w:pPr>
        <w:spacing w:line="360" w:lineRule="auto"/>
        <w:rPr>
          <w:rFonts w:ascii="Arial" w:hAnsi="Arial" w:cs="Arial"/>
          <w:sz w:val="24"/>
          <w:szCs w:val="24"/>
          <w:lang w:val="en-GB"/>
        </w:rPr>
      </w:pPr>
      <w:proofErr w:type="spellStart"/>
      <w:r w:rsidRPr="0099775A">
        <w:rPr>
          <w:rFonts w:ascii="Arial" w:hAnsi="Arial" w:cs="Arial"/>
          <w:sz w:val="24"/>
          <w:szCs w:val="24"/>
          <w:lang w:val="en-GB"/>
        </w:rPr>
        <w:t>Alfons</w:t>
      </w:r>
      <w:proofErr w:type="spellEnd"/>
      <w:r w:rsidRPr="0099775A">
        <w:rPr>
          <w:rFonts w:ascii="Arial" w:hAnsi="Arial" w:cs="Arial"/>
          <w:sz w:val="24"/>
          <w:szCs w:val="24"/>
          <w:lang w:val="en-GB"/>
        </w:rPr>
        <w:t xml:space="preserve">, A. and Templ, M. (2012), Estimation of social exclusion indicators from complex surveys: The R package </w:t>
      </w:r>
      <w:proofErr w:type="spellStart"/>
      <w:r w:rsidRPr="0099775A">
        <w:rPr>
          <w:rFonts w:ascii="Arial" w:hAnsi="Arial" w:cs="Arial"/>
          <w:sz w:val="24"/>
          <w:szCs w:val="24"/>
          <w:lang w:val="en-GB"/>
        </w:rPr>
        <w:t>Laeken</w:t>
      </w:r>
      <w:proofErr w:type="spellEnd"/>
      <w:r w:rsidRPr="0099775A">
        <w:rPr>
          <w:rFonts w:ascii="Arial" w:hAnsi="Arial" w:cs="Arial"/>
          <w:sz w:val="24"/>
          <w:szCs w:val="24"/>
          <w:lang w:val="en-GB"/>
        </w:rPr>
        <w:t>.</w:t>
      </w:r>
    </w:p>
    <w:p w:rsidR="0099775A" w:rsidRPr="0099775A" w:rsidRDefault="0099775A" w:rsidP="009C0798">
      <w:pPr>
        <w:spacing w:line="360" w:lineRule="auto"/>
        <w:rPr>
          <w:rFonts w:ascii="Arial" w:hAnsi="Arial" w:cs="Arial"/>
          <w:sz w:val="24"/>
          <w:szCs w:val="24"/>
          <w:lang w:val="en-GB"/>
        </w:rPr>
      </w:pPr>
      <w:proofErr w:type="gramStart"/>
      <w:r w:rsidRPr="0099775A">
        <w:rPr>
          <w:rFonts w:ascii="Arial" w:hAnsi="Arial" w:cs="Arial"/>
          <w:sz w:val="24"/>
          <w:szCs w:val="24"/>
          <w:lang w:val="en-GB"/>
        </w:rPr>
        <w:t xml:space="preserve">Atkinson, A. B., </w:t>
      </w:r>
      <w:proofErr w:type="spellStart"/>
      <w:r w:rsidRPr="0099775A">
        <w:rPr>
          <w:rFonts w:ascii="Arial" w:hAnsi="Arial" w:cs="Arial"/>
          <w:sz w:val="24"/>
          <w:szCs w:val="24"/>
          <w:lang w:val="en-GB"/>
        </w:rPr>
        <w:t>Guio</w:t>
      </w:r>
      <w:proofErr w:type="spellEnd"/>
      <w:r w:rsidRPr="0099775A">
        <w:rPr>
          <w:rFonts w:ascii="Arial" w:hAnsi="Arial" w:cs="Arial"/>
          <w:sz w:val="24"/>
          <w:szCs w:val="24"/>
          <w:lang w:val="en-GB"/>
        </w:rPr>
        <w:t>, A. C. and Marlier, E. (2017), Monitoring social inclusion in Europe.</w:t>
      </w:r>
      <w:proofErr w:type="gramEnd"/>
      <w:r w:rsidRPr="0099775A">
        <w:rPr>
          <w:rFonts w:ascii="Arial" w:hAnsi="Arial" w:cs="Arial"/>
          <w:sz w:val="24"/>
          <w:szCs w:val="24"/>
          <w:lang w:val="en-GB"/>
        </w:rPr>
        <w:t xml:space="preserve"> In </w:t>
      </w:r>
      <w:r w:rsidRPr="0099775A">
        <w:rPr>
          <w:rFonts w:ascii="Arial" w:hAnsi="Arial" w:cs="Arial"/>
          <w:i/>
          <w:sz w:val="24"/>
          <w:szCs w:val="24"/>
          <w:lang w:val="en-GB"/>
        </w:rPr>
        <w:t>Luxembourg: Publications Office of the European Union</w:t>
      </w:r>
      <w:r w:rsidRPr="0099775A">
        <w:rPr>
          <w:rFonts w:ascii="Arial" w:hAnsi="Arial" w:cs="Arial"/>
          <w:sz w:val="24"/>
          <w:szCs w:val="24"/>
          <w:lang w:val="en-GB"/>
        </w:rPr>
        <w:t>.</w:t>
      </w:r>
    </w:p>
    <w:p w:rsidR="0099775A" w:rsidRPr="0099775A" w:rsidRDefault="0099775A" w:rsidP="009C0798">
      <w:pPr>
        <w:spacing w:line="360" w:lineRule="auto"/>
        <w:rPr>
          <w:rFonts w:ascii="Arial" w:hAnsi="Arial" w:cs="Arial"/>
          <w:sz w:val="24"/>
          <w:szCs w:val="24"/>
          <w:lang w:val="en-GB"/>
        </w:rPr>
      </w:pPr>
      <w:r w:rsidRPr="0099775A">
        <w:rPr>
          <w:rFonts w:ascii="Arial" w:hAnsi="Arial" w:cs="Arial"/>
          <w:sz w:val="24"/>
          <w:szCs w:val="24"/>
          <w:lang w:val="en-GB"/>
        </w:rPr>
        <w:lastRenderedPageBreak/>
        <w:t>Atkinson, T., Cantillon, B., Marlier, E. and Nolan, B. (2002), Social indicators: The EU and social inclusion: OUP Oxford.</w:t>
      </w:r>
    </w:p>
    <w:p w:rsidR="0099775A" w:rsidRPr="0099775A" w:rsidRDefault="0099775A" w:rsidP="009C0798">
      <w:pPr>
        <w:spacing w:line="360" w:lineRule="auto"/>
        <w:rPr>
          <w:rFonts w:ascii="Arial" w:hAnsi="Arial" w:cs="Arial"/>
          <w:sz w:val="24"/>
          <w:szCs w:val="24"/>
          <w:lang w:val="en-GB"/>
        </w:rPr>
      </w:pPr>
      <w:r w:rsidRPr="0099775A">
        <w:rPr>
          <w:rFonts w:ascii="Arial" w:hAnsi="Arial" w:cs="Arial"/>
          <w:sz w:val="24"/>
          <w:szCs w:val="24"/>
          <w:lang w:val="en-GB"/>
        </w:rPr>
        <w:t xml:space="preserve">Bauer, Martin., Till M., </w:t>
      </w:r>
      <w:proofErr w:type="spellStart"/>
      <w:r w:rsidRPr="0099775A">
        <w:rPr>
          <w:rFonts w:ascii="Arial" w:hAnsi="Arial" w:cs="Arial"/>
          <w:sz w:val="24"/>
          <w:szCs w:val="24"/>
          <w:lang w:val="en-GB"/>
        </w:rPr>
        <w:t>Heuberger</w:t>
      </w:r>
      <w:proofErr w:type="spellEnd"/>
      <w:r w:rsidRPr="0099775A">
        <w:rPr>
          <w:rFonts w:ascii="Arial" w:hAnsi="Arial" w:cs="Arial"/>
          <w:sz w:val="24"/>
          <w:szCs w:val="24"/>
          <w:lang w:val="en-GB"/>
        </w:rPr>
        <w:t xml:space="preserve"> R. </w:t>
      </w:r>
      <w:proofErr w:type="spellStart"/>
      <w:r w:rsidRPr="0099775A">
        <w:rPr>
          <w:rFonts w:ascii="Arial" w:hAnsi="Arial" w:cs="Arial"/>
          <w:sz w:val="24"/>
          <w:szCs w:val="24"/>
          <w:lang w:val="en-GB"/>
        </w:rPr>
        <w:t>Bilgili</w:t>
      </w:r>
      <w:proofErr w:type="spellEnd"/>
      <w:r w:rsidRPr="0099775A">
        <w:rPr>
          <w:rFonts w:ascii="Arial" w:hAnsi="Arial" w:cs="Arial"/>
          <w:sz w:val="24"/>
          <w:szCs w:val="24"/>
          <w:lang w:val="en-GB"/>
        </w:rPr>
        <w:t xml:space="preserve"> M., Glaser T., Kafka E. and Klotz J. (2013), “</w:t>
      </w:r>
      <w:proofErr w:type="spellStart"/>
      <w:r w:rsidRPr="0099775A">
        <w:rPr>
          <w:rFonts w:ascii="Arial" w:hAnsi="Arial" w:cs="Arial"/>
          <w:sz w:val="24"/>
          <w:szCs w:val="24"/>
          <w:lang w:val="en-GB"/>
        </w:rPr>
        <w:t>Studie</w:t>
      </w:r>
      <w:proofErr w:type="spellEnd"/>
      <w:r w:rsidRPr="0099775A">
        <w:rPr>
          <w:rFonts w:ascii="Arial" w:hAnsi="Arial" w:cs="Arial"/>
          <w:sz w:val="24"/>
          <w:szCs w:val="24"/>
          <w:lang w:val="en-GB"/>
        </w:rPr>
        <w:t xml:space="preserve"> </w:t>
      </w:r>
      <w:proofErr w:type="spellStart"/>
      <w:r w:rsidRPr="0099775A">
        <w:rPr>
          <w:rFonts w:ascii="Arial" w:hAnsi="Arial" w:cs="Arial"/>
          <w:sz w:val="24"/>
          <w:szCs w:val="24"/>
          <w:lang w:val="en-GB"/>
        </w:rPr>
        <w:t>zu</w:t>
      </w:r>
      <w:proofErr w:type="spellEnd"/>
      <w:r w:rsidRPr="0099775A">
        <w:rPr>
          <w:rFonts w:ascii="Arial" w:hAnsi="Arial" w:cs="Arial"/>
          <w:sz w:val="24"/>
          <w:szCs w:val="24"/>
          <w:lang w:val="en-GB"/>
        </w:rPr>
        <w:t xml:space="preserve"> </w:t>
      </w:r>
      <w:proofErr w:type="spellStart"/>
      <w:r w:rsidRPr="0099775A">
        <w:rPr>
          <w:rFonts w:ascii="Arial" w:hAnsi="Arial" w:cs="Arial"/>
          <w:sz w:val="24"/>
          <w:szCs w:val="24"/>
          <w:lang w:val="en-GB"/>
        </w:rPr>
        <w:t>Armut</w:t>
      </w:r>
      <w:proofErr w:type="spellEnd"/>
      <w:r w:rsidRPr="0099775A">
        <w:rPr>
          <w:rFonts w:ascii="Arial" w:hAnsi="Arial" w:cs="Arial"/>
          <w:sz w:val="24"/>
          <w:szCs w:val="24"/>
          <w:lang w:val="en-GB"/>
        </w:rPr>
        <w:t xml:space="preserve"> und </w:t>
      </w:r>
      <w:proofErr w:type="spellStart"/>
      <w:r w:rsidRPr="0099775A">
        <w:rPr>
          <w:rFonts w:ascii="Arial" w:hAnsi="Arial" w:cs="Arial"/>
          <w:sz w:val="24"/>
          <w:szCs w:val="24"/>
          <w:lang w:val="en-GB"/>
        </w:rPr>
        <w:t>sozialer</w:t>
      </w:r>
      <w:proofErr w:type="spellEnd"/>
      <w:r w:rsidRPr="0099775A">
        <w:rPr>
          <w:rFonts w:ascii="Arial" w:hAnsi="Arial" w:cs="Arial"/>
          <w:sz w:val="24"/>
          <w:szCs w:val="24"/>
          <w:lang w:val="en-GB"/>
        </w:rPr>
        <w:t xml:space="preserve"> </w:t>
      </w:r>
      <w:proofErr w:type="spellStart"/>
      <w:r w:rsidRPr="0099775A">
        <w:rPr>
          <w:rFonts w:ascii="Arial" w:hAnsi="Arial" w:cs="Arial"/>
          <w:sz w:val="24"/>
          <w:szCs w:val="24"/>
          <w:lang w:val="en-GB"/>
        </w:rPr>
        <w:t>Eingliederung</w:t>
      </w:r>
      <w:proofErr w:type="spellEnd"/>
      <w:r w:rsidRPr="0099775A">
        <w:rPr>
          <w:rFonts w:ascii="Arial" w:hAnsi="Arial" w:cs="Arial"/>
          <w:sz w:val="24"/>
          <w:szCs w:val="24"/>
          <w:lang w:val="en-GB"/>
        </w:rPr>
        <w:t xml:space="preserve"> in den </w:t>
      </w:r>
      <w:proofErr w:type="spellStart"/>
      <w:r w:rsidRPr="0099775A">
        <w:rPr>
          <w:rFonts w:ascii="Arial" w:hAnsi="Arial" w:cs="Arial"/>
          <w:sz w:val="24"/>
          <w:szCs w:val="24"/>
          <w:lang w:val="en-GB"/>
        </w:rPr>
        <w:t>Bundesländern</w:t>
      </w:r>
      <w:proofErr w:type="spellEnd"/>
      <w:r w:rsidRPr="0099775A">
        <w:rPr>
          <w:rFonts w:ascii="Arial" w:hAnsi="Arial" w:cs="Arial"/>
          <w:sz w:val="24"/>
          <w:szCs w:val="24"/>
          <w:lang w:val="en-GB"/>
        </w:rPr>
        <w:t>.” Statistics Austria.</w:t>
      </w:r>
    </w:p>
    <w:p w:rsidR="0099775A" w:rsidRPr="0099775A" w:rsidRDefault="0099775A" w:rsidP="009C0798">
      <w:pPr>
        <w:spacing w:line="360" w:lineRule="auto"/>
        <w:rPr>
          <w:rFonts w:ascii="Arial" w:hAnsi="Arial" w:cs="Arial"/>
          <w:sz w:val="24"/>
          <w:szCs w:val="24"/>
          <w:lang w:val="en-GB"/>
        </w:rPr>
      </w:pPr>
      <w:proofErr w:type="spellStart"/>
      <w:r w:rsidRPr="0099775A">
        <w:rPr>
          <w:rFonts w:ascii="Arial" w:hAnsi="Arial" w:cs="Arial"/>
          <w:sz w:val="24"/>
          <w:szCs w:val="24"/>
          <w:lang w:val="en-GB"/>
        </w:rPr>
        <w:t>Betti</w:t>
      </w:r>
      <w:proofErr w:type="spellEnd"/>
      <w:r w:rsidRPr="0099775A">
        <w:rPr>
          <w:rFonts w:ascii="Arial" w:hAnsi="Arial" w:cs="Arial"/>
          <w:sz w:val="24"/>
          <w:szCs w:val="24"/>
          <w:lang w:val="en-GB"/>
        </w:rPr>
        <w:t xml:space="preserve">, G., Gagliardi, F., </w:t>
      </w:r>
      <w:proofErr w:type="spellStart"/>
      <w:r w:rsidRPr="0099775A">
        <w:rPr>
          <w:rFonts w:ascii="Arial" w:hAnsi="Arial" w:cs="Arial"/>
          <w:sz w:val="24"/>
          <w:szCs w:val="24"/>
          <w:lang w:val="en-GB"/>
        </w:rPr>
        <w:t>Lemmi</w:t>
      </w:r>
      <w:proofErr w:type="spellEnd"/>
      <w:r w:rsidRPr="0099775A">
        <w:rPr>
          <w:rFonts w:ascii="Arial" w:hAnsi="Arial" w:cs="Arial"/>
          <w:sz w:val="24"/>
          <w:szCs w:val="24"/>
          <w:lang w:val="en-GB"/>
        </w:rPr>
        <w:t xml:space="preserve"> A., and Verma V. (2012), Sub-national indicators of poverty and deprivation in Europe: methodology and applications, Cambridge Journal of Regions, Economy and Society, 5(1), pp. 149-162. </w:t>
      </w:r>
    </w:p>
    <w:p w:rsidR="0099775A" w:rsidRDefault="0099775A" w:rsidP="009C0798">
      <w:pPr>
        <w:spacing w:line="360" w:lineRule="auto"/>
        <w:rPr>
          <w:rFonts w:ascii="Arial" w:hAnsi="Arial" w:cs="Arial"/>
          <w:sz w:val="24"/>
          <w:szCs w:val="24"/>
          <w:lang w:val="en-GB"/>
        </w:rPr>
      </w:pPr>
      <w:r w:rsidRPr="0099775A">
        <w:rPr>
          <w:rFonts w:ascii="Arial" w:hAnsi="Arial" w:cs="Arial"/>
          <w:sz w:val="24"/>
          <w:szCs w:val="24"/>
          <w:lang w:val="en-GB"/>
        </w:rPr>
        <w:t xml:space="preserve">Berger, Y., Osier, G. and </w:t>
      </w:r>
      <w:proofErr w:type="spellStart"/>
      <w:r w:rsidRPr="0099775A">
        <w:rPr>
          <w:rFonts w:ascii="Arial" w:hAnsi="Arial" w:cs="Arial"/>
          <w:sz w:val="24"/>
          <w:szCs w:val="24"/>
          <w:lang w:val="en-GB"/>
        </w:rPr>
        <w:t>Goedemé</w:t>
      </w:r>
      <w:proofErr w:type="spellEnd"/>
      <w:r w:rsidRPr="0099775A">
        <w:rPr>
          <w:rFonts w:ascii="Arial" w:hAnsi="Arial" w:cs="Arial"/>
          <w:sz w:val="24"/>
          <w:szCs w:val="24"/>
          <w:lang w:val="en-GB"/>
        </w:rPr>
        <w:t xml:space="preserve">, T. (2017), “Standard error estimation and related sampling issues” in Atkinson, A.B., </w:t>
      </w:r>
      <w:proofErr w:type="spellStart"/>
      <w:r w:rsidRPr="0099775A">
        <w:rPr>
          <w:rFonts w:ascii="Arial" w:hAnsi="Arial" w:cs="Arial"/>
          <w:sz w:val="24"/>
          <w:szCs w:val="24"/>
          <w:lang w:val="en-GB"/>
        </w:rPr>
        <w:t>Guio</w:t>
      </w:r>
      <w:proofErr w:type="spellEnd"/>
      <w:r w:rsidRPr="0099775A">
        <w:rPr>
          <w:rFonts w:ascii="Arial" w:hAnsi="Arial" w:cs="Arial"/>
          <w:sz w:val="24"/>
          <w:szCs w:val="24"/>
          <w:lang w:val="en-GB"/>
        </w:rPr>
        <w:t xml:space="preserve">, A.-C. </w:t>
      </w:r>
      <w:proofErr w:type="gramStart"/>
      <w:r w:rsidRPr="0099775A">
        <w:rPr>
          <w:rFonts w:ascii="Arial" w:hAnsi="Arial" w:cs="Arial"/>
          <w:sz w:val="24"/>
          <w:szCs w:val="24"/>
          <w:lang w:val="en-GB"/>
        </w:rPr>
        <w:t>and</w:t>
      </w:r>
      <w:proofErr w:type="gramEnd"/>
      <w:r w:rsidRPr="0099775A">
        <w:rPr>
          <w:rFonts w:ascii="Arial" w:hAnsi="Arial" w:cs="Arial"/>
          <w:sz w:val="24"/>
          <w:szCs w:val="24"/>
          <w:lang w:val="en-GB"/>
        </w:rPr>
        <w:t xml:space="preserve"> Marlier, E. (eds.) </w:t>
      </w:r>
      <w:r w:rsidRPr="0099775A">
        <w:rPr>
          <w:rFonts w:ascii="Arial" w:hAnsi="Arial" w:cs="Arial"/>
          <w:i/>
          <w:iCs/>
          <w:sz w:val="24"/>
          <w:szCs w:val="24"/>
          <w:lang w:val="en-GB"/>
        </w:rPr>
        <w:t>Monitoring social inclusion in Europe</w:t>
      </w:r>
      <w:r w:rsidRPr="0099775A">
        <w:rPr>
          <w:rFonts w:ascii="Arial" w:hAnsi="Arial" w:cs="Arial"/>
          <w:sz w:val="24"/>
          <w:szCs w:val="24"/>
          <w:lang w:val="en-GB"/>
        </w:rPr>
        <w:t>, Luxembourg: Publications Office of the European Union, p. 465-478.</w:t>
      </w:r>
    </w:p>
    <w:p w:rsidR="00EF0308" w:rsidRDefault="00EF0308" w:rsidP="009C0798">
      <w:pPr>
        <w:spacing w:line="360" w:lineRule="auto"/>
        <w:rPr>
          <w:rFonts w:ascii="Arial" w:hAnsi="Arial" w:cs="Arial"/>
          <w:sz w:val="24"/>
          <w:szCs w:val="24"/>
          <w:lang w:val="en-US"/>
        </w:rPr>
      </w:pPr>
      <w:proofErr w:type="spellStart"/>
      <w:proofErr w:type="gramStart"/>
      <w:r w:rsidRPr="00EF0308">
        <w:rPr>
          <w:rFonts w:ascii="Arial" w:hAnsi="Arial" w:cs="Arial"/>
          <w:sz w:val="24"/>
          <w:szCs w:val="24"/>
          <w:lang w:val="en-US"/>
        </w:rPr>
        <w:t>Chipperfield</w:t>
      </w:r>
      <w:proofErr w:type="spellEnd"/>
      <w:r w:rsidRPr="00EF0308">
        <w:rPr>
          <w:rFonts w:ascii="Arial" w:hAnsi="Arial" w:cs="Arial"/>
          <w:sz w:val="24"/>
          <w:szCs w:val="24"/>
          <w:lang w:val="en-US"/>
        </w:rPr>
        <w:t>, James, and John Preston.</w:t>
      </w:r>
      <w:proofErr w:type="gramEnd"/>
      <w:r w:rsidRPr="00EF0308">
        <w:rPr>
          <w:rFonts w:ascii="Arial" w:hAnsi="Arial" w:cs="Arial"/>
          <w:sz w:val="24"/>
          <w:szCs w:val="24"/>
          <w:lang w:val="en-US"/>
        </w:rPr>
        <w:t xml:space="preserve"> 2007. “Efficient Bootstrap for Business Surveys” 33 (December): 167–72.</w:t>
      </w:r>
    </w:p>
    <w:p w:rsidR="00EF0308" w:rsidRPr="0099775A" w:rsidRDefault="00EF0308" w:rsidP="009C0798">
      <w:pPr>
        <w:spacing w:line="360" w:lineRule="auto"/>
        <w:rPr>
          <w:rFonts w:ascii="Arial" w:hAnsi="Arial" w:cs="Arial"/>
          <w:sz w:val="24"/>
          <w:szCs w:val="24"/>
          <w:lang w:val="en-GB"/>
        </w:rPr>
      </w:pPr>
      <w:proofErr w:type="gramStart"/>
      <w:r w:rsidRPr="00EF0308">
        <w:rPr>
          <w:rFonts w:ascii="Arial" w:hAnsi="Arial" w:cs="Arial"/>
          <w:sz w:val="24"/>
          <w:szCs w:val="24"/>
          <w:lang w:val="en-US"/>
        </w:rPr>
        <w:t>Deville, Jean-Claude.</w:t>
      </w:r>
      <w:proofErr w:type="gramEnd"/>
      <w:r w:rsidRPr="00EF0308">
        <w:rPr>
          <w:rFonts w:ascii="Arial" w:hAnsi="Arial" w:cs="Arial"/>
          <w:sz w:val="24"/>
          <w:szCs w:val="24"/>
          <w:lang w:val="en-US"/>
        </w:rPr>
        <w:t xml:space="preserve"> 1999. “Variance Estimation for Complex Statistics and Estimators: Linearization and Residual Techniques.” </w:t>
      </w:r>
      <w:r w:rsidRPr="00EF0308">
        <w:rPr>
          <w:rFonts w:ascii="Arial" w:hAnsi="Arial" w:cs="Arial"/>
          <w:i/>
          <w:sz w:val="24"/>
          <w:szCs w:val="24"/>
          <w:lang w:val="en-US"/>
        </w:rPr>
        <w:t xml:space="preserve">Techniques </w:t>
      </w:r>
      <w:proofErr w:type="spellStart"/>
      <w:r w:rsidRPr="00EF0308">
        <w:rPr>
          <w:rFonts w:ascii="Arial" w:hAnsi="Arial" w:cs="Arial"/>
          <w:i/>
          <w:sz w:val="24"/>
          <w:szCs w:val="24"/>
          <w:lang w:val="en-US"/>
        </w:rPr>
        <w:t>d’Enquête</w:t>
      </w:r>
      <w:proofErr w:type="spellEnd"/>
      <w:r w:rsidRPr="00EF0308">
        <w:rPr>
          <w:rFonts w:ascii="Arial" w:hAnsi="Arial" w:cs="Arial"/>
          <w:sz w:val="24"/>
          <w:szCs w:val="24"/>
          <w:lang w:val="en-US"/>
        </w:rPr>
        <w:t xml:space="preserve"> 25 (2): 219–30.</w:t>
      </w:r>
    </w:p>
    <w:p w:rsidR="0099775A" w:rsidRPr="0099775A" w:rsidRDefault="0099775A" w:rsidP="009C0798">
      <w:pPr>
        <w:spacing w:line="360" w:lineRule="auto"/>
        <w:rPr>
          <w:rFonts w:ascii="Arial" w:hAnsi="Arial" w:cs="Arial"/>
          <w:sz w:val="24"/>
          <w:szCs w:val="24"/>
          <w:lang w:val="en-GB"/>
        </w:rPr>
      </w:pPr>
      <w:proofErr w:type="spellStart"/>
      <w:r w:rsidRPr="0099775A">
        <w:rPr>
          <w:rFonts w:ascii="Arial" w:hAnsi="Arial" w:cs="Arial"/>
          <w:sz w:val="24"/>
          <w:szCs w:val="24"/>
          <w:lang w:val="en-GB"/>
        </w:rPr>
        <w:t>Efron</w:t>
      </w:r>
      <w:proofErr w:type="spellEnd"/>
      <w:r w:rsidRPr="0099775A">
        <w:rPr>
          <w:rFonts w:ascii="Arial" w:hAnsi="Arial" w:cs="Arial"/>
          <w:sz w:val="24"/>
          <w:szCs w:val="24"/>
          <w:lang w:val="en-GB"/>
        </w:rPr>
        <w:t xml:space="preserve">, B. (1979), “Bootstrap Methods: Another Look at the </w:t>
      </w:r>
      <w:proofErr w:type="spellStart"/>
      <w:r w:rsidRPr="0099775A">
        <w:rPr>
          <w:rFonts w:ascii="Arial" w:hAnsi="Arial" w:cs="Arial"/>
          <w:sz w:val="24"/>
          <w:szCs w:val="24"/>
          <w:lang w:val="en-GB"/>
        </w:rPr>
        <w:t>Jackknife</w:t>
      </w:r>
      <w:proofErr w:type="spellEnd"/>
      <w:r w:rsidRPr="0099775A">
        <w:rPr>
          <w:rFonts w:ascii="Arial" w:hAnsi="Arial" w:cs="Arial"/>
          <w:sz w:val="24"/>
          <w:szCs w:val="24"/>
          <w:lang w:val="en-GB"/>
        </w:rPr>
        <w:t xml:space="preserve">.” </w:t>
      </w:r>
      <w:r w:rsidRPr="0099775A">
        <w:rPr>
          <w:rFonts w:ascii="Arial" w:hAnsi="Arial" w:cs="Arial"/>
          <w:i/>
          <w:sz w:val="24"/>
          <w:szCs w:val="24"/>
          <w:lang w:val="en-GB"/>
        </w:rPr>
        <w:t>Ann. Statist.</w:t>
      </w:r>
      <w:r w:rsidRPr="0099775A">
        <w:rPr>
          <w:rFonts w:ascii="Arial" w:hAnsi="Arial" w:cs="Arial"/>
          <w:sz w:val="24"/>
          <w:szCs w:val="24"/>
          <w:lang w:val="en-GB"/>
        </w:rPr>
        <w:t xml:space="preserve"> 7 (1). The Institute of Mathematical Statistics: 1–26. doi:</w:t>
      </w:r>
      <w:hyperlink r:id="rId11">
        <w:r w:rsidRPr="0099775A">
          <w:rPr>
            <w:rStyle w:val="Hyperlink"/>
            <w:rFonts w:ascii="Arial" w:hAnsi="Arial" w:cs="Arial"/>
            <w:sz w:val="24"/>
            <w:szCs w:val="24"/>
            <w:lang w:val="en-GB"/>
          </w:rPr>
          <w:t>10.1214/</w:t>
        </w:r>
        <w:proofErr w:type="spellStart"/>
        <w:r w:rsidRPr="0099775A">
          <w:rPr>
            <w:rStyle w:val="Hyperlink"/>
            <w:rFonts w:ascii="Arial" w:hAnsi="Arial" w:cs="Arial"/>
            <w:sz w:val="24"/>
            <w:szCs w:val="24"/>
            <w:lang w:val="en-GB"/>
          </w:rPr>
          <w:t>aos</w:t>
        </w:r>
        <w:proofErr w:type="spellEnd"/>
        <w:r w:rsidRPr="0099775A">
          <w:rPr>
            <w:rStyle w:val="Hyperlink"/>
            <w:rFonts w:ascii="Arial" w:hAnsi="Arial" w:cs="Arial"/>
            <w:sz w:val="24"/>
            <w:szCs w:val="24"/>
            <w:lang w:val="en-GB"/>
          </w:rPr>
          <w:t>/1176344552</w:t>
        </w:r>
      </w:hyperlink>
      <w:r w:rsidRPr="0099775A">
        <w:rPr>
          <w:rFonts w:ascii="Arial" w:hAnsi="Arial" w:cs="Arial"/>
          <w:sz w:val="24"/>
          <w:szCs w:val="24"/>
          <w:lang w:val="en-GB"/>
        </w:rPr>
        <w:t>.</w:t>
      </w:r>
    </w:p>
    <w:p w:rsidR="0099775A" w:rsidRPr="0099775A" w:rsidRDefault="0099775A" w:rsidP="009C0798">
      <w:pPr>
        <w:spacing w:line="360" w:lineRule="auto"/>
        <w:rPr>
          <w:rFonts w:ascii="Arial" w:hAnsi="Arial" w:cs="Arial"/>
          <w:sz w:val="24"/>
          <w:szCs w:val="24"/>
          <w:lang w:val="en-GB"/>
        </w:rPr>
      </w:pPr>
      <w:proofErr w:type="gramStart"/>
      <w:r w:rsidRPr="0099775A">
        <w:rPr>
          <w:rFonts w:ascii="Arial" w:hAnsi="Arial" w:cs="Arial"/>
          <w:sz w:val="24"/>
          <w:szCs w:val="24"/>
          <w:lang w:val="en-GB"/>
        </w:rPr>
        <w:t>Eurostat (2013a), “Handbook on precision requirements and variance estimation for ESS household surveys” Eurostat methodologies and working papers, Eurostat, Luxembourg.</w:t>
      </w:r>
      <w:proofErr w:type="gramEnd"/>
    </w:p>
    <w:p w:rsidR="0099775A" w:rsidRPr="0099775A" w:rsidRDefault="0099775A" w:rsidP="009C0798">
      <w:pPr>
        <w:spacing w:line="360" w:lineRule="auto"/>
        <w:rPr>
          <w:rFonts w:ascii="Arial" w:hAnsi="Arial" w:cs="Arial"/>
          <w:sz w:val="24"/>
          <w:szCs w:val="24"/>
          <w:lang w:val="en-GB"/>
        </w:rPr>
      </w:pPr>
      <w:r w:rsidRPr="0099775A">
        <w:rPr>
          <w:rFonts w:ascii="Arial" w:hAnsi="Arial" w:cs="Arial"/>
          <w:sz w:val="24"/>
          <w:szCs w:val="24"/>
          <w:lang w:val="en-GB"/>
        </w:rPr>
        <w:t>Eurostat (2013b), Outcomes of the TF on the Revision of the EU-SILC legal basis. Working paper for the Working Group Meeting Statistics on Living Conditions 11-13 June 2013 (Doc. LC/88/13/EN).</w:t>
      </w:r>
    </w:p>
    <w:p w:rsidR="0099775A" w:rsidRPr="0099775A" w:rsidRDefault="0099775A" w:rsidP="009C0798">
      <w:pPr>
        <w:spacing w:line="360" w:lineRule="auto"/>
        <w:rPr>
          <w:rFonts w:ascii="Arial" w:hAnsi="Arial" w:cs="Arial"/>
          <w:sz w:val="24"/>
          <w:szCs w:val="24"/>
          <w:lang w:val="en-GB"/>
        </w:rPr>
      </w:pPr>
      <w:r w:rsidRPr="0099775A">
        <w:rPr>
          <w:rFonts w:ascii="Arial" w:hAnsi="Arial" w:cs="Arial"/>
          <w:sz w:val="24"/>
          <w:szCs w:val="24"/>
          <w:lang w:val="en-GB"/>
        </w:rPr>
        <w:t>Marlier, E., Atkinson, A.B., Cantillon, B. and Nolan, B. (2007), The EU and social inclusion: Facing the challenges, The Policy Press, Bristol.</w:t>
      </w:r>
    </w:p>
    <w:p w:rsidR="0099775A" w:rsidRPr="0099775A" w:rsidRDefault="0099775A" w:rsidP="009C0798">
      <w:pPr>
        <w:spacing w:line="360" w:lineRule="auto"/>
        <w:rPr>
          <w:rFonts w:ascii="Arial" w:hAnsi="Arial" w:cs="Arial"/>
          <w:sz w:val="24"/>
          <w:szCs w:val="24"/>
          <w:lang w:val="en-GB"/>
        </w:rPr>
      </w:pPr>
      <w:proofErr w:type="spellStart"/>
      <w:r w:rsidRPr="0099775A">
        <w:rPr>
          <w:rFonts w:ascii="Arial" w:hAnsi="Arial" w:cs="Arial"/>
          <w:sz w:val="24"/>
          <w:szCs w:val="24"/>
          <w:lang w:val="en-GB"/>
        </w:rPr>
        <w:t>Meraner</w:t>
      </w:r>
      <w:proofErr w:type="spellEnd"/>
      <w:r w:rsidRPr="0099775A">
        <w:rPr>
          <w:rFonts w:ascii="Arial" w:hAnsi="Arial" w:cs="Arial"/>
          <w:sz w:val="24"/>
          <w:szCs w:val="24"/>
          <w:lang w:val="en-GB"/>
        </w:rPr>
        <w:t xml:space="preserve">, A., </w:t>
      </w:r>
      <w:proofErr w:type="spellStart"/>
      <w:r w:rsidRPr="0099775A">
        <w:rPr>
          <w:rFonts w:ascii="Arial" w:hAnsi="Arial" w:cs="Arial"/>
          <w:sz w:val="24"/>
          <w:szCs w:val="24"/>
          <w:lang w:val="en-GB"/>
        </w:rPr>
        <w:t>Gumprecht</w:t>
      </w:r>
      <w:proofErr w:type="spellEnd"/>
      <w:r w:rsidRPr="0099775A">
        <w:rPr>
          <w:rFonts w:ascii="Arial" w:hAnsi="Arial" w:cs="Arial"/>
          <w:sz w:val="24"/>
          <w:szCs w:val="24"/>
          <w:lang w:val="en-GB"/>
        </w:rPr>
        <w:t xml:space="preserve">, D. and </w:t>
      </w:r>
      <w:proofErr w:type="spellStart"/>
      <w:r w:rsidRPr="0099775A">
        <w:rPr>
          <w:rFonts w:ascii="Arial" w:hAnsi="Arial" w:cs="Arial"/>
          <w:sz w:val="24"/>
          <w:szCs w:val="24"/>
          <w:lang w:val="en-GB"/>
        </w:rPr>
        <w:t>Kowarik</w:t>
      </w:r>
      <w:proofErr w:type="spellEnd"/>
      <w:r w:rsidRPr="0099775A">
        <w:rPr>
          <w:rFonts w:ascii="Arial" w:hAnsi="Arial" w:cs="Arial"/>
          <w:sz w:val="24"/>
          <w:szCs w:val="24"/>
          <w:lang w:val="en-GB"/>
        </w:rPr>
        <w:t xml:space="preserve">, A. (2016), Weighting Procedure of the Austrian </w:t>
      </w:r>
      <w:proofErr w:type="spellStart"/>
      <w:r w:rsidRPr="0099775A">
        <w:rPr>
          <w:rFonts w:ascii="Arial" w:hAnsi="Arial" w:cs="Arial"/>
          <w:sz w:val="24"/>
          <w:szCs w:val="24"/>
          <w:lang w:val="en-GB"/>
        </w:rPr>
        <w:t>Microcensus</w:t>
      </w:r>
      <w:proofErr w:type="spellEnd"/>
      <w:r w:rsidRPr="0099775A">
        <w:rPr>
          <w:rFonts w:ascii="Arial" w:hAnsi="Arial" w:cs="Arial"/>
          <w:sz w:val="24"/>
          <w:szCs w:val="24"/>
          <w:lang w:val="en-GB"/>
        </w:rPr>
        <w:t xml:space="preserve"> using Administrative Data. In </w:t>
      </w:r>
      <w:r w:rsidRPr="0099775A">
        <w:rPr>
          <w:rFonts w:ascii="Arial" w:hAnsi="Arial" w:cs="Arial"/>
          <w:i/>
          <w:sz w:val="24"/>
          <w:szCs w:val="24"/>
          <w:lang w:val="en-GB"/>
        </w:rPr>
        <w:t xml:space="preserve">Austrian Journal of Statistics </w:t>
      </w:r>
      <w:r w:rsidRPr="0099775A">
        <w:rPr>
          <w:rFonts w:ascii="Arial" w:hAnsi="Arial" w:cs="Arial"/>
          <w:sz w:val="24"/>
          <w:szCs w:val="24"/>
          <w:lang w:val="en-GB"/>
        </w:rPr>
        <w:t>45 (3), pp. 3–14.</w:t>
      </w:r>
    </w:p>
    <w:p w:rsidR="0099775A" w:rsidRPr="0099775A" w:rsidRDefault="0099775A" w:rsidP="009C0798">
      <w:pPr>
        <w:spacing w:line="360" w:lineRule="auto"/>
        <w:rPr>
          <w:rFonts w:ascii="Arial" w:hAnsi="Arial" w:cs="Arial"/>
          <w:sz w:val="24"/>
          <w:szCs w:val="24"/>
          <w:lang w:val="en-GB"/>
        </w:rPr>
      </w:pPr>
      <w:r w:rsidRPr="0099775A">
        <w:rPr>
          <w:rFonts w:ascii="Arial" w:hAnsi="Arial" w:cs="Arial"/>
          <w:sz w:val="24"/>
          <w:szCs w:val="24"/>
          <w:lang w:val="en-GB"/>
        </w:rPr>
        <w:lastRenderedPageBreak/>
        <w:t>Osier, G. (2009), Variance estimation for complex indicators of poverty and inequality using linearization techniques. Survey Research Methods (3), 167-195.</w:t>
      </w:r>
    </w:p>
    <w:p w:rsidR="0099775A" w:rsidRPr="0099775A" w:rsidRDefault="0099775A" w:rsidP="009C0798">
      <w:pPr>
        <w:spacing w:line="360" w:lineRule="auto"/>
        <w:rPr>
          <w:rFonts w:ascii="Arial" w:hAnsi="Arial" w:cs="Arial"/>
          <w:sz w:val="24"/>
          <w:szCs w:val="24"/>
          <w:lang w:val="en-GB"/>
        </w:rPr>
      </w:pPr>
      <w:r w:rsidRPr="0099775A">
        <w:rPr>
          <w:rFonts w:ascii="Arial" w:hAnsi="Arial" w:cs="Arial"/>
          <w:sz w:val="24"/>
          <w:szCs w:val="24"/>
          <w:lang w:val="en-GB"/>
        </w:rPr>
        <w:t>Preston, J. (2009), “Rescaled Bootstrap for Stratified Multistage Sampling” 35 (December): 227–34.</w:t>
      </w:r>
    </w:p>
    <w:p w:rsidR="0099775A" w:rsidRPr="0099775A" w:rsidRDefault="0099775A" w:rsidP="009C0798">
      <w:pPr>
        <w:spacing w:line="360" w:lineRule="auto"/>
        <w:rPr>
          <w:rFonts w:ascii="Arial" w:hAnsi="Arial" w:cs="Arial"/>
          <w:sz w:val="24"/>
          <w:szCs w:val="24"/>
          <w:lang w:val="en-GB"/>
        </w:rPr>
      </w:pPr>
      <w:proofErr w:type="spellStart"/>
      <w:r w:rsidRPr="0099775A">
        <w:rPr>
          <w:rFonts w:ascii="Arial" w:hAnsi="Arial" w:cs="Arial"/>
          <w:sz w:val="24"/>
          <w:szCs w:val="24"/>
          <w:lang w:val="en-GB"/>
        </w:rPr>
        <w:t>Qinghua</w:t>
      </w:r>
      <w:proofErr w:type="spellEnd"/>
      <w:r w:rsidRPr="0099775A">
        <w:rPr>
          <w:rFonts w:ascii="Arial" w:hAnsi="Arial" w:cs="Arial"/>
          <w:sz w:val="24"/>
          <w:szCs w:val="24"/>
          <w:lang w:val="en-GB"/>
        </w:rPr>
        <w:t xml:space="preserve">, Z., and </w:t>
      </w:r>
      <w:proofErr w:type="spellStart"/>
      <w:r w:rsidRPr="0099775A">
        <w:rPr>
          <w:rFonts w:ascii="Arial" w:hAnsi="Arial" w:cs="Arial"/>
          <w:sz w:val="24"/>
          <w:szCs w:val="24"/>
          <w:lang w:val="en-GB"/>
        </w:rPr>
        <w:t>Lanjouw</w:t>
      </w:r>
      <w:proofErr w:type="spellEnd"/>
      <w:r w:rsidRPr="0099775A">
        <w:rPr>
          <w:rFonts w:ascii="Arial" w:hAnsi="Arial" w:cs="Arial"/>
          <w:sz w:val="24"/>
          <w:szCs w:val="24"/>
          <w:lang w:val="en-GB"/>
        </w:rPr>
        <w:t xml:space="preserve"> P. (2009), </w:t>
      </w:r>
      <w:r w:rsidRPr="0099775A">
        <w:rPr>
          <w:rFonts w:ascii="Arial" w:hAnsi="Arial" w:cs="Arial"/>
          <w:i/>
          <w:sz w:val="24"/>
          <w:szCs w:val="24"/>
          <w:lang w:val="en-GB"/>
        </w:rPr>
        <w:t>Using Povmap2</w:t>
      </w:r>
      <w:r w:rsidRPr="0099775A">
        <w:rPr>
          <w:rFonts w:ascii="Arial" w:hAnsi="Arial" w:cs="Arial"/>
          <w:sz w:val="24"/>
          <w:szCs w:val="24"/>
          <w:lang w:val="en-GB"/>
        </w:rPr>
        <w:t xml:space="preserve">. </w:t>
      </w:r>
      <w:hyperlink r:id="rId12">
        <w:r w:rsidRPr="0099775A">
          <w:rPr>
            <w:rStyle w:val="Hyperlink"/>
            <w:rFonts w:ascii="Arial" w:hAnsi="Arial" w:cs="Arial"/>
            <w:sz w:val="24"/>
            <w:szCs w:val="24"/>
            <w:lang w:val="en-GB"/>
          </w:rPr>
          <w:t>http://iresearch.worldbank.org/PovMap/PovMap2/PovMap2Manual.pdf</w:t>
        </w:r>
      </w:hyperlink>
      <w:r w:rsidRPr="0099775A">
        <w:rPr>
          <w:rFonts w:ascii="Arial" w:hAnsi="Arial" w:cs="Arial"/>
          <w:sz w:val="24"/>
          <w:szCs w:val="24"/>
          <w:lang w:val="en-GB"/>
        </w:rPr>
        <w:t>.</w:t>
      </w:r>
    </w:p>
    <w:p w:rsidR="0099775A" w:rsidRPr="0099775A" w:rsidRDefault="0099775A" w:rsidP="009C0798">
      <w:pPr>
        <w:spacing w:line="360" w:lineRule="auto"/>
        <w:rPr>
          <w:rFonts w:ascii="Arial" w:hAnsi="Arial" w:cs="Arial"/>
          <w:sz w:val="24"/>
          <w:szCs w:val="24"/>
          <w:lang w:val="en-GB"/>
        </w:rPr>
      </w:pPr>
      <w:r w:rsidRPr="0099775A">
        <w:rPr>
          <w:rFonts w:ascii="Arial" w:hAnsi="Arial" w:cs="Arial"/>
          <w:sz w:val="24"/>
          <w:szCs w:val="24"/>
          <w:lang w:val="en-GB"/>
        </w:rPr>
        <w:t xml:space="preserve">Rao, J. N. K., and Wu, C. F. J. (1988), “Resampling Inference with Complex Survey Data.” </w:t>
      </w:r>
      <w:r w:rsidRPr="0099775A">
        <w:rPr>
          <w:rFonts w:ascii="Arial" w:hAnsi="Arial" w:cs="Arial"/>
          <w:i/>
          <w:sz w:val="24"/>
          <w:szCs w:val="24"/>
          <w:lang w:val="en-GB"/>
        </w:rPr>
        <w:t>Journal of the American Statistical Association</w:t>
      </w:r>
      <w:r w:rsidRPr="0099775A">
        <w:rPr>
          <w:rFonts w:ascii="Arial" w:hAnsi="Arial" w:cs="Arial"/>
          <w:sz w:val="24"/>
          <w:szCs w:val="24"/>
          <w:lang w:val="en-GB"/>
        </w:rPr>
        <w:t xml:space="preserve"> 83 (401). Taylor &amp; Francis: 231–41.</w:t>
      </w:r>
    </w:p>
    <w:p w:rsidR="0099775A" w:rsidRPr="0099775A" w:rsidRDefault="0099775A" w:rsidP="009C0798">
      <w:pPr>
        <w:spacing w:line="360" w:lineRule="auto"/>
        <w:rPr>
          <w:rFonts w:ascii="Arial" w:hAnsi="Arial" w:cs="Arial"/>
          <w:sz w:val="24"/>
          <w:szCs w:val="24"/>
          <w:lang w:val="en-GB"/>
        </w:rPr>
      </w:pPr>
      <w:proofErr w:type="spellStart"/>
      <w:r w:rsidRPr="0099775A">
        <w:rPr>
          <w:rFonts w:ascii="Arial" w:hAnsi="Arial" w:cs="Arial"/>
          <w:sz w:val="24"/>
          <w:szCs w:val="24"/>
          <w:lang w:val="en-GB"/>
        </w:rPr>
        <w:t>Trindade</w:t>
      </w:r>
      <w:proofErr w:type="spellEnd"/>
      <w:r w:rsidRPr="0099775A">
        <w:rPr>
          <w:rFonts w:ascii="Arial" w:hAnsi="Arial" w:cs="Arial"/>
          <w:sz w:val="24"/>
          <w:szCs w:val="24"/>
          <w:lang w:val="en-GB"/>
        </w:rPr>
        <w:t xml:space="preserve">, L. Z. and </w:t>
      </w:r>
      <w:proofErr w:type="spellStart"/>
      <w:r w:rsidRPr="0099775A">
        <w:rPr>
          <w:rFonts w:ascii="Arial" w:hAnsi="Arial" w:cs="Arial"/>
          <w:sz w:val="24"/>
          <w:szCs w:val="24"/>
          <w:lang w:val="en-GB"/>
        </w:rPr>
        <w:t>Goedemé</w:t>
      </w:r>
      <w:proofErr w:type="spellEnd"/>
      <w:r w:rsidRPr="0099775A">
        <w:rPr>
          <w:rFonts w:ascii="Arial" w:hAnsi="Arial" w:cs="Arial"/>
          <w:sz w:val="24"/>
          <w:szCs w:val="24"/>
          <w:lang w:val="en-GB"/>
        </w:rPr>
        <w:t>, T, (2016), Notes on updating the EU-SILC UDB sample design variables 2012-2014.</w:t>
      </w:r>
    </w:p>
    <w:p w:rsidR="0099775A" w:rsidRPr="0099775A" w:rsidRDefault="0099775A" w:rsidP="009C0798">
      <w:pPr>
        <w:spacing w:line="360" w:lineRule="auto"/>
        <w:rPr>
          <w:rFonts w:ascii="Arial" w:hAnsi="Arial" w:cs="Arial"/>
          <w:sz w:val="24"/>
          <w:szCs w:val="24"/>
          <w:lang w:val="en-GB"/>
        </w:rPr>
      </w:pPr>
      <w:proofErr w:type="spellStart"/>
      <w:r w:rsidRPr="0099775A">
        <w:rPr>
          <w:rFonts w:ascii="Arial" w:hAnsi="Arial" w:cs="Arial"/>
          <w:sz w:val="24"/>
          <w:szCs w:val="24"/>
          <w:lang w:val="en-GB"/>
        </w:rPr>
        <w:t>Tzavidis</w:t>
      </w:r>
      <w:proofErr w:type="spellEnd"/>
      <w:r w:rsidRPr="0099775A">
        <w:rPr>
          <w:rFonts w:ascii="Arial" w:hAnsi="Arial" w:cs="Arial"/>
          <w:sz w:val="24"/>
          <w:szCs w:val="24"/>
          <w:lang w:val="en-GB"/>
        </w:rPr>
        <w:t xml:space="preserve">, N., Zhang, L. C., Luna Hernandez, A., Schmid, T., and Rojas-Perilla, N. (2016), </w:t>
      </w:r>
      <w:r w:rsidRPr="0099775A">
        <w:rPr>
          <w:rFonts w:ascii="Arial" w:hAnsi="Arial" w:cs="Arial"/>
          <w:i/>
          <w:iCs/>
          <w:sz w:val="24"/>
          <w:szCs w:val="24"/>
          <w:lang w:val="en-GB"/>
        </w:rPr>
        <w:t>From start to finish: A framework for the production of small area official statistics</w:t>
      </w:r>
      <w:r w:rsidRPr="0099775A">
        <w:rPr>
          <w:rFonts w:ascii="Arial" w:hAnsi="Arial" w:cs="Arial"/>
          <w:sz w:val="24"/>
          <w:szCs w:val="24"/>
          <w:lang w:val="en-GB"/>
        </w:rPr>
        <w:t xml:space="preserve"> (No. 2016/13). Discussion Paper, School of Business &amp; Economics: Economics.</w:t>
      </w:r>
    </w:p>
    <w:p w:rsidR="0099775A" w:rsidRPr="0099775A" w:rsidRDefault="0099775A" w:rsidP="009C0798">
      <w:pPr>
        <w:spacing w:line="360" w:lineRule="auto"/>
        <w:rPr>
          <w:rFonts w:ascii="Arial" w:hAnsi="Arial" w:cs="Arial"/>
          <w:sz w:val="24"/>
          <w:szCs w:val="24"/>
          <w:lang w:val="en-GB"/>
        </w:rPr>
      </w:pPr>
      <w:proofErr w:type="spellStart"/>
      <w:proofErr w:type="gramStart"/>
      <w:r w:rsidRPr="0099775A">
        <w:rPr>
          <w:rFonts w:ascii="Arial" w:hAnsi="Arial" w:cs="Arial"/>
          <w:sz w:val="24"/>
          <w:szCs w:val="24"/>
          <w:lang w:val="en-GB"/>
        </w:rPr>
        <w:t>Verma</w:t>
      </w:r>
      <w:proofErr w:type="spellEnd"/>
      <w:r w:rsidRPr="0099775A">
        <w:rPr>
          <w:rFonts w:ascii="Arial" w:hAnsi="Arial" w:cs="Arial"/>
          <w:sz w:val="24"/>
          <w:szCs w:val="24"/>
          <w:lang w:val="en-GB"/>
        </w:rPr>
        <w:t xml:space="preserve">, V. and </w:t>
      </w:r>
      <w:proofErr w:type="spellStart"/>
      <w:r w:rsidRPr="0099775A">
        <w:rPr>
          <w:rFonts w:ascii="Arial" w:hAnsi="Arial" w:cs="Arial"/>
          <w:sz w:val="24"/>
          <w:szCs w:val="24"/>
          <w:lang w:val="en-GB"/>
        </w:rPr>
        <w:t>Betti</w:t>
      </w:r>
      <w:proofErr w:type="spellEnd"/>
      <w:r w:rsidRPr="0099775A">
        <w:rPr>
          <w:rFonts w:ascii="Arial" w:hAnsi="Arial" w:cs="Arial"/>
          <w:sz w:val="24"/>
          <w:szCs w:val="24"/>
          <w:lang w:val="en-GB"/>
        </w:rPr>
        <w:t>, G. (2010), Data accuracy in EU-SILC.</w:t>
      </w:r>
      <w:proofErr w:type="gramEnd"/>
      <w:r w:rsidRPr="0099775A">
        <w:rPr>
          <w:rFonts w:ascii="Arial" w:hAnsi="Arial" w:cs="Arial"/>
          <w:sz w:val="24"/>
          <w:szCs w:val="24"/>
          <w:lang w:val="en-GB"/>
        </w:rPr>
        <w:t xml:space="preserve"> in A.B. Atkinson and E. Marlier (eds.), Income and living conditions in Europe, Publications Office of the European Union, Luxembourg.</w:t>
      </w:r>
    </w:p>
    <w:p w:rsidR="0099775A" w:rsidRPr="0099775A" w:rsidRDefault="0099775A" w:rsidP="009C0798">
      <w:pPr>
        <w:spacing w:line="360" w:lineRule="auto"/>
        <w:rPr>
          <w:rFonts w:ascii="Arial" w:hAnsi="Arial" w:cs="Arial"/>
          <w:sz w:val="24"/>
          <w:szCs w:val="24"/>
          <w:lang w:val="en-GB"/>
        </w:rPr>
      </w:pPr>
      <w:r w:rsidRPr="0099775A">
        <w:rPr>
          <w:rFonts w:ascii="Arial" w:hAnsi="Arial" w:cs="Arial"/>
          <w:sz w:val="24"/>
          <w:szCs w:val="24"/>
          <w:lang w:val="en-GB"/>
        </w:rPr>
        <w:t xml:space="preserve">Verma, V., </w:t>
      </w:r>
      <w:proofErr w:type="spellStart"/>
      <w:r w:rsidRPr="0099775A">
        <w:rPr>
          <w:rFonts w:ascii="Arial" w:hAnsi="Arial" w:cs="Arial"/>
          <w:sz w:val="24"/>
          <w:szCs w:val="24"/>
          <w:lang w:val="en-GB"/>
        </w:rPr>
        <w:t>Betti</w:t>
      </w:r>
      <w:proofErr w:type="spellEnd"/>
      <w:r w:rsidRPr="0099775A">
        <w:rPr>
          <w:rFonts w:ascii="Arial" w:hAnsi="Arial" w:cs="Arial"/>
          <w:sz w:val="24"/>
          <w:szCs w:val="24"/>
          <w:lang w:val="en-GB"/>
        </w:rPr>
        <w:t>, G. and Gagliardi, F. (2010a), ‘An assessment of survey errors in EU-SILC’, Eurostat methodologies and working papers, Eurostat, Luxembourg.</w:t>
      </w:r>
    </w:p>
    <w:p w:rsidR="0099775A" w:rsidRPr="0099775A" w:rsidRDefault="0099775A" w:rsidP="009C0798">
      <w:pPr>
        <w:spacing w:line="360" w:lineRule="auto"/>
        <w:rPr>
          <w:rFonts w:ascii="Arial" w:hAnsi="Arial" w:cs="Arial"/>
          <w:sz w:val="24"/>
          <w:szCs w:val="24"/>
          <w:lang w:val="en-GB"/>
        </w:rPr>
      </w:pPr>
      <w:r w:rsidRPr="0099775A">
        <w:rPr>
          <w:rFonts w:ascii="Arial" w:hAnsi="Arial" w:cs="Arial"/>
          <w:sz w:val="24"/>
          <w:szCs w:val="24"/>
          <w:lang w:val="en-GB"/>
        </w:rPr>
        <w:t xml:space="preserve">Verma, V., </w:t>
      </w:r>
      <w:proofErr w:type="spellStart"/>
      <w:r w:rsidRPr="0099775A">
        <w:rPr>
          <w:rFonts w:ascii="Arial" w:hAnsi="Arial" w:cs="Arial"/>
          <w:sz w:val="24"/>
          <w:szCs w:val="24"/>
          <w:lang w:val="en-GB"/>
        </w:rPr>
        <w:t>Betti</w:t>
      </w:r>
      <w:proofErr w:type="spellEnd"/>
      <w:r w:rsidRPr="0099775A">
        <w:rPr>
          <w:rFonts w:ascii="Arial" w:hAnsi="Arial" w:cs="Arial"/>
          <w:sz w:val="24"/>
          <w:szCs w:val="24"/>
          <w:lang w:val="en-GB"/>
        </w:rPr>
        <w:t>, G. and Gagliardi, F. (2010b), Robustness of some EU-SILC based indicators at regional level. Eurostat methodologies and working papers, Eurostat, Luxembourg.</w:t>
      </w:r>
    </w:p>
    <w:p w:rsidR="0099775A" w:rsidRPr="0099775A" w:rsidRDefault="0099775A" w:rsidP="009C0798">
      <w:pPr>
        <w:spacing w:line="360" w:lineRule="auto"/>
        <w:rPr>
          <w:rFonts w:ascii="Arial" w:hAnsi="Arial" w:cs="Arial"/>
          <w:sz w:val="24"/>
          <w:szCs w:val="24"/>
          <w:lang w:val="en-GB"/>
        </w:rPr>
      </w:pPr>
      <w:r w:rsidRPr="0099775A">
        <w:rPr>
          <w:rFonts w:ascii="Arial" w:hAnsi="Arial" w:cs="Arial"/>
          <w:sz w:val="24"/>
          <w:szCs w:val="24"/>
          <w:lang w:val="en-GB"/>
        </w:rPr>
        <w:t>Verma, V., Gagliardi, F., and Ferretti, C. (2013), Cumulation of poverty measures to meet new policy needs. In Advances in Theoretical and Applied Statistics (pp. 511-522). Springer, Berlin, Heidelberg.</w:t>
      </w:r>
    </w:p>
    <w:p w:rsidR="0099775A" w:rsidRPr="00EC5F5A" w:rsidRDefault="0099775A" w:rsidP="00EF0308">
      <w:pPr>
        <w:spacing w:line="360" w:lineRule="auto"/>
        <w:rPr>
          <w:rFonts w:ascii="Arial" w:hAnsi="Arial" w:cs="Arial"/>
          <w:sz w:val="24"/>
          <w:szCs w:val="24"/>
          <w:lang w:val="en-GB"/>
        </w:rPr>
      </w:pPr>
      <w:r w:rsidRPr="0099775A">
        <w:rPr>
          <w:rFonts w:ascii="Arial" w:hAnsi="Arial" w:cs="Arial"/>
          <w:sz w:val="24"/>
          <w:szCs w:val="24"/>
          <w:lang w:val="en-GB"/>
        </w:rPr>
        <w:t xml:space="preserve">Verma, V., </w:t>
      </w:r>
      <w:proofErr w:type="spellStart"/>
      <w:r w:rsidRPr="0099775A">
        <w:rPr>
          <w:rFonts w:ascii="Arial" w:hAnsi="Arial" w:cs="Arial"/>
          <w:sz w:val="24"/>
          <w:szCs w:val="24"/>
          <w:lang w:val="en-GB"/>
        </w:rPr>
        <w:t>Lemmi</w:t>
      </w:r>
      <w:proofErr w:type="spellEnd"/>
      <w:r w:rsidRPr="0099775A">
        <w:rPr>
          <w:rFonts w:ascii="Arial" w:hAnsi="Arial" w:cs="Arial"/>
          <w:sz w:val="24"/>
          <w:szCs w:val="24"/>
          <w:lang w:val="en-GB"/>
        </w:rPr>
        <w:t xml:space="preserve">, A, </w:t>
      </w:r>
      <w:proofErr w:type="spellStart"/>
      <w:r w:rsidRPr="0099775A">
        <w:rPr>
          <w:rFonts w:ascii="Arial" w:hAnsi="Arial" w:cs="Arial"/>
          <w:sz w:val="24"/>
          <w:szCs w:val="24"/>
          <w:lang w:val="en-GB"/>
        </w:rPr>
        <w:t>Betti</w:t>
      </w:r>
      <w:proofErr w:type="spellEnd"/>
      <w:r w:rsidRPr="0099775A">
        <w:rPr>
          <w:rFonts w:ascii="Arial" w:hAnsi="Arial" w:cs="Arial"/>
          <w:sz w:val="24"/>
          <w:szCs w:val="24"/>
          <w:lang w:val="en-GB"/>
        </w:rPr>
        <w:t xml:space="preserve">, G., Gagliardi, F. and </w:t>
      </w:r>
      <w:proofErr w:type="spellStart"/>
      <w:r w:rsidRPr="0099775A">
        <w:rPr>
          <w:rFonts w:ascii="Arial" w:hAnsi="Arial" w:cs="Arial"/>
          <w:sz w:val="24"/>
          <w:szCs w:val="24"/>
          <w:lang w:val="en-GB"/>
        </w:rPr>
        <w:t>Piacentini</w:t>
      </w:r>
      <w:proofErr w:type="spellEnd"/>
      <w:r w:rsidRPr="0099775A">
        <w:rPr>
          <w:rFonts w:ascii="Arial" w:hAnsi="Arial" w:cs="Arial"/>
          <w:sz w:val="24"/>
          <w:szCs w:val="24"/>
          <w:lang w:val="en-GB"/>
        </w:rPr>
        <w:t xml:space="preserve">, M, (2017), How precise are poverty measures estimated at the regional level? In </w:t>
      </w:r>
      <w:r w:rsidRPr="0099775A">
        <w:rPr>
          <w:rFonts w:ascii="Arial" w:hAnsi="Arial" w:cs="Arial"/>
          <w:i/>
          <w:sz w:val="24"/>
          <w:szCs w:val="24"/>
          <w:lang w:val="en-GB"/>
        </w:rPr>
        <w:t xml:space="preserve">Regional Science and Urban Economics </w:t>
      </w:r>
      <w:r w:rsidRPr="0099775A">
        <w:rPr>
          <w:rFonts w:ascii="Arial" w:hAnsi="Arial" w:cs="Arial"/>
          <w:sz w:val="24"/>
          <w:szCs w:val="24"/>
          <w:lang w:val="en-GB"/>
        </w:rPr>
        <w:t>66, pp. 175–184.</w:t>
      </w:r>
    </w:p>
    <w:sectPr w:rsidR="0099775A" w:rsidRPr="00EC5F5A" w:rsidSect="0023623C">
      <w:headerReference w:type="even" r:id="rId13"/>
      <w:headerReference w:type="default" r:id="rId14"/>
      <w:footerReference w:type="default" r:id="rId15"/>
      <w:headerReference w:type="first" r:id="rId16"/>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E42" w:rsidRDefault="00586E42" w:rsidP="00E82B25">
      <w:pPr>
        <w:spacing w:after="0" w:line="240" w:lineRule="auto"/>
      </w:pPr>
      <w:r>
        <w:separator/>
      </w:r>
    </w:p>
  </w:endnote>
  <w:endnote w:type="continuationSeparator" w:id="0">
    <w:p w:rsidR="00586E42" w:rsidRDefault="00586E42"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586E42" w:rsidRPr="009378F5" w:rsidRDefault="00586E42" w:rsidP="0035694D">
        <w:pPr>
          <w:pStyle w:val="Fuzeile"/>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840658">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E42" w:rsidRDefault="00586E42" w:rsidP="00E82B25">
      <w:pPr>
        <w:spacing w:after="0" w:line="240" w:lineRule="auto"/>
      </w:pPr>
      <w:r>
        <w:separator/>
      </w:r>
    </w:p>
  </w:footnote>
  <w:footnote w:type="continuationSeparator" w:id="0">
    <w:p w:rsidR="00586E42" w:rsidRDefault="00586E42" w:rsidP="00E82B25">
      <w:pPr>
        <w:spacing w:after="0" w:line="240" w:lineRule="auto"/>
      </w:pPr>
      <w:r>
        <w:continuationSeparator/>
      </w:r>
    </w:p>
  </w:footnote>
  <w:footnote w:id="1">
    <w:p w:rsidR="00586E42" w:rsidRPr="00D67294" w:rsidRDefault="00586E42" w:rsidP="00CE75DB">
      <w:pPr>
        <w:pStyle w:val="Funotentext"/>
        <w:rPr>
          <w:lang w:val="en-GB"/>
        </w:rPr>
      </w:pPr>
      <w:r w:rsidRPr="00D67294">
        <w:rPr>
          <w:rStyle w:val="Funotenzeichen"/>
          <w:lang w:val="en-GB"/>
        </w:rPr>
        <w:footnoteRef/>
      </w:r>
      <w:r w:rsidRPr="00D67294">
        <w:rPr>
          <w:lang w:val="en-GB"/>
        </w:rPr>
        <w:t xml:space="preserve"> Alternatively, weights may be determined with regard to the distance of the centre point or in proportion to their variances to improve efficiency. Assessment of sensitivity with regard to such refinements may be addressed in further research.</w:t>
      </w:r>
    </w:p>
  </w:footnote>
  <w:footnote w:id="2">
    <w:p w:rsidR="00586E42" w:rsidRDefault="00586E42" w:rsidP="008C0976">
      <w:pPr>
        <w:pStyle w:val="Funotentext"/>
      </w:pPr>
      <w:r w:rsidRPr="00266EFB">
        <w:rPr>
          <w:rStyle w:val="Funotenzeichen"/>
        </w:rPr>
        <w:footnoteRef/>
      </w:r>
      <w:r w:rsidRPr="00266EFB">
        <w:rPr>
          <w:vertAlign w:val="superscript"/>
        </w:rPr>
        <w:t xml:space="preserve"> </w:t>
      </w:r>
      <w:r w:rsidRPr="00266EFB">
        <w:t>the SAS c</w:t>
      </w:r>
      <w:r>
        <w:t>ode is provided by Eurostat at:</w:t>
      </w:r>
    </w:p>
    <w:p w:rsidR="00586E42" w:rsidRPr="00266EFB" w:rsidRDefault="00840658" w:rsidP="008C0976">
      <w:pPr>
        <w:pStyle w:val="Funotentext"/>
      </w:pPr>
      <w:hyperlink r:id="rId1" w:history="1">
        <w:r w:rsidR="00586E42" w:rsidRPr="00266EFB">
          <w:rPr>
            <w:rStyle w:val="Hyperlink"/>
          </w:rPr>
          <w:t>https://circabc.europa.eu/webdav/CircaBC/ESTAT/eusilc/Library/tools/estimation_jackknife</w:t>
        </w:r>
      </w:hyperlink>
      <w:r w:rsidR="00586E42" w:rsidRPr="00266EFB">
        <w:t xml:space="preserve"> </w:t>
      </w:r>
    </w:p>
  </w:footnote>
  <w:footnote w:id="3">
    <w:p w:rsidR="00586E42" w:rsidRPr="00266EFB" w:rsidRDefault="00586E42" w:rsidP="008A3F85">
      <w:pPr>
        <w:pStyle w:val="Funotentext"/>
      </w:pPr>
      <w:r w:rsidRPr="00266EFB">
        <w:rPr>
          <w:rStyle w:val="Funotenzeichen"/>
        </w:rPr>
        <w:footnoteRef/>
      </w:r>
      <w:r w:rsidRPr="00266EFB">
        <w:t xml:space="preserve"> The current version of the code is available here: </w:t>
      </w:r>
      <w:hyperlink r:id="rId2" w:history="1">
        <w:r w:rsidRPr="00266EFB">
          <w:rPr>
            <w:rStyle w:val="Hyperlink"/>
          </w:rPr>
          <w:t>https://github.com/statistikat/surveysd</w:t>
        </w:r>
      </w:hyperlink>
      <w:r w:rsidRPr="00266EFB">
        <w:t xml:space="preserve"> . To install the package, it is necessary to download a zipfile, open the R-project contained in it and rebuild the code. It is recommended to use R Studio for that purpose.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42" w:rsidRDefault="00840658">
    <w:pPr>
      <w:pStyle w:val="Kopfzeile"/>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42" w:rsidRDefault="00840658">
    <w:pPr>
      <w:pStyle w:val="Kopfzeile"/>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42" w:rsidRDefault="00840658">
    <w:pPr>
      <w:pStyle w:val="Kopfzeile"/>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0923"/>
    <w:multiLevelType w:val="hybridMultilevel"/>
    <w:tmpl w:val="86166328"/>
    <w:lvl w:ilvl="0" w:tplc="0C070011">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
    <w:nsid w:val="4F0526C6"/>
    <w:multiLevelType w:val="hybridMultilevel"/>
    <w:tmpl w:val="6E2C2488"/>
    <w:lvl w:ilvl="0" w:tplc="803C2182">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552A7659"/>
    <w:multiLevelType w:val="hybridMultilevel"/>
    <w:tmpl w:val="001811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94C719A"/>
    <w:multiLevelType w:val="hybridMultilevel"/>
    <w:tmpl w:val="D35E5826"/>
    <w:lvl w:ilvl="0" w:tplc="803C2182">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4">
    <w:nsid w:val="7A9D252F"/>
    <w:multiLevelType w:val="hybridMultilevel"/>
    <w:tmpl w:val="5E0E9B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26CD3"/>
    <w:rsid w:val="000413C9"/>
    <w:rsid w:val="00047C24"/>
    <w:rsid w:val="00070925"/>
    <w:rsid w:val="0007704A"/>
    <w:rsid w:val="000957CC"/>
    <w:rsid w:val="000B193F"/>
    <w:rsid w:val="000C6472"/>
    <w:rsid w:val="000D705A"/>
    <w:rsid w:val="000F337F"/>
    <w:rsid w:val="00111298"/>
    <w:rsid w:val="00133E07"/>
    <w:rsid w:val="00142A8D"/>
    <w:rsid w:val="00157DAD"/>
    <w:rsid w:val="00160406"/>
    <w:rsid w:val="00161DE9"/>
    <w:rsid w:val="0016743D"/>
    <w:rsid w:val="00182357"/>
    <w:rsid w:val="001B2178"/>
    <w:rsid w:val="001E43DC"/>
    <w:rsid w:val="00204412"/>
    <w:rsid w:val="00221F17"/>
    <w:rsid w:val="00234927"/>
    <w:rsid w:val="0023623C"/>
    <w:rsid w:val="00242620"/>
    <w:rsid w:val="0028150C"/>
    <w:rsid w:val="00282B53"/>
    <w:rsid w:val="00293580"/>
    <w:rsid w:val="002B6D33"/>
    <w:rsid w:val="003031AD"/>
    <w:rsid w:val="00336E21"/>
    <w:rsid w:val="0035694D"/>
    <w:rsid w:val="00362815"/>
    <w:rsid w:val="003A1D16"/>
    <w:rsid w:val="004150F5"/>
    <w:rsid w:val="00457121"/>
    <w:rsid w:val="004740F1"/>
    <w:rsid w:val="00493026"/>
    <w:rsid w:val="004A12A7"/>
    <w:rsid w:val="004A1A99"/>
    <w:rsid w:val="004B39C1"/>
    <w:rsid w:val="004B6729"/>
    <w:rsid w:val="004C5048"/>
    <w:rsid w:val="004F04B4"/>
    <w:rsid w:val="005215E8"/>
    <w:rsid w:val="00530FD6"/>
    <w:rsid w:val="005812C5"/>
    <w:rsid w:val="00581E33"/>
    <w:rsid w:val="00586E42"/>
    <w:rsid w:val="005A1F57"/>
    <w:rsid w:val="005B6971"/>
    <w:rsid w:val="006052BF"/>
    <w:rsid w:val="00653D6C"/>
    <w:rsid w:val="00667788"/>
    <w:rsid w:val="0069009D"/>
    <w:rsid w:val="00697934"/>
    <w:rsid w:val="006B5A4A"/>
    <w:rsid w:val="006C1343"/>
    <w:rsid w:val="006C5879"/>
    <w:rsid w:val="00712BF7"/>
    <w:rsid w:val="007730C4"/>
    <w:rsid w:val="00776C97"/>
    <w:rsid w:val="007E6D8C"/>
    <w:rsid w:val="00812949"/>
    <w:rsid w:val="0082373C"/>
    <w:rsid w:val="00840658"/>
    <w:rsid w:val="00867B2C"/>
    <w:rsid w:val="00873330"/>
    <w:rsid w:val="00883326"/>
    <w:rsid w:val="008A2E01"/>
    <w:rsid w:val="008A3F85"/>
    <w:rsid w:val="008A71D2"/>
    <w:rsid w:val="008B0935"/>
    <w:rsid w:val="008C0976"/>
    <w:rsid w:val="008D0777"/>
    <w:rsid w:val="008D56E1"/>
    <w:rsid w:val="008D6094"/>
    <w:rsid w:val="00902A7F"/>
    <w:rsid w:val="009378F5"/>
    <w:rsid w:val="00973B8D"/>
    <w:rsid w:val="00992208"/>
    <w:rsid w:val="0099775A"/>
    <w:rsid w:val="009C0798"/>
    <w:rsid w:val="00A16EF3"/>
    <w:rsid w:val="00A23816"/>
    <w:rsid w:val="00A244F3"/>
    <w:rsid w:val="00A454B6"/>
    <w:rsid w:val="00A531F2"/>
    <w:rsid w:val="00A6013E"/>
    <w:rsid w:val="00AD1423"/>
    <w:rsid w:val="00AD4AEE"/>
    <w:rsid w:val="00AE0D35"/>
    <w:rsid w:val="00B47197"/>
    <w:rsid w:val="00B72169"/>
    <w:rsid w:val="00B74218"/>
    <w:rsid w:val="00B77A7F"/>
    <w:rsid w:val="00B86FC7"/>
    <w:rsid w:val="00B912C3"/>
    <w:rsid w:val="00BB19AC"/>
    <w:rsid w:val="00BC26CE"/>
    <w:rsid w:val="00BF6DBC"/>
    <w:rsid w:val="00C16E8E"/>
    <w:rsid w:val="00C24B92"/>
    <w:rsid w:val="00C261EA"/>
    <w:rsid w:val="00C40213"/>
    <w:rsid w:val="00C444A7"/>
    <w:rsid w:val="00C55909"/>
    <w:rsid w:val="00C726EA"/>
    <w:rsid w:val="00C74A1D"/>
    <w:rsid w:val="00CB2B44"/>
    <w:rsid w:val="00CB4074"/>
    <w:rsid w:val="00CC1C1D"/>
    <w:rsid w:val="00CE75DB"/>
    <w:rsid w:val="00CF33AD"/>
    <w:rsid w:val="00CF656A"/>
    <w:rsid w:val="00D0258C"/>
    <w:rsid w:val="00D0270E"/>
    <w:rsid w:val="00D20550"/>
    <w:rsid w:val="00D3638C"/>
    <w:rsid w:val="00D52194"/>
    <w:rsid w:val="00D5625D"/>
    <w:rsid w:val="00D65C24"/>
    <w:rsid w:val="00DA74F6"/>
    <w:rsid w:val="00DD4526"/>
    <w:rsid w:val="00DD4977"/>
    <w:rsid w:val="00DE01B4"/>
    <w:rsid w:val="00DE4B88"/>
    <w:rsid w:val="00DF27A8"/>
    <w:rsid w:val="00E261EB"/>
    <w:rsid w:val="00E35967"/>
    <w:rsid w:val="00E7228E"/>
    <w:rsid w:val="00E82B25"/>
    <w:rsid w:val="00E86E4B"/>
    <w:rsid w:val="00E92831"/>
    <w:rsid w:val="00E9313B"/>
    <w:rsid w:val="00EB7A63"/>
    <w:rsid w:val="00EC5F5A"/>
    <w:rsid w:val="00EE383A"/>
    <w:rsid w:val="00EE4A70"/>
    <w:rsid w:val="00EF0308"/>
    <w:rsid w:val="00F15D59"/>
    <w:rsid w:val="00F30C27"/>
    <w:rsid w:val="00F337A9"/>
    <w:rsid w:val="00F34AB4"/>
    <w:rsid w:val="00F51570"/>
    <w:rsid w:val="00F74EA2"/>
    <w:rsid w:val="00FE2AE3"/>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8A2E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1B21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20441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Textkrper"/>
    <w:link w:val="berschrift5Zchn"/>
    <w:uiPriority w:val="9"/>
    <w:unhideWhenUsed/>
    <w:qFormat/>
    <w:rsid w:val="00204412"/>
    <w:pPr>
      <w:keepNext/>
      <w:keepLines/>
      <w:spacing w:before="200" w:after="0" w:line="240" w:lineRule="auto"/>
      <w:jc w:val="both"/>
      <w:outlineLvl w:val="4"/>
    </w:pPr>
    <w:rPr>
      <w:rFonts w:asciiTheme="majorHAnsi" w:eastAsiaTheme="majorEastAsia" w:hAnsiTheme="majorHAnsi" w:cs="Times New Roman"/>
      <w:i/>
      <w:iCs/>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47197"/>
    <w:pPr>
      <w:spacing w:after="0" w:line="240" w:lineRule="auto"/>
    </w:pPr>
  </w:style>
  <w:style w:type="paragraph" w:styleId="Sprechblasentext">
    <w:name w:val="Balloon Text"/>
    <w:basedOn w:val="Standard"/>
    <w:link w:val="SprechblasentextZchn"/>
    <w:uiPriority w:val="99"/>
    <w:semiHidden/>
    <w:unhideWhenUsed/>
    <w:rsid w:val="00B471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7197"/>
    <w:rPr>
      <w:rFonts w:ascii="Segoe UI" w:hAnsi="Segoe UI" w:cs="Segoe UI"/>
      <w:sz w:val="18"/>
      <w:szCs w:val="18"/>
    </w:rPr>
  </w:style>
  <w:style w:type="paragraph" w:styleId="Kopfzeile">
    <w:name w:val="header"/>
    <w:basedOn w:val="Standard"/>
    <w:link w:val="KopfzeileZchn"/>
    <w:uiPriority w:val="99"/>
    <w:unhideWhenUsed/>
    <w:rsid w:val="00E82B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2B25"/>
  </w:style>
  <w:style w:type="paragraph" w:styleId="Fuzeile">
    <w:name w:val="footer"/>
    <w:basedOn w:val="Standard"/>
    <w:link w:val="FuzeileZchn"/>
    <w:uiPriority w:val="99"/>
    <w:unhideWhenUsed/>
    <w:rsid w:val="00E82B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2B25"/>
  </w:style>
  <w:style w:type="character" w:styleId="Kommentarzeichen">
    <w:name w:val="annotation reference"/>
    <w:basedOn w:val="Absatz-Standardschriftart"/>
    <w:uiPriority w:val="99"/>
    <w:semiHidden/>
    <w:unhideWhenUsed/>
    <w:rsid w:val="00697934"/>
    <w:rPr>
      <w:sz w:val="16"/>
      <w:szCs w:val="16"/>
    </w:rPr>
  </w:style>
  <w:style w:type="paragraph" w:styleId="Kommentartext">
    <w:name w:val="annotation text"/>
    <w:basedOn w:val="Standard"/>
    <w:link w:val="KommentartextZchn"/>
    <w:uiPriority w:val="99"/>
    <w:semiHidden/>
    <w:unhideWhenUsed/>
    <w:rsid w:val="006979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934"/>
    <w:rPr>
      <w:sz w:val="20"/>
      <w:szCs w:val="20"/>
    </w:rPr>
  </w:style>
  <w:style w:type="paragraph" w:styleId="Kommentarthema">
    <w:name w:val="annotation subject"/>
    <w:basedOn w:val="Kommentartext"/>
    <w:next w:val="Kommentartext"/>
    <w:link w:val="KommentarthemaZchn"/>
    <w:uiPriority w:val="99"/>
    <w:semiHidden/>
    <w:unhideWhenUsed/>
    <w:rsid w:val="00697934"/>
    <w:rPr>
      <w:b/>
      <w:bCs/>
    </w:rPr>
  </w:style>
  <w:style w:type="character" w:customStyle="1" w:styleId="KommentarthemaZchn">
    <w:name w:val="Kommentarthema Zchn"/>
    <w:basedOn w:val="KommentartextZchn"/>
    <w:link w:val="Kommentarthema"/>
    <w:uiPriority w:val="99"/>
    <w:semiHidden/>
    <w:rsid w:val="00697934"/>
    <w:rPr>
      <w:b/>
      <w:bCs/>
      <w:sz w:val="20"/>
      <w:szCs w:val="20"/>
    </w:rPr>
  </w:style>
  <w:style w:type="character" w:styleId="Hyperlink">
    <w:name w:val="Hyperlink"/>
    <w:basedOn w:val="Absatz-Standardschriftart"/>
    <w:uiPriority w:val="99"/>
    <w:unhideWhenUsed/>
    <w:rsid w:val="00A454B6"/>
    <w:rPr>
      <w:color w:val="0563C1" w:themeColor="hyperlink"/>
      <w:u w:val="single"/>
    </w:rPr>
  </w:style>
  <w:style w:type="paragraph" w:styleId="Funotentext">
    <w:name w:val="footnote text"/>
    <w:basedOn w:val="Standard"/>
    <w:link w:val="FunotentextZchn"/>
    <w:uiPriority w:val="99"/>
    <w:semiHidden/>
    <w:unhideWhenUsed/>
    <w:rsid w:val="00F30C2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0C27"/>
    <w:rPr>
      <w:sz w:val="20"/>
      <w:szCs w:val="20"/>
    </w:rPr>
  </w:style>
  <w:style w:type="character" w:styleId="Funotenzeichen">
    <w:name w:val="footnote reference"/>
    <w:basedOn w:val="Absatz-Standardschriftart"/>
    <w:uiPriority w:val="99"/>
    <w:semiHidden/>
    <w:unhideWhenUsed/>
    <w:rsid w:val="00F30C27"/>
    <w:rPr>
      <w:vertAlign w:val="superscript"/>
    </w:rPr>
  </w:style>
  <w:style w:type="paragraph" w:styleId="Beschriftung">
    <w:name w:val="caption"/>
    <w:basedOn w:val="Standard"/>
    <w:next w:val="Standard"/>
    <w:uiPriority w:val="35"/>
    <w:unhideWhenUsed/>
    <w:qFormat/>
    <w:rsid w:val="00AD4AEE"/>
    <w:pPr>
      <w:spacing w:after="200" w:line="240" w:lineRule="auto"/>
    </w:pPr>
    <w:rPr>
      <w:i/>
      <w:iCs/>
      <w:color w:val="44546A" w:themeColor="text2"/>
      <w:sz w:val="18"/>
      <w:szCs w:val="18"/>
    </w:rPr>
  </w:style>
  <w:style w:type="character" w:customStyle="1" w:styleId="UnresolvedMention">
    <w:name w:val="Unresolved Mention"/>
    <w:basedOn w:val="Absatz-Standardschriftart"/>
    <w:uiPriority w:val="99"/>
    <w:semiHidden/>
    <w:unhideWhenUsed/>
    <w:rsid w:val="00CE75DB"/>
    <w:rPr>
      <w:color w:val="808080"/>
      <w:shd w:val="clear" w:color="auto" w:fill="E6E6E6"/>
    </w:rPr>
  </w:style>
  <w:style w:type="paragraph" w:styleId="Listenabsatz">
    <w:name w:val="List Paragraph"/>
    <w:basedOn w:val="Standard"/>
    <w:uiPriority w:val="34"/>
    <w:qFormat/>
    <w:rsid w:val="00F15D59"/>
    <w:pPr>
      <w:ind w:left="720"/>
      <w:contextualSpacing/>
    </w:pPr>
  </w:style>
  <w:style w:type="character" w:customStyle="1" w:styleId="berschrift5Zchn">
    <w:name w:val="Überschrift 5 Zchn"/>
    <w:basedOn w:val="Absatz-Standardschriftart"/>
    <w:link w:val="berschrift5"/>
    <w:uiPriority w:val="9"/>
    <w:rsid w:val="00204412"/>
    <w:rPr>
      <w:rFonts w:asciiTheme="majorHAnsi" w:eastAsiaTheme="majorEastAsia" w:hAnsiTheme="majorHAnsi" w:cs="Times New Roman"/>
      <w:i/>
      <w:iCs/>
      <w:sz w:val="24"/>
      <w:szCs w:val="24"/>
      <w:lang w:val="en-US"/>
    </w:rPr>
  </w:style>
  <w:style w:type="paragraph" w:styleId="Textkrper">
    <w:name w:val="Body Text"/>
    <w:basedOn w:val="Standard"/>
    <w:link w:val="TextkrperZchn"/>
    <w:uiPriority w:val="99"/>
    <w:semiHidden/>
    <w:unhideWhenUsed/>
    <w:rsid w:val="00204412"/>
    <w:pPr>
      <w:spacing w:after="120"/>
    </w:pPr>
  </w:style>
  <w:style w:type="character" w:customStyle="1" w:styleId="TextkrperZchn">
    <w:name w:val="Textkörper Zchn"/>
    <w:basedOn w:val="Absatz-Standardschriftart"/>
    <w:link w:val="Textkrper"/>
    <w:uiPriority w:val="99"/>
    <w:semiHidden/>
    <w:rsid w:val="00204412"/>
  </w:style>
  <w:style w:type="character" w:customStyle="1" w:styleId="berschrift4Zchn">
    <w:name w:val="Überschrift 4 Zchn"/>
    <w:basedOn w:val="Absatz-Standardschriftart"/>
    <w:link w:val="berschrift4"/>
    <w:uiPriority w:val="9"/>
    <w:semiHidden/>
    <w:rsid w:val="00204412"/>
    <w:rPr>
      <w:rFonts w:asciiTheme="majorHAnsi" w:eastAsiaTheme="majorEastAsia" w:hAnsiTheme="majorHAnsi" w:cstheme="majorBidi"/>
      <w:i/>
      <w:iCs/>
      <w:color w:val="2E74B5" w:themeColor="accent1" w:themeShade="BF"/>
    </w:rPr>
  </w:style>
  <w:style w:type="paragraph" w:customStyle="1" w:styleId="Compact">
    <w:name w:val="Compact"/>
    <w:basedOn w:val="Textkrper"/>
    <w:qFormat/>
    <w:rsid w:val="001B2178"/>
    <w:pPr>
      <w:spacing w:before="36" w:after="36" w:line="240" w:lineRule="auto"/>
      <w:jc w:val="both"/>
    </w:pPr>
    <w:rPr>
      <w:rFonts w:ascii="Arial" w:eastAsia="Times New Roman" w:hAnsi="Arial" w:cs="Times New Roman"/>
      <w:sz w:val="24"/>
      <w:szCs w:val="24"/>
      <w:lang w:val="en-US"/>
    </w:rPr>
  </w:style>
  <w:style w:type="character" w:customStyle="1" w:styleId="berschrift3Zchn">
    <w:name w:val="Überschrift 3 Zchn"/>
    <w:basedOn w:val="Absatz-Standardschriftart"/>
    <w:link w:val="berschrift3"/>
    <w:uiPriority w:val="9"/>
    <w:semiHidden/>
    <w:rsid w:val="001B2178"/>
    <w:rPr>
      <w:rFonts w:asciiTheme="majorHAnsi" w:eastAsiaTheme="majorEastAsia" w:hAnsiTheme="majorHAnsi" w:cstheme="majorBidi"/>
      <w:color w:val="1F4D78" w:themeColor="accent1" w:themeShade="7F"/>
      <w:sz w:val="24"/>
      <w:szCs w:val="24"/>
    </w:rPr>
  </w:style>
  <w:style w:type="paragraph" w:customStyle="1" w:styleId="FirstParagraph">
    <w:name w:val="First Paragraph"/>
    <w:basedOn w:val="Textkrper"/>
    <w:next w:val="Textkrper"/>
    <w:qFormat/>
    <w:rsid w:val="003031AD"/>
    <w:pPr>
      <w:spacing w:after="0" w:line="240" w:lineRule="auto"/>
      <w:jc w:val="both"/>
    </w:pPr>
    <w:rPr>
      <w:rFonts w:ascii="Arial" w:eastAsia="Times New Roman" w:hAnsi="Arial" w:cs="Times New Roman"/>
      <w:sz w:val="24"/>
      <w:szCs w:val="24"/>
      <w:lang w:val="en-US"/>
    </w:rPr>
  </w:style>
  <w:style w:type="character" w:customStyle="1" w:styleId="berschrift2Zchn">
    <w:name w:val="Überschrift 2 Zchn"/>
    <w:basedOn w:val="Absatz-Standardschriftart"/>
    <w:link w:val="berschrift2"/>
    <w:uiPriority w:val="9"/>
    <w:semiHidden/>
    <w:rsid w:val="008A2E01"/>
    <w:rPr>
      <w:rFonts w:asciiTheme="majorHAnsi" w:eastAsiaTheme="majorEastAsia" w:hAnsiTheme="majorHAnsi" w:cstheme="majorBidi"/>
      <w:color w:val="2E74B5" w:themeColor="accent1" w:themeShade="BF"/>
      <w:sz w:val="26"/>
      <w:szCs w:val="26"/>
    </w:rPr>
  </w:style>
  <w:style w:type="character" w:styleId="Platzhaltertext">
    <w:name w:val="Placeholder Text"/>
    <w:basedOn w:val="Absatz-Standardschriftart"/>
    <w:uiPriority w:val="99"/>
    <w:semiHidden/>
    <w:rsid w:val="008A2E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8A2E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1B21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20441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Textkrper"/>
    <w:link w:val="berschrift5Zchn"/>
    <w:uiPriority w:val="9"/>
    <w:unhideWhenUsed/>
    <w:qFormat/>
    <w:rsid w:val="00204412"/>
    <w:pPr>
      <w:keepNext/>
      <w:keepLines/>
      <w:spacing w:before="200" w:after="0" w:line="240" w:lineRule="auto"/>
      <w:jc w:val="both"/>
      <w:outlineLvl w:val="4"/>
    </w:pPr>
    <w:rPr>
      <w:rFonts w:asciiTheme="majorHAnsi" w:eastAsiaTheme="majorEastAsia" w:hAnsiTheme="majorHAnsi" w:cs="Times New Roman"/>
      <w:i/>
      <w:iCs/>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47197"/>
    <w:pPr>
      <w:spacing w:after="0" w:line="240" w:lineRule="auto"/>
    </w:pPr>
  </w:style>
  <w:style w:type="paragraph" w:styleId="Sprechblasentext">
    <w:name w:val="Balloon Text"/>
    <w:basedOn w:val="Standard"/>
    <w:link w:val="SprechblasentextZchn"/>
    <w:uiPriority w:val="99"/>
    <w:semiHidden/>
    <w:unhideWhenUsed/>
    <w:rsid w:val="00B471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7197"/>
    <w:rPr>
      <w:rFonts w:ascii="Segoe UI" w:hAnsi="Segoe UI" w:cs="Segoe UI"/>
      <w:sz w:val="18"/>
      <w:szCs w:val="18"/>
    </w:rPr>
  </w:style>
  <w:style w:type="paragraph" w:styleId="Kopfzeile">
    <w:name w:val="header"/>
    <w:basedOn w:val="Standard"/>
    <w:link w:val="KopfzeileZchn"/>
    <w:uiPriority w:val="99"/>
    <w:unhideWhenUsed/>
    <w:rsid w:val="00E82B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2B25"/>
  </w:style>
  <w:style w:type="paragraph" w:styleId="Fuzeile">
    <w:name w:val="footer"/>
    <w:basedOn w:val="Standard"/>
    <w:link w:val="FuzeileZchn"/>
    <w:uiPriority w:val="99"/>
    <w:unhideWhenUsed/>
    <w:rsid w:val="00E82B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2B25"/>
  </w:style>
  <w:style w:type="character" w:styleId="Kommentarzeichen">
    <w:name w:val="annotation reference"/>
    <w:basedOn w:val="Absatz-Standardschriftart"/>
    <w:uiPriority w:val="99"/>
    <w:semiHidden/>
    <w:unhideWhenUsed/>
    <w:rsid w:val="00697934"/>
    <w:rPr>
      <w:sz w:val="16"/>
      <w:szCs w:val="16"/>
    </w:rPr>
  </w:style>
  <w:style w:type="paragraph" w:styleId="Kommentartext">
    <w:name w:val="annotation text"/>
    <w:basedOn w:val="Standard"/>
    <w:link w:val="KommentartextZchn"/>
    <w:uiPriority w:val="99"/>
    <w:semiHidden/>
    <w:unhideWhenUsed/>
    <w:rsid w:val="006979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934"/>
    <w:rPr>
      <w:sz w:val="20"/>
      <w:szCs w:val="20"/>
    </w:rPr>
  </w:style>
  <w:style w:type="paragraph" w:styleId="Kommentarthema">
    <w:name w:val="annotation subject"/>
    <w:basedOn w:val="Kommentartext"/>
    <w:next w:val="Kommentartext"/>
    <w:link w:val="KommentarthemaZchn"/>
    <w:uiPriority w:val="99"/>
    <w:semiHidden/>
    <w:unhideWhenUsed/>
    <w:rsid w:val="00697934"/>
    <w:rPr>
      <w:b/>
      <w:bCs/>
    </w:rPr>
  </w:style>
  <w:style w:type="character" w:customStyle="1" w:styleId="KommentarthemaZchn">
    <w:name w:val="Kommentarthema Zchn"/>
    <w:basedOn w:val="KommentartextZchn"/>
    <w:link w:val="Kommentarthema"/>
    <w:uiPriority w:val="99"/>
    <w:semiHidden/>
    <w:rsid w:val="00697934"/>
    <w:rPr>
      <w:b/>
      <w:bCs/>
      <w:sz w:val="20"/>
      <w:szCs w:val="20"/>
    </w:rPr>
  </w:style>
  <w:style w:type="character" w:styleId="Hyperlink">
    <w:name w:val="Hyperlink"/>
    <w:basedOn w:val="Absatz-Standardschriftart"/>
    <w:uiPriority w:val="99"/>
    <w:unhideWhenUsed/>
    <w:rsid w:val="00A454B6"/>
    <w:rPr>
      <w:color w:val="0563C1" w:themeColor="hyperlink"/>
      <w:u w:val="single"/>
    </w:rPr>
  </w:style>
  <w:style w:type="paragraph" w:styleId="Funotentext">
    <w:name w:val="footnote text"/>
    <w:basedOn w:val="Standard"/>
    <w:link w:val="FunotentextZchn"/>
    <w:uiPriority w:val="99"/>
    <w:semiHidden/>
    <w:unhideWhenUsed/>
    <w:rsid w:val="00F30C2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0C27"/>
    <w:rPr>
      <w:sz w:val="20"/>
      <w:szCs w:val="20"/>
    </w:rPr>
  </w:style>
  <w:style w:type="character" w:styleId="Funotenzeichen">
    <w:name w:val="footnote reference"/>
    <w:basedOn w:val="Absatz-Standardschriftart"/>
    <w:uiPriority w:val="99"/>
    <w:semiHidden/>
    <w:unhideWhenUsed/>
    <w:rsid w:val="00F30C27"/>
    <w:rPr>
      <w:vertAlign w:val="superscript"/>
    </w:rPr>
  </w:style>
  <w:style w:type="paragraph" w:styleId="Beschriftung">
    <w:name w:val="caption"/>
    <w:basedOn w:val="Standard"/>
    <w:next w:val="Standard"/>
    <w:uiPriority w:val="35"/>
    <w:unhideWhenUsed/>
    <w:qFormat/>
    <w:rsid w:val="00AD4AEE"/>
    <w:pPr>
      <w:spacing w:after="200" w:line="240" w:lineRule="auto"/>
    </w:pPr>
    <w:rPr>
      <w:i/>
      <w:iCs/>
      <w:color w:val="44546A" w:themeColor="text2"/>
      <w:sz w:val="18"/>
      <w:szCs w:val="18"/>
    </w:rPr>
  </w:style>
  <w:style w:type="character" w:customStyle="1" w:styleId="UnresolvedMention">
    <w:name w:val="Unresolved Mention"/>
    <w:basedOn w:val="Absatz-Standardschriftart"/>
    <w:uiPriority w:val="99"/>
    <w:semiHidden/>
    <w:unhideWhenUsed/>
    <w:rsid w:val="00CE75DB"/>
    <w:rPr>
      <w:color w:val="808080"/>
      <w:shd w:val="clear" w:color="auto" w:fill="E6E6E6"/>
    </w:rPr>
  </w:style>
  <w:style w:type="paragraph" w:styleId="Listenabsatz">
    <w:name w:val="List Paragraph"/>
    <w:basedOn w:val="Standard"/>
    <w:uiPriority w:val="34"/>
    <w:qFormat/>
    <w:rsid w:val="00F15D59"/>
    <w:pPr>
      <w:ind w:left="720"/>
      <w:contextualSpacing/>
    </w:pPr>
  </w:style>
  <w:style w:type="character" w:customStyle="1" w:styleId="berschrift5Zchn">
    <w:name w:val="Überschrift 5 Zchn"/>
    <w:basedOn w:val="Absatz-Standardschriftart"/>
    <w:link w:val="berschrift5"/>
    <w:uiPriority w:val="9"/>
    <w:rsid w:val="00204412"/>
    <w:rPr>
      <w:rFonts w:asciiTheme="majorHAnsi" w:eastAsiaTheme="majorEastAsia" w:hAnsiTheme="majorHAnsi" w:cs="Times New Roman"/>
      <w:i/>
      <w:iCs/>
      <w:sz w:val="24"/>
      <w:szCs w:val="24"/>
      <w:lang w:val="en-US"/>
    </w:rPr>
  </w:style>
  <w:style w:type="paragraph" w:styleId="Textkrper">
    <w:name w:val="Body Text"/>
    <w:basedOn w:val="Standard"/>
    <w:link w:val="TextkrperZchn"/>
    <w:uiPriority w:val="99"/>
    <w:semiHidden/>
    <w:unhideWhenUsed/>
    <w:rsid w:val="00204412"/>
    <w:pPr>
      <w:spacing w:after="120"/>
    </w:pPr>
  </w:style>
  <w:style w:type="character" w:customStyle="1" w:styleId="TextkrperZchn">
    <w:name w:val="Textkörper Zchn"/>
    <w:basedOn w:val="Absatz-Standardschriftart"/>
    <w:link w:val="Textkrper"/>
    <w:uiPriority w:val="99"/>
    <w:semiHidden/>
    <w:rsid w:val="00204412"/>
  </w:style>
  <w:style w:type="character" w:customStyle="1" w:styleId="berschrift4Zchn">
    <w:name w:val="Überschrift 4 Zchn"/>
    <w:basedOn w:val="Absatz-Standardschriftart"/>
    <w:link w:val="berschrift4"/>
    <w:uiPriority w:val="9"/>
    <w:semiHidden/>
    <w:rsid w:val="00204412"/>
    <w:rPr>
      <w:rFonts w:asciiTheme="majorHAnsi" w:eastAsiaTheme="majorEastAsia" w:hAnsiTheme="majorHAnsi" w:cstheme="majorBidi"/>
      <w:i/>
      <w:iCs/>
      <w:color w:val="2E74B5" w:themeColor="accent1" w:themeShade="BF"/>
    </w:rPr>
  </w:style>
  <w:style w:type="paragraph" w:customStyle="1" w:styleId="Compact">
    <w:name w:val="Compact"/>
    <w:basedOn w:val="Textkrper"/>
    <w:qFormat/>
    <w:rsid w:val="001B2178"/>
    <w:pPr>
      <w:spacing w:before="36" w:after="36" w:line="240" w:lineRule="auto"/>
      <w:jc w:val="both"/>
    </w:pPr>
    <w:rPr>
      <w:rFonts w:ascii="Arial" w:eastAsia="Times New Roman" w:hAnsi="Arial" w:cs="Times New Roman"/>
      <w:sz w:val="24"/>
      <w:szCs w:val="24"/>
      <w:lang w:val="en-US"/>
    </w:rPr>
  </w:style>
  <w:style w:type="character" w:customStyle="1" w:styleId="berschrift3Zchn">
    <w:name w:val="Überschrift 3 Zchn"/>
    <w:basedOn w:val="Absatz-Standardschriftart"/>
    <w:link w:val="berschrift3"/>
    <w:uiPriority w:val="9"/>
    <w:semiHidden/>
    <w:rsid w:val="001B2178"/>
    <w:rPr>
      <w:rFonts w:asciiTheme="majorHAnsi" w:eastAsiaTheme="majorEastAsia" w:hAnsiTheme="majorHAnsi" w:cstheme="majorBidi"/>
      <w:color w:val="1F4D78" w:themeColor="accent1" w:themeShade="7F"/>
      <w:sz w:val="24"/>
      <w:szCs w:val="24"/>
    </w:rPr>
  </w:style>
  <w:style w:type="paragraph" w:customStyle="1" w:styleId="FirstParagraph">
    <w:name w:val="First Paragraph"/>
    <w:basedOn w:val="Textkrper"/>
    <w:next w:val="Textkrper"/>
    <w:qFormat/>
    <w:rsid w:val="003031AD"/>
    <w:pPr>
      <w:spacing w:after="0" w:line="240" w:lineRule="auto"/>
      <w:jc w:val="both"/>
    </w:pPr>
    <w:rPr>
      <w:rFonts w:ascii="Arial" w:eastAsia="Times New Roman" w:hAnsi="Arial" w:cs="Times New Roman"/>
      <w:sz w:val="24"/>
      <w:szCs w:val="24"/>
      <w:lang w:val="en-US"/>
    </w:rPr>
  </w:style>
  <w:style w:type="character" w:customStyle="1" w:styleId="berschrift2Zchn">
    <w:name w:val="Überschrift 2 Zchn"/>
    <w:basedOn w:val="Absatz-Standardschriftart"/>
    <w:link w:val="berschrift2"/>
    <w:uiPriority w:val="9"/>
    <w:semiHidden/>
    <w:rsid w:val="008A2E01"/>
    <w:rPr>
      <w:rFonts w:asciiTheme="majorHAnsi" w:eastAsiaTheme="majorEastAsia" w:hAnsiTheme="majorHAnsi" w:cstheme="majorBidi"/>
      <w:color w:val="2E74B5" w:themeColor="accent1" w:themeShade="BF"/>
      <w:sz w:val="26"/>
      <w:szCs w:val="26"/>
    </w:rPr>
  </w:style>
  <w:style w:type="character" w:styleId="Platzhaltertext">
    <w:name w:val="Placeholder Text"/>
    <w:basedOn w:val="Absatz-Standardschriftart"/>
    <w:uiPriority w:val="99"/>
    <w:semiHidden/>
    <w:rsid w:val="008A2E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research.worldbank.org/PovMap/PovMap2/PovMap2Manua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214/aos/117634455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20Alexander.Kowarik@statistik.gv.at"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github.com/statistikat/surveysd" TargetMode="External"/><Relationship Id="rId1" Type="http://schemas.openxmlformats.org/officeDocument/2006/relationships/hyperlink" Target="https://circabc.europa.eu/webdav/CircaBC/ESTAT/eusilc/Library/tools/estimation_jackkni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2290-AE48-4F81-9137-819ACA58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3227</Words>
  <Characters>20335</Characters>
  <Application>Microsoft Office Word</Application>
  <DocSecurity>0</DocSecurity>
  <Lines>169</Lines>
  <Paragraphs>47</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GUSSENBAUER Johannes</cp:lastModifiedBy>
  <cp:revision>28</cp:revision>
  <cp:lastPrinted>2018-02-22T12:09:00Z</cp:lastPrinted>
  <dcterms:created xsi:type="dcterms:W3CDTF">2018-05-13T15:45:00Z</dcterms:created>
  <dcterms:modified xsi:type="dcterms:W3CDTF">2018-05-18T10:28:00Z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821966129</vt:i4>
  </property>
  <property fmtid="{D5CDD505-2E9C-101B-9397-08002B2CF9AE}" pid="3" name="_NewReviewCycle">
    <vt:lpwstr/>
  </property>
  <property fmtid="{D5CDD505-2E9C-101B-9397-08002B2CF9AE}" pid="4" name="_EmailSubject">
    <vt:lpwstr>Q2018 presentation submission</vt:lpwstr>
  </property>
  <property fmtid="{D5CDD505-2E9C-101B-9397-08002B2CF9AE}" pid="5" name="_AuthorEmail">
    <vt:lpwstr>Johannes.Gussenbauer@statistik.gv.at</vt:lpwstr>
  </property>
  <property fmtid="{D5CDD505-2E9C-101B-9397-08002B2CF9AE}" pid="6" name="_AuthorEmailDisplayName">
    <vt:lpwstr>GUSSENBAUER Johannes</vt:lpwstr>
  </property>
</Properties>
</file>