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E63C5" w:rsidRDefault="001E63C5" w:rsidP="001E63C5">
      <w:pPr>
        <w:pStyle w:val="Nagwek1"/>
        <w:rPr>
          <w:lang w:val="en-GB"/>
        </w:rPr>
      </w:pPr>
      <w:bookmarkStart w:id="0" w:name="_GoBack"/>
      <w:bookmarkEnd w:id="0"/>
      <w:r>
        <w:rPr>
          <w:lang w:val="en-GB"/>
        </w:rPr>
        <w:t>Calibration as a tool to enhance accuracy and coherence in tourism statistics</w:t>
      </w:r>
    </w:p>
    <w:p w:rsidR="00A25FFF" w:rsidRDefault="00A25FFF" w:rsidP="00DE7883">
      <w:pPr>
        <w:spacing w:after="0" w:line="360" w:lineRule="auto"/>
        <w:jc w:val="center"/>
        <w:rPr>
          <w:rFonts w:ascii="Arial" w:hAnsi="Arial" w:cs="Arial"/>
          <w:sz w:val="24"/>
          <w:szCs w:val="24"/>
          <w:highlight w:val="yellow"/>
          <w:lang w:val="en-GB"/>
        </w:rPr>
      </w:pPr>
    </w:p>
    <w:p w:rsidR="00A07215" w:rsidRPr="00C82524" w:rsidRDefault="00A07215" w:rsidP="00DE7883">
      <w:pPr>
        <w:spacing w:after="0" w:line="360" w:lineRule="auto"/>
        <w:jc w:val="center"/>
        <w:rPr>
          <w:rFonts w:ascii="Arial" w:hAnsi="Arial" w:cs="Arial"/>
          <w:sz w:val="20"/>
          <w:szCs w:val="24"/>
          <w:lang w:val="en-GB"/>
        </w:rPr>
      </w:pPr>
      <w:r w:rsidRPr="00C82524">
        <w:rPr>
          <w:rFonts w:ascii="Arial" w:hAnsi="Arial" w:cs="Arial"/>
          <w:sz w:val="20"/>
          <w:szCs w:val="24"/>
          <w:lang w:val="en-GB"/>
        </w:rPr>
        <w:t>Carlos Fullea Carrera; National Sta</w:t>
      </w:r>
      <w:r w:rsidR="00B67B74" w:rsidRPr="00C82524">
        <w:rPr>
          <w:rFonts w:ascii="Arial" w:hAnsi="Arial" w:cs="Arial"/>
          <w:sz w:val="20"/>
          <w:szCs w:val="24"/>
          <w:lang w:val="en-GB"/>
        </w:rPr>
        <w:t>tistical Institute (INE)</w:t>
      </w:r>
      <w:r w:rsidRPr="00C82524">
        <w:rPr>
          <w:rFonts w:ascii="Arial" w:hAnsi="Arial" w:cs="Arial"/>
          <w:sz w:val="20"/>
          <w:szCs w:val="24"/>
          <w:lang w:val="en-GB"/>
        </w:rPr>
        <w:t xml:space="preserve">, Spain; </w:t>
      </w:r>
      <w:hyperlink r:id="rId8" w:history="1">
        <w:r w:rsidRPr="00C82524">
          <w:rPr>
            <w:rStyle w:val="Hipercze"/>
            <w:rFonts w:ascii="Arial" w:hAnsi="Arial" w:cs="Arial"/>
            <w:sz w:val="20"/>
            <w:szCs w:val="24"/>
            <w:lang w:val="en-GB"/>
          </w:rPr>
          <w:t>carlos.fullea.carrera@ine.es</w:t>
        </w:r>
      </w:hyperlink>
    </w:p>
    <w:p w:rsidR="00A07215" w:rsidRPr="00C82524" w:rsidRDefault="00A07215" w:rsidP="00DE7883">
      <w:pPr>
        <w:spacing w:after="0" w:line="360" w:lineRule="auto"/>
        <w:jc w:val="center"/>
        <w:rPr>
          <w:rFonts w:ascii="Arial" w:hAnsi="Arial" w:cs="Arial"/>
          <w:sz w:val="20"/>
          <w:szCs w:val="24"/>
          <w:lang w:val="en-GB"/>
        </w:rPr>
      </w:pPr>
      <w:r w:rsidRPr="00C82524">
        <w:rPr>
          <w:rFonts w:ascii="Arial" w:hAnsi="Arial" w:cs="Arial"/>
          <w:sz w:val="20"/>
          <w:szCs w:val="24"/>
          <w:lang w:val="en-GB"/>
        </w:rPr>
        <w:t>María Izquierdo Valverde; National Sta</w:t>
      </w:r>
      <w:r w:rsidR="00B67B74" w:rsidRPr="00C82524">
        <w:rPr>
          <w:rFonts w:ascii="Arial" w:hAnsi="Arial" w:cs="Arial"/>
          <w:sz w:val="20"/>
          <w:szCs w:val="24"/>
          <w:lang w:val="en-GB"/>
        </w:rPr>
        <w:t>tistical Institute (INE)</w:t>
      </w:r>
      <w:r w:rsidRPr="00C82524">
        <w:rPr>
          <w:rFonts w:ascii="Arial" w:hAnsi="Arial" w:cs="Arial"/>
          <w:sz w:val="20"/>
          <w:szCs w:val="24"/>
          <w:lang w:val="en-GB"/>
        </w:rPr>
        <w:t xml:space="preserve">, Spain; </w:t>
      </w:r>
      <w:hyperlink r:id="rId9" w:history="1">
        <w:r w:rsidRPr="00C82524">
          <w:rPr>
            <w:rStyle w:val="Hipercze"/>
            <w:rFonts w:ascii="Arial" w:hAnsi="Arial" w:cs="Arial"/>
            <w:sz w:val="20"/>
            <w:szCs w:val="24"/>
            <w:lang w:val="en-GB"/>
          </w:rPr>
          <w:t>maria.izquierdo.valverde@ine.es</w:t>
        </w:r>
      </w:hyperlink>
    </w:p>
    <w:p w:rsidR="00A07215" w:rsidRPr="00C82524" w:rsidRDefault="00A07215" w:rsidP="00DE7883">
      <w:pPr>
        <w:spacing w:after="0" w:line="360" w:lineRule="auto"/>
        <w:jc w:val="center"/>
        <w:rPr>
          <w:rFonts w:ascii="Arial" w:hAnsi="Arial" w:cs="Arial"/>
          <w:sz w:val="20"/>
          <w:szCs w:val="24"/>
          <w:lang w:val="en-US"/>
        </w:rPr>
      </w:pPr>
      <w:r w:rsidRPr="00C82524">
        <w:rPr>
          <w:rFonts w:ascii="Arial" w:hAnsi="Arial" w:cs="Arial"/>
          <w:sz w:val="20"/>
          <w:szCs w:val="24"/>
          <w:lang w:val="en-US"/>
        </w:rPr>
        <w:t xml:space="preserve">Jorge Polo Fernández; </w:t>
      </w:r>
      <w:r w:rsidR="00D03A65">
        <w:rPr>
          <w:rFonts w:ascii="Arial" w:hAnsi="Arial" w:cs="Arial"/>
          <w:sz w:val="20"/>
          <w:szCs w:val="24"/>
          <w:lang w:val="en-US"/>
        </w:rPr>
        <w:t xml:space="preserve">Spanish </w:t>
      </w:r>
      <w:r w:rsidR="00777E5C">
        <w:rPr>
          <w:rFonts w:ascii="Arial" w:hAnsi="Arial" w:cs="Arial"/>
          <w:sz w:val="20"/>
          <w:szCs w:val="24"/>
          <w:lang w:val="en-US"/>
        </w:rPr>
        <w:t xml:space="preserve">Tax </w:t>
      </w:r>
      <w:r w:rsidR="00D03A65">
        <w:rPr>
          <w:rFonts w:ascii="Arial" w:hAnsi="Arial" w:cs="Arial"/>
          <w:sz w:val="20"/>
          <w:szCs w:val="24"/>
          <w:lang w:val="en-US"/>
        </w:rPr>
        <w:t>A</w:t>
      </w:r>
      <w:r w:rsidR="00777E5C">
        <w:rPr>
          <w:rFonts w:ascii="Arial" w:hAnsi="Arial" w:cs="Arial"/>
          <w:sz w:val="20"/>
          <w:szCs w:val="24"/>
          <w:lang w:val="en-US"/>
        </w:rPr>
        <w:t xml:space="preserve">gency (AEAT), </w:t>
      </w:r>
      <w:r w:rsidRPr="00C82524">
        <w:rPr>
          <w:rFonts w:ascii="Arial" w:hAnsi="Arial" w:cs="Arial"/>
          <w:sz w:val="20"/>
          <w:szCs w:val="24"/>
          <w:lang w:val="en-US"/>
        </w:rPr>
        <w:t xml:space="preserve">Spain; </w:t>
      </w:r>
      <w:hyperlink r:id="rId10" w:history="1">
        <w:r w:rsidR="00A25FFF" w:rsidRPr="00C82524">
          <w:rPr>
            <w:rStyle w:val="Hipercze"/>
            <w:rFonts w:ascii="Arial" w:hAnsi="Arial" w:cs="Arial"/>
            <w:sz w:val="20"/>
            <w:szCs w:val="24"/>
            <w:lang w:val="en-US"/>
          </w:rPr>
          <w:t>jorge.polo@correo.aeat.es</w:t>
        </w:r>
      </w:hyperlink>
    </w:p>
    <w:p w:rsidR="000D705A" w:rsidRPr="00C82524" w:rsidRDefault="000D705A" w:rsidP="00C726EA">
      <w:pPr>
        <w:spacing w:before="240" w:after="0" w:line="360" w:lineRule="auto"/>
        <w:jc w:val="both"/>
        <w:rPr>
          <w:rFonts w:ascii="Arial" w:hAnsi="Arial" w:cs="Arial"/>
          <w:b/>
          <w:sz w:val="20"/>
          <w:szCs w:val="20"/>
          <w:lang w:val="en-US"/>
        </w:rPr>
      </w:pPr>
      <w:r w:rsidRPr="00C82524">
        <w:rPr>
          <w:rFonts w:ascii="Arial" w:hAnsi="Arial" w:cs="Arial"/>
          <w:b/>
          <w:sz w:val="20"/>
          <w:szCs w:val="20"/>
          <w:lang w:val="en-US"/>
        </w:rPr>
        <w:t>Abstract</w:t>
      </w:r>
    </w:p>
    <w:p w:rsidR="001E63C5" w:rsidRPr="00905699" w:rsidRDefault="001E63C5" w:rsidP="001E63C5">
      <w:pPr>
        <w:spacing w:after="0" w:line="240" w:lineRule="auto"/>
        <w:jc w:val="both"/>
        <w:rPr>
          <w:rFonts w:ascii="Arial" w:hAnsi="Arial" w:cs="Arial"/>
          <w:i/>
          <w:sz w:val="20"/>
          <w:szCs w:val="20"/>
          <w:lang w:val="en-GB"/>
        </w:rPr>
      </w:pPr>
      <w:r w:rsidRPr="00905699">
        <w:rPr>
          <w:rFonts w:ascii="Arial" w:hAnsi="Arial" w:cs="Arial"/>
          <w:i/>
          <w:sz w:val="20"/>
          <w:szCs w:val="20"/>
          <w:lang w:val="en-GB"/>
        </w:rPr>
        <w:t xml:space="preserve">Calibration is a reweighting method widely used to improve the accuracy and coherence of official statistics. The Spanish Residents Travel Survey has as its main objective the measurement of the number of trips made by the resident population each month. Travelling is an activity performed by a small percentage of the population, making sampling highly inefficient. Besides, those making trips are more difficult to contact. </w:t>
      </w:r>
    </w:p>
    <w:p w:rsidR="001E63C5" w:rsidRPr="00905699" w:rsidRDefault="001E63C5" w:rsidP="001E63C5">
      <w:pPr>
        <w:spacing w:after="0" w:line="240" w:lineRule="auto"/>
        <w:jc w:val="both"/>
        <w:rPr>
          <w:rFonts w:ascii="Arial" w:hAnsi="Arial" w:cs="Arial"/>
          <w:i/>
          <w:sz w:val="20"/>
          <w:szCs w:val="20"/>
          <w:lang w:val="en-GB"/>
        </w:rPr>
      </w:pPr>
      <w:r w:rsidRPr="00905699">
        <w:rPr>
          <w:rFonts w:ascii="Arial" w:hAnsi="Arial" w:cs="Arial"/>
          <w:i/>
          <w:sz w:val="20"/>
          <w:szCs w:val="20"/>
          <w:lang w:val="en-GB"/>
        </w:rPr>
        <w:t>On the other hand, the Hotel Occupancy Survey also measures the trips and overnight stays of residents staying at hotels and similar establishments, based on the information provided by the hotels. Each survey provides different figures for very similar magnitudes, creating confusion in the measurement of the tourism sector.</w:t>
      </w:r>
    </w:p>
    <w:p w:rsidR="001E63C5" w:rsidRPr="00905699" w:rsidRDefault="001E63C5" w:rsidP="001E63C5">
      <w:pPr>
        <w:spacing w:after="0" w:line="240" w:lineRule="auto"/>
        <w:jc w:val="both"/>
        <w:rPr>
          <w:rFonts w:ascii="Arial" w:hAnsi="Arial" w:cs="Arial"/>
          <w:i/>
          <w:sz w:val="20"/>
          <w:szCs w:val="20"/>
          <w:lang w:val="en-GB"/>
        </w:rPr>
      </w:pPr>
      <w:r w:rsidRPr="00905699">
        <w:rPr>
          <w:rFonts w:ascii="Arial" w:hAnsi="Arial" w:cs="Arial"/>
          <w:i/>
          <w:sz w:val="20"/>
          <w:szCs w:val="20"/>
          <w:lang w:val="en-GB"/>
        </w:rPr>
        <w:t>This paper aims to describe i) the measures applied to improve the efficiency of the sample (substratification based on a logit model predicting the probability of travelling), ii) the calibration to sociodemographic variables to improve the accuracy of the estimates, and iii) its extension including the hotel overnight stays provided by the Occupancy Survey in the calibration enhancing the coherence of tourism statistics.</w:t>
      </w:r>
    </w:p>
    <w:p w:rsidR="001E63C5" w:rsidRPr="00905699" w:rsidRDefault="001E63C5" w:rsidP="001E63C5">
      <w:pPr>
        <w:spacing w:after="0" w:line="240" w:lineRule="auto"/>
        <w:jc w:val="both"/>
        <w:rPr>
          <w:rFonts w:ascii="Arial" w:hAnsi="Arial" w:cs="Arial"/>
          <w:i/>
          <w:sz w:val="20"/>
          <w:szCs w:val="20"/>
          <w:lang w:val="en-GB"/>
        </w:rPr>
      </w:pPr>
      <w:r w:rsidRPr="00905699">
        <w:rPr>
          <w:rFonts w:ascii="Arial" w:hAnsi="Arial" w:cs="Arial"/>
          <w:i/>
          <w:sz w:val="20"/>
          <w:szCs w:val="20"/>
          <w:lang w:val="en-GB"/>
        </w:rPr>
        <w:t xml:space="preserve">This paper assesses the differences in the survey estimates when comparing three scenarios: no calibration, calibration with sociodemographic variables, and calibration with all the variables, including overnight stays. </w:t>
      </w:r>
    </w:p>
    <w:p w:rsidR="000D705A" w:rsidRPr="00EC5F5A" w:rsidRDefault="001E63C5" w:rsidP="00C726EA">
      <w:pPr>
        <w:spacing w:after="0" w:line="240" w:lineRule="auto"/>
        <w:jc w:val="both"/>
        <w:rPr>
          <w:rFonts w:ascii="Arial" w:hAnsi="Arial" w:cs="Arial"/>
          <w:i/>
          <w:sz w:val="20"/>
          <w:szCs w:val="20"/>
          <w:lang w:val="en-GB"/>
        </w:rPr>
      </w:pPr>
      <w:r w:rsidRPr="00905699">
        <w:rPr>
          <w:rFonts w:ascii="Arial" w:hAnsi="Arial" w:cs="Arial"/>
          <w:i/>
          <w:sz w:val="20"/>
          <w:szCs w:val="20"/>
          <w:lang w:val="en-GB"/>
        </w:rPr>
        <w:t>In this process, regions with fewer records have to be grouped together each month due to sample size limitations. To calibrate each region separately, a reference period of three months could be considered, thereby increasing their sample size. The paper also explores the results of calibrating the three months of each quarter altogether, comparing them with the monthly estimates.</w:t>
      </w:r>
    </w:p>
    <w:p w:rsidR="00E10769" w:rsidRPr="009B79E6" w:rsidRDefault="00C726EA" w:rsidP="009B79E6">
      <w:pPr>
        <w:spacing w:before="240" w:after="0" w:line="360" w:lineRule="auto"/>
        <w:jc w:val="both"/>
        <w:rPr>
          <w:rFonts w:ascii="Arial" w:hAnsi="Arial" w:cs="Arial"/>
          <w:sz w:val="20"/>
          <w:szCs w:val="20"/>
          <w:lang w:val="en-GB"/>
        </w:rPr>
      </w:pPr>
      <w:r w:rsidRPr="00B93DDA">
        <w:rPr>
          <w:rFonts w:ascii="Arial" w:hAnsi="Arial" w:cs="Arial"/>
          <w:b/>
          <w:sz w:val="20"/>
          <w:szCs w:val="20"/>
          <w:lang w:val="en-GB"/>
        </w:rPr>
        <w:t xml:space="preserve">Keywords: </w:t>
      </w:r>
      <w:r w:rsidR="00B93DDA" w:rsidRPr="00B93DDA">
        <w:rPr>
          <w:rFonts w:ascii="Arial" w:hAnsi="Arial" w:cs="Arial"/>
          <w:sz w:val="20"/>
          <w:szCs w:val="20"/>
          <w:lang w:val="en-GB"/>
        </w:rPr>
        <w:t>Calibration, accuracy, coherence, tourism statistics</w:t>
      </w:r>
    </w:p>
    <w:p w:rsidR="00E10769" w:rsidRPr="009B79E6" w:rsidRDefault="00E10769" w:rsidP="009B79E6">
      <w:pPr>
        <w:pStyle w:val="Akapitzlist"/>
        <w:numPr>
          <w:ilvl w:val="0"/>
          <w:numId w:val="9"/>
        </w:numPr>
        <w:spacing w:before="360" w:after="0" w:line="360" w:lineRule="auto"/>
        <w:jc w:val="both"/>
        <w:rPr>
          <w:rFonts w:ascii="Arial" w:hAnsi="Arial" w:cs="Arial"/>
          <w:b/>
          <w:sz w:val="24"/>
          <w:szCs w:val="24"/>
          <w:lang w:val="en-GB"/>
        </w:rPr>
      </w:pPr>
      <w:r w:rsidRPr="009B79E6">
        <w:rPr>
          <w:rFonts w:ascii="Arial" w:hAnsi="Arial" w:cs="Arial"/>
          <w:b/>
          <w:sz w:val="24"/>
          <w:szCs w:val="24"/>
          <w:lang w:val="en-GB"/>
        </w:rPr>
        <w:t>Introduction</w:t>
      </w:r>
    </w:p>
    <w:p w:rsidR="00766BA7" w:rsidRPr="00C82524" w:rsidRDefault="00766BA7" w:rsidP="00C82524">
      <w:pPr>
        <w:spacing w:before="120" w:after="0" w:line="360" w:lineRule="auto"/>
        <w:jc w:val="both"/>
        <w:rPr>
          <w:rFonts w:ascii="Arial" w:hAnsi="Arial" w:cs="Arial"/>
          <w:sz w:val="24"/>
          <w:szCs w:val="24"/>
          <w:lang w:val="en-GB"/>
        </w:rPr>
      </w:pPr>
      <w:r w:rsidRPr="00C82524">
        <w:rPr>
          <w:rFonts w:ascii="Arial" w:hAnsi="Arial" w:cs="Arial"/>
          <w:sz w:val="24"/>
          <w:szCs w:val="24"/>
          <w:lang w:val="en-GB"/>
        </w:rPr>
        <w:t xml:space="preserve">The Spanish Residents Travel Survey </w:t>
      </w:r>
      <w:r w:rsidR="00276600">
        <w:rPr>
          <w:rFonts w:ascii="Arial" w:hAnsi="Arial" w:cs="Arial"/>
          <w:sz w:val="24"/>
          <w:szCs w:val="24"/>
          <w:lang w:val="en-GB"/>
        </w:rPr>
        <w:t xml:space="preserve">(RTS) </w:t>
      </w:r>
      <w:r w:rsidRPr="00C82524">
        <w:rPr>
          <w:rFonts w:ascii="Arial" w:hAnsi="Arial" w:cs="Arial"/>
          <w:sz w:val="24"/>
          <w:szCs w:val="24"/>
          <w:lang w:val="en-GB"/>
        </w:rPr>
        <w:t xml:space="preserve">has as its main objective the measurement of the number of trips made by the resident population each month. </w:t>
      </w:r>
      <w:r w:rsidR="00A22395">
        <w:rPr>
          <w:rFonts w:ascii="Arial" w:hAnsi="Arial" w:cs="Arial"/>
          <w:sz w:val="24"/>
          <w:szCs w:val="24"/>
          <w:lang w:val="en-GB"/>
        </w:rPr>
        <w:t xml:space="preserve">The main characteristics of the trip are collected to obtain estimates according, for instance, the destination or the accommodation or the means of transport used during the trip. </w:t>
      </w:r>
      <w:r w:rsidRPr="00C82524">
        <w:rPr>
          <w:rFonts w:ascii="Arial" w:hAnsi="Arial" w:cs="Arial"/>
          <w:sz w:val="24"/>
          <w:szCs w:val="24"/>
          <w:lang w:val="en-GB"/>
        </w:rPr>
        <w:t>Travelling is an activity performed by a small percentage of the population, making sampling highly inefficient</w:t>
      </w:r>
      <w:r w:rsidR="00A22395">
        <w:rPr>
          <w:rFonts w:ascii="Arial" w:hAnsi="Arial" w:cs="Arial"/>
          <w:sz w:val="24"/>
          <w:szCs w:val="24"/>
          <w:lang w:val="en-GB"/>
        </w:rPr>
        <w:t xml:space="preserve"> and leading to small samples of trips, even when a considerable amount of interviews are conducted every month.</w:t>
      </w:r>
    </w:p>
    <w:p w:rsidR="00766BA7" w:rsidRDefault="00766BA7" w:rsidP="00C82524">
      <w:pPr>
        <w:spacing w:before="120" w:after="0" w:line="360" w:lineRule="auto"/>
        <w:jc w:val="both"/>
        <w:rPr>
          <w:rFonts w:ascii="Arial" w:hAnsi="Arial" w:cs="Arial"/>
          <w:sz w:val="24"/>
          <w:szCs w:val="24"/>
          <w:lang w:val="en-GB"/>
        </w:rPr>
      </w:pPr>
      <w:r w:rsidRPr="00C82524">
        <w:rPr>
          <w:rFonts w:ascii="Arial" w:hAnsi="Arial" w:cs="Arial"/>
          <w:sz w:val="24"/>
          <w:szCs w:val="24"/>
          <w:lang w:val="en-GB"/>
        </w:rPr>
        <w:t xml:space="preserve">On the other hand, the Hotel Occupancy Survey </w:t>
      </w:r>
      <w:r w:rsidR="00276600">
        <w:rPr>
          <w:rFonts w:ascii="Arial" w:hAnsi="Arial" w:cs="Arial"/>
          <w:sz w:val="24"/>
          <w:szCs w:val="24"/>
          <w:lang w:val="en-GB"/>
        </w:rPr>
        <w:t xml:space="preserve">(HOS) </w:t>
      </w:r>
      <w:r w:rsidRPr="00C82524">
        <w:rPr>
          <w:rFonts w:ascii="Arial" w:hAnsi="Arial" w:cs="Arial"/>
          <w:sz w:val="24"/>
          <w:szCs w:val="24"/>
          <w:lang w:val="en-GB"/>
        </w:rPr>
        <w:t xml:space="preserve">also measures the trips and overnight stays of residents </w:t>
      </w:r>
      <w:r w:rsidR="00276600">
        <w:rPr>
          <w:rFonts w:ascii="Arial" w:hAnsi="Arial" w:cs="Arial"/>
          <w:sz w:val="24"/>
          <w:szCs w:val="24"/>
          <w:lang w:val="en-GB"/>
        </w:rPr>
        <w:t xml:space="preserve">(and non-residents) </w:t>
      </w:r>
      <w:r w:rsidRPr="00C82524">
        <w:rPr>
          <w:rFonts w:ascii="Arial" w:hAnsi="Arial" w:cs="Arial"/>
          <w:sz w:val="24"/>
          <w:szCs w:val="24"/>
          <w:lang w:val="en-GB"/>
        </w:rPr>
        <w:t xml:space="preserve">staying at hotels and similar establishments, based on the information provided by the hotels. </w:t>
      </w:r>
      <w:r w:rsidR="00276600">
        <w:rPr>
          <w:rFonts w:ascii="Arial" w:hAnsi="Arial" w:cs="Arial"/>
          <w:sz w:val="24"/>
          <w:szCs w:val="24"/>
          <w:lang w:val="en-GB"/>
        </w:rPr>
        <w:t xml:space="preserve">Both sources are complementary: HOS provides an accurate picture of the accommodation market at </w:t>
      </w:r>
      <w:r w:rsidR="00276600">
        <w:rPr>
          <w:rFonts w:ascii="Arial" w:hAnsi="Arial" w:cs="Arial"/>
          <w:sz w:val="24"/>
          <w:szCs w:val="24"/>
          <w:lang w:val="en-GB"/>
        </w:rPr>
        <w:lastRenderedPageBreak/>
        <w:t xml:space="preserve">destination level while RTS gives the complete picture of the visitors received, taking into account non-market accommodation as well, but with lower level of geographical detail. But </w:t>
      </w:r>
      <w:r w:rsidR="008E2D02">
        <w:rPr>
          <w:rFonts w:ascii="Arial" w:hAnsi="Arial" w:cs="Arial"/>
          <w:sz w:val="24"/>
          <w:szCs w:val="24"/>
          <w:lang w:val="en-GB"/>
        </w:rPr>
        <w:t xml:space="preserve">if no measures are taken, </w:t>
      </w:r>
      <w:r w:rsidR="00276600">
        <w:rPr>
          <w:rFonts w:ascii="Arial" w:hAnsi="Arial" w:cs="Arial"/>
          <w:sz w:val="24"/>
          <w:szCs w:val="24"/>
          <w:lang w:val="en-GB"/>
        </w:rPr>
        <w:t>e</w:t>
      </w:r>
      <w:r w:rsidRPr="00C82524">
        <w:rPr>
          <w:rFonts w:ascii="Arial" w:hAnsi="Arial" w:cs="Arial"/>
          <w:sz w:val="24"/>
          <w:szCs w:val="24"/>
          <w:lang w:val="en-GB"/>
        </w:rPr>
        <w:t xml:space="preserve">ach survey </w:t>
      </w:r>
      <w:r w:rsidR="008E2D02">
        <w:rPr>
          <w:rFonts w:ascii="Arial" w:hAnsi="Arial" w:cs="Arial"/>
          <w:sz w:val="24"/>
          <w:szCs w:val="24"/>
          <w:lang w:val="en-GB"/>
        </w:rPr>
        <w:t xml:space="preserve">can </w:t>
      </w:r>
      <w:r w:rsidRPr="00C82524">
        <w:rPr>
          <w:rFonts w:ascii="Arial" w:hAnsi="Arial" w:cs="Arial"/>
          <w:sz w:val="24"/>
          <w:szCs w:val="24"/>
          <w:lang w:val="en-GB"/>
        </w:rPr>
        <w:t xml:space="preserve">provide different figures for very similar magnitudes, creating </w:t>
      </w:r>
      <w:r w:rsidR="00276600">
        <w:rPr>
          <w:rFonts w:ascii="Arial" w:hAnsi="Arial" w:cs="Arial"/>
          <w:sz w:val="24"/>
          <w:szCs w:val="24"/>
          <w:lang w:val="en-GB"/>
        </w:rPr>
        <w:t xml:space="preserve">some </w:t>
      </w:r>
      <w:r w:rsidRPr="00C82524">
        <w:rPr>
          <w:rFonts w:ascii="Arial" w:hAnsi="Arial" w:cs="Arial"/>
          <w:sz w:val="24"/>
          <w:szCs w:val="24"/>
          <w:lang w:val="en-GB"/>
        </w:rPr>
        <w:t>confusion in the measurement of the tourism sector</w:t>
      </w:r>
      <w:r w:rsidR="00F778B3">
        <w:rPr>
          <w:rFonts w:ascii="Arial" w:hAnsi="Arial" w:cs="Arial"/>
          <w:sz w:val="24"/>
          <w:szCs w:val="24"/>
          <w:lang w:val="en-GB"/>
        </w:rPr>
        <w:t>, as shown in Table 1.</w:t>
      </w:r>
    </w:p>
    <w:p w:rsidR="008653C2" w:rsidRDefault="008653C2" w:rsidP="00FC4182">
      <w:pPr>
        <w:pStyle w:val="Legenda"/>
        <w:keepNext/>
        <w:spacing w:before="120"/>
        <w:rPr>
          <w:rFonts w:ascii="Arial" w:hAnsi="Arial" w:cs="Arial"/>
          <w:b/>
          <w:i w:val="0"/>
          <w:color w:val="auto"/>
          <w:sz w:val="20"/>
          <w:szCs w:val="20"/>
          <w:lang w:val="en-GB"/>
        </w:rPr>
      </w:pPr>
      <w:r w:rsidRPr="00C85ABE">
        <w:rPr>
          <w:rFonts w:ascii="Arial" w:hAnsi="Arial" w:cs="Arial"/>
          <w:b/>
          <w:i w:val="0"/>
          <w:color w:val="auto"/>
          <w:sz w:val="20"/>
          <w:szCs w:val="20"/>
          <w:lang w:val="en-GB"/>
        </w:rPr>
        <w:t xml:space="preserve">Table </w:t>
      </w:r>
      <w:r w:rsidR="00BB13B2">
        <w:rPr>
          <w:rFonts w:ascii="Arial" w:hAnsi="Arial" w:cs="Arial"/>
          <w:b/>
          <w:i w:val="0"/>
          <w:color w:val="auto"/>
          <w:sz w:val="20"/>
          <w:szCs w:val="20"/>
          <w:lang w:val="en-GB"/>
        </w:rPr>
        <w:t>1</w:t>
      </w:r>
      <w:r w:rsidRPr="00C85ABE">
        <w:rPr>
          <w:rFonts w:ascii="Arial" w:hAnsi="Arial" w:cs="Arial"/>
          <w:b/>
          <w:i w:val="0"/>
          <w:color w:val="auto"/>
          <w:sz w:val="20"/>
          <w:szCs w:val="20"/>
          <w:lang w:val="en-GB"/>
        </w:rPr>
        <w:t xml:space="preserve">. </w:t>
      </w:r>
      <w:r w:rsidR="00CC7114">
        <w:rPr>
          <w:rFonts w:ascii="Arial" w:hAnsi="Arial" w:cs="Arial"/>
          <w:b/>
          <w:i w:val="0"/>
          <w:color w:val="auto"/>
          <w:sz w:val="20"/>
          <w:szCs w:val="20"/>
          <w:lang w:val="en-GB"/>
        </w:rPr>
        <w:t>Overnight</w:t>
      </w:r>
      <w:r>
        <w:rPr>
          <w:rFonts w:ascii="Arial" w:hAnsi="Arial" w:cs="Arial"/>
          <w:b/>
          <w:i w:val="0"/>
          <w:color w:val="auto"/>
          <w:sz w:val="20"/>
          <w:szCs w:val="20"/>
          <w:lang w:val="en-GB"/>
        </w:rPr>
        <w:t xml:space="preserve"> stays and coefficient of variation by month.</w:t>
      </w:r>
    </w:p>
    <w:p w:rsidR="008653C2" w:rsidRPr="00C82524" w:rsidRDefault="00ED46E6" w:rsidP="00C82524">
      <w:pPr>
        <w:rPr>
          <w:lang w:val="en-GB"/>
        </w:rPr>
      </w:pPr>
      <w:r w:rsidRPr="00ED46E6">
        <w:rPr>
          <w:noProof/>
          <w:lang w:eastAsia="pl-PL"/>
        </w:rPr>
        <w:drawing>
          <wp:inline distT="0" distB="0" distL="0" distR="0">
            <wp:extent cx="5760720" cy="935347"/>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935347"/>
                    </a:xfrm>
                    <a:prstGeom prst="rect">
                      <a:avLst/>
                    </a:prstGeom>
                    <a:noFill/>
                    <a:ln>
                      <a:noFill/>
                    </a:ln>
                  </pic:spPr>
                </pic:pic>
              </a:graphicData>
            </a:graphic>
          </wp:inline>
        </w:drawing>
      </w:r>
    </w:p>
    <w:p w:rsidR="008653C2" w:rsidRPr="00ED46E6" w:rsidRDefault="008653C2" w:rsidP="00FC4182">
      <w:pPr>
        <w:spacing w:before="120" w:after="240" w:line="360" w:lineRule="auto"/>
        <w:jc w:val="both"/>
        <w:rPr>
          <w:rFonts w:ascii="Arial" w:hAnsi="Arial" w:cs="Arial"/>
          <w:sz w:val="20"/>
          <w:szCs w:val="20"/>
          <w:lang w:val="en-GB"/>
        </w:rPr>
      </w:pPr>
      <w:r w:rsidRPr="00EC5F5A">
        <w:rPr>
          <w:rFonts w:ascii="Arial" w:hAnsi="Arial" w:cs="Arial"/>
          <w:sz w:val="20"/>
          <w:szCs w:val="20"/>
          <w:lang w:val="en-GB"/>
        </w:rPr>
        <w:t>Source:</w:t>
      </w:r>
      <w:r>
        <w:rPr>
          <w:rFonts w:ascii="Arial" w:hAnsi="Arial" w:cs="Arial"/>
          <w:sz w:val="20"/>
          <w:szCs w:val="20"/>
          <w:lang w:val="en-GB"/>
        </w:rPr>
        <w:t xml:space="preserve"> Residents Travel Survey and </w:t>
      </w:r>
      <w:r w:rsidRPr="00C82524">
        <w:rPr>
          <w:rFonts w:ascii="Arial" w:hAnsi="Arial" w:cs="Arial"/>
          <w:sz w:val="20"/>
          <w:szCs w:val="20"/>
          <w:lang w:val="en-GB"/>
        </w:rPr>
        <w:t>Hotel Occupancy Survey</w:t>
      </w:r>
      <w:r>
        <w:rPr>
          <w:rFonts w:ascii="Arial" w:hAnsi="Arial" w:cs="Arial"/>
          <w:sz w:val="20"/>
          <w:szCs w:val="20"/>
          <w:lang w:val="en-GB"/>
        </w:rPr>
        <w:t xml:space="preserve"> 2017.</w:t>
      </w:r>
    </w:p>
    <w:p w:rsidR="00A22395" w:rsidRDefault="00A22395" w:rsidP="00C82524">
      <w:pPr>
        <w:spacing w:before="120" w:after="0" w:line="360" w:lineRule="auto"/>
        <w:jc w:val="both"/>
        <w:rPr>
          <w:rFonts w:ascii="Arial" w:hAnsi="Arial" w:cs="Arial"/>
          <w:sz w:val="24"/>
          <w:szCs w:val="24"/>
          <w:lang w:val="en-US"/>
        </w:rPr>
      </w:pPr>
      <w:r w:rsidRPr="00C82524">
        <w:rPr>
          <w:rFonts w:ascii="Arial" w:hAnsi="Arial" w:cs="Arial"/>
          <w:sz w:val="24"/>
          <w:szCs w:val="24"/>
          <w:lang w:val="en-US"/>
        </w:rPr>
        <w:t xml:space="preserve">Auxiliary information coming from the sampling frame </w:t>
      </w:r>
      <w:r>
        <w:rPr>
          <w:rFonts w:ascii="Arial" w:hAnsi="Arial" w:cs="Arial"/>
          <w:sz w:val="24"/>
          <w:szCs w:val="24"/>
          <w:lang w:val="en-US"/>
        </w:rPr>
        <w:t xml:space="preserve">of the RTS </w:t>
      </w:r>
      <w:r w:rsidRPr="00C82524">
        <w:rPr>
          <w:rFonts w:ascii="Arial" w:hAnsi="Arial" w:cs="Arial"/>
          <w:sz w:val="24"/>
          <w:szCs w:val="24"/>
          <w:lang w:val="en-US"/>
        </w:rPr>
        <w:t>is used during the sampling stage to increase the efficiency of the s</w:t>
      </w:r>
      <w:r>
        <w:rPr>
          <w:rFonts w:ascii="Arial" w:hAnsi="Arial" w:cs="Arial"/>
          <w:sz w:val="24"/>
          <w:szCs w:val="24"/>
          <w:lang w:val="en-US"/>
        </w:rPr>
        <w:t>a</w:t>
      </w:r>
      <w:r w:rsidRPr="00C82524">
        <w:rPr>
          <w:rFonts w:ascii="Arial" w:hAnsi="Arial" w:cs="Arial"/>
          <w:sz w:val="24"/>
          <w:szCs w:val="24"/>
          <w:lang w:val="en-US"/>
        </w:rPr>
        <w:t xml:space="preserve">mple. </w:t>
      </w:r>
      <w:r>
        <w:rPr>
          <w:rFonts w:ascii="Arial" w:hAnsi="Arial" w:cs="Arial"/>
          <w:sz w:val="24"/>
          <w:szCs w:val="24"/>
          <w:lang w:val="en-US"/>
        </w:rPr>
        <w:t xml:space="preserve">Besides, </w:t>
      </w:r>
      <w:r w:rsidR="00767098">
        <w:rPr>
          <w:rFonts w:ascii="Arial" w:hAnsi="Arial" w:cs="Arial"/>
          <w:sz w:val="24"/>
          <w:szCs w:val="24"/>
          <w:lang w:val="en-US"/>
        </w:rPr>
        <w:t>HOS estimates</w:t>
      </w:r>
      <w:r w:rsidR="00890F9D">
        <w:rPr>
          <w:rFonts w:ascii="Arial" w:hAnsi="Arial" w:cs="Arial"/>
          <w:sz w:val="24"/>
          <w:szCs w:val="24"/>
          <w:lang w:val="en-US"/>
        </w:rPr>
        <w:t xml:space="preserve">, with </w:t>
      </w:r>
      <w:r w:rsidR="00360B38">
        <w:rPr>
          <w:rFonts w:ascii="Arial" w:hAnsi="Arial" w:cs="Arial"/>
          <w:sz w:val="24"/>
          <w:szCs w:val="24"/>
          <w:lang w:val="en-US"/>
        </w:rPr>
        <w:t>lower</w:t>
      </w:r>
      <w:r w:rsidR="00890F9D">
        <w:rPr>
          <w:rFonts w:ascii="Arial" w:hAnsi="Arial" w:cs="Arial"/>
          <w:sz w:val="24"/>
          <w:szCs w:val="24"/>
          <w:lang w:val="en-US"/>
        </w:rPr>
        <w:t xml:space="preserve"> coefficients of variation</w:t>
      </w:r>
      <w:r w:rsidR="007C1803">
        <w:rPr>
          <w:rFonts w:ascii="Arial" w:hAnsi="Arial" w:cs="Arial"/>
          <w:sz w:val="24"/>
          <w:szCs w:val="24"/>
          <w:lang w:val="en-US"/>
        </w:rPr>
        <w:t xml:space="preserve"> (see </w:t>
      </w:r>
      <w:r w:rsidR="00890F9D">
        <w:rPr>
          <w:rFonts w:ascii="Arial" w:hAnsi="Arial" w:cs="Arial"/>
          <w:sz w:val="24"/>
          <w:szCs w:val="24"/>
          <w:lang w:val="en-US"/>
        </w:rPr>
        <w:t>Table 1)</w:t>
      </w:r>
      <w:r w:rsidR="00593169">
        <w:rPr>
          <w:rFonts w:ascii="Arial" w:hAnsi="Arial" w:cs="Arial"/>
          <w:sz w:val="24"/>
          <w:szCs w:val="24"/>
          <w:lang w:val="en-US"/>
        </w:rPr>
        <w:t>,</w:t>
      </w:r>
      <w:r w:rsidR="00890F9D">
        <w:rPr>
          <w:rFonts w:ascii="Arial" w:hAnsi="Arial" w:cs="Arial"/>
          <w:sz w:val="24"/>
          <w:szCs w:val="24"/>
          <w:lang w:val="en-US"/>
        </w:rPr>
        <w:t xml:space="preserve"> </w:t>
      </w:r>
      <w:r w:rsidR="00767098">
        <w:rPr>
          <w:rFonts w:ascii="Arial" w:hAnsi="Arial" w:cs="Arial"/>
          <w:sz w:val="24"/>
          <w:szCs w:val="24"/>
          <w:lang w:val="en-US"/>
        </w:rPr>
        <w:t>are used during the RTS weighting process to improve accuracy</w:t>
      </w:r>
      <w:r w:rsidR="00890F9D">
        <w:rPr>
          <w:rFonts w:ascii="Arial" w:hAnsi="Arial" w:cs="Arial"/>
          <w:sz w:val="24"/>
          <w:szCs w:val="24"/>
          <w:lang w:val="en-US"/>
        </w:rPr>
        <w:t xml:space="preserve"> </w:t>
      </w:r>
      <w:r w:rsidR="00767098">
        <w:rPr>
          <w:rFonts w:ascii="Arial" w:hAnsi="Arial" w:cs="Arial"/>
          <w:sz w:val="24"/>
          <w:szCs w:val="24"/>
          <w:lang w:val="en-US"/>
        </w:rPr>
        <w:t xml:space="preserve">and </w:t>
      </w:r>
      <w:r w:rsidR="000F3E3B">
        <w:rPr>
          <w:rFonts w:ascii="Arial" w:hAnsi="Arial" w:cs="Arial"/>
          <w:sz w:val="24"/>
          <w:szCs w:val="24"/>
          <w:lang w:val="en-US"/>
        </w:rPr>
        <w:t xml:space="preserve">to </w:t>
      </w:r>
      <w:r w:rsidR="00767098">
        <w:rPr>
          <w:rFonts w:ascii="Arial" w:hAnsi="Arial" w:cs="Arial"/>
          <w:sz w:val="24"/>
          <w:szCs w:val="24"/>
          <w:lang w:val="en-US"/>
        </w:rPr>
        <w:t>enhance the coherence of both sources.</w:t>
      </w:r>
    </w:p>
    <w:p w:rsidR="00E10769" w:rsidRPr="009B79E6" w:rsidRDefault="00AA4942" w:rsidP="009B79E6">
      <w:pPr>
        <w:pStyle w:val="Akapitzlist"/>
        <w:numPr>
          <w:ilvl w:val="0"/>
          <w:numId w:val="9"/>
        </w:numPr>
        <w:spacing w:before="360" w:after="0" w:line="360" w:lineRule="auto"/>
        <w:jc w:val="both"/>
        <w:rPr>
          <w:rFonts w:ascii="Arial" w:hAnsi="Arial" w:cs="Arial"/>
          <w:b/>
          <w:sz w:val="24"/>
          <w:szCs w:val="24"/>
          <w:lang w:val="en-GB"/>
        </w:rPr>
      </w:pPr>
      <w:r w:rsidRPr="009B79E6">
        <w:rPr>
          <w:rFonts w:ascii="Arial" w:hAnsi="Arial" w:cs="Arial"/>
          <w:b/>
          <w:sz w:val="24"/>
          <w:szCs w:val="24"/>
          <w:lang w:val="en-GB"/>
        </w:rPr>
        <w:t xml:space="preserve">Residents travel survey </w:t>
      </w:r>
    </w:p>
    <w:p w:rsidR="00C44AF7" w:rsidRDefault="00081DCF" w:rsidP="00C82524">
      <w:pPr>
        <w:spacing w:before="120" w:after="0" w:line="360" w:lineRule="auto"/>
        <w:jc w:val="both"/>
        <w:rPr>
          <w:rFonts w:ascii="Arial" w:hAnsi="Arial" w:cs="Arial"/>
          <w:sz w:val="24"/>
          <w:szCs w:val="24"/>
          <w:lang w:val="en-GB"/>
        </w:rPr>
      </w:pPr>
      <w:r>
        <w:rPr>
          <w:rFonts w:ascii="Arial" w:hAnsi="Arial" w:cs="Arial"/>
          <w:sz w:val="24"/>
          <w:szCs w:val="24"/>
          <w:lang w:val="en-GB"/>
        </w:rPr>
        <w:t>The Residents T</w:t>
      </w:r>
      <w:r w:rsidR="00C44AF7">
        <w:rPr>
          <w:rFonts w:ascii="Arial" w:hAnsi="Arial" w:cs="Arial"/>
          <w:sz w:val="24"/>
          <w:szCs w:val="24"/>
          <w:lang w:val="en-GB"/>
        </w:rPr>
        <w:t xml:space="preserve">ravel </w:t>
      </w:r>
      <w:r>
        <w:rPr>
          <w:rFonts w:ascii="Arial" w:hAnsi="Arial" w:cs="Arial"/>
          <w:sz w:val="24"/>
          <w:szCs w:val="24"/>
          <w:lang w:val="en-GB"/>
        </w:rPr>
        <w:t>S</w:t>
      </w:r>
      <w:r w:rsidR="00C44AF7">
        <w:rPr>
          <w:rFonts w:ascii="Arial" w:hAnsi="Arial" w:cs="Arial"/>
          <w:sz w:val="24"/>
          <w:szCs w:val="24"/>
          <w:lang w:val="en-GB"/>
        </w:rPr>
        <w:t xml:space="preserve">urvey is </w:t>
      </w:r>
      <w:r w:rsidR="00261240">
        <w:rPr>
          <w:rFonts w:ascii="Arial" w:hAnsi="Arial" w:cs="Arial"/>
          <w:sz w:val="24"/>
          <w:szCs w:val="24"/>
          <w:lang w:val="en-GB"/>
        </w:rPr>
        <w:t xml:space="preserve">a household </w:t>
      </w:r>
      <w:r w:rsidR="00FD539C">
        <w:rPr>
          <w:rFonts w:ascii="Arial" w:hAnsi="Arial" w:cs="Arial"/>
          <w:sz w:val="24"/>
          <w:szCs w:val="24"/>
          <w:lang w:val="en-GB"/>
        </w:rPr>
        <w:t>survey aiming</w:t>
      </w:r>
      <w:r>
        <w:rPr>
          <w:rFonts w:ascii="Arial" w:hAnsi="Arial" w:cs="Arial"/>
          <w:sz w:val="24"/>
          <w:szCs w:val="24"/>
          <w:lang w:val="en-GB"/>
        </w:rPr>
        <w:t xml:space="preserve"> t</w:t>
      </w:r>
      <w:r w:rsidR="00C44AF7" w:rsidRPr="00C44AF7">
        <w:rPr>
          <w:rFonts w:ascii="Arial" w:hAnsi="Arial" w:cs="Arial"/>
          <w:sz w:val="24"/>
          <w:szCs w:val="24"/>
          <w:lang w:val="en-GB"/>
        </w:rPr>
        <w:t xml:space="preserve">o estimate the total number of </w:t>
      </w:r>
      <w:r w:rsidRPr="00C44AF7">
        <w:rPr>
          <w:rFonts w:ascii="Arial" w:hAnsi="Arial" w:cs="Arial"/>
          <w:sz w:val="24"/>
          <w:szCs w:val="24"/>
          <w:lang w:val="en-GB"/>
        </w:rPr>
        <w:t>touris</w:t>
      </w:r>
      <w:r>
        <w:rPr>
          <w:rFonts w:ascii="Arial" w:hAnsi="Arial" w:cs="Arial"/>
          <w:sz w:val="24"/>
          <w:szCs w:val="24"/>
          <w:lang w:val="en-GB"/>
        </w:rPr>
        <w:t>m</w:t>
      </w:r>
      <w:r w:rsidRPr="00C44AF7">
        <w:rPr>
          <w:rFonts w:ascii="Arial" w:hAnsi="Arial" w:cs="Arial"/>
          <w:sz w:val="24"/>
          <w:szCs w:val="24"/>
          <w:lang w:val="en-GB"/>
        </w:rPr>
        <w:t xml:space="preserve"> </w:t>
      </w:r>
      <w:r>
        <w:rPr>
          <w:rFonts w:ascii="Arial" w:hAnsi="Arial" w:cs="Arial"/>
          <w:sz w:val="24"/>
          <w:szCs w:val="24"/>
          <w:lang w:val="en-GB"/>
        </w:rPr>
        <w:t xml:space="preserve">trips </w:t>
      </w:r>
      <w:r w:rsidR="00261240">
        <w:rPr>
          <w:rFonts w:ascii="Arial" w:hAnsi="Arial" w:cs="Arial"/>
          <w:sz w:val="24"/>
          <w:szCs w:val="24"/>
          <w:lang w:val="en-GB"/>
        </w:rPr>
        <w:t>made</w:t>
      </w:r>
      <w:r w:rsidR="00261240" w:rsidRPr="00C44AF7">
        <w:rPr>
          <w:rFonts w:ascii="Arial" w:hAnsi="Arial" w:cs="Arial"/>
          <w:sz w:val="24"/>
          <w:szCs w:val="24"/>
          <w:lang w:val="en-GB"/>
        </w:rPr>
        <w:t xml:space="preserve"> </w:t>
      </w:r>
      <w:r w:rsidR="00C44AF7" w:rsidRPr="00C44AF7">
        <w:rPr>
          <w:rFonts w:ascii="Arial" w:hAnsi="Arial" w:cs="Arial"/>
          <w:sz w:val="24"/>
          <w:szCs w:val="24"/>
          <w:lang w:val="en-GB"/>
        </w:rPr>
        <w:t xml:space="preserve">by </w:t>
      </w:r>
      <w:r>
        <w:rPr>
          <w:rFonts w:ascii="Arial" w:hAnsi="Arial" w:cs="Arial"/>
          <w:sz w:val="24"/>
          <w:szCs w:val="24"/>
          <w:lang w:val="en-GB"/>
        </w:rPr>
        <w:t xml:space="preserve">the population </w:t>
      </w:r>
      <w:r w:rsidR="00C44AF7" w:rsidRPr="00C44AF7">
        <w:rPr>
          <w:rFonts w:ascii="Arial" w:hAnsi="Arial" w:cs="Arial"/>
          <w:sz w:val="24"/>
          <w:szCs w:val="24"/>
          <w:lang w:val="en-GB"/>
        </w:rPr>
        <w:t>resident in Spain</w:t>
      </w:r>
      <w:r w:rsidR="00FD539C">
        <w:rPr>
          <w:rFonts w:ascii="Arial" w:hAnsi="Arial" w:cs="Arial"/>
          <w:sz w:val="24"/>
          <w:szCs w:val="24"/>
          <w:lang w:val="en-GB"/>
        </w:rPr>
        <w:t>. Both trips</w:t>
      </w:r>
      <w:r w:rsidR="00C44AF7" w:rsidRPr="00C44AF7">
        <w:rPr>
          <w:rFonts w:ascii="Arial" w:hAnsi="Arial" w:cs="Arial"/>
          <w:sz w:val="24"/>
          <w:szCs w:val="24"/>
          <w:lang w:val="en-GB"/>
        </w:rPr>
        <w:t xml:space="preserve"> </w:t>
      </w:r>
      <w:r>
        <w:rPr>
          <w:rFonts w:ascii="Arial" w:hAnsi="Arial" w:cs="Arial"/>
          <w:sz w:val="24"/>
          <w:szCs w:val="24"/>
          <w:lang w:val="en-GB"/>
        </w:rPr>
        <w:t>with</w:t>
      </w:r>
      <w:r w:rsidR="00C44AF7" w:rsidRPr="00C44AF7">
        <w:rPr>
          <w:rFonts w:ascii="Arial" w:hAnsi="Arial" w:cs="Arial"/>
          <w:sz w:val="24"/>
          <w:szCs w:val="24"/>
          <w:lang w:val="en-GB"/>
        </w:rPr>
        <w:t>in the national territory and abroad</w:t>
      </w:r>
      <w:r w:rsidR="00FD539C">
        <w:rPr>
          <w:rFonts w:ascii="Arial" w:hAnsi="Arial" w:cs="Arial"/>
          <w:sz w:val="24"/>
          <w:szCs w:val="24"/>
          <w:lang w:val="en-GB"/>
        </w:rPr>
        <w:t xml:space="preserve"> are studied</w:t>
      </w:r>
      <w:r w:rsidR="00C44AF7" w:rsidRPr="00C44AF7">
        <w:rPr>
          <w:rFonts w:ascii="Arial" w:hAnsi="Arial" w:cs="Arial"/>
          <w:sz w:val="24"/>
          <w:szCs w:val="24"/>
          <w:lang w:val="en-GB"/>
        </w:rPr>
        <w:t>,</w:t>
      </w:r>
      <w:r>
        <w:rPr>
          <w:rFonts w:ascii="Arial" w:hAnsi="Arial" w:cs="Arial"/>
          <w:sz w:val="24"/>
          <w:szCs w:val="24"/>
          <w:lang w:val="en-GB"/>
        </w:rPr>
        <w:t xml:space="preserve"> </w:t>
      </w:r>
      <w:r w:rsidR="00261240">
        <w:rPr>
          <w:rFonts w:ascii="Arial" w:hAnsi="Arial" w:cs="Arial"/>
          <w:sz w:val="24"/>
          <w:szCs w:val="24"/>
          <w:lang w:val="en-GB"/>
        </w:rPr>
        <w:t>and</w:t>
      </w:r>
      <w:r w:rsidR="00C44AF7" w:rsidRPr="00C44AF7">
        <w:rPr>
          <w:rFonts w:ascii="Arial" w:hAnsi="Arial" w:cs="Arial"/>
          <w:sz w:val="24"/>
          <w:szCs w:val="24"/>
          <w:lang w:val="en-GB"/>
        </w:rPr>
        <w:t xml:space="preserve"> </w:t>
      </w:r>
      <w:r w:rsidR="00FD539C">
        <w:rPr>
          <w:rFonts w:ascii="Arial" w:hAnsi="Arial" w:cs="Arial"/>
          <w:sz w:val="24"/>
          <w:szCs w:val="24"/>
          <w:lang w:val="en-GB"/>
        </w:rPr>
        <w:t xml:space="preserve">also </w:t>
      </w:r>
      <w:r w:rsidR="00C44AF7" w:rsidRPr="00C44AF7">
        <w:rPr>
          <w:rFonts w:ascii="Arial" w:hAnsi="Arial" w:cs="Arial"/>
          <w:sz w:val="24"/>
          <w:szCs w:val="24"/>
          <w:lang w:val="en-GB"/>
        </w:rPr>
        <w:t>the</w:t>
      </w:r>
      <w:r w:rsidR="00FD539C">
        <w:rPr>
          <w:rFonts w:ascii="Arial" w:hAnsi="Arial" w:cs="Arial"/>
          <w:sz w:val="24"/>
          <w:szCs w:val="24"/>
          <w:lang w:val="en-GB"/>
        </w:rPr>
        <w:t>ir</w:t>
      </w:r>
      <w:r w:rsidR="00C44AF7" w:rsidRPr="00C44AF7">
        <w:rPr>
          <w:rFonts w:ascii="Arial" w:hAnsi="Arial" w:cs="Arial"/>
          <w:sz w:val="24"/>
          <w:szCs w:val="24"/>
          <w:lang w:val="en-GB"/>
        </w:rPr>
        <w:t xml:space="preserve"> main</w:t>
      </w:r>
      <w:r w:rsidR="00FD539C">
        <w:rPr>
          <w:rFonts w:ascii="Arial" w:hAnsi="Arial" w:cs="Arial"/>
          <w:sz w:val="24"/>
          <w:szCs w:val="24"/>
          <w:lang w:val="en-GB"/>
        </w:rPr>
        <w:t xml:space="preserve"> characteristics</w:t>
      </w:r>
      <w:r>
        <w:rPr>
          <w:rFonts w:ascii="Arial" w:hAnsi="Arial" w:cs="Arial"/>
          <w:sz w:val="24"/>
          <w:szCs w:val="24"/>
          <w:lang w:val="en-GB"/>
        </w:rPr>
        <w:t>: nights spent</w:t>
      </w:r>
      <w:r w:rsidR="00261240">
        <w:rPr>
          <w:rFonts w:ascii="Arial" w:hAnsi="Arial" w:cs="Arial"/>
          <w:sz w:val="24"/>
          <w:szCs w:val="24"/>
          <w:lang w:val="en-GB"/>
        </w:rPr>
        <w:t xml:space="preserve"> and associated expenditure. Information on the main elements of the trip</w:t>
      </w:r>
      <w:r w:rsidRPr="00C44AF7">
        <w:rPr>
          <w:rFonts w:ascii="Arial" w:hAnsi="Arial" w:cs="Arial"/>
          <w:sz w:val="24"/>
          <w:szCs w:val="24"/>
          <w:lang w:val="en-GB"/>
        </w:rPr>
        <w:t xml:space="preserve"> </w:t>
      </w:r>
      <w:r w:rsidR="00C44AF7" w:rsidRPr="00C44AF7">
        <w:rPr>
          <w:rFonts w:ascii="Arial" w:hAnsi="Arial" w:cs="Arial"/>
          <w:sz w:val="24"/>
          <w:szCs w:val="24"/>
          <w:lang w:val="en-GB"/>
        </w:rPr>
        <w:t>(</w:t>
      </w:r>
      <w:r>
        <w:rPr>
          <w:rFonts w:ascii="Arial" w:hAnsi="Arial" w:cs="Arial"/>
          <w:sz w:val="24"/>
          <w:szCs w:val="24"/>
          <w:lang w:val="en-GB"/>
        </w:rPr>
        <w:t xml:space="preserve">e.g. origin, </w:t>
      </w:r>
      <w:r w:rsidR="00C44AF7" w:rsidRPr="00C44AF7">
        <w:rPr>
          <w:rFonts w:ascii="Arial" w:hAnsi="Arial" w:cs="Arial"/>
          <w:sz w:val="24"/>
          <w:szCs w:val="24"/>
          <w:lang w:val="en-GB"/>
        </w:rPr>
        <w:t xml:space="preserve">destination, length, </w:t>
      </w:r>
      <w:r>
        <w:rPr>
          <w:rFonts w:ascii="Arial" w:hAnsi="Arial" w:cs="Arial"/>
          <w:sz w:val="24"/>
          <w:szCs w:val="24"/>
          <w:lang w:val="en-GB"/>
        </w:rPr>
        <w:t>main purpose</w:t>
      </w:r>
      <w:r w:rsidR="00C44AF7" w:rsidRPr="00C44AF7">
        <w:rPr>
          <w:rFonts w:ascii="Arial" w:hAnsi="Arial" w:cs="Arial"/>
          <w:sz w:val="24"/>
          <w:szCs w:val="24"/>
          <w:lang w:val="en-GB"/>
        </w:rPr>
        <w:t>, accommodation</w:t>
      </w:r>
      <w:r>
        <w:rPr>
          <w:rFonts w:ascii="Arial" w:hAnsi="Arial" w:cs="Arial"/>
          <w:sz w:val="24"/>
          <w:szCs w:val="24"/>
          <w:lang w:val="en-GB"/>
        </w:rPr>
        <w:t>,</w:t>
      </w:r>
      <w:r w:rsidR="00C44AF7" w:rsidRPr="00C44AF7">
        <w:rPr>
          <w:rFonts w:ascii="Arial" w:hAnsi="Arial" w:cs="Arial"/>
          <w:sz w:val="24"/>
          <w:szCs w:val="24"/>
          <w:lang w:val="en-GB"/>
        </w:rPr>
        <w:t xml:space="preserve"> </w:t>
      </w:r>
      <w:r w:rsidRPr="00C44AF7">
        <w:rPr>
          <w:rFonts w:ascii="Arial" w:hAnsi="Arial" w:cs="Arial"/>
          <w:sz w:val="24"/>
          <w:szCs w:val="24"/>
          <w:lang w:val="en-GB"/>
        </w:rPr>
        <w:t>means</w:t>
      </w:r>
      <w:r>
        <w:rPr>
          <w:rFonts w:ascii="Arial" w:hAnsi="Arial" w:cs="Arial"/>
          <w:sz w:val="24"/>
          <w:szCs w:val="24"/>
          <w:lang w:val="en-GB"/>
        </w:rPr>
        <w:t xml:space="preserve"> of </w:t>
      </w:r>
      <w:r w:rsidR="00C44AF7" w:rsidRPr="00C44AF7">
        <w:rPr>
          <w:rFonts w:ascii="Arial" w:hAnsi="Arial" w:cs="Arial"/>
          <w:sz w:val="24"/>
          <w:szCs w:val="24"/>
          <w:lang w:val="en-GB"/>
        </w:rPr>
        <w:t>transport</w:t>
      </w:r>
      <w:r>
        <w:rPr>
          <w:rFonts w:ascii="Arial" w:hAnsi="Arial" w:cs="Arial"/>
          <w:sz w:val="24"/>
          <w:szCs w:val="24"/>
          <w:lang w:val="en-GB"/>
        </w:rPr>
        <w:t>, etc.</w:t>
      </w:r>
      <w:r w:rsidR="00C44AF7" w:rsidRPr="00C44AF7">
        <w:rPr>
          <w:rFonts w:ascii="Arial" w:hAnsi="Arial" w:cs="Arial"/>
          <w:sz w:val="24"/>
          <w:szCs w:val="24"/>
          <w:lang w:val="en-GB"/>
        </w:rPr>
        <w:t xml:space="preserve">) and the </w:t>
      </w:r>
      <w:r>
        <w:rPr>
          <w:rFonts w:ascii="Arial" w:hAnsi="Arial" w:cs="Arial"/>
          <w:sz w:val="24"/>
          <w:szCs w:val="24"/>
          <w:lang w:val="en-GB"/>
        </w:rPr>
        <w:t>visitor</w:t>
      </w:r>
      <w:r w:rsidR="00261240">
        <w:rPr>
          <w:rFonts w:ascii="Arial" w:hAnsi="Arial" w:cs="Arial"/>
          <w:sz w:val="24"/>
          <w:szCs w:val="24"/>
          <w:lang w:val="en-GB"/>
        </w:rPr>
        <w:t xml:space="preserve"> is also </w:t>
      </w:r>
      <w:r w:rsidR="00FD539C">
        <w:rPr>
          <w:rFonts w:ascii="Arial" w:hAnsi="Arial" w:cs="Arial"/>
          <w:sz w:val="24"/>
          <w:szCs w:val="24"/>
          <w:lang w:val="en-GB"/>
        </w:rPr>
        <w:t>available</w:t>
      </w:r>
      <w:r w:rsidR="008806FE">
        <w:rPr>
          <w:rFonts w:ascii="Arial" w:hAnsi="Arial" w:cs="Arial"/>
          <w:sz w:val="24"/>
          <w:szCs w:val="24"/>
          <w:lang w:val="en-GB"/>
        </w:rPr>
        <w:t xml:space="preserve"> to analyse the travelling behaviour of the population</w:t>
      </w:r>
      <w:r w:rsidR="00FD539C">
        <w:rPr>
          <w:rFonts w:ascii="Arial" w:hAnsi="Arial" w:cs="Arial"/>
          <w:sz w:val="24"/>
          <w:szCs w:val="24"/>
          <w:lang w:val="en-GB"/>
        </w:rPr>
        <w:t>.</w:t>
      </w:r>
    </w:p>
    <w:p w:rsidR="00273242" w:rsidRPr="00273242" w:rsidRDefault="00273242" w:rsidP="00273242">
      <w:pPr>
        <w:spacing w:before="120" w:after="0" w:line="360" w:lineRule="auto"/>
        <w:jc w:val="both"/>
        <w:rPr>
          <w:rFonts w:ascii="Arial" w:hAnsi="Arial" w:cs="Arial"/>
          <w:sz w:val="24"/>
          <w:szCs w:val="24"/>
          <w:lang w:val="en-GB"/>
        </w:rPr>
      </w:pPr>
      <w:r w:rsidRPr="00273242">
        <w:rPr>
          <w:rFonts w:ascii="Arial" w:hAnsi="Arial" w:cs="Arial"/>
          <w:sz w:val="24"/>
          <w:szCs w:val="24"/>
          <w:lang w:val="en-GB"/>
        </w:rPr>
        <w:t xml:space="preserve">This statistical operation follows the </w:t>
      </w:r>
      <w:r w:rsidR="006149ED">
        <w:rPr>
          <w:rFonts w:ascii="Arial" w:hAnsi="Arial" w:cs="Arial"/>
          <w:sz w:val="24"/>
          <w:szCs w:val="24"/>
          <w:lang w:val="en-GB"/>
        </w:rPr>
        <w:t>guidelines determined</w:t>
      </w:r>
      <w:r w:rsidRPr="00273242">
        <w:rPr>
          <w:rFonts w:ascii="Arial" w:hAnsi="Arial" w:cs="Arial"/>
          <w:sz w:val="24"/>
          <w:szCs w:val="24"/>
          <w:lang w:val="en-GB"/>
        </w:rPr>
        <w:t xml:space="preserve"> by </w:t>
      </w:r>
      <w:r w:rsidR="006149ED">
        <w:rPr>
          <w:rFonts w:ascii="Arial" w:hAnsi="Arial" w:cs="Arial"/>
          <w:sz w:val="24"/>
          <w:szCs w:val="24"/>
          <w:lang w:val="en-GB"/>
        </w:rPr>
        <w:t xml:space="preserve">Eurostat in the </w:t>
      </w:r>
      <w:r w:rsidR="006149ED" w:rsidRPr="00231BE3">
        <w:rPr>
          <w:rFonts w:ascii="Arial" w:hAnsi="Arial" w:cs="Arial"/>
          <w:i/>
          <w:sz w:val="24"/>
          <w:szCs w:val="24"/>
          <w:lang w:val="en-GB"/>
        </w:rPr>
        <w:t>Methodological Manual for Tourism Statistics</w:t>
      </w:r>
      <w:r w:rsidR="006149ED">
        <w:rPr>
          <w:rFonts w:ascii="Arial" w:hAnsi="Arial" w:cs="Arial"/>
          <w:i/>
          <w:sz w:val="24"/>
          <w:szCs w:val="24"/>
          <w:lang w:val="en-GB"/>
        </w:rPr>
        <w:t xml:space="preserve">, </w:t>
      </w:r>
      <w:r w:rsidR="006149ED" w:rsidRPr="00C82524">
        <w:rPr>
          <w:rFonts w:ascii="Arial" w:hAnsi="Arial" w:cs="Arial"/>
          <w:sz w:val="24"/>
          <w:szCs w:val="24"/>
          <w:lang w:val="en-GB"/>
        </w:rPr>
        <w:t xml:space="preserve">developed </w:t>
      </w:r>
      <w:r w:rsidR="00D0056F">
        <w:rPr>
          <w:rFonts w:ascii="Arial" w:hAnsi="Arial" w:cs="Arial"/>
          <w:sz w:val="24"/>
          <w:szCs w:val="24"/>
          <w:lang w:val="en-GB"/>
        </w:rPr>
        <w:t>under</w:t>
      </w:r>
      <w:r w:rsidR="006149ED" w:rsidRPr="00C82524">
        <w:rPr>
          <w:rFonts w:ascii="Arial" w:hAnsi="Arial" w:cs="Arial"/>
          <w:sz w:val="24"/>
          <w:szCs w:val="24"/>
          <w:lang w:val="en-GB"/>
        </w:rPr>
        <w:t xml:space="preserve"> the Regulation 692/2011 concerning European statistics on tourism</w:t>
      </w:r>
      <w:r w:rsidR="006149ED">
        <w:rPr>
          <w:rFonts w:ascii="Arial" w:hAnsi="Arial" w:cs="Arial"/>
          <w:sz w:val="24"/>
          <w:szCs w:val="24"/>
          <w:lang w:val="en-GB"/>
        </w:rPr>
        <w:t xml:space="preserve">, and which are in line with </w:t>
      </w:r>
      <w:r w:rsidRPr="00273242">
        <w:rPr>
          <w:rFonts w:ascii="Arial" w:hAnsi="Arial" w:cs="Arial"/>
          <w:sz w:val="24"/>
          <w:szCs w:val="24"/>
          <w:lang w:val="en-GB"/>
        </w:rPr>
        <w:t xml:space="preserve">the </w:t>
      </w:r>
      <w:r w:rsidRPr="00231BE3">
        <w:rPr>
          <w:rFonts w:ascii="Arial" w:hAnsi="Arial" w:cs="Arial"/>
          <w:i/>
          <w:sz w:val="24"/>
          <w:szCs w:val="24"/>
          <w:lang w:val="en-GB"/>
        </w:rPr>
        <w:t xml:space="preserve">International Recommendations for Tourism Statistics 2008 </w:t>
      </w:r>
      <w:r w:rsidR="006149ED" w:rsidRPr="00C82524">
        <w:rPr>
          <w:rFonts w:ascii="Arial" w:hAnsi="Arial" w:cs="Arial"/>
          <w:sz w:val="24"/>
          <w:szCs w:val="24"/>
          <w:lang w:val="en-GB"/>
        </w:rPr>
        <w:t>of the UNWTO</w:t>
      </w:r>
      <w:r w:rsidRPr="00273242">
        <w:rPr>
          <w:rFonts w:ascii="Arial" w:hAnsi="Arial" w:cs="Arial"/>
          <w:sz w:val="24"/>
          <w:szCs w:val="24"/>
          <w:lang w:val="en-GB"/>
        </w:rPr>
        <w:t>.</w:t>
      </w:r>
    </w:p>
    <w:p w:rsidR="001E6FA0" w:rsidRDefault="008404FF" w:rsidP="00C82524">
      <w:pPr>
        <w:spacing w:before="120" w:after="0" w:line="360" w:lineRule="auto"/>
        <w:jc w:val="both"/>
        <w:rPr>
          <w:rFonts w:ascii="Arial" w:hAnsi="Arial" w:cs="Arial"/>
          <w:sz w:val="24"/>
          <w:szCs w:val="24"/>
          <w:lang w:val="en-GB"/>
        </w:rPr>
      </w:pPr>
      <w:r w:rsidRPr="00C82524">
        <w:rPr>
          <w:rFonts w:ascii="Arial" w:hAnsi="Arial" w:cs="Arial"/>
          <w:sz w:val="24"/>
          <w:szCs w:val="24"/>
          <w:lang w:val="en-GB"/>
        </w:rPr>
        <w:t xml:space="preserve">Monthly and quarterly estimates are published on a quarterly basis. </w:t>
      </w:r>
      <w:r w:rsidR="008806FE">
        <w:rPr>
          <w:rFonts w:ascii="Arial" w:hAnsi="Arial" w:cs="Arial"/>
          <w:sz w:val="24"/>
          <w:szCs w:val="24"/>
          <w:lang w:val="en-GB"/>
        </w:rPr>
        <w:t>Around 8,200 interviews are conducted every month. Respondents give information on the trips they have finalized in the two previous months. Thus, estimates of the number of trips made in one month are based on a</w:t>
      </w:r>
      <w:r w:rsidRPr="008404FF">
        <w:rPr>
          <w:rFonts w:ascii="Arial" w:hAnsi="Arial" w:cs="Arial"/>
          <w:sz w:val="24"/>
          <w:szCs w:val="24"/>
          <w:lang w:val="en-GB"/>
        </w:rPr>
        <w:t xml:space="preserve"> sample </w:t>
      </w:r>
      <w:r w:rsidR="008806FE">
        <w:rPr>
          <w:rFonts w:ascii="Arial" w:hAnsi="Arial" w:cs="Arial"/>
          <w:sz w:val="24"/>
          <w:szCs w:val="24"/>
          <w:lang w:val="en-GB"/>
        </w:rPr>
        <w:t xml:space="preserve">of around </w:t>
      </w:r>
      <w:r w:rsidR="008806FE" w:rsidRPr="008404FF">
        <w:rPr>
          <w:rFonts w:ascii="Arial" w:hAnsi="Arial" w:cs="Arial"/>
          <w:sz w:val="24"/>
          <w:szCs w:val="24"/>
          <w:lang w:val="en-GB"/>
        </w:rPr>
        <w:t>16</w:t>
      </w:r>
      <w:r w:rsidR="008806FE">
        <w:rPr>
          <w:rFonts w:ascii="Arial" w:hAnsi="Arial" w:cs="Arial"/>
          <w:sz w:val="24"/>
          <w:szCs w:val="24"/>
          <w:lang w:val="en-GB"/>
        </w:rPr>
        <w:t>,</w:t>
      </w:r>
      <w:r w:rsidR="008806FE" w:rsidRPr="008404FF">
        <w:rPr>
          <w:rFonts w:ascii="Arial" w:hAnsi="Arial" w:cs="Arial"/>
          <w:sz w:val="24"/>
          <w:szCs w:val="24"/>
          <w:lang w:val="en-GB"/>
        </w:rPr>
        <w:t>400</w:t>
      </w:r>
      <w:r w:rsidR="008806FE">
        <w:rPr>
          <w:rFonts w:ascii="Arial" w:hAnsi="Arial" w:cs="Arial"/>
          <w:sz w:val="24"/>
          <w:szCs w:val="24"/>
          <w:lang w:val="en-GB"/>
        </w:rPr>
        <w:t xml:space="preserve"> questionnaires</w:t>
      </w:r>
      <w:r w:rsidR="008C60C9">
        <w:rPr>
          <w:rFonts w:ascii="Arial" w:hAnsi="Arial" w:cs="Arial"/>
          <w:sz w:val="24"/>
          <w:szCs w:val="24"/>
          <w:lang w:val="en-GB"/>
        </w:rPr>
        <w:t>. After a process of ed</w:t>
      </w:r>
      <w:r w:rsidR="00C22316">
        <w:rPr>
          <w:rFonts w:ascii="Arial" w:hAnsi="Arial" w:cs="Arial"/>
          <w:sz w:val="24"/>
          <w:szCs w:val="24"/>
          <w:lang w:val="en-GB"/>
        </w:rPr>
        <w:t>iting</w:t>
      </w:r>
      <w:r w:rsidR="008C60C9">
        <w:rPr>
          <w:rFonts w:ascii="Arial" w:hAnsi="Arial" w:cs="Arial"/>
          <w:sz w:val="24"/>
          <w:szCs w:val="24"/>
          <w:lang w:val="en-GB"/>
        </w:rPr>
        <w:t xml:space="preserve"> and</w:t>
      </w:r>
      <w:r w:rsidR="00C22316">
        <w:rPr>
          <w:rFonts w:ascii="Arial" w:hAnsi="Arial" w:cs="Arial"/>
          <w:sz w:val="24"/>
          <w:szCs w:val="24"/>
          <w:lang w:val="en-GB"/>
        </w:rPr>
        <w:t xml:space="preserve"> imputation,</w:t>
      </w:r>
      <w:r w:rsidR="008C60C9">
        <w:rPr>
          <w:rFonts w:ascii="Arial" w:hAnsi="Arial" w:cs="Arial"/>
          <w:sz w:val="24"/>
          <w:szCs w:val="24"/>
          <w:lang w:val="en-GB"/>
        </w:rPr>
        <w:t xml:space="preserve"> data </w:t>
      </w:r>
      <w:r w:rsidR="008806FE">
        <w:rPr>
          <w:rFonts w:ascii="Arial" w:hAnsi="Arial" w:cs="Arial"/>
          <w:sz w:val="24"/>
          <w:szCs w:val="24"/>
          <w:lang w:val="en-GB"/>
        </w:rPr>
        <w:t>are</w:t>
      </w:r>
      <w:r w:rsidR="008C60C9">
        <w:rPr>
          <w:rFonts w:ascii="Arial" w:hAnsi="Arial" w:cs="Arial"/>
          <w:sz w:val="24"/>
          <w:szCs w:val="24"/>
          <w:lang w:val="en-GB"/>
        </w:rPr>
        <w:t xml:space="preserve"> weighted to obtain the final figures. Calibration is </w:t>
      </w:r>
      <w:r w:rsidR="008C60C9">
        <w:rPr>
          <w:rFonts w:ascii="Arial" w:hAnsi="Arial" w:cs="Arial"/>
          <w:sz w:val="24"/>
          <w:szCs w:val="24"/>
          <w:lang w:val="en-GB"/>
        </w:rPr>
        <w:lastRenderedPageBreak/>
        <w:t>part of the weighting process</w:t>
      </w:r>
      <w:r w:rsidR="003E2A30">
        <w:rPr>
          <w:rFonts w:ascii="Arial" w:hAnsi="Arial" w:cs="Arial"/>
          <w:sz w:val="24"/>
          <w:szCs w:val="24"/>
          <w:lang w:val="en-GB"/>
        </w:rPr>
        <w:t xml:space="preserve">, and it is described in the next </w:t>
      </w:r>
      <w:r w:rsidR="004965CD">
        <w:rPr>
          <w:rFonts w:ascii="Arial" w:hAnsi="Arial" w:cs="Arial"/>
          <w:sz w:val="24"/>
          <w:szCs w:val="24"/>
          <w:lang w:val="en-GB"/>
        </w:rPr>
        <w:t>sections</w:t>
      </w:r>
      <w:r w:rsidR="00C22316">
        <w:rPr>
          <w:rFonts w:ascii="Arial" w:hAnsi="Arial" w:cs="Arial"/>
          <w:sz w:val="24"/>
          <w:szCs w:val="24"/>
          <w:lang w:val="en-GB"/>
        </w:rPr>
        <w:t>.</w:t>
      </w:r>
      <w:r w:rsidR="008E702F">
        <w:rPr>
          <w:rFonts w:ascii="Arial" w:hAnsi="Arial" w:cs="Arial"/>
          <w:sz w:val="24"/>
          <w:szCs w:val="24"/>
          <w:lang w:val="en-GB"/>
        </w:rPr>
        <w:t xml:space="preserve"> A methodological reference of th</w:t>
      </w:r>
      <w:r w:rsidR="0078717E">
        <w:rPr>
          <w:rFonts w:ascii="Arial" w:hAnsi="Arial" w:cs="Arial"/>
          <w:sz w:val="24"/>
          <w:szCs w:val="24"/>
          <w:lang w:val="en-GB"/>
        </w:rPr>
        <w:t>e survey is available online</w:t>
      </w:r>
      <w:r w:rsidR="008E702F">
        <w:rPr>
          <w:rFonts w:ascii="Arial" w:hAnsi="Arial" w:cs="Arial"/>
          <w:sz w:val="24"/>
          <w:szCs w:val="24"/>
          <w:lang w:val="en-GB"/>
        </w:rPr>
        <w:t>.</w:t>
      </w:r>
    </w:p>
    <w:p w:rsidR="004A7943" w:rsidRDefault="00FB3B59" w:rsidP="00FB3B59">
      <w:pPr>
        <w:spacing w:before="120" w:after="0" w:line="360" w:lineRule="auto"/>
        <w:jc w:val="both"/>
        <w:rPr>
          <w:rFonts w:ascii="Arial" w:hAnsi="Arial" w:cs="Arial"/>
          <w:sz w:val="24"/>
          <w:szCs w:val="24"/>
          <w:lang w:val="en-GB"/>
        </w:rPr>
      </w:pPr>
      <w:r w:rsidRPr="00FB3B59">
        <w:rPr>
          <w:rFonts w:ascii="Arial" w:hAnsi="Arial" w:cs="Arial"/>
          <w:sz w:val="24"/>
          <w:szCs w:val="24"/>
          <w:lang w:val="en-GB"/>
        </w:rPr>
        <w:t xml:space="preserve">The main difficulty </w:t>
      </w:r>
      <w:r w:rsidR="008806FE">
        <w:rPr>
          <w:rFonts w:ascii="Arial" w:hAnsi="Arial" w:cs="Arial"/>
          <w:sz w:val="24"/>
          <w:szCs w:val="24"/>
          <w:lang w:val="en-GB"/>
        </w:rPr>
        <w:t xml:space="preserve">of </w:t>
      </w:r>
      <w:r w:rsidRPr="00FB3B59">
        <w:rPr>
          <w:rFonts w:ascii="Arial" w:hAnsi="Arial" w:cs="Arial"/>
          <w:sz w:val="24"/>
          <w:szCs w:val="24"/>
          <w:lang w:val="en-GB"/>
        </w:rPr>
        <w:t>this kind of surveys is the lack of efficiency of the samples: only a percentage of the</w:t>
      </w:r>
      <w:r>
        <w:rPr>
          <w:rFonts w:ascii="Arial" w:hAnsi="Arial" w:cs="Arial"/>
          <w:sz w:val="24"/>
          <w:szCs w:val="24"/>
          <w:lang w:val="en-GB"/>
        </w:rPr>
        <w:t xml:space="preserve"> </w:t>
      </w:r>
      <w:r w:rsidRPr="00FB3B59">
        <w:rPr>
          <w:rFonts w:ascii="Arial" w:hAnsi="Arial" w:cs="Arial"/>
          <w:sz w:val="24"/>
          <w:szCs w:val="24"/>
          <w:lang w:val="en-GB"/>
        </w:rPr>
        <w:t>population makes</w:t>
      </w:r>
      <w:r>
        <w:rPr>
          <w:rFonts w:ascii="Arial" w:hAnsi="Arial" w:cs="Arial"/>
          <w:sz w:val="24"/>
          <w:szCs w:val="24"/>
          <w:lang w:val="en-GB"/>
        </w:rPr>
        <w:t xml:space="preserve"> tourism trips, </w:t>
      </w:r>
      <w:r w:rsidRPr="00FB3B59">
        <w:rPr>
          <w:rFonts w:ascii="Arial" w:hAnsi="Arial" w:cs="Arial"/>
          <w:sz w:val="24"/>
          <w:szCs w:val="24"/>
          <w:lang w:val="en-GB"/>
        </w:rPr>
        <w:t>depending</w:t>
      </w:r>
      <w:r>
        <w:rPr>
          <w:rFonts w:ascii="Arial" w:hAnsi="Arial" w:cs="Arial"/>
          <w:sz w:val="24"/>
          <w:szCs w:val="24"/>
          <w:lang w:val="en-GB"/>
        </w:rPr>
        <w:t>, among other variables,</w:t>
      </w:r>
      <w:r w:rsidRPr="00FB3B59">
        <w:rPr>
          <w:rFonts w:ascii="Arial" w:hAnsi="Arial" w:cs="Arial"/>
          <w:sz w:val="24"/>
          <w:szCs w:val="24"/>
          <w:lang w:val="en-GB"/>
        </w:rPr>
        <w:t xml:space="preserve"> on the country (region) and the time of the year. Thus, to obtain a</w:t>
      </w:r>
      <w:r>
        <w:rPr>
          <w:rFonts w:ascii="Arial" w:hAnsi="Arial" w:cs="Arial"/>
          <w:sz w:val="24"/>
          <w:szCs w:val="24"/>
          <w:lang w:val="en-GB"/>
        </w:rPr>
        <w:t xml:space="preserve"> good </w:t>
      </w:r>
      <w:r w:rsidRPr="00FB3B59">
        <w:rPr>
          <w:rFonts w:ascii="Arial" w:hAnsi="Arial" w:cs="Arial"/>
          <w:sz w:val="24"/>
          <w:szCs w:val="24"/>
          <w:lang w:val="en-GB"/>
        </w:rPr>
        <w:t>sample of trips</w:t>
      </w:r>
      <w:r w:rsidR="00983C7F">
        <w:rPr>
          <w:rFonts w:ascii="Arial" w:hAnsi="Arial" w:cs="Arial"/>
          <w:sz w:val="24"/>
          <w:szCs w:val="24"/>
          <w:lang w:val="en-GB"/>
        </w:rPr>
        <w:t xml:space="preserve"> that allows a detailed analysis of the travelling habits of the population</w:t>
      </w:r>
      <w:r w:rsidRPr="00FB3B59">
        <w:rPr>
          <w:rFonts w:ascii="Arial" w:hAnsi="Arial" w:cs="Arial"/>
          <w:sz w:val="24"/>
          <w:szCs w:val="24"/>
          <w:lang w:val="en-GB"/>
        </w:rPr>
        <w:t>, much bigger samples of people are needed, with the subsequent costs.</w:t>
      </w:r>
      <w:r>
        <w:rPr>
          <w:rFonts w:ascii="Arial" w:hAnsi="Arial" w:cs="Arial"/>
          <w:sz w:val="24"/>
          <w:szCs w:val="24"/>
          <w:lang w:val="en-GB"/>
        </w:rPr>
        <w:t xml:space="preserve"> </w:t>
      </w:r>
      <w:r w:rsidRPr="00FB3B59">
        <w:rPr>
          <w:rFonts w:ascii="Arial" w:hAnsi="Arial" w:cs="Arial"/>
          <w:sz w:val="24"/>
          <w:szCs w:val="24"/>
          <w:lang w:val="en-GB"/>
        </w:rPr>
        <w:t xml:space="preserve">As an example, in </w:t>
      </w:r>
      <w:r w:rsidRPr="00257A6D">
        <w:rPr>
          <w:rFonts w:ascii="Arial" w:hAnsi="Arial" w:cs="Arial"/>
          <w:sz w:val="24"/>
          <w:szCs w:val="24"/>
          <w:lang w:val="en-GB"/>
        </w:rPr>
        <w:t>201</w:t>
      </w:r>
      <w:r w:rsidR="00257A6D">
        <w:rPr>
          <w:rFonts w:ascii="Arial" w:hAnsi="Arial" w:cs="Arial"/>
          <w:sz w:val="24"/>
          <w:szCs w:val="24"/>
          <w:lang w:val="en-GB"/>
        </w:rPr>
        <w:t>7</w:t>
      </w:r>
      <w:r w:rsidRPr="00FB3B59">
        <w:rPr>
          <w:rFonts w:ascii="Arial" w:hAnsi="Arial" w:cs="Arial"/>
          <w:sz w:val="24"/>
          <w:szCs w:val="24"/>
          <w:lang w:val="en-GB"/>
        </w:rPr>
        <w:t xml:space="preserve"> in the Spanish survey, </w:t>
      </w:r>
      <w:r w:rsidR="00DD39D4">
        <w:rPr>
          <w:rFonts w:ascii="Arial" w:hAnsi="Arial" w:cs="Arial"/>
          <w:sz w:val="24"/>
          <w:szCs w:val="24"/>
          <w:lang w:val="en-GB"/>
        </w:rPr>
        <w:t xml:space="preserve">on average, </w:t>
      </w:r>
      <w:r>
        <w:rPr>
          <w:rFonts w:ascii="Arial" w:hAnsi="Arial" w:cs="Arial"/>
          <w:sz w:val="24"/>
          <w:szCs w:val="24"/>
          <w:lang w:val="en-GB"/>
        </w:rPr>
        <w:t>just the 2</w:t>
      </w:r>
      <w:r w:rsidR="00257A6D">
        <w:rPr>
          <w:rFonts w:ascii="Arial" w:hAnsi="Arial" w:cs="Arial"/>
          <w:sz w:val="24"/>
          <w:szCs w:val="24"/>
          <w:lang w:val="en-GB"/>
        </w:rPr>
        <w:t>4</w:t>
      </w:r>
      <w:r>
        <w:rPr>
          <w:rFonts w:ascii="Arial" w:hAnsi="Arial" w:cs="Arial"/>
          <w:sz w:val="24"/>
          <w:szCs w:val="24"/>
          <w:lang w:val="en-GB"/>
        </w:rPr>
        <w:t>% of the sample had</w:t>
      </w:r>
      <w:r w:rsidRPr="00FB3B59">
        <w:rPr>
          <w:rFonts w:ascii="Arial" w:hAnsi="Arial" w:cs="Arial"/>
          <w:sz w:val="24"/>
          <w:szCs w:val="24"/>
          <w:lang w:val="en-GB"/>
        </w:rPr>
        <w:t xml:space="preserve"> </w:t>
      </w:r>
      <w:r w:rsidR="00050969">
        <w:rPr>
          <w:rFonts w:ascii="Arial" w:hAnsi="Arial" w:cs="Arial"/>
          <w:sz w:val="24"/>
          <w:szCs w:val="24"/>
          <w:lang w:val="en-GB"/>
        </w:rPr>
        <w:t>made at least one trip</w:t>
      </w:r>
      <w:r w:rsidR="00050969" w:rsidRPr="00FB3B59">
        <w:rPr>
          <w:rFonts w:ascii="Arial" w:hAnsi="Arial" w:cs="Arial"/>
          <w:sz w:val="24"/>
          <w:szCs w:val="24"/>
          <w:lang w:val="en-GB"/>
        </w:rPr>
        <w:t xml:space="preserve"> </w:t>
      </w:r>
      <w:r w:rsidRPr="00FB3B59">
        <w:rPr>
          <w:rFonts w:ascii="Arial" w:hAnsi="Arial" w:cs="Arial"/>
          <w:sz w:val="24"/>
          <w:szCs w:val="24"/>
          <w:lang w:val="en-GB"/>
        </w:rPr>
        <w:t>during the period of</w:t>
      </w:r>
      <w:r>
        <w:rPr>
          <w:rFonts w:ascii="Arial" w:hAnsi="Arial" w:cs="Arial"/>
          <w:sz w:val="24"/>
          <w:szCs w:val="24"/>
          <w:lang w:val="en-GB"/>
        </w:rPr>
        <w:t xml:space="preserve"> </w:t>
      </w:r>
      <w:r w:rsidRPr="00FB3B59">
        <w:rPr>
          <w:rFonts w:ascii="Arial" w:hAnsi="Arial" w:cs="Arial"/>
          <w:sz w:val="24"/>
          <w:szCs w:val="24"/>
          <w:lang w:val="en-GB"/>
        </w:rPr>
        <w:t>reference</w:t>
      </w:r>
      <w:r w:rsidR="00DD39D4">
        <w:rPr>
          <w:rFonts w:ascii="Arial" w:hAnsi="Arial" w:cs="Arial"/>
          <w:sz w:val="24"/>
          <w:szCs w:val="24"/>
          <w:lang w:val="en-GB"/>
        </w:rPr>
        <w:t xml:space="preserve"> of the questionnaire</w:t>
      </w:r>
      <w:r w:rsidRPr="00FB3B59">
        <w:rPr>
          <w:rFonts w:ascii="Arial" w:hAnsi="Arial" w:cs="Arial"/>
          <w:sz w:val="24"/>
          <w:szCs w:val="24"/>
          <w:lang w:val="en-GB"/>
        </w:rPr>
        <w:t xml:space="preserve"> (the two previous months).</w:t>
      </w:r>
      <w:r>
        <w:rPr>
          <w:rFonts w:ascii="Arial" w:hAnsi="Arial" w:cs="Arial"/>
          <w:sz w:val="24"/>
          <w:szCs w:val="24"/>
          <w:lang w:val="en-GB"/>
        </w:rPr>
        <w:t xml:space="preserve"> </w:t>
      </w:r>
      <w:r w:rsidR="00050969">
        <w:rPr>
          <w:rFonts w:ascii="Arial" w:hAnsi="Arial" w:cs="Arial"/>
          <w:sz w:val="24"/>
          <w:szCs w:val="24"/>
          <w:lang w:val="en-GB"/>
        </w:rPr>
        <w:t xml:space="preserve">Obviously, that percentage decreases when focusing </w:t>
      </w:r>
      <w:r w:rsidR="000F3E3B">
        <w:rPr>
          <w:rFonts w:ascii="Arial" w:hAnsi="Arial" w:cs="Arial"/>
          <w:sz w:val="24"/>
          <w:szCs w:val="24"/>
          <w:lang w:val="en-GB"/>
        </w:rPr>
        <w:t xml:space="preserve">on </w:t>
      </w:r>
      <w:r w:rsidR="00050969">
        <w:rPr>
          <w:rFonts w:ascii="Arial" w:hAnsi="Arial" w:cs="Arial"/>
          <w:sz w:val="24"/>
          <w:szCs w:val="24"/>
          <w:lang w:val="en-GB"/>
        </w:rPr>
        <w:t>spe</w:t>
      </w:r>
      <w:r w:rsidR="00257A6D">
        <w:rPr>
          <w:rFonts w:ascii="Arial" w:hAnsi="Arial" w:cs="Arial"/>
          <w:sz w:val="24"/>
          <w:szCs w:val="24"/>
          <w:lang w:val="en-GB"/>
        </w:rPr>
        <w:t>cific kind of trips such a</w:t>
      </w:r>
      <w:r w:rsidR="00050969">
        <w:rPr>
          <w:rFonts w:ascii="Arial" w:hAnsi="Arial" w:cs="Arial"/>
          <w:sz w:val="24"/>
          <w:szCs w:val="24"/>
          <w:lang w:val="en-GB"/>
        </w:rPr>
        <w:t>s trips abroad, trips using hotels as the main accommodation, etc. This leads to high sa</w:t>
      </w:r>
      <w:r w:rsidR="000F3E3B">
        <w:rPr>
          <w:rFonts w:ascii="Arial" w:hAnsi="Arial" w:cs="Arial"/>
          <w:sz w:val="24"/>
          <w:szCs w:val="24"/>
          <w:lang w:val="en-GB"/>
        </w:rPr>
        <w:t>mple errors, as shown in Table 2</w:t>
      </w:r>
      <w:r w:rsidR="00050969">
        <w:rPr>
          <w:rFonts w:ascii="Arial" w:hAnsi="Arial" w:cs="Arial"/>
          <w:sz w:val="24"/>
          <w:szCs w:val="24"/>
          <w:lang w:val="en-GB"/>
        </w:rPr>
        <w:t>.</w:t>
      </w:r>
    </w:p>
    <w:p w:rsidR="00A94880" w:rsidRPr="00C82524" w:rsidRDefault="00A94880" w:rsidP="00FC4182">
      <w:pPr>
        <w:pStyle w:val="Legenda"/>
        <w:keepNext/>
        <w:spacing w:before="120"/>
        <w:rPr>
          <w:rFonts w:ascii="Arial" w:hAnsi="Arial" w:cs="Arial"/>
          <w:b/>
          <w:sz w:val="20"/>
          <w:szCs w:val="20"/>
          <w:lang w:val="en-GB"/>
        </w:rPr>
      </w:pPr>
      <w:r w:rsidRPr="00C82524">
        <w:rPr>
          <w:rFonts w:ascii="Arial" w:hAnsi="Arial" w:cs="Arial"/>
          <w:b/>
          <w:i w:val="0"/>
          <w:color w:val="auto"/>
          <w:sz w:val="20"/>
          <w:szCs w:val="20"/>
          <w:lang w:val="en-GB"/>
        </w:rPr>
        <w:t xml:space="preserve">Table </w:t>
      </w:r>
      <w:r w:rsidR="000F3E3B">
        <w:rPr>
          <w:rFonts w:ascii="Arial" w:hAnsi="Arial" w:cs="Arial"/>
          <w:b/>
          <w:i w:val="0"/>
          <w:color w:val="auto"/>
          <w:sz w:val="20"/>
          <w:szCs w:val="20"/>
          <w:lang w:val="en-GB"/>
        </w:rPr>
        <w:t>2</w:t>
      </w:r>
      <w:r w:rsidRPr="00C82524">
        <w:rPr>
          <w:rFonts w:ascii="Arial" w:hAnsi="Arial" w:cs="Arial"/>
          <w:b/>
          <w:i w:val="0"/>
          <w:color w:val="auto"/>
          <w:sz w:val="20"/>
          <w:szCs w:val="20"/>
          <w:lang w:val="en-GB"/>
        </w:rPr>
        <w:t xml:space="preserve">. Trips by </w:t>
      </w:r>
      <w:r>
        <w:rPr>
          <w:rFonts w:ascii="Arial" w:hAnsi="Arial" w:cs="Arial"/>
          <w:b/>
          <w:i w:val="0"/>
          <w:color w:val="auto"/>
          <w:sz w:val="20"/>
          <w:szCs w:val="20"/>
          <w:lang w:val="en-GB"/>
        </w:rPr>
        <w:t xml:space="preserve">month and </w:t>
      </w:r>
      <w:r w:rsidRPr="00C82524">
        <w:rPr>
          <w:rFonts w:ascii="Arial" w:hAnsi="Arial" w:cs="Arial"/>
          <w:b/>
          <w:i w:val="0"/>
          <w:color w:val="auto"/>
          <w:sz w:val="20"/>
          <w:szCs w:val="20"/>
          <w:lang w:val="en-GB"/>
        </w:rPr>
        <w:t>main accommodation. Coefficient of variation</w:t>
      </w:r>
    </w:p>
    <w:p w:rsidR="00A94880" w:rsidRDefault="00A94880" w:rsidP="00FC4182">
      <w:pPr>
        <w:spacing w:after="240" w:line="360" w:lineRule="auto"/>
        <w:jc w:val="both"/>
        <w:rPr>
          <w:rFonts w:ascii="Arial" w:hAnsi="Arial" w:cs="Arial"/>
          <w:sz w:val="20"/>
          <w:szCs w:val="20"/>
          <w:lang w:val="en-GB"/>
        </w:rPr>
      </w:pPr>
      <w:r w:rsidRPr="00A94880">
        <w:rPr>
          <w:noProof/>
          <w:lang w:eastAsia="pl-PL"/>
        </w:rPr>
        <w:drawing>
          <wp:inline distT="0" distB="0" distL="0" distR="0">
            <wp:extent cx="5760720" cy="1388867"/>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1388867"/>
                    </a:xfrm>
                    <a:prstGeom prst="rect">
                      <a:avLst/>
                    </a:prstGeom>
                    <a:noFill/>
                    <a:ln>
                      <a:noFill/>
                    </a:ln>
                  </pic:spPr>
                </pic:pic>
              </a:graphicData>
            </a:graphic>
          </wp:inline>
        </w:drawing>
      </w:r>
      <w:r w:rsidRPr="00A94880">
        <w:rPr>
          <w:rFonts w:ascii="Arial" w:hAnsi="Arial" w:cs="Arial"/>
          <w:sz w:val="20"/>
          <w:szCs w:val="20"/>
          <w:lang w:val="en-GB"/>
        </w:rPr>
        <w:t xml:space="preserve"> </w:t>
      </w:r>
      <w:r w:rsidRPr="00EC5F5A">
        <w:rPr>
          <w:rFonts w:ascii="Arial" w:hAnsi="Arial" w:cs="Arial"/>
          <w:sz w:val="20"/>
          <w:szCs w:val="20"/>
          <w:lang w:val="en-GB"/>
        </w:rPr>
        <w:t>Source:</w:t>
      </w:r>
      <w:r>
        <w:rPr>
          <w:rFonts w:ascii="Arial" w:hAnsi="Arial" w:cs="Arial"/>
          <w:sz w:val="20"/>
          <w:szCs w:val="20"/>
          <w:lang w:val="en-GB"/>
        </w:rPr>
        <w:t xml:space="preserve"> Residents Travel Survey, 2017.</w:t>
      </w:r>
    </w:p>
    <w:p w:rsidR="00FB3B59" w:rsidRDefault="00FB3B59" w:rsidP="00FB3B59">
      <w:pPr>
        <w:spacing w:before="120" w:after="0" w:line="360" w:lineRule="auto"/>
        <w:jc w:val="both"/>
        <w:rPr>
          <w:rFonts w:ascii="Arial" w:hAnsi="Arial" w:cs="Arial"/>
          <w:sz w:val="24"/>
          <w:szCs w:val="24"/>
          <w:lang w:val="en-GB"/>
        </w:rPr>
      </w:pPr>
      <w:r w:rsidRPr="00FB3B59">
        <w:rPr>
          <w:rFonts w:ascii="Arial" w:hAnsi="Arial" w:cs="Arial"/>
          <w:sz w:val="24"/>
          <w:szCs w:val="24"/>
          <w:lang w:val="en-GB"/>
        </w:rPr>
        <w:t xml:space="preserve">To deal with this problem, the </w:t>
      </w:r>
      <w:r w:rsidR="00307951">
        <w:rPr>
          <w:rFonts w:ascii="Arial" w:hAnsi="Arial" w:cs="Arial"/>
          <w:sz w:val="24"/>
          <w:szCs w:val="24"/>
          <w:lang w:val="en-GB"/>
        </w:rPr>
        <w:t xml:space="preserve">sample </w:t>
      </w:r>
      <w:r w:rsidR="000F3E3B">
        <w:rPr>
          <w:rFonts w:ascii="Arial" w:hAnsi="Arial" w:cs="Arial"/>
          <w:sz w:val="24"/>
          <w:szCs w:val="24"/>
          <w:lang w:val="en-GB"/>
        </w:rPr>
        <w:t>of</w:t>
      </w:r>
      <w:r w:rsidR="00307951">
        <w:rPr>
          <w:rFonts w:ascii="Arial" w:hAnsi="Arial" w:cs="Arial"/>
          <w:sz w:val="24"/>
          <w:szCs w:val="24"/>
          <w:lang w:val="en-GB"/>
        </w:rPr>
        <w:t xml:space="preserve"> the</w:t>
      </w:r>
      <w:r w:rsidRPr="00FB3B59">
        <w:rPr>
          <w:rFonts w:ascii="Arial" w:hAnsi="Arial" w:cs="Arial"/>
          <w:sz w:val="24"/>
          <w:szCs w:val="24"/>
          <w:lang w:val="en-GB"/>
        </w:rPr>
        <w:t xml:space="preserve"> </w:t>
      </w:r>
      <w:r>
        <w:rPr>
          <w:rFonts w:ascii="Arial" w:hAnsi="Arial" w:cs="Arial"/>
          <w:sz w:val="24"/>
          <w:szCs w:val="24"/>
          <w:lang w:val="en-GB"/>
        </w:rPr>
        <w:t>RT</w:t>
      </w:r>
      <w:r w:rsidR="00327A2E">
        <w:rPr>
          <w:rFonts w:ascii="Arial" w:hAnsi="Arial" w:cs="Arial"/>
          <w:sz w:val="24"/>
          <w:szCs w:val="24"/>
          <w:lang w:val="en-GB"/>
        </w:rPr>
        <w:t>S</w:t>
      </w:r>
      <w:r w:rsidRPr="00FB3B59">
        <w:rPr>
          <w:rFonts w:ascii="Arial" w:hAnsi="Arial" w:cs="Arial"/>
          <w:sz w:val="24"/>
          <w:szCs w:val="24"/>
          <w:lang w:val="en-GB"/>
        </w:rPr>
        <w:t xml:space="preserve"> </w:t>
      </w:r>
      <w:r w:rsidR="00307951">
        <w:rPr>
          <w:rFonts w:ascii="Arial" w:hAnsi="Arial" w:cs="Arial"/>
          <w:sz w:val="24"/>
          <w:szCs w:val="24"/>
          <w:lang w:val="en-GB"/>
        </w:rPr>
        <w:t>is selected</w:t>
      </w:r>
      <w:r w:rsidR="00307951" w:rsidRPr="00FB3B59">
        <w:rPr>
          <w:rFonts w:ascii="Arial" w:hAnsi="Arial" w:cs="Arial"/>
          <w:sz w:val="24"/>
          <w:szCs w:val="24"/>
          <w:lang w:val="en-GB"/>
        </w:rPr>
        <w:t xml:space="preserve"> </w:t>
      </w:r>
      <w:r w:rsidRPr="00FB3B59">
        <w:rPr>
          <w:rFonts w:ascii="Arial" w:hAnsi="Arial" w:cs="Arial"/>
          <w:sz w:val="24"/>
          <w:szCs w:val="24"/>
          <w:lang w:val="en-GB"/>
        </w:rPr>
        <w:t>from the Contin</w:t>
      </w:r>
      <w:r w:rsidR="00267D49">
        <w:rPr>
          <w:rFonts w:ascii="Arial" w:hAnsi="Arial" w:cs="Arial"/>
          <w:sz w:val="24"/>
          <w:szCs w:val="24"/>
          <w:lang w:val="en-GB"/>
        </w:rPr>
        <w:t>u</w:t>
      </w:r>
      <w:r w:rsidRPr="00FB3B59">
        <w:rPr>
          <w:rFonts w:ascii="Arial" w:hAnsi="Arial" w:cs="Arial"/>
          <w:sz w:val="24"/>
          <w:szCs w:val="24"/>
          <w:lang w:val="en-GB"/>
        </w:rPr>
        <w:t>ous Household Survey,</w:t>
      </w:r>
      <w:r>
        <w:rPr>
          <w:rFonts w:ascii="Arial" w:hAnsi="Arial" w:cs="Arial"/>
          <w:sz w:val="24"/>
          <w:szCs w:val="24"/>
          <w:lang w:val="en-GB"/>
        </w:rPr>
        <w:t xml:space="preserve"> </w:t>
      </w:r>
      <w:r w:rsidR="00050969">
        <w:rPr>
          <w:rFonts w:ascii="Arial" w:hAnsi="Arial" w:cs="Arial"/>
          <w:sz w:val="24"/>
          <w:szCs w:val="24"/>
          <w:lang w:val="en-GB"/>
        </w:rPr>
        <w:t xml:space="preserve">which provides </w:t>
      </w:r>
      <w:r w:rsidRPr="00FB3B59">
        <w:rPr>
          <w:rFonts w:ascii="Arial" w:hAnsi="Arial" w:cs="Arial"/>
          <w:sz w:val="24"/>
          <w:szCs w:val="24"/>
          <w:lang w:val="en-GB"/>
        </w:rPr>
        <w:t xml:space="preserve">additional information </w:t>
      </w:r>
      <w:r w:rsidR="00307951">
        <w:rPr>
          <w:rFonts w:ascii="Arial" w:hAnsi="Arial" w:cs="Arial"/>
          <w:sz w:val="24"/>
          <w:szCs w:val="24"/>
          <w:lang w:val="en-GB"/>
        </w:rPr>
        <w:t xml:space="preserve">about the selected households and individuals. This information </w:t>
      </w:r>
      <w:r>
        <w:rPr>
          <w:rFonts w:ascii="Arial" w:hAnsi="Arial" w:cs="Arial"/>
          <w:sz w:val="24"/>
          <w:szCs w:val="24"/>
          <w:lang w:val="en-GB"/>
        </w:rPr>
        <w:t>is used</w:t>
      </w:r>
      <w:r w:rsidRPr="00FB3B59">
        <w:rPr>
          <w:rFonts w:ascii="Arial" w:hAnsi="Arial" w:cs="Arial"/>
          <w:sz w:val="24"/>
          <w:szCs w:val="24"/>
          <w:lang w:val="en-GB"/>
        </w:rPr>
        <w:t xml:space="preserve"> to assign to every household a propensity score to travel</w:t>
      </w:r>
      <w:r w:rsidR="00050969">
        <w:rPr>
          <w:rFonts w:ascii="Arial" w:hAnsi="Arial" w:cs="Arial"/>
          <w:sz w:val="24"/>
          <w:szCs w:val="24"/>
          <w:lang w:val="en-GB"/>
        </w:rPr>
        <w:t>. This propensity is</w:t>
      </w:r>
      <w:r w:rsidRPr="00FB3B59">
        <w:rPr>
          <w:rFonts w:ascii="Arial" w:hAnsi="Arial" w:cs="Arial"/>
          <w:sz w:val="24"/>
          <w:szCs w:val="24"/>
          <w:lang w:val="en-GB"/>
        </w:rPr>
        <w:t xml:space="preserve"> calculated</w:t>
      </w:r>
      <w:r>
        <w:rPr>
          <w:rFonts w:ascii="Arial" w:hAnsi="Arial" w:cs="Arial"/>
          <w:sz w:val="24"/>
          <w:szCs w:val="24"/>
          <w:lang w:val="en-GB"/>
        </w:rPr>
        <w:t xml:space="preserve"> </w:t>
      </w:r>
      <w:r w:rsidRPr="00FB3B59">
        <w:rPr>
          <w:rFonts w:ascii="Arial" w:hAnsi="Arial" w:cs="Arial"/>
          <w:sz w:val="24"/>
          <w:szCs w:val="24"/>
          <w:lang w:val="en-GB"/>
        </w:rPr>
        <w:t>through a logistic regression model</w:t>
      </w:r>
      <w:r w:rsidR="00A94880">
        <w:rPr>
          <w:rFonts w:ascii="Arial" w:hAnsi="Arial" w:cs="Arial"/>
          <w:sz w:val="24"/>
          <w:szCs w:val="24"/>
          <w:lang w:val="en-GB"/>
        </w:rPr>
        <w:t xml:space="preserve"> based on the information collected in </w:t>
      </w:r>
      <w:r w:rsidR="000F3E3B">
        <w:rPr>
          <w:rFonts w:ascii="Arial" w:hAnsi="Arial" w:cs="Arial"/>
          <w:sz w:val="24"/>
          <w:szCs w:val="24"/>
          <w:lang w:val="en-GB"/>
        </w:rPr>
        <w:t>the survey in previous waves,</w:t>
      </w:r>
      <w:r w:rsidR="00A94880">
        <w:rPr>
          <w:rFonts w:ascii="Arial" w:hAnsi="Arial" w:cs="Arial"/>
          <w:sz w:val="24"/>
          <w:szCs w:val="24"/>
          <w:lang w:val="en-GB"/>
        </w:rPr>
        <w:t xml:space="preserve"> and</w:t>
      </w:r>
      <w:r w:rsidRPr="00FB3B59">
        <w:rPr>
          <w:rFonts w:ascii="Arial" w:hAnsi="Arial" w:cs="Arial"/>
          <w:sz w:val="24"/>
          <w:szCs w:val="24"/>
          <w:lang w:val="en-GB"/>
        </w:rPr>
        <w:t xml:space="preserve"> includ</w:t>
      </w:r>
      <w:r w:rsidR="00A94880">
        <w:rPr>
          <w:rFonts w:ascii="Arial" w:hAnsi="Arial" w:cs="Arial"/>
          <w:sz w:val="24"/>
          <w:szCs w:val="24"/>
          <w:lang w:val="en-GB"/>
        </w:rPr>
        <w:t>es</w:t>
      </w:r>
      <w:r w:rsidRPr="00FB3B59">
        <w:rPr>
          <w:rFonts w:ascii="Arial" w:hAnsi="Arial" w:cs="Arial"/>
          <w:sz w:val="24"/>
          <w:szCs w:val="24"/>
          <w:lang w:val="en-GB"/>
        </w:rPr>
        <w:t xml:space="preserve"> information on the members of the household</w:t>
      </w:r>
      <w:r>
        <w:rPr>
          <w:rFonts w:ascii="Arial" w:hAnsi="Arial" w:cs="Arial"/>
          <w:sz w:val="24"/>
          <w:szCs w:val="24"/>
          <w:lang w:val="en-GB"/>
        </w:rPr>
        <w:t xml:space="preserve"> (gender, age, marital status, educational level)</w:t>
      </w:r>
      <w:r w:rsidRPr="00FB3B59">
        <w:rPr>
          <w:rFonts w:ascii="Arial" w:hAnsi="Arial" w:cs="Arial"/>
          <w:sz w:val="24"/>
          <w:szCs w:val="24"/>
          <w:lang w:val="en-GB"/>
        </w:rPr>
        <w:t>, the household itself</w:t>
      </w:r>
      <w:r>
        <w:rPr>
          <w:rFonts w:ascii="Arial" w:hAnsi="Arial" w:cs="Arial"/>
          <w:sz w:val="24"/>
          <w:szCs w:val="24"/>
          <w:lang w:val="en-GB"/>
        </w:rPr>
        <w:t xml:space="preserve"> (tenancy regime, number of members)</w:t>
      </w:r>
      <w:r w:rsidRPr="00FB3B59">
        <w:rPr>
          <w:rFonts w:ascii="Arial" w:hAnsi="Arial" w:cs="Arial"/>
          <w:sz w:val="24"/>
          <w:szCs w:val="24"/>
          <w:lang w:val="en-GB"/>
        </w:rPr>
        <w:t xml:space="preserve"> and other</w:t>
      </w:r>
      <w:r>
        <w:rPr>
          <w:rFonts w:ascii="Arial" w:hAnsi="Arial" w:cs="Arial"/>
          <w:sz w:val="24"/>
          <w:szCs w:val="24"/>
          <w:lang w:val="en-GB"/>
        </w:rPr>
        <w:t xml:space="preserve"> </w:t>
      </w:r>
      <w:r w:rsidRPr="00FB3B59">
        <w:rPr>
          <w:rFonts w:ascii="Arial" w:hAnsi="Arial" w:cs="Arial"/>
          <w:sz w:val="24"/>
          <w:szCs w:val="24"/>
          <w:lang w:val="en-GB"/>
        </w:rPr>
        <w:t>characteristics of the neighbourhood</w:t>
      </w:r>
      <w:r>
        <w:rPr>
          <w:rFonts w:ascii="Arial" w:hAnsi="Arial" w:cs="Arial"/>
          <w:sz w:val="24"/>
          <w:szCs w:val="24"/>
          <w:lang w:val="en-GB"/>
        </w:rPr>
        <w:t xml:space="preserve"> (average income level,</w:t>
      </w:r>
      <w:r w:rsidRPr="00FB3B59">
        <w:rPr>
          <w:rFonts w:ascii="Arial" w:hAnsi="Arial" w:cs="Arial"/>
          <w:sz w:val="24"/>
          <w:szCs w:val="24"/>
          <w:lang w:val="en-GB"/>
        </w:rPr>
        <w:t xml:space="preserve"> </w:t>
      </w:r>
      <w:r>
        <w:rPr>
          <w:rFonts w:ascii="Arial" w:hAnsi="Arial" w:cs="Arial"/>
          <w:sz w:val="24"/>
          <w:szCs w:val="24"/>
          <w:lang w:val="en-GB"/>
        </w:rPr>
        <w:t>percentage of unemployed)</w:t>
      </w:r>
      <w:r w:rsidR="00396E77">
        <w:rPr>
          <w:rFonts w:ascii="Arial" w:hAnsi="Arial" w:cs="Arial"/>
          <w:sz w:val="24"/>
          <w:szCs w:val="24"/>
          <w:lang w:val="en-GB"/>
        </w:rPr>
        <w:t xml:space="preserve">. Initial strata are </w:t>
      </w:r>
      <w:r w:rsidR="000F3E3B">
        <w:rPr>
          <w:rFonts w:ascii="Arial" w:hAnsi="Arial" w:cs="Arial"/>
          <w:sz w:val="24"/>
          <w:szCs w:val="24"/>
          <w:lang w:val="en-GB"/>
        </w:rPr>
        <w:t>substratified</w:t>
      </w:r>
      <w:r w:rsidR="00396E77">
        <w:rPr>
          <w:rFonts w:ascii="Arial" w:hAnsi="Arial" w:cs="Arial"/>
          <w:sz w:val="24"/>
          <w:szCs w:val="24"/>
          <w:lang w:val="en-GB"/>
        </w:rPr>
        <w:t xml:space="preserve"> in two groups according the assigned propensity. </w:t>
      </w:r>
      <w:r w:rsidRPr="00FB3B59">
        <w:rPr>
          <w:rFonts w:ascii="Arial" w:hAnsi="Arial" w:cs="Arial"/>
          <w:sz w:val="24"/>
          <w:szCs w:val="24"/>
          <w:lang w:val="en-GB"/>
        </w:rPr>
        <w:t>Th</w:t>
      </w:r>
      <w:r w:rsidR="00396E77">
        <w:rPr>
          <w:rFonts w:ascii="Arial" w:hAnsi="Arial" w:cs="Arial"/>
          <w:sz w:val="24"/>
          <w:szCs w:val="24"/>
          <w:lang w:val="en-GB"/>
        </w:rPr>
        <w:t>en</w:t>
      </w:r>
      <w:r w:rsidRPr="00FB3B59">
        <w:rPr>
          <w:rFonts w:ascii="Arial" w:hAnsi="Arial" w:cs="Arial"/>
          <w:sz w:val="24"/>
          <w:szCs w:val="24"/>
          <w:lang w:val="en-GB"/>
        </w:rPr>
        <w:t xml:space="preserve">, more prone to travel households are </w:t>
      </w:r>
      <w:r>
        <w:rPr>
          <w:rFonts w:ascii="Arial" w:hAnsi="Arial" w:cs="Arial"/>
          <w:sz w:val="24"/>
          <w:szCs w:val="24"/>
          <w:lang w:val="en-GB"/>
        </w:rPr>
        <w:t>over</w:t>
      </w:r>
      <w:r w:rsidRPr="00FB3B59">
        <w:rPr>
          <w:rFonts w:ascii="Arial" w:hAnsi="Arial" w:cs="Arial"/>
          <w:sz w:val="24"/>
          <w:szCs w:val="24"/>
          <w:lang w:val="en-GB"/>
        </w:rPr>
        <w:t>sampled, increasing the trips sample and</w:t>
      </w:r>
      <w:r>
        <w:rPr>
          <w:rFonts w:ascii="Arial" w:hAnsi="Arial" w:cs="Arial"/>
          <w:sz w:val="24"/>
          <w:szCs w:val="24"/>
          <w:lang w:val="en-GB"/>
        </w:rPr>
        <w:t xml:space="preserve"> de</w:t>
      </w:r>
      <w:r w:rsidRPr="00FB3B59">
        <w:rPr>
          <w:rFonts w:ascii="Arial" w:hAnsi="Arial" w:cs="Arial"/>
          <w:sz w:val="24"/>
          <w:szCs w:val="24"/>
          <w:lang w:val="en-GB"/>
        </w:rPr>
        <w:t xml:space="preserve">creasing the estimation variance. </w:t>
      </w:r>
      <w:r w:rsidR="00396E77">
        <w:rPr>
          <w:rFonts w:ascii="Arial" w:hAnsi="Arial" w:cs="Arial"/>
          <w:sz w:val="24"/>
          <w:szCs w:val="24"/>
          <w:lang w:val="en-GB"/>
        </w:rPr>
        <w:t>Of course,</w:t>
      </w:r>
      <w:r>
        <w:rPr>
          <w:rFonts w:ascii="Arial" w:hAnsi="Arial" w:cs="Arial"/>
          <w:sz w:val="24"/>
          <w:szCs w:val="24"/>
          <w:lang w:val="en-GB"/>
        </w:rPr>
        <w:t xml:space="preserve"> </w:t>
      </w:r>
      <w:r w:rsidR="00351C4F">
        <w:rPr>
          <w:rFonts w:ascii="Arial" w:hAnsi="Arial" w:cs="Arial"/>
          <w:sz w:val="24"/>
          <w:szCs w:val="24"/>
          <w:lang w:val="en-GB"/>
        </w:rPr>
        <w:t xml:space="preserve">the weighting factors are </w:t>
      </w:r>
      <w:r w:rsidRPr="00FB3B59">
        <w:rPr>
          <w:rFonts w:ascii="Arial" w:hAnsi="Arial" w:cs="Arial"/>
          <w:sz w:val="24"/>
          <w:szCs w:val="24"/>
          <w:lang w:val="en-GB"/>
        </w:rPr>
        <w:t>processed in order not to introduce bias in the</w:t>
      </w:r>
      <w:r>
        <w:rPr>
          <w:rFonts w:ascii="Arial" w:hAnsi="Arial" w:cs="Arial"/>
          <w:sz w:val="24"/>
          <w:szCs w:val="24"/>
          <w:lang w:val="en-GB"/>
        </w:rPr>
        <w:t xml:space="preserve"> </w:t>
      </w:r>
      <w:r w:rsidRPr="00FB3B59">
        <w:rPr>
          <w:rFonts w:ascii="Arial" w:hAnsi="Arial" w:cs="Arial"/>
          <w:sz w:val="24"/>
          <w:szCs w:val="24"/>
          <w:lang w:val="en-GB"/>
        </w:rPr>
        <w:t>estimations due to this procedure.</w:t>
      </w:r>
    </w:p>
    <w:p w:rsidR="008729D6" w:rsidRDefault="00EA4A98" w:rsidP="00FB3B59">
      <w:pPr>
        <w:spacing w:before="120" w:after="0" w:line="360" w:lineRule="auto"/>
        <w:jc w:val="both"/>
        <w:rPr>
          <w:rFonts w:ascii="Arial" w:hAnsi="Arial" w:cs="Arial"/>
          <w:sz w:val="24"/>
          <w:szCs w:val="24"/>
          <w:lang w:val="en-GB"/>
        </w:rPr>
      </w:pPr>
      <w:r>
        <w:rPr>
          <w:rFonts w:ascii="Arial" w:hAnsi="Arial" w:cs="Arial"/>
          <w:sz w:val="24"/>
          <w:szCs w:val="24"/>
          <w:lang w:val="en-GB"/>
        </w:rPr>
        <w:t>Figure</w:t>
      </w:r>
      <w:r w:rsidR="00BC578B">
        <w:rPr>
          <w:rFonts w:ascii="Arial" w:hAnsi="Arial" w:cs="Arial"/>
          <w:sz w:val="24"/>
          <w:szCs w:val="24"/>
          <w:lang w:val="en-GB"/>
        </w:rPr>
        <w:t xml:space="preserve"> 1 and </w:t>
      </w:r>
      <w:r>
        <w:rPr>
          <w:rFonts w:ascii="Arial" w:hAnsi="Arial" w:cs="Arial"/>
          <w:sz w:val="24"/>
          <w:szCs w:val="24"/>
          <w:lang w:val="en-GB"/>
        </w:rPr>
        <w:t>Figure</w:t>
      </w:r>
      <w:r w:rsidR="00BC578B">
        <w:rPr>
          <w:rFonts w:ascii="Arial" w:hAnsi="Arial" w:cs="Arial"/>
          <w:sz w:val="24"/>
          <w:szCs w:val="24"/>
          <w:lang w:val="en-GB"/>
        </w:rPr>
        <w:t xml:space="preserve"> 2</w:t>
      </w:r>
      <w:r w:rsidR="00EE04F1">
        <w:rPr>
          <w:rFonts w:ascii="Arial" w:hAnsi="Arial" w:cs="Arial"/>
          <w:sz w:val="24"/>
          <w:szCs w:val="24"/>
          <w:lang w:val="en-GB"/>
        </w:rPr>
        <w:t xml:space="preserve"> show the visitors</w:t>
      </w:r>
      <w:r w:rsidR="008729D6">
        <w:rPr>
          <w:rFonts w:ascii="Arial" w:hAnsi="Arial" w:cs="Arial"/>
          <w:sz w:val="24"/>
          <w:szCs w:val="24"/>
          <w:lang w:val="en-GB"/>
        </w:rPr>
        <w:t xml:space="preserve"> and trips per person in 2017 </w:t>
      </w:r>
      <w:r w:rsidR="00BC578B">
        <w:rPr>
          <w:rFonts w:ascii="Arial" w:hAnsi="Arial" w:cs="Arial"/>
          <w:sz w:val="24"/>
          <w:szCs w:val="24"/>
          <w:lang w:val="en-GB"/>
        </w:rPr>
        <w:t xml:space="preserve">in </w:t>
      </w:r>
      <w:r w:rsidR="008729D6">
        <w:rPr>
          <w:rFonts w:ascii="Arial" w:hAnsi="Arial" w:cs="Arial"/>
          <w:sz w:val="24"/>
          <w:szCs w:val="24"/>
          <w:lang w:val="en-GB"/>
        </w:rPr>
        <w:t xml:space="preserve">the sample, and once the sample has been </w:t>
      </w:r>
      <w:r w:rsidR="00044A97">
        <w:rPr>
          <w:rFonts w:ascii="Arial" w:hAnsi="Arial" w:cs="Arial"/>
          <w:sz w:val="24"/>
          <w:szCs w:val="24"/>
          <w:lang w:val="en-GB"/>
        </w:rPr>
        <w:t>weighted</w:t>
      </w:r>
      <w:r w:rsidR="00BC578B">
        <w:rPr>
          <w:rFonts w:ascii="Arial" w:hAnsi="Arial" w:cs="Arial"/>
          <w:sz w:val="24"/>
          <w:szCs w:val="24"/>
          <w:lang w:val="en-GB"/>
        </w:rPr>
        <w:t>. Oversampling in the group of households with higher propensity to travel is adjusted</w:t>
      </w:r>
      <w:r w:rsidR="006D17CB">
        <w:rPr>
          <w:rFonts w:ascii="Arial" w:hAnsi="Arial" w:cs="Arial"/>
          <w:sz w:val="24"/>
          <w:szCs w:val="24"/>
          <w:lang w:val="en-GB"/>
        </w:rPr>
        <w:t xml:space="preserve"> when the sample is weighted. Being August the month with the highest number of visitors and trips, effects of oversampling are not observed.</w:t>
      </w:r>
    </w:p>
    <w:p w:rsidR="00BC578B" w:rsidRPr="00C82524" w:rsidRDefault="008A71B3" w:rsidP="00FC4182">
      <w:pPr>
        <w:pStyle w:val="Legenda"/>
        <w:keepNext/>
        <w:spacing w:before="120"/>
        <w:jc w:val="both"/>
        <w:rPr>
          <w:rFonts w:ascii="Arial" w:hAnsi="Arial" w:cs="Arial"/>
          <w:b/>
          <w:i w:val="0"/>
          <w:color w:val="auto"/>
          <w:sz w:val="20"/>
          <w:szCs w:val="20"/>
          <w:lang w:val="en-GB"/>
        </w:rPr>
      </w:pPr>
      <w:r w:rsidRPr="00EC5F5A">
        <w:rPr>
          <w:rFonts w:ascii="Arial" w:hAnsi="Arial" w:cs="Arial"/>
          <w:b/>
          <w:i w:val="0"/>
          <w:color w:val="auto"/>
          <w:sz w:val="20"/>
          <w:szCs w:val="20"/>
          <w:lang w:val="en-GB"/>
        </w:rPr>
        <w:t xml:space="preserve">Figure </w:t>
      </w:r>
      <w:r w:rsidRPr="00BF6DBC">
        <w:rPr>
          <w:rFonts w:ascii="Arial" w:hAnsi="Arial" w:cs="Arial"/>
          <w:b/>
          <w:i w:val="0"/>
          <w:color w:val="auto"/>
          <w:sz w:val="20"/>
          <w:szCs w:val="20"/>
          <w:lang w:val="en-GB"/>
        </w:rPr>
        <w:fldChar w:fldCharType="begin"/>
      </w:r>
      <w:r w:rsidRPr="00EC5F5A">
        <w:rPr>
          <w:rFonts w:ascii="Arial" w:hAnsi="Arial" w:cs="Arial"/>
          <w:b/>
          <w:i w:val="0"/>
          <w:color w:val="auto"/>
          <w:sz w:val="20"/>
          <w:szCs w:val="20"/>
          <w:lang w:val="en-GB"/>
        </w:rPr>
        <w:instrText xml:space="preserve"> SEQ Figure \* ARABIC </w:instrText>
      </w:r>
      <w:r w:rsidRPr="00BF6DBC">
        <w:rPr>
          <w:rFonts w:ascii="Arial" w:hAnsi="Arial" w:cs="Arial"/>
          <w:b/>
          <w:i w:val="0"/>
          <w:color w:val="auto"/>
          <w:sz w:val="20"/>
          <w:szCs w:val="20"/>
          <w:lang w:val="en-GB"/>
        </w:rPr>
        <w:fldChar w:fldCharType="separate"/>
      </w:r>
      <w:r w:rsidR="00766882">
        <w:rPr>
          <w:rFonts w:ascii="Arial" w:hAnsi="Arial" w:cs="Arial"/>
          <w:b/>
          <w:i w:val="0"/>
          <w:noProof/>
          <w:color w:val="auto"/>
          <w:sz w:val="20"/>
          <w:szCs w:val="20"/>
          <w:lang w:val="en-GB"/>
        </w:rPr>
        <w:t>1</w:t>
      </w:r>
      <w:r w:rsidRPr="00BF6DBC">
        <w:rPr>
          <w:rFonts w:ascii="Arial" w:hAnsi="Arial" w:cs="Arial"/>
          <w:b/>
          <w:i w:val="0"/>
          <w:color w:val="auto"/>
          <w:sz w:val="20"/>
          <w:szCs w:val="20"/>
          <w:lang w:val="en-GB"/>
        </w:rPr>
        <w:fldChar w:fldCharType="end"/>
      </w:r>
      <w:r w:rsidRPr="00EC5F5A">
        <w:rPr>
          <w:rFonts w:ascii="Arial" w:hAnsi="Arial" w:cs="Arial"/>
          <w:b/>
          <w:i w:val="0"/>
          <w:color w:val="auto"/>
          <w:sz w:val="20"/>
          <w:szCs w:val="20"/>
          <w:lang w:val="en-GB"/>
        </w:rPr>
        <w:t xml:space="preserve">. </w:t>
      </w:r>
      <w:r>
        <w:rPr>
          <w:rFonts w:ascii="Arial" w:hAnsi="Arial" w:cs="Arial"/>
          <w:b/>
          <w:i w:val="0"/>
          <w:color w:val="auto"/>
          <w:sz w:val="20"/>
          <w:szCs w:val="20"/>
          <w:lang w:val="en-GB"/>
        </w:rPr>
        <w:t>Percentage of visitors (sample and weighted)</w:t>
      </w:r>
      <w:r w:rsidR="00416331">
        <w:rPr>
          <w:rFonts w:ascii="Arial" w:hAnsi="Arial" w:cs="Arial"/>
          <w:b/>
          <w:i w:val="0"/>
          <w:color w:val="auto"/>
          <w:sz w:val="20"/>
          <w:szCs w:val="20"/>
          <w:lang w:val="en-GB"/>
        </w:rPr>
        <w:t>. Note: y axis origin is shifted</w:t>
      </w:r>
    </w:p>
    <w:p w:rsidR="00EE04F1" w:rsidRPr="00C82524" w:rsidRDefault="00EE04F1" w:rsidP="00FB3B59">
      <w:pPr>
        <w:spacing w:before="120" w:after="0" w:line="360" w:lineRule="auto"/>
        <w:jc w:val="both"/>
        <w:rPr>
          <w:rFonts w:ascii="Arial" w:hAnsi="Arial" w:cs="Arial"/>
          <w:sz w:val="24"/>
          <w:szCs w:val="24"/>
          <w:lang w:val="en-US"/>
        </w:rPr>
      </w:pPr>
      <w:r>
        <w:rPr>
          <w:noProof/>
          <w:lang w:eastAsia="pl-PL"/>
        </w:rPr>
        <w:drawing>
          <wp:inline distT="0" distB="0" distL="0" distR="0" wp14:anchorId="73EB0804" wp14:editId="2B1846FE">
            <wp:extent cx="5760720" cy="2906973"/>
            <wp:effectExtent l="0" t="0" r="11430" b="825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C82524">
        <w:rPr>
          <w:rFonts w:ascii="Arial" w:hAnsi="Arial" w:cs="Arial"/>
          <w:sz w:val="24"/>
          <w:szCs w:val="24"/>
          <w:lang w:val="en-US"/>
        </w:rPr>
        <w:t xml:space="preserve"> </w:t>
      </w:r>
    </w:p>
    <w:p w:rsidR="004A7943" w:rsidRDefault="008A71B3" w:rsidP="00FC4182">
      <w:pPr>
        <w:spacing w:before="120" w:after="240" w:line="360" w:lineRule="auto"/>
        <w:jc w:val="both"/>
        <w:rPr>
          <w:rFonts w:ascii="Arial" w:hAnsi="Arial" w:cs="Arial"/>
          <w:color w:val="FF0000"/>
          <w:sz w:val="24"/>
          <w:szCs w:val="24"/>
          <w:lang w:val="en-US"/>
        </w:rPr>
      </w:pPr>
      <w:r w:rsidRPr="00EC5F5A">
        <w:rPr>
          <w:rFonts w:ascii="Arial" w:hAnsi="Arial" w:cs="Arial"/>
          <w:sz w:val="20"/>
          <w:szCs w:val="20"/>
          <w:lang w:val="en-GB"/>
        </w:rPr>
        <w:t>Source:</w:t>
      </w:r>
      <w:r>
        <w:rPr>
          <w:rFonts w:ascii="Arial" w:hAnsi="Arial" w:cs="Arial"/>
          <w:sz w:val="20"/>
          <w:szCs w:val="20"/>
          <w:lang w:val="en-GB"/>
        </w:rPr>
        <w:t xml:space="preserve"> Residents Travel Survey, 2017.</w:t>
      </w:r>
    </w:p>
    <w:p w:rsidR="008A71B3" w:rsidRPr="00C82524" w:rsidRDefault="008A71B3" w:rsidP="00FC4182">
      <w:pPr>
        <w:spacing w:before="120" w:after="0" w:line="360" w:lineRule="auto"/>
        <w:jc w:val="both"/>
        <w:rPr>
          <w:rFonts w:ascii="Arial" w:hAnsi="Arial" w:cs="Arial"/>
          <w:color w:val="FF0000"/>
          <w:sz w:val="24"/>
          <w:szCs w:val="24"/>
          <w:lang w:val="en-US"/>
        </w:rPr>
      </w:pPr>
      <w:r w:rsidRPr="00C819F2">
        <w:rPr>
          <w:rFonts w:ascii="Arial" w:hAnsi="Arial" w:cs="Arial"/>
          <w:b/>
          <w:sz w:val="20"/>
          <w:szCs w:val="20"/>
          <w:lang w:val="en-GB"/>
        </w:rPr>
        <w:t xml:space="preserve">Figure </w:t>
      </w:r>
      <w:r w:rsidRPr="00C82524">
        <w:rPr>
          <w:rFonts w:ascii="Arial" w:hAnsi="Arial" w:cs="Arial"/>
          <w:b/>
          <w:sz w:val="20"/>
          <w:szCs w:val="20"/>
          <w:lang w:val="en-GB"/>
        </w:rPr>
        <w:t>2</w:t>
      </w:r>
      <w:r w:rsidRPr="00C819F2">
        <w:rPr>
          <w:rFonts w:ascii="Arial" w:hAnsi="Arial" w:cs="Arial"/>
          <w:b/>
          <w:sz w:val="20"/>
          <w:szCs w:val="20"/>
          <w:lang w:val="en-GB"/>
        </w:rPr>
        <w:t xml:space="preserve">. </w:t>
      </w:r>
      <w:r w:rsidRPr="00C82524">
        <w:rPr>
          <w:rFonts w:ascii="Arial" w:hAnsi="Arial" w:cs="Arial"/>
          <w:b/>
          <w:sz w:val="20"/>
          <w:szCs w:val="20"/>
          <w:lang w:val="en-GB"/>
        </w:rPr>
        <w:t>Trips per person (sample and weighted)</w:t>
      </w:r>
      <w:r w:rsidR="00022FCB" w:rsidRPr="00C819F2">
        <w:rPr>
          <w:rFonts w:ascii="Arial" w:hAnsi="Arial" w:cs="Arial"/>
          <w:b/>
          <w:sz w:val="20"/>
          <w:szCs w:val="20"/>
          <w:lang w:val="en-GB"/>
        </w:rPr>
        <w:t>.</w:t>
      </w:r>
      <w:r w:rsidR="00022FCB" w:rsidRPr="00C82524">
        <w:rPr>
          <w:rFonts w:ascii="Arial" w:hAnsi="Arial" w:cs="Arial"/>
          <w:b/>
          <w:sz w:val="20"/>
          <w:szCs w:val="20"/>
          <w:lang w:val="en-GB"/>
        </w:rPr>
        <w:t xml:space="preserve"> Note: y axis origin is shifted</w:t>
      </w:r>
    </w:p>
    <w:p w:rsidR="00FB3B59" w:rsidRDefault="00EE04F1" w:rsidP="003A1D16">
      <w:pPr>
        <w:spacing w:before="120" w:after="0" w:line="360" w:lineRule="auto"/>
        <w:jc w:val="both"/>
        <w:rPr>
          <w:rFonts w:ascii="Arial" w:hAnsi="Arial" w:cs="Arial"/>
          <w:sz w:val="24"/>
          <w:szCs w:val="24"/>
          <w:lang w:val="en-GB"/>
        </w:rPr>
      </w:pPr>
      <w:r>
        <w:rPr>
          <w:noProof/>
          <w:lang w:eastAsia="pl-PL"/>
        </w:rPr>
        <w:drawing>
          <wp:inline distT="0" distB="0" distL="0" distR="0" wp14:anchorId="44E16E89" wp14:editId="5F81FEDF">
            <wp:extent cx="5760720" cy="3125338"/>
            <wp:effectExtent l="0" t="0" r="11430" b="1841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A7943" w:rsidRPr="00C82524" w:rsidRDefault="008A71B3" w:rsidP="003A1D16">
      <w:pPr>
        <w:spacing w:before="120" w:after="0" w:line="360" w:lineRule="auto"/>
        <w:jc w:val="both"/>
        <w:rPr>
          <w:rFonts w:ascii="Arial" w:hAnsi="Arial" w:cs="Arial"/>
          <w:sz w:val="20"/>
          <w:szCs w:val="20"/>
          <w:lang w:val="en-GB"/>
        </w:rPr>
      </w:pPr>
      <w:r w:rsidRPr="00EC5F5A">
        <w:rPr>
          <w:rFonts w:ascii="Arial" w:hAnsi="Arial" w:cs="Arial"/>
          <w:sz w:val="20"/>
          <w:szCs w:val="20"/>
          <w:lang w:val="en-GB"/>
        </w:rPr>
        <w:t>Source:</w:t>
      </w:r>
      <w:r>
        <w:rPr>
          <w:rFonts w:ascii="Arial" w:hAnsi="Arial" w:cs="Arial"/>
          <w:sz w:val="20"/>
          <w:szCs w:val="20"/>
          <w:lang w:val="en-GB"/>
        </w:rPr>
        <w:t xml:space="preserve"> Residents Travel Survey, 2017.</w:t>
      </w:r>
    </w:p>
    <w:p w:rsidR="0065551A" w:rsidRPr="00FB2ED5" w:rsidRDefault="0065551A" w:rsidP="00FB2ED5">
      <w:pPr>
        <w:pStyle w:val="Akapitzlist"/>
        <w:numPr>
          <w:ilvl w:val="0"/>
          <w:numId w:val="9"/>
        </w:numPr>
        <w:spacing w:before="360" w:after="0" w:line="360" w:lineRule="auto"/>
        <w:jc w:val="both"/>
        <w:rPr>
          <w:rFonts w:ascii="Arial" w:hAnsi="Arial" w:cs="Arial"/>
          <w:b/>
          <w:sz w:val="24"/>
          <w:szCs w:val="24"/>
          <w:lang w:val="en-GB"/>
        </w:rPr>
      </w:pPr>
      <w:r w:rsidRPr="00F907B7">
        <w:rPr>
          <w:rFonts w:ascii="Arial" w:hAnsi="Arial" w:cs="Arial"/>
          <w:b/>
          <w:sz w:val="24"/>
          <w:szCs w:val="24"/>
          <w:lang w:val="en-GB"/>
        </w:rPr>
        <w:t>Calibration</w:t>
      </w:r>
      <w:r w:rsidRPr="00FB2ED5">
        <w:rPr>
          <w:rFonts w:ascii="Arial" w:hAnsi="Arial" w:cs="Arial"/>
          <w:b/>
          <w:sz w:val="24"/>
          <w:szCs w:val="24"/>
          <w:lang w:val="en-GB"/>
        </w:rPr>
        <w:t>. Description</w:t>
      </w:r>
    </w:p>
    <w:p w:rsidR="00C7621E" w:rsidRDefault="00832D1E" w:rsidP="00C7621E">
      <w:pPr>
        <w:spacing w:before="120" w:after="0" w:line="360" w:lineRule="auto"/>
        <w:jc w:val="both"/>
        <w:rPr>
          <w:rFonts w:ascii="Arial" w:hAnsi="Arial" w:cs="Arial"/>
          <w:sz w:val="24"/>
          <w:szCs w:val="24"/>
          <w:lang w:val="en-GB"/>
        </w:rPr>
      </w:pPr>
      <w:r>
        <w:rPr>
          <w:rFonts w:ascii="Arial" w:hAnsi="Arial" w:cs="Arial"/>
          <w:sz w:val="24"/>
          <w:szCs w:val="24"/>
          <w:lang w:val="en-GB"/>
        </w:rPr>
        <w:t xml:space="preserve">Calibration is a </w:t>
      </w:r>
      <w:r w:rsidR="00081DBC">
        <w:rPr>
          <w:rFonts w:ascii="Arial" w:hAnsi="Arial" w:cs="Arial"/>
          <w:sz w:val="24"/>
          <w:szCs w:val="24"/>
          <w:lang w:val="en-GB"/>
        </w:rPr>
        <w:t xml:space="preserve">method commonly used in official statistics to improve estimates </w:t>
      </w:r>
      <w:r w:rsidR="008E702F">
        <w:rPr>
          <w:rFonts w:ascii="Arial" w:hAnsi="Arial" w:cs="Arial"/>
          <w:sz w:val="24"/>
          <w:szCs w:val="24"/>
          <w:lang w:val="en-GB"/>
        </w:rPr>
        <w:t xml:space="preserve">obtained </w:t>
      </w:r>
      <w:r w:rsidR="00081DBC">
        <w:rPr>
          <w:rFonts w:ascii="Arial" w:hAnsi="Arial" w:cs="Arial"/>
          <w:sz w:val="24"/>
          <w:szCs w:val="24"/>
          <w:lang w:val="en-GB"/>
        </w:rPr>
        <w:t xml:space="preserve">from sample surveys using auxiliary information from exogenous sources. The </w:t>
      </w:r>
      <w:r w:rsidR="008421A7">
        <w:rPr>
          <w:rFonts w:ascii="Arial" w:hAnsi="Arial" w:cs="Arial"/>
          <w:sz w:val="24"/>
          <w:szCs w:val="24"/>
          <w:lang w:val="en-GB"/>
        </w:rPr>
        <w:t xml:space="preserve">idea is to recalculate the initial </w:t>
      </w:r>
      <w:r w:rsidR="00081DBC">
        <w:rPr>
          <w:rFonts w:ascii="Arial" w:hAnsi="Arial" w:cs="Arial"/>
          <w:sz w:val="24"/>
          <w:szCs w:val="24"/>
          <w:lang w:val="en-GB"/>
        </w:rPr>
        <w:t xml:space="preserve">sample weights to </w:t>
      </w:r>
      <w:r w:rsidR="003C1A1E">
        <w:rPr>
          <w:rFonts w:ascii="Arial" w:hAnsi="Arial" w:cs="Arial"/>
          <w:sz w:val="24"/>
          <w:szCs w:val="24"/>
          <w:lang w:val="en-GB"/>
        </w:rPr>
        <w:t>obtain</w:t>
      </w:r>
      <w:r w:rsidR="00081DBC">
        <w:rPr>
          <w:rFonts w:ascii="Arial" w:hAnsi="Arial" w:cs="Arial"/>
          <w:sz w:val="24"/>
          <w:szCs w:val="24"/>
          <w:lang w:val="en-GB"/>
        </w:rPr>
        <w:t xml:space="preserve"> from the sample </w:t>
      </w:r>
      <w:r w:rsidR="003C1A1E">
        <w:rPr>
          <w:rFonts w:ascii="Arial" w:hAnsi="Arial" w:cs="Arial"/>
          <w:sz w:val="24"/>
          <w:szCs w:val="24"/>
          <w:lang w:val="en-GB"/>
        </w:rPr>
        <w:t xml:space="preserve">the official </w:t>
      </w:r>
      <w:r w:rsidR="00081DBC">
        <w:rPr>
          <w:rFonts w:ascii="Arial" w:hAnsi="Arial" w:cs="Arial"/>
          <w:sz w:val="24"/>
          <w:szCs w:val="24"/>
          <w:lang w:val="en-GB"/>
        </w:rPr>
        <w:t xml:space="preserve">population </w:t>
      </w:r>
      <w:r w:rsidR="003C1A1E">
        <w:rPr>
          <w:rFonts w:ascii="Arial" w:hAnsi="Arial" w:cs="Arial"/>
          <w:sz w:val="24"/>
          <w:szCs w:val="24"/>
          <w:lang w:val="en-GB"/>
        </w:rPr>
        <w:t>figures</w:t>
      </w:r>
      <w:r w:rsidR="00197C4F">
        <w:rPr>
          <w:rFonts w:ascii="Arial" w:hAnsi="Arial" w:cs="Arial"/>
          <w:sz w:val="24"/>
          <w:szCs w:val="24"/>
          <w:lang w:val="en-GB"/>
        </w:rPr>
        <w:t>. Sä</w:t>
      </w:r>
      <w:r w:rsidR="00081DBC">
        <w:rPr>
          <w:rFonts w:ascii="Arial" w:hAnsi="Arial" w:cs="Arial"/>
          <w:sz w:val="24"/>
          <w:szCs w:val="24"/>
          <w:lang w:val="en-GB"/>
        </w:rPr>
        <w:t>rndall and Deville</w:t>
      </w:r>
      <w:r w:rsidR="003C1A1E">
        <w:rPr>
          <w:rFonts w:ascii="Arial" w:hAnsi="Arial" w:cs="Arial"/>
          <w:sz w:val="24"/>
          <w:szCs w:val="24"/>
          <w:lang w:val="en-GB"/>
        </w:rPr>
        <w:t xml:space="preserve"> (1992)</w:t>
      </w:r>
      <w:r w:rsidR="00081DBC">
        <w:rPr>
          <w:rFonts w:ascii="Arial" w:hAnsi="Arial" w:cs="Arial"/>
          <w:sz w:val="24"/>
          <w:szCs w:val="24"/>
          <w:lang w:val="en-GB"/>
        </w:rPr>
        <w:t xml:space="preserve"> proved that estimators obtained using this methods have </w:t>
      </w:r>
      <w:r w:rsidR="008D1CA9">
        <w:rPr>
          <w:rFonts w:ascii="Arial" w:hAnsi="Arial" w:cs="Arial"/>
          <w:sz w:val="24"/>
          <w:szCs w:val="24"/>
          <w:lang w:val="en-GB"/>
        </w:rPr>
        <w:t>good properties</w:t>
      </w:r>
      <w:r w:rsidR="00081DBC">
        <w:rPr>
          <w:rFonts w:ascii="Arial" w:hAnsi="Arial" w:cs="Arial"/>
          <w:sz w:val="24"/>
          <w:szCs w:val="24"/>
          <w:lang w:val="en-GB"/>
        </w:rPr>
        <w:t>.</w:t>
      </w:r>
      <w:r w:rsidR="00647FB9">
        <w:rPr>
          <w:rFonts w:ascii="Arial" w:hAnsi="Arial" w:cs="Arial"/>
          <w:sz w:val="24"/>
          <w:szCs w:val="24"/>
          <w:lang w:val="en-GB"/>
        </w:rPr>
        <w:t xml:space="preserve"> </w:t>
      </w:r>
      <w:r w:rsidR="00081DBC">
        <w:rPr>
          <w:rFonts w:ascii="Arial" w:hAnsi="Arial" w:cs="Arial"/>
          <w:sz w:val="24"/>
          <w:szCs w:val="24"/>
          <w:lang w:val="en-GB"/>
        </w:rPr>
        <w:t>In the</w:t>
      </w:r>
      <w:r w:rsidR="00CB7E10">
        <w:rPr>
          <w:rFonts w:ascii="Arial" w:hAnsi="Arial" w:cs="Arial"/>
          <w:sz w:val="24"/>
          <w:szCs w:val="24"/>
          <w:lang w:val="en-GB"/>
        </w:rPr>
        <w:t xml:space="preserve"> RTS calibration </w:t>
      </w:r>
      <w:r w:rsidR="00081DBC">
        <w:rPr>
          <w:rFonts w:ascii="Arial" w:hAnsi="Arial" w:cs="Arial"/>
          <w:sz w:val="24"/>
          <w:szCs w:val="24"/>
          <w:lang w:val="en-GB"/>
        </w:rPr>
        <w:t xml:space="preserve">is applied </w:t>
      </w:r>
      <w:r w:rsidR="00CB7E10">
        <w:rPr>
          <w:rFonts w:ascii="Arial" w:hAnsi="Arial" w:cs="Arial"/>
          <w:sz w:val="24"/>
          <w:szCs w:val="24"/>
          <w:lang w:val="en-GB"/>
        </w:rPr>
        <w:t xml:space="preserve">with two </w:t>
      </w:r>
      <w:r w:rsidR="00C7621E">
        <w:rPr>
          <w:rFonts w:ascii="Arial" w:hAnsi="Arial" w:cs="Arial"/>
          <w:sz w:val="24"/>
          <w:szCs w:val="24"/>
          <w:lang w:val="en-GB"/>
        </w:rPr>
        <w:t xml:space="preserve">main </w:t>
      </w:r>
      <w:r w:rsidR="00661B0B">
        <w:rPr>
          <w:rFonts w:ascii="Arial" w:hAnsi="Arial" w:cs="Arial"/>
          <w:sz w:val="24"/>
          <w:szCs w:val="24"/>
          <w:lang w:val="en-GB"/>
        </w:rPr>
        <w:t>goals</w:t>
      </w:r>
      <w:r w:rsidR="00C7621E">
        <w:rPr>
          <w:rFonts w:ascii="Arial" w:hAnsi="Arial" w:cs="Arial"/>
          <w:sz w:val="24"/>
          <w:szCs w:val="24"/>
          <w:lang w:val="en-GB"/>
        </w:rPr>
        <w:t>: to improve the accuracy of the estimates and to enhance the coherence between different tourism surveys.</w:t>
      </w:r>
    </w:p>
    <w:p w:rsidR="004E52C1" w:rsidRDefault="00081DBC" w:rsidP="00C7621E">
      <w:pPr>
        <w:spacing w:before="120" w:after="0" w:line="360" w:lineRule="auto"/>
        <w:jc w:val="both"/>
        <w:rPr>
          <w:rFonts w:ascii="Arial" w:hAnsi="Arial" w:cs="Arial"/>
          <w:sz w:val="24"/>
          <w:szCs w:val="24"/>
          <w:lang w:val="en-GB"/>
        </w:rPr>
      </w:pPr>
      <w:r>
        <w:rPr>
          <w:rFonts w:ascii="Arial" w:hAnsi="Arial" w:cs="Arial"/>
          <w:sz w:val="24"/>
          <w:szCs w:val="24"/>
          <w:lang w:val="en-GB"/>
        </w:rPr>
        <w:t>This</w:t>
      </w:r>
      <w:r w:rsidR="00C7621E">
        <w:rPr>
          <w:rFonts w:ascii="Arial" w:hAnsi="Arial" w:cs="Arial"/>
          <w:sz w:val="24"/>
          <w:szCs w:val="24"/>
          <w:lang w:val="en-GB"/>
        </w:rPr>
        <w:t xml:space="preserve"> is </w:t>
      </w:r>
      <w:r w:rsidR="00044A97">
        <w:rPr>
          <w:rFonts w:ascii="Arial" w:hAnsi="Arial" w:cs="Arial"/>
          <w:sz w:val="24"/>
          <w:szCs w:val="24"/>
          <w:lang w:val="en-GB"/>
        </w:rPr>
        <w:t>performed</w:t>
      </w:r>
      <w:r w:rsidR="00C7621E">
        <w:rPr>
          <w:rFonts w:ascii="Arial" w:hAnsi="Arial" w:cs="Arial"/>
          <w:sz w:val="24"/>
          <w:szCs w:val="24"/>
          <w:lang w:val="en-GB"/>
        </w:rPr>
        <w:t xml:space="preserve"> throug</w:t>
      </w:r>
      <w:r w:rsidR="004E52C1">
        <w:rPr>
          <w:rFonts w:ascii="Arial" w:hAnsi="Arial" w:cs="Arial"/>
          <w:sz w:val="24"/>
          <w:szCs w:val="24"/>
          <w:lang w:val="en-GB"/>
        </w:rPr>
        <w:t>h</w:t>
      </w:r>
      <w:r w:rsidR="00C7621E">
        <w:rPr>
          <w:rFonts w:ascii="Arial" w:hAnsi="Arial" w:cs="Arial"/>
          <w:sz w:val="24"/>
          <w:szCs w:val="24"/>
          <w:lang w:val="en-GB"/>
        </w:rPr>
        <w:t xml:space="preserve"> the calibration to </w:t>
      </w:r>
      <w:r w:rsidR="00312F48">
        <w:rPr>
          <w:rFonts w:ascii="Arial" w:hAnsi="Arial" w:cs="Arial"/>
          <w:sz w:val="24"/>
          <w:szCs w:val="24"/>
          <w:lang w:val="en-GB"/>
        </w:rPr>
        <w:t xml:space="preserve">monthly </w:t>
      </w:r>
      <w:r w:rsidR="00C7621E">
        <w:rPr>
          <w:rFonts w:ascii="Arial" w:hAnsi="Arial" w:cs="Arial"/>
          <w:sz w:val="24"/>
          <w:szCs w:val="24"/>
          <w:lang w:val="en-GB"/>
        </w:rPr>
        <w:t>sociodemographic variables</w:t>
      </w:r>
      <w:r w:rsidR="00C23048">
        <w:rPr>
          <w:rFonts w:ascii="Arial" w:hAnsi="Arial" w:cs="Arial"/>
          <w:sz w:val="24"/>
          <w:szCs w:val="24"/>
          <w:lang w:val="en-GB"/>
        </w:rPr>
        <w:t xml:space="preserve"> </w:t>
      </w:r>
      <w:r w:rsidR="004E52C1">
        <w:rPr>
          <w:rFonts w:ascii="Arial" w:hAnsi="Arial" w:cs="Arial"/>
          <w:sz w:val="24"/>
          <w:szCs w:val="24"/>
          <w:lang w:val="en-GB"/>
        </w:rPr>
        <w:t xml:space="preserve">which are </w:t>
      </w:r>
      <w:r w:rsidR="00C23048">
        <w:rPr>
          <w:rFonts w:ascii="Arial" w:hAnsi="Arial" w:cs="Arial"/>
          <w:sz w:val="24"/>
          <w:szCs w:val="24"/>
          <w:lang w:val="en-GB"/>
        </w:rPr>
        <w:t xml:space="preserve">extracted from the </w:t>
      </w:r>
      <w:r w:rsidR="00B27AD2">
        <w:rPr>
          <w:rFonts w:ascii="Arial" w:hAnsi="Arial" w:cs="Arial"/>
          <w:sz w:val="24"/>
          <w:szCs w:val="24"/>
          <w:lang w:val="en-GB"/>
        </w:rPr>
        <w:t xml:space="preserve">census and the </w:t>
      </w:r>
      <w:r>
        <w:rPr>
          <w:rFonts w:ascii="Arial" w:hAnsi="Arial" w:cs="Arial"/>
          <w:sz w:val="24"/>
          <w:szCs w:val="24"/>
          <w:lang w:val="en-GB"/>
        </w:rPr>
        <w:t>Labour Force</w:t>
      </w:r>
      <w:r w:rsidR="00B27AD2">
        <w:rPr>
          <w:rFonts w:ascii="Arial" w:hAnsi="Arial" w:cs="Arial"/>
          <w:sz w:val="24"/>
          <w:szCs w:val="24"/>
          <w:lang w:val="en-GB"/>
        </w:rPr>
        <w:t xml:space="preserve"> Surv</w:t>
      </w:r>
      <w:r w:rsidR="002F7E37">
        <w:rPr>
          <w:rFonts w:ascii="Arial" w:hAnsi="Arial" w:cs="Arial"/>
          <w:sz w:val="24"/>
          <w:szCs w:val="24"/>
          <w:lang w:val="en-GB"/>
        </w:rPr>
        <w:t>ey. Thus</w:t>
      </w:r>
      <w:r w:rsidR="00B27AD2">
        <w:rPr>
          <w:rFonts w:ascii="Arial" w:hAnsi="Arial" w:cs="Arial"/>
          <w:sz w:val="24"/>
          <w:szCs w:val="24"/>
          <w:lang w:val="en-GB"/>
        </w:rPr>
        <w:t xml:space="preserve">, </w:t>
      </w:r>
      <w:r w:rsidR="00647FB9">
        <w:rPr>
          <w:rFonts w:ascii="Arial" w:hAnsi="Arial" w:cs="Arial"/>
          <w:sz w:val="24"/>
          <w:szCs w:val="24"/>
          <w:lang w:val="en-GB"/>
        </w:rPr>
        <w:t>new</w:t>
      </w:r>
      <w:r w:rsidR="00B27AD2">
        <w:rPr>
          <w:rFonts w:ascii="Arial" w:hAnsi="Arial" w:cs="Arial"/>
          <w:sz w:val="24"/>
          <w:szCs w:val="24"/>
          <w:lang w:val="en-GB"/>
        </w:rPr>
        <w:t xml:space="preserve"> raising factors</w:t>
      </w:r>
      <w:r w:rsidR="002F7E37">
        <w:rPr>
          <w:rFonts w:ascii="Arial" w:hAnsi="Arial" w:cs="Arial"/>
          <w:sz w:val="24"/>
          <w:szCs w:val="24"/>
          <w:lang w:val="en-GB"/>
        </w:rPr>
        <w:t xml:space="preserve"> are </w:t>
      </w:r>
      <w:r w:rsidR="00647FB9">
        <w:rPr>
          <w:rFonts w:ascii="Arial" w:hAnsi="Arial" w:cs="Arial"/>
          <w:sz w:val="24"/>
          <w:szCs w:val="24"/>
          <w:lang w:val="en-GB"/>
        </w:rPr>
        <w:t>calculated</w:t>
      </w:r>
      <w:r w:rsidR="00B27AD2">
        <w:rPr>
          <w:rFonts w:ascii="Arial" w:hAnsi="Arial" w:cs="Arial"/>
          <w:sz w:val="24"/>
          <w:szCs w:val="24"/>
          <w:lang w:val="en-GB"/>
        </w:rPr>
        <w:t xml:space="preserve">, </w:t>
      </w:r>
      <w:r w:rsidR="002F7E37">
        <w:rPr>
          <w:rFonts w:ascii="Arial" w:hAnsi="Arial" w:cs="Arial"/>
          <w:sz w:val="24"/>
          <w:szCs w:val="24"/>
          <w:lang w:val="en-GB"/>
        </w:rPr>
        <w:t>correcting</w:t>
      </w:r>
      <w:r w:rsidR="00B27AD2">
        <w:rPr>
          <w:rFonts w:ascii="Arial" w:hAnsi="Arial" w:cs="Arial"/>
          <w:sz w:val="24"/>
          <w:szCs w:val="24"/>
          <w:lang w:val="en-GB"/>
        </w:rPr>
        <w:t xml:space="preserve"> </w:t>
      </w:r>
      <w:r w:rsidR="00242938">
        <w:rPr>
          <w:rFonts w:ascii="Arial" w:hAnsi="Arial" w:cs="Arial"/>
          <w:sz w:val="24"/>
          <w:szCs w:val="24"/>
          <w:lang w:val="en-GB"/>
        </w:rPr>
        <w:t>sample</w:t>
      </w:r>
      <w:r w:rsidR="002F7E37">
        <w:rPr>
          <w:rFonts w:ascii="Arial" w:hAnsi="Arial" w:cs="Arial"/>
          <w:sz w:val="24"/>
          <w:szCs w:val="24"/>
          <w:lang w:val="en-GB"/>
        </w:rPr>
        <w:t xml:space="preserve"> biases</w:t>
      </w:r>
      <w:r w:rsidR="00242938">
        <w:rPr>
          <w:rFonts w:ascii="Arial" w:hAnsi="Arial" w:cs="Arial"/>
          <w:sz w:val="24"/>
          <w:szCs w:val="24"/>
          <w:lang w:val="en-GB"/>
        </w:rPr>
        <w:t xml:space="preserve"> and </w:t>
      </w:r>
      <w:r w:rsidR="00647FB9">
        <w:rPr>
          <w:rFonts w:ascii="Arial" w:hAnsi="Arial" w:cs="Arial"/>
          <w:sz w:val="24"/>
          <w:szCs w:val="24"/>
          <w:lang w:val="en-GB"/>
        </w:rPr>
        <w:t>adjusting the sample structure to the population</w:t>
      </w:r>
      <w:r w:rsidR="00242938">
        <w:rPr>
          <w:rFonts w:ascii="Arial" w:hAnsi="Arial" w:cs="Arial"/>
          <w:sz w:val="24"/>
          <w:szCs w:val="24"/>
          <w:lang w:val="en-GB"/>
        </w:rPr>
        <w:t>.</w:t>
      </w:r>
      <w:r w:rsidR="00B27AD2">
        <w:rPr>
          <w:rFonts w:ascii="Arial" w:hAnsi="Arial" w:cs="Arial"/>
          <w:sz w:val="24"/>
          <w:szCs w:val="24"/>
          <w:lang w:val="en-GB"/>
        </w:rPr>
        <w:t xml:space="preserve"> </w:t>
      </w:r>
      <w:r w:rsidR="004E52C1">
        <w:rPr>
          <w:rFonts w:ascii="Arial" w:hAnsi="Arial" w:cs="Arial"/>
          <w:sz w:val="24"/>
          <w:szCs w:val="24"/>
          <w:lang w:val="en-GB"/>
        </w:rPr>
        <w:t xml:space="preserve">The </w:t>
      </w:r>
      <w:r>
        <w:rPr>
          <w:rFonts w:ascii="Arial" w:hAnsi="Arial" w:cs="Arial"/>
          <w:sz w:val="24"/>
          <w:szCs w:val="24"/>
          <w:lang w:val="en-GB"/>
        </w:rPr>
        <w:t>marginals (exogenous figures)</w:t>
      </w:r>
      <w:r w:rsidR="004E52C1">
        <w:rPr>
          <w:rFonts w:ascii="Arial" w:hAnsi="Arial" w:cs="Arial"/>
          <w:sz w:val="24"/>
          <w:szCs w:val="24"/>
          <w:lang w:val="en-GB"/>
        </w:rPr>
        <w:t xml:space="preserve"> </w:t>
      </w:r>
      <w:r w:rsidR="00B27AD2">
        <w:rPr>
          <w:rFonts w:ascii="Arial" w:hAnsi="Arial" w:cs="Arial"/>
          <w:sz w:val="24"/>
          <w:szCs w:val="24"/>
          <w:lang w:val="en-GB"/>
        </w:rPr>
        <w:t xml:space="preserve">used </w:t>
      </w:r>
      <w:r w:rsidR="002F7E37">
        <w:rPr>
          <w:rFonts w:ascii="Arial" w:hAnsi="Arial" w:cs="Arial"/>
          <w:sz w:val="24"/>
          <w:szCs w:val="24"/>
          <w:lang w:val="en-GB"/>
        </w:rPr>
        <w:t xml:space="preserve">in this process </w:t>
      </w:r>
      <w:r w:rsidR="004E52C1">
        <w:rPr>
          <w:rFonts w:ascii="Arial" w:hAnsi="Arial" w:cs="Arial"/>
          <w:sz w:val="24"/>
          <w:szCs w:val="24"/>
          <w:lang w:val="en-GB"/>
        </w:rPr>
        <w:t>are the following</w:t>
      </w:r>
      <w:r w:rsidR="000506AF">
        <w:rPr>
          <w:rFonts w:ascii="Arial" w:hAnsi="Arial" w:cs="Arial"/>
          <w:sz w:val="24"/>
          <w:szCs w:val="24"/>
          <w:lang w:val="en-GB"/>
        </w:rPr>
        <w:t xml:space="preserve"> (at autonomous communities –NUTS 2- level)</w:t>
      </w:r>
      <w:r w:rsidR="004E52C1">
        <w:rPr>
          <w:rFonts w:ascii="Arial" w:hAnsi="Arial" w:cs="Arial"/>
          <w:sz w:val="24"/>
          <w:szCs w:val="24"/>
          <w:lang w:val="en-GB"/>
        </w:rPr>
        <w:t xml:space="preserve">: </w:t>
      </w:r>
    </w:p>
    <w:p w:rsidR="004E52C1" w:rsidRDefault="004E52C1" w:rsidP="004E52C1">
      <w:pPr>
        <w:pStyle w:val="Akapitzlist"/>
        <w:numPr>
          <w:ilvl w:val="0"/>
          <w:numId w:val="2"/>
        </w:numPr>
        <w:spacing w:before="120" w:after="0" w:line="360" w:lineRule="auto"/>
        <w:jc w:val="both"/>
        <w:rPr>
          <w:rFonts w:ascii="Arial" w:hAnsi="Arial" w:cs="Arial"/>
          <w:sz w:val="24"/>
          <w:szCs w:val="24"/>
          <w:lang w:val="en-GB"/>
        </w:rPr>
      </w:pPr>
      <w:r>
        <w:rPr>
          <w:rFonts w:ascii="Arial" w:hAnsi="Arial" w:cs="Arial"/>
          <w:sz w:val="24"/>
          <w:szCs w:val="24"/>
          <w:lang w:val="en-GB"/>
        </w:rPr>
        <w:t>Population by nationality (Spanish or foreign)</w:t>
      </w:r>
    </w:p>
    <w:p w:rsidR="003B1D4A" w:rsidRDefault="003B1D4A" w:rsidP="009861F2">
      <w:pPr>
        <w:pStyle w:val="Akapitzlist"/>
        <w:numPr>
          <w:ilvl w:val="0"/>
          <w:numId w:val="2"/>
        </w:numPr>
        <w:spacing w:before="120" w:after="0" w:line="360" w:lineRule="auto"/>
        <w:jc w:val="both"/>
        <w:rPr>
          <w:rFonts w:ascii="Arial" w:hAnsi="Arial" w:cs="Arial"/>
          <w:sz w:val="24"/>
          <w:szCs w:val="24"/>
          <w:lang w:val="en-GB"/>
        </w:rPr>
      </w:pPr>
      <w:r w:rsidRPr="003B1D4A">
        <w:rPr>
          <w:rFonts w:ascii="Arial" w:hAnsi="Arial" w:cs="Arial"/>
          <w:sz w:val="24"/>
          <w:szCs w:val="24"/>
          <w:lang w:val="en-GB"/>
        </w:rPr>
        <w:t xml:space="preserve">Population by </w:t>
      </w:r>
      <w:r w:rsidR="00790962">
        <w:rPr>
          <w:rFonts w:ascii="Arial" w:hAnsi="Arial" w:cs="Arial"/>
          <w:sz w:val="24"/>
          <w:szCs w:val="24"/>
          <w:lang w:val="en-GB"/>
        </w:rPr>
        <w:t>gender</w:t>
      </w:r>
      <w:r w:rsidRPr="003B1D4A">
        <w:rPr>
          <w:rFonts w:ascii="Arial" w:hAnsi="Arial" w:cs="Arial"/>
          <w:sz w:val="24"/>
          <w:szCs w:val="24"/>
          <w:lang w:val="en-GB"/>
        </w:rPr>
        <w:t xml:space="preserve"> and age (five-year grou</w:t>
      </w:r>
      <w:r>
        <w:rPr>
          <w:rFonts w:ascii="Arial" w:hAnsi="Arial" w:cs="Arial"/>
          <w:sz w:val="24"/>
          <w:szCs w:val="24"/>
          <w:lang w:val="en-GB"/>
        </w:rPr>
        <w:t>p</w:t>
      </w:r>
      <w:r w:rsidRPr="003B1D4A">
        <w:rPr>
          <w:rFonts w:ascii="Arial" w:hAnsi="Arial" w:cs="Arial"/>
          <w:sz w:val="24"/>
          <w:szCs w:val="24"/>
          <w:lang w:val="en-GB"/>
        </w:rPr>
        <w:t>s)</w:t>
      </w:r>
    </w:p>
    <w:p w:rsidR="003B1D4A" w:rsidRDefault="003B1D4A" w:rsidP="009861F2">
      <w:pPr>
        <w:pStyle w:val="Akapitzlist"/>
        <w:numPr>
          <w:ilvl w:val="0"/>
          <w:numId w:val="2"/>
        </w:numPr>
        <w:spacing w:before="120" w:after="0" w:line="360" w:lineRule="auto"/>
        <w:jc w:val="both"/>
        <w:rPr>
          <w:rFonts w:ascii="Arial" w:hAnsi="Arial" w:cs="Arial"/>
          <w:sz w:val="24"/>
          <w:szCs w:val="24"/>
          <w:lang w:val="en-GB"/>
        </w:rPr>
      </w:pPr>
      <w:r>
        <w:rPr>
          <w:rFonts w:ascii="Arial" w:hAnsi="Arial" w:cs="Arial"/>
          <w:sz w:val="24"/>
          <w:szCs w:val="24"/>
          <w:lang w:val="en-GB"/>
        </w:rPr>
        <w:t xml:space="preserve">Population by educational level (primary, secondary </w:t>
      </w:r>
      <w:r w:rsidR="00661B0B">
        <w:rPr>
          <w:rFonts w:ascii="Arial" w:hAnsi="Arial" w:cs="Arial"/>
          <w:sz w:val="24"/>
          <w:szCs w:val="24"/>
          <w:lang w:val="en-GB"/>
        </w:rPr>
        <w:t>and</w:t>
      </w:r>
      <w:r>
        <w:rPr>
          <w:rFonts w:ascii="Arial" w:hAnsi="Arial" w:cs="Arial"/>
          <w:sz w:val="24"/>
          <w:szCs w:val="24"/>
          <w:lang w:val="en-GB"/>
        </w:rPr>
        <w:t xml:space="preserve"> higher education)</w:t>
      </w:r>
    </w:p>
    <w:p w:rsidR="00661B0B" w:rsidRDefault="003B1D4A" w:rsidP="00661B0B">
      <w:pPr>
        <w:pStyle w:val="Akapitzlist"/>
        <w:numPr>
          <w:ilvl w:val="0"/>
          <w:numId w:val="2"/>
        </w:numPr>
        <w:spacing w:before="120" w:after="0" w:line="360" w:lineRule="auto"/>
        <w:jc w:val="both"/>
        <w:rPr>
          <w:rFonts w:ascii="Arial" w:hAnsi="Arial" w:cs="Arial"/>
          <w:sz w:val="24"/>
          <w:szCs w:val="24"/>
          <w:lang w:val="en-GB"/>
        </w:rPr>
      </w:pPr>
      <w:r>
        <w:rPr>
          <w:rFonts w:ascii="Arial" w:hAnsi="Arial" w:cs="Arial"/>
          <w:sz w:val="24"/>
          <w:szCs w:val="24"/>
          <w:lang w:val="en-GB"/>
        </w:rPr>
        <w:t>Population by provinces (NUTS 3 level)</w:t>
      </w:r>
    </w:p>
    <w:p w:rsidR="00661B0B" w:rsidRDefault="00D716EE" w:rsidP="00B27AD2">
      <w:pPr>
        <w:spacing w:before="120" w:after="0" w:line="360" w:lineRule="auto"/>
        <w:jc w:val="both"/>
        <w:rPr>
          <w:rFonts w:ascii="Arial" w:hAnsi="Arial" w:cs="Arial"/>
          <w:sz w:val="24"/>
          <w:szCs w:val="24"/>
          <w:lang w:val="en-GB"/>
        </w:rPr>
      </w:pPr>
      <w:r>
        <w:rPr>
          <w:rFonts w:ascii="Arial" w:hAnsi="Arial" w:cs="Arial"/>
          <w:sz w:val="24"/>
          <w:szCs w:val="24"/>
          <w:lang w:val="en-GB"/>
        </w:rPr>
        <w:t>This is a standard procedure in most household surveys at the Spanish National Statistics Institute. But, in the RTS, accuracy is also improved by enhancing</w:t>
      </w:r>
      <w:r w:rsidR="0071601C">
        <w:rPr>
          <w:rFonts w:ascii="Arial" w:hAnsi="Arial" w:cs="Arial"/>
          <w:sz w:val="24"/>
          <w:szCs w:val="24"/>
          <w:lang w:val="en-GB"/>
        </w:rPr>
        <w:t xml:space="preserve"> </w:t>
      </w:r>
      <w:r w:rsidR="0045406A">
        <w:rPr>
          <w:rFonts w:ascii="Arial" w:hAnsi="Arial" w:cs="Arial"/>
          <w:sz w:val="24"/>
          <w:szCs w:val="24"/>
          <w:lang w:val="en-GB"/>
        </w:rPr>
        <w:t xml:space="preserve">the coherence with the </w:t>
      </w:r>
      <w:r>
        <w:rPr>
          <w:rFonts w:ascii="Arial" w:hAnsi="Arial" w:cs="Arial"/>
          <w:sz w:val="24"/>
          <w:szCs w:val="24"/>
          <w:lang w:val="en-GB"/>
        </w:rPr>
        <w:t>H</w:t>
      </w:r>
      <w:r w:rsidR="0045406A">
        <w:rPr>
          <w:rFonts w:ascii="Arial" w:hAnsi="Arial" w:cs="Arial"/>
          <w:sz w:val="24"/>
          <w:szCs w:val="24"/>
          <w:lang w:val="en-GB"/>
        </w:rPr>
        <w:t>otel</w:t>
      </w:r>
      <w:r w:rsidR="001B4A25">
        <w:rPr>
          <w:rFonts w:ascii="Arial" w:hAnsi="Arial" w:cs="Arial"/>
          <w:sz w:val="24"/>
          <w:szCs w:val="24"/>
          <w:lang w:val="en-GB"/>
        </w:rPr>
        <w:t xml:space="preserve"> </w:t>
      </w:r>
      <w:r>
        <w:rPr>
          <w:rFonts w:ascii="Arial" w:hAnsi="Arial" w:cs="Arial"/>
          <w:sz w:val="24"/>
          <w:szCs w:val="24"/>
          <w:lang w:val="en-GB"/>
        </w:rPr>
        <w:t>O</w:t>
      </w:r>
      <w:r w:rsidR="0045406A">
        <w:rPr>
          <w:rFonts w:ascii="Arial" w:hAnsi="Arial" w:cs="Arial"/>
          <w:sz w:val="24"/>
          <w:szCs w:val="24"/>
          <w:lang w:val="en-GB"/>
        </w:rPr>
        <w:t xml:space="preserve">ccupancy </w:t>
      </w:r>
      <w:r>
        <w:rPr>
          <w:rFonts w:ascii="Arial" w:hAnsi="Arial" w:cs="Arial"/>
          <w:sz w:val="24"/>
          <w:szCs w:val="24"/>
          <w:lang w:val="en-GB"/>
        </w:rPr>
        <w:t>S</w:t>
      </w:r>
      <w:r w:rsidR="0045406A">
        <w:rPr>
          <w:rFonts w:ascii="Arial" w:hAnsi="Arial" w:cs="Arial"/>
          <w:sz w:val="24"/>
          <w:szCs w:val="24"/>
          <w:lang w:val="en-GB"/>
        </w:rPr>
        <w:t>urvey (HOS)</w:t>
      </w:r>
      <w:r w:rsidR="0071601C">
        <w:rPr>
          <w:rFonts w:ascii="Arial" w:hAnsi="Arial" w:cs="Arial"/>
          <w:sz w:val="24"/>
          <w:szCs w:val="24"/>
          <w:lang w:val="en-GB"/>
        </w:rPr>
        <w:t>,</w:t>
      </w:r>
      <w:r w:rsidR="0045406A">
        <w:rPr>
          <w:rFonts w:ascii="Arial" w:hAnsi="Arial" w:cs="Arial"/>
          <w:sz w:val="24"/>
          <w:szCs w:val="24"/>
          <w:lang w:val="en-GB"/>
        </w:rPr>
        <w:t xml:space="preserve"> </w:t>
      </w:r>
      <w:r w:rsidR="00DC2734">
        <w:rPr>
          <w:rFonts w:ascii="Arial" w:hAnsi="Arial" w:cs="Arial"/>
          <w:sz w:val="24"/>
          <w:szCs w:val="24"/>
          <w:lang w:val="en-GB"/>
        </w:rPr>
        <w:t xml:space="preserve">which provides </w:t>
      </w:r>
      <w:r w:rsidR="00BD1BD7">
        <w:rPr>
          <w:rFonts w:ascii="Arial" w:hAnsi="Arial" w:cs="Arial"/>
          <w:sz w:val="24"/>
          <w:szCs w:val="24"/>
          <w:lang w:val="en-GB"/>
        </w:rPr>
        <w:t>estimates of</w:t>
      </w:r>
      <w:r w:rsidR="00FF6EE2">
        <w:rPr>
          <w:rFonts w:ascii="Arial" w:hAnsi="Arial" w:cs="Arial"/>
          <w:sz w:val="24"/>
          <w:szCs w:val="24"/>
          <w:lang w:val="en-GB"/>
        </w:rPr>
        <w:t xml:space="preserve"> residents </w:t>
      </w:r>
      <w:r w:rsidR="00BD1BD7">
        <w:rPr>
          <w:rFonts w:ascii="Arial" w:hAnsi="Arial" w:cs="Arial"/>
          <w:sz w:val="24"/>
          <w:szCs w:val="24"/>
          <w:lang w:val="en-GB"/>
        </w:rPr>
        <w:t>staying</w:t>
      </w:r>
      <w:r w:rsidR="00DC2734">
        <w:rPr>
          <w:rFonts w:ascii="Arial" w:hAnsi="Arial" w:cs="Arial"/>
          <w:sz w:val="24"/>
          <w:szCs w:val="24"/>
          <w:lang w:val="en-GB"/>
        </w:rPr>
        <w:t xml:space="preserve"> </w:t>
      </w:r>
      <w:r>
        <w:rPr>
          <w:rFonts w:ascii="Arial" w:hAnsi="Arial" w:cs="Arial"/>
          <w:sz w:val="24"/>
          <w:szCs w:val="24"/>
          <w:lang w:val="en-GB"/>
        </w:rPr>
        <w:t>at</w:t>
      </w:r>
      <w:r w:rsidR="00B27AD2">
        <w:rPr>
          <w:rFonts w:ascii="Arial" w:hAnsi="Arial" w:cs="Arial"/>
          <w:sz w:val="24"/>
          <w:szCs w:val="24"/>
          <w:lang w:val="en-GB"/>
        </w:rPr>
        <w:t xml:space="preserve"> hotel</w:t>
      </w:r>
      <w:r>
        <w:rPr>
          <w:rFonts w:ascii="Arial" w:hAnsi="Arial" w:cs="Arial"/>
          <w:sz w:val="24"/>
          <w:szCs w:val="24"/>
          <w:lang w:val="en-GB"/>
        </w:rPr>
        <w:t xml:space="preserve">s or similar </w:t>
      </w:r>
      <w:r w:rsidR="00B27AD2">
        <w:rPr>
          <w:rFonts w:ascii="Arial" w:hAnsi="Arial" w:cs="Arial"/>
          <w:sz w:val="24"/>
          <w:szCs w:val="24"/>
          <w:lang w:val="en-GB"/>
        </w:rPr>
        <w:t>establishment</w:t>
      </w:r>
      <w:r>
        <w:rPr>
          <w:rFonts w:ascii="Arial" w:hAnsi="Arial" w:cs="Arial"/>
          <w:sz w:val="24"/>
          <w:szCs w:val="24"/>
          <w:lang w:val="en-GB"/>
        </w:rPr>
        <w:t>s</w:t>
      </w:r>
      <w:r w:rsidR="00C81E0C">
        <w:rPr>
          <w:rFonts w:ascii="Arial" w:hAnsi="Arial" w:cs="Arial"/>
          <w:sz w:val="24"/>
          <w:szCs w:val="24"/>
          <w:lang w:val="en-GB"/>
        </w:rPr>
        <w:t xml:space="preserve"> based on the information provided by the establishments</w:t>
      </w:r>
      <w:r w:rsidR="00B27AD2">
        <w:rPr>
          <w:rFonts w:ascii="Arial" w:hAnsi="Arial" w:cs="Arial"/>
          <w:sz w:val="24"/>
          <w:szCs w:val="24"/>
          <w:lang w:val="en-GB"/>
        </w:rPr>
        <w:t>.</w:t>
      </w:r>
      <w:r w:rsidR="0045406A">
        <w:rPr>
          <w:rFonts w:ascii="Arial" w:hAnsi="Arial" w:cs="Arial"/>
          <w:sz w:val="24"/>
          <w:szCs w:val="24"/>
          <w:lang w:val="en-GB"/>
        </w:rPr>
        <w:t xml:space="preserve"> In this case, we cannot </w:t>
      </w:r>
      <w:r w:rsidR="00BD1BD7">
        <w:rPr>
          <w:rFonts w:ascii="Arial" w:hAnsi="Arial" w:cs="Arial"/>
          <w:sz w:val="24"/>
          <w:szCs w:val="24"/>
          <w:lang w:val="en-GB"/>
        </w:rPr>
        <w:t xml:space="preserve">directly </w:t>
      </w:r>
      <w:r w:rsidR="0045406A">
        <w:rPr>
          <w:rFonts w:ascii="Arial" w:hAnsi="Arial" w:cs="Arial"/>
          <w:sz w:val="24"/>
          <w:szCs w:val="24"/>
          <w:lang w:val="en-GB"/>
        </w:rPr>
        <w:t>use the</w:t>
      </w:r>
      <w:r w:rsidR="0071601C">
        <w:rPr>
          <w:rFonts w:ascii="Arial" w:hAnsi="Arial" w:cs="Arial"/>
          <w:sz w:val="24"/>
          <w:szCs w:val="24"/>
          <w:lang w:val="en-GB"/>
        </w:rPr>
        <w:t xml:space="preserve">se estimates </w:t>
      </w:r>
      <w:r w:rsidR="0045406A">
        <w:rPr>
          <w:rFonts w:ascii="Arial" w:hAnsi="Arial" w:cs="Arial"/>
          <w:sz w:val="24"/>
          <w:szCs w:val="24"/>
          <w:lang w:val="en-GB"/>
        </w:rPr>
        <w:t xml:space="preserve">due to methodologic differences </w:t>
      </w:r>
      <w:r w:rsidR="00CD5AF9">
        <w:rPr>
          <w:rFonts w:ascii="Arial" w:hAnsi="Arial" w:cs="Arial"/>
          <w:sz w:val="24"/>
          <w:szCs w:val="24"/>
          <w:lang w:val="en-GB"/>
        </w:rPr>
        <w:t>between both surveys</w:t>
      </w:r>
      <w:r w:rsidR="00BD1BD7">
        <w:rPr>
          <w:rFonts w:ascii="Arial" w:hAnsi="Arial" w:cs="Arial"/>
          <w:sz w:val="24"/>
          <w:szCs w:val="24"/>
          <w:lang w:val="en-GB"/>
        </w:rPr>
        <w:t>,</w:t>
      </w:r>
      <w:r w:rsidR="00CD5AF9">
        <w:rPr>
          <w:rFonts w:ascii="Arial" w:hAnsi="Arial" w:cs="Arial"/>
          <w:sz w:val="24"/>
          <w:szCs w:val="24"/>
          <w:lang w:val="en-GB"/>
        </w:rPr>
        <w:t xml:space="preserve"> </w:t>
      </w:r>
      <w:r w:rsidR="0045406A">
        <w:rPr>
          <w:rFonts w:ascii="Arial" w:hAnsi="Arial" w:cs="Arial"/>
          <w:sz w:val="24"/>
          <w:szCs w:val="24"/>
          <w:lang w:val="en-GB"/>
        </w:rPr>
        <w:t>which must be solved before calibration. These differences are</w:t>
      </w:r>
      <w:r w:rsidR="00747896">
        <w:rPr>
          <w:rFonts w:ascii="Arial" w:hAnsi="Arial" w:cs="Arial"/>
          <w:sz w:val="24"/>
          <w:szCs w:val="24"/>
          <w:lang w:val="en-GB"/>
        </w:rPr>
        <w:t xml:space="preserve"> mainly</w:t>
      </w:r>
      <w:r w:rsidR="0045406A">
        <w:rPr>
          <w:rFonts w:ascii="Arial" w:hAnsi="Arial" w:cs="Arial"/>
          <w:sz w:val="24"/>
          <w:szCs w:val="24"/>
          <w:lang w:val="en-GB"/>
        </w:rPr>
        <w:t xml:space="preserve"> two:</w:t>
      </w:r>
    </w:p>
    <w:p w:rsidR="00747896" w:rsidRDefault="0045406A" w:rsidP="0017408C">
      <w:pPr>
        <w:pStyle w:val="Akapitzlist"/>
        <w:numPr>
          <w:ilvl w:val="0"/>
          <w:numId w:val="3"/>
        </w:numPr>
        <w:spacing w:before="120" w:after="0" w:line="360" w:lineRule="auto"/>
        <w:jc w:val="both"/>
        <w:rPr>
          <w:rFonts w:ascii="Arial" w:hAnsi="Arial" w:cs="Arial"/>
          <w:sz w:val="24"/>
          <w:szCs w:val="24"/>
          <w:lang w:val="en-GB"/>
        </w:rPr>
      </w:pPr>
      <w:r>
        <w:rPr>
          <w:rFonts w:ascii="Arial" w:hAnsi="Arial" w:cs="Arial"/>
          <w:sz w:val="24"/>
          <w:szCs w:val="24"/>
          <w:lang w:val="en-GB"/>
        </w:rPr>
        <w:t xml:space="preserve">The HOS considers the overnight stays </w:t>
      </w:r>
      <w:r w:rsidR="00C81E0C">
        <w:rPr>
          <w:rFonts w:ascii="Arial" w:hAnsi="Arial" w:cs="Arial"/>
          <w:sz w:val="24"/>
          <w:szCs w:val="24"/>
          <w:lang w:val="en-GB"/>
        </w:rPr>
        <w:t>spent in hotels on</w:t>
      </w:r>
      <w:r w:rsidR="00B71048">
        <w:rPr>
          <w:rFonts w:ascii="Arial" w:hAnsi="Arial" w:cs="Arial"/>
          <w:sz w:val="24"/>
          <w:szCs w:val="24"/>
          <w:lang w:val="en-GB"/>
        </w:rPr>
        <w:t xml:space="preserve"> the reference month whereas the RTS </w:t>
      </w:r>
      <w:r w:rsidR="00C81E0C">
        <w:rPr>
          <w:rFonts w:ascii="Arial" w:hAnsi="Arial" w:cs="Arial"/>
          <w:sz w:val="24"/>
          <w:szCs w:val="24"/>
          <w:lang w:val="en-GB"/>
        </w:rPr>
        <w:t xml:space="preserve">assigns all </w:t>
      </w:r>
      <w:r w:rsidR="002F7E37">
        <w:rPr>
          <w:rFonts w:ascii="Arial" w:hAnsi="Arial" w:cs="Arial"/>
          <w:sz w:val="24"/>
          <w:szCs w:val="24"/>
          <w:lang w:val="en-GB"/>
        </w:rPr>
        <w:t>the overnight stays linked to</w:t>
      </w:r>
      <w:r w:rsidR="00C81E0C">
        <w:rPr>
          <w:rFonts w:ascii="Arial" w:hAnsi="Arial" w:cs="Arial"/>
          <w:sz w:val="24"/>
          <w:szCs w:val="24"/>
          <w:lang w:val="en-GB"/>
        </w:rPr>
        <w:t xml:space="preserve"> one</w:t>
      </w:r>
      <w:r w:rsidR="002F7E37">
        <w:rPr>
          <w:rFonts w:ascii="Arial" w:hAnsi="Arial" w:cs="Arial"/>
          <w:sz w:val="24"/>
          <w:szCs w:val="24"/>
          <w:lang w:val="en-GB"/>
        </w:rPr>
        <w:t xml:space="preserve"> trip</w:t>
      </w:r>
      <w:r w:rsidR="00C81E0C">
        <w:rPr>
          <w:rFonts w:ascii="Arial" w:hAnsi="Arial" w:cs="Arial"/>
          <w:sz w:val="24"/>
          <w:szCs w:val="24"/>
          <w:lang w:val="en-GB"/>
        </w:rPr>
        <w:t xml:space="preserve"> to the month in</w:t>
      </w:r>
      <w:r w:rsidR="002F7E37">
        <w:rPr>
          <w:rFonts w:ascii="Arial" w:hAnsi="Arial" w:cs="Arial"/>
          <w:sz w:val="24"/>
          <w:szCs w:val="24"/>
          <w:lang w:val="en-GB"/>
        </w:rPr>
        <w:t xml:space="preserve"> which </w:t>
      </w:r>
      <w:r w:rsidR="00C81E0C">
        <w:rPr>
          <w:rFonts w:ascii="Arial" w:hAnsi="Arial" w:cs="Arial"/>
          <w:sz w:val="24"/>
          <w:szCs w:val="24"/>
          <w:lang w:val="en-GB"/>
        </w:rPr>
        <w:t>the trips ends</w:t>
      </w:r>
      <w:r w:rsidR="002F7E37">
        <w:rPr>
          <w:rFonts w:ascii="Arial" w:hAnsi="Arial" w:cs="Arial"/>
          <w:sz w:val="24"/>
          <w:szCs w:val="24"/>
          <w:lang w:val="en-GB"/>
        </w:rPr>
        <w:t>. T</w:t>
      </w:r>
      <w:r w:rsidR="00B71048">
        <w:rPr>
          <w:rFonts w:ascii="Arial" w:hAnsi="Arial" w:cs="Arial"/>
          <w:sz w:val="24"/>
          <w:szCs w:val="24"/>
          <w:lang w:val="en-GB"/>
        </w:rPr>
        <w:t>hat means that</w:t>
      </w:r>
      <w:r w:rsidR="00C81E0C">
        <w:rPr>
          <w:rFonts w:ascii="Arial" w:hAnsi="Arial" w:cs="Arial"/>
          <w:sz w:val="24"/>
          <w:szCs w:val="24"/>
          <w:lang w:val="en-GB"/>
        </w:rPr>
        <w:t>, for a given month</w:t>
      </w:r>
      <w:r w:rsidR="00747896">
        <w:rPr>
          <w:rFonts w:ascii="Arial" w:hAnsi="Arial" w:cs="Arial"/>
          <w:sz w:val="24"/>
          <w:szCs w:val="24"/>
          <w:lang w:val="en-GB"/>
        </w:rPr>
        <w:t>:</w:t>
      </w:r>
    </w:p>
    <w:p w:rsidR="00747896" w:rsidRDefault="00D53A36" w:rsidP="00747896">
      <w:pPr>
        <w:pStyle w:val="Akapitzlist"/>
        <w:spacing w:before="120" w:after="0" w:line="360" w:lineRule="auto"/>
        <w:ind w:left="360"/>
        <w:jc w:val="both"/>
        <w:rPr>
          <w:rFonts w:ascii="Arial" w:hAnsi="Arial" w:cs="Arial"/>
          <w:sz w:val="24"/>
          <w:szCs w:val="24"/>
          <w:lang w:val="en-GB"/>
        </w:rPr>
      </w:pPr>
      <w:r>
        <w:rPr>
          <w:rFonts w:ascii="Arial" w:hAnsi="Arial" w:cs="Arial"/>
          <w:sz w:val="24"/>
          <w:szCs w:val="24"/>
          <w:lang w:val="en-GB"/>
        </w:rPr>
        <w:t xml:space="preserve">1. </w:t>
      </w:r>
      <w:r w:rsidR="002F7E37">
        <w:rPr>
          <w:rFonts w:ascii="Arial" w:hAnsi="Arial" w:cs="Arial"/>
          <w:sz w:val="24"/>
          <w:szCs w:val="24"/>
          <w:lang w:val="en-GB"/>
        </w:rPr>
        <w:t>RTS</w:t>
      </w:r>
      <w:r w:rsidR="00BF389D">
        <w:rPr>
          <w:rFonts w:ascii="Arial" w:hAnsi="Arial" w:cs="Arial"/>
          <w:sz w:val="24"/>
          <w:szCs w:val="24"/>
          <w:lang w:val="en-GB"/>
        </w:rPr>
        <w:t xml:space="preserve"> </w:t>
      </w:r>
      <w:r w:rsidR="00B71048">
        <w:rPr>
          <w:rFonts w:ascii="Arial" w:hAnsi="Arial" w:cs="Arial"/>
          <w:sz w:val="24"/>
          <w:szCs w:val="24"/>
          <w:lang w:val="en-GB"/>
        </w:rPr>
        <w:t>consider</w:t>
      </w:r>
      <w:r w:rsidR="006232EA">
        <w:rPr>
          <w:rFonts w:ascii="Arial" w:hAnsi="Arial" w:cs="Arial"/>
          <w:sz w:val="24"/>
          <w:szCs w:val="24"/>
          <w:lang w:val="en-GB"/>
        </w:rPr>
        <w:t>s</w:t>
      </w:r>
      <w:r w:rsidR="00B71048">
        <w:rPr>
          <w:rFonts w:ascii="Arial" w:hAnsi="Arial" w:cs="Arial"/>
          <w:sz w:val="24"/>
          <w:szCs w:val="24"/>
          <w:lang w:val="en-GB"/>
        </w:rPr>
        <w:t xml:space="preserve"> </w:t>
      </w:r>
      <w:r w:rsidR="00C81E0C">
        <w:rPr>
          <w:rFonts w:ascii="Arial" w:hAnsi="Arial" w:cs="Arial"/>
          <w:sz w:val="24"/>
          <w:szCs w:val="24"/>
          <w:lang w:val="en-GB"/>
        </w:rPr>
        <w:t xml:space="preserve">some </w:t>
      </w:r>
      <w:r w:rsidR="00B71048">
        <w:rPr>
          <w:rFonts w:ascii="Arial" w:hAnsi="Arial" w:cs="Arial"/>
          <w:sz w:val="24"/>
          <w:szCs w:val="24"/>
          <w:lang w:val="en-GB"/>
        </w:rPr>
        <w:t>overnight stays of previous months</w:t>
      </w:r>
      <w:r w:rsidR="002F7E37">
        <w:rPr>
          <w:rFonts w:ascii="Arial" w:hAnsi="Arial" w:cs="Arial"/>
          <w:sz w:val="24"/>
          <w:szCs w:val="24"/>
          <w:lang w:val="en-GB"/>
        </w:rPr>
        <w:t xml:space="preserve"> </w:t>
      </w:r>
      <w:r w:rsidR="00C81E0C">
        <w:rPr>
          <w:rFonts w:ascii="Arial" w:hAnsi="Arial" w:cs="Arial"/>
          <w:sz w:val="24"/>
          <w:szCs w:val="24"/>
          <w:lang w:val="en-GB"/>
        </w:rPr>
        <w:t xml:space="preserve">and </w:t>
      </w:r>
      <w:r w:rsidR="002F7E37">
        <w:rPr>
          <w:rFonts w:ascii="Arial" w:hAnsi="Arial" w:cs="Arial"/>
          <w:sz w:val="24"/>
          <w:szCs w:val="24"/>
          <w:lang w:val="en-GB"/>
        </w:rPr>
        <w:t>HOS doesn´t</w:t>
      </w:r>
      <w:r w:rsidR="00C81E0C">
        <w:rPr>
          <w:rFonts w:ascii="Arial" w:hAnsi="Arial" w:cs="Arial"/>
          <w:sz w:val="24"/>
          <w:szCs w:val="24"/>
          <w:lang w:val="en-GB"/>
        </w:rPr>
        <w:t>.</w:t>
      </w:r>
    </w:p>
    <w:p w:rsidR="00BF389D" w:rsidRPr="0017408C" w:rsidRDefault="00D53A36" w:rsidP="00747896">
      <w:pPr>
        <w:pStyle w:val="Akapitzlist"/>
        <w:spacing w:before="120" w:after="0" w:line="360" w:lineRule="auto"/>
        <w:ind w:left="360"/>
        <w:jc w:val="both"/>
        <w:rPr>
          <w:rFonts w:ascii="Arial" w:hAnsi="Arial" w:cs="Arial"/>
          <w:sz w:val="24"/>
          <w:szCs w:val="24"/>
          <w:lang w:val="en-GB"/>
        </w:rPr>
      </w:pPr>
      <w:r>
        <w:rPr>
          <w:rFonts w:ascii="Arial" w:hAnsi="Arial" w:cs="Arial"/>
          <w:sz w:val="24"/>
          <w:szCs w:val="24"/>
          <w:lang w:val="en-GB"/>
        </w:rPr>
        <w:t>2.</w:t>
      </w:r>
      <w:r w:rsidR="00747896">
        <w:rPr>
          <w:rFonts w:ascii="Arial" w:hAnsi="Arial" w:cs="Arial"/>
          <w:sz w:val="24"/>
          <w:szCs w:val="24"/>
          <w:lang w:val="en-GB"/>
        </w:rPr>
        <w:t xml:space="preserve"> RTS</w:t>
      </w:r>
      <w:r>
        <w:rPr>
          <w:rFonts w:ascii="Arial" w:hAnsi="Arial" w:cs="Arial"/>
          <w:sz w:val="24"/>
          <w:szCs w:val="24"/>
          <w:lang w:val="en-GB"/>
        </w:rPr>
        <w:t xml:space="preserve"> </w:t>
      </w:r>
      <w:r w:rsidR="00B71048">
        <w:rPr>
          <w:rFonts w:ascii="Arial" w:hAnsi="Arial" w:cs="Arial"/>
          <w:sz w:val="24"/>
          <w:szCs w:val="24"/>
          <w:lang w:val="en-GB"/>
        </w:rPr>
        <w:t>does</w:t>
      </w:r>
      <w:r w:rsidR="0017408C">
        <w:rPr>
          <w:rFonts w:ascii="Arial" w:hAnsi="Arial" w:cs="Arial"/>
          <w:sz w:val="24"/>
          <w:szCs w:val="24"/>
          <w:lang w:val="en-GB"/>
        </w:rPr>
        <w:t>n’t</w:t>
      </w:r>
      <w:r w:rsidR="00B71048" w:rsidRPr="0017408C">
        <w:rPr>
          <w:rFonts w:ascii="Arial" w:hAnsi="Arial" w:cs="Arial"/>
          <w:sz w:val="24"/>
          <w:szCs w:val="24"/>
          <w:lang w:val="en-GB"/>
        </w:rPr>
        <w:t xml:space="preserve"> </w:t>
      </w:r>
      <w:r>
        <w:rPr>
          <w:rFonts w:ascii="Arial" w:hAnsi="Arial" w:cs="Arial"/>
          <w:sz w:val="24"/>
          <w:szCs w:val="24"/>
          <w:lang w:val="en-GB"/>
        </w:rPr>
        <w:t xml:space="preserve">consider </w:t>
      </w:r>
      <w:r w:rsidR="00B71048" w:rsidRPr="0017408C">
        <w:rPr>
          <w:rFonts w:ascii="Arial" w:hAnsi="Arial" w:cs="Arial"/>
          <w:sz w:val="24"/>
          <w:szCs w:val="24"/>
          <w:lang w:val="en-GB"/>
        </w:rPr>
        <w:t xml:space="preserve">reference month </w:t>
      </w:r>
      <w:r w:rsidR="00FF6EE2" w:rsidRPr="0017408C">
        <w:rPr>
          <w:rFonts w:ascii="Arial" w:hAnsi="Arial" w:cs="Arial"/>
          <w:sz w:val="24"/>
          <w:szCs w:val="24"/>
          <w:lang w:val="en-GB"/>
        </w:rPr>
        <w:t xml:space="preserve">overnight stays </w:t>
      </w:r>
      <w:r w:rsidR="00B71048" w:rsidRPr="0017408C">
        <w:rPr>
          <w:rFonts w:ascii="Arial" w:hAnsi="Arial" w:cs="Arial"/>
          <w:sz w:val="24"/>
          <w:szCs w:val="24"/>
          <w:lang w:val="en-GB"/>
        </w:rPr>
        <w:t xml:space="preserve">of </w:t>
      </w:r>
      <w:r w:rsidR="00747896">
        <w:rPr>
          <w:rFonts w:ascii="Arial" w:hAnsi="Arial" w:cs="Arial"/>
          <w:sz w:val="24"/>
          <w:szCs w:val="24"/>
          <w:lang w:val="en-GB"/>
        </w:rPr>
        <w:t>trips ended in following months and HOS does.</w:t>
      </w:r>
    </w:p>
    <w:p w:rsidR="00BF389D" w:rsidRDefault="00BF389D" w:rsidP="00BF389D">
      <w:pPr>
        <w:pStyle w:val="Akapitzlist"/>
        <w:numPr>
          <w:ilvl w:val="0"/>
          <w:numId w:val="3"/>
        </w:numPr>
        <w:spacing w:before="120" w:after="0" w:line="360" w:lineRule="auto"/>
        <w:jc w:val="both"/>
        <w:rPr>
          <w:rFonts w:ascii="Arial" w:hAnsi="Arial" w:cs="Arial"/>
          <w:sz w:val="24"/>
          <w:szCs w:val="24"/>
          <w:lang w:val="en-GB"/>
        </w:rPr>
      </w:pPr>
      <w:r>
        <w:rPr>
          <w:rFonts w:ascii="Arial" w:hAnsi="Arial" w:cs="Arial"/>
          <w:sz w:val="24"/>
          <w:szCs w:val="24"/>
          <w:lang w:val="en-GB"/>
        </w:rPr>
        <w:t>Systematic differences in the coverage as for example permanent residents in hotels, considered by the HOS but not by the RTS (because no trip was made)</w:t>
      </w:r>
      <w:r w:rsidR="00C81E0C">
        <w:rPr>
          <w:rFonts w:ascii="Arial" w:hAnsi="Arial" w:cs="Arial"/>
          <w:sz w:val="24"/>
          <w:szCs w:val="24"/>
          <w:lang w:val="en-GB"/>
        </w:rPr>
        <w:t>.</w:t>
      </w:r>
    </w:p>
    <w:p w:rsidR="006232EA" w:rsidRDefault="00FD65BE" w:rsidP="006232EA">
      <w:pPr>
        <w:spacing w:before="120" w:after="0" w:line="360" w:lineRule="auto"/>
        <w:jc w:val="both"/>
        <w:rPr>
          <w:rFonts w:ascii="Arial" w:hAnsi="Arial" w:cs="Arial"/>
          <w:sz w:val="24"/>
          <w:szCs w:val="24"/>
          <w:lang w:val="en-GB"/>
        </w:rPr>
      </w:pPr>
      <w:r>
        <w:rPr>
          <w:rFonts w:ascii="Arial" w:hAnsi="Arial" w:cs="Arial"/>
          <w:sz w:val="24"/>
          <w:szCs w:val="24"/>
          <w:lang w:val="en-GB"/>
        </w:rPr>
        <w:t>This was</w:t>
      </w:r>
      <w:r w:rsidR="00B93FDC">
        <w:rPr>
          <w:rFonts w:ascii="Arial" w:hAnsi="Arial" w:cs="Arial"/>
          <w:sz w:val="24"/>
          <w:szCs w:val="24"/>
          <w:lang w:val="en-GB"/>
        </w:rPr>
        <w:t xml:space="preserve"> solved </w:t>
      </w:r>
      <w:r>
        <w:rPr>
          <w:rFonts w:ascii="Arial" w:hAnsi="Arial" w:cs="Arial"/>
          <w:sz w:val="24"/>
          <w:szCs w:val="24"/>
          <w:lang w:val="en-GB"/>
        </w:rPr>
        <w:t>in 201</w:t>
      </w:r>
      <w:r w:rsidR="0090794A">
        <w:rPr>
          <w:rFonts w:ascii="Arial" w:hAnsi="Arial" w:cs="Arial"/>
          <w:sz w:val="24"/>
          <w:szCs w:val="24"/>
          <w:lang w:val="en-GB"/>
        </w:rPr>
        <w:t>4</w:t>
      </w:r>
      <w:r>
        <w:rPr>
          <w:rFonts w:ascii="Arial" w:hAnsi="Arial" w:cs="Arial"/>
          <w:sz w:val="24"/>
          <w:szCs w:val="24"/>
          <w:lang w:val="en-GB"/>
        </w:rPr>
        <w:t>, carrying out a transformation of the overnight stays provided by the HOS into RTS ov</w:t>
      </w:r>
      <w:r w:rsidR="00747896">
        <w:rPr>
          <w:rFonts w:ascii="Arial" w:hAnsi="Arial" w:cs="Arial"/>
          <w:sz w:val="24"/>
          <w:szCs w:val="24"/>
          <w:lang w:val="en-GB"/>
        </w:rPr>
        <w:t xml:space="preserve">ernight stays, </w:t>
      </w:r>
      <w:r w:rsidR="007C66D6">
        <w:rPr>
          <w:rFonts w:ascii="Arial" w:hAnsi="Arial" w:cs="Arial"/>
          <w:sz w:val="24"/>
          <w:szCs w:val="24"/>
          <w:lang w:val="en-GB"/>
        </w:rPr>
        <w:t xml:space="preserve">trying to </w:t>
      </w:r>
      <w:r w:rsidR="00747896">
        <w:rPr>
          <w:rFonts w:ascii="Arial" w:hAnsi="Arial" w:cs="Arial"/>
          <w:sz w:val="24"/>
          <w:szCs w:val="24"/>
          <w:lang w:val="en-GB"/>
        </w:rPr>
        <w:t>remov</w:t>
      </w:r>
      <w:r w:rsidR="007C66D6">
        <w:rPr>
          <w:rFonts w:ascii="Arial" w:hAnsi="Arial" w:cs="Arial"/>
          <w:sz w:val="24"/>
          <w:szCs w:val="24"/>
          <w:lang w:val="en-GB"/>
        </w:rPr>
        <w:t>e</w:t>
      </w:r>
      <w:r w:rsidR="00747896">
        <w:rPr>
          <w:rFonts w:ascii="Arial" w:hAnsi="Arial" w:cs="Arial"/>
          <w:sz w:val="24"/>
          <w:szCs w:val="24"/>
          <w:lang w:val="en-GB"/>
        </w:rPr>
        <w:t xml:space="preserve"> the </w:t>
      </w:r>
      <w:r>
        <w:rPr>
          <w:rFonts w:ascii="Arial" w:hAnsi="Arial" w:cs="Arial"/>
          <w:sz w:val="24"/>
          <w:szCs w:val="24"/>
          <w:lang w:val="en-GB"/>
        </w:rPr>
        <w:t>differences mentioned above</w:t>
      </w:r>
      <w:r w:rsidR="002B03BD">
        <w:rPr>
          <w:rFonts w:ascii="Arial" w:hAnsi="Arial" w:cs="Arial"/>
          <w:sz w:val="24"/>
          <w:szCs w:val="24"/>
          <w:lang w:val="en-GB"/>
        </w:rPr>
        <w:t xml:space="preserve">. </w:t>
      </w:r>
      <w:r>
        <w:rPr>
          <w:rFonts w:ascii="Arial" w:hAnsi="Arial" w:cs="Arial"/>
          <w:sz w:val="24"/>
          <w:szCs w:val="24"/>
          <w:lang w:val="en-GB"/>
        </w:rPr>
        <w:t xml:space="preserve">For </w:t>
      </w:r>
      <w:r w:rsidR="00BD1BD7">
        <w:rPr>
          <w:rFonts w:ascii="Arial" w:hAnsi="Arial" w:cs="Arial"/>
          <w:sz w:val="24"/>
          <w:szCs w:val="24"/>
          <w:lang w:val="en-GB"/>
        </w:rPr>
        <w:t xml:space="preserve">the </w:t>
      </w:r>
      <w:r>
        <w:rPr>
          <w:rFonts w:ascii="Arial" w:hAnsi="Arial" w:cs="Arial"/>
          <w:sz w:val="24"/>
          <w:szCs w:val="24"/>
          <w:lang w:val="en-GB"/>
        </w:rPr>
        <w:t xml:space="preserve">following years, the RTS </w:t>
      </w:r>
      <w:r w:rsidR="00C81E0C">
        <w:rPr>
          <w:rFonts w:ascii="Arial" w:hAnsi="Arial" w:cs="Arial"/>
          <w:sz w:val="24"/>
          <w:szCs w:val="24"/>
          <w:lang w:val="en-GB"/>
        </w:rPr>
        <w:t>is adjusted to the marginal obtained</w:t>
      </w:r>
      <w:r>
        <w:rPr>
          <w:rFonts w:ascii="Arial" w:hAnsi="Arial" w:cs="Arial"/>
          <w:sz w:val="24"/>
          <w:szCs w:val="24"/>
          <w:lang w:val="en-GB"/>
        </w:rPr>
        <w:t xml:space="preserve"> applying the</w:t>
      </w:r>
      <w:r w:rsidR="00747896">
        <w:rPr>
          <w:rFonts w:ascii="Arial" w:hAnsi="Arial" w:cs="Arial"/>
          <w:sz w:val="24"/>
          <w:szCs w:val="24"/>
          <w:lang w:val="en-GB"/>
        </w:rPr>
        <w:t xml:space="preserve"> HOS variation rate </w:t>
      </w:r>
      <w:r>
        <w:rPr>
          <w:rFonts w:ascii="Arial" w:hAnsi="Arial" w:cs="Arial"/>
          <w:sz w:val="24"/>
          <w:szCs w:val="24"/>
          <w:lang w:val="en-GB"/>
        </w:rPr>
        <w:t>to th</w:t>
      </w:r>
      <w:r w:rsidR="00747896">
        <w:rPr>
          <w:rFonts w:ascii="Arial" w:hAnsi="Arial" w:cs="Arial"/>
          <w:sz w:val="24"/>
          <w:szCs w:val="24"/>
          <w:lang w:val="en-GB"/>
        </w:rPr>
        <w:t>ese</w:t>
      </w:r>
      <w:r>
        <w:rPr>
          <w:rFonts w:ascii="Arial" w:hAnsi="Arial" w:cs="Arial"/>
          <w:sz w:val="24"/>
          <w:szCs w:val="24"/>
          <w:lang w:val="en-GB"/>
        </w:rPr>
        <w:t xml:space="preserve"> </w:t>
      </w:r>
      <w:r w:rsidR="00C81E0C">
        <w:rPr>
          <w:rFonts w:ascii="Arial" w:hAnsi="Arial" w:cs="Arial"/>
          <w:sz w:val="24"/>
          <w:szCs w:val="24"/>
          <w:lang w:val="en-GB"/>
        </w:rPr>
        <w:t xml:space="preserve">comparable overnights </w:t>
      </w:r>
      <w:r w:rsidR="00747896">
        <w:rPr>
          <w:rFonts w:ascii="Arial" w:hAnsi="Arial" w:cs="Arial"/>
          <w:sz w:val="24"/>
          <w:szCs w:val="24"/>
          <w:lang w:val="en-GB"/>
        </w:rPr>
        <w:t>estimated</w:t>
      </w:r>
      <w:r w:rsidR="00C81E0C">
        <w:rPr>
          <w:rFonts w:ascii="Arial" w:hAnsi="Arial" w:cs="Arial"/>
          <w:sz w:val="24"/>
          <w:szCs w:val="24"/>
          <w:lang w:val="en-GB"/>
        </w:rPr>
        <w:t xml:space="preserve"> for the first year</w:t>
      </w:r>
      <w:r>
        <w:rPr>
          <w:rFonts w:ascii="Arial" w:hAnsi="Arial" w:cs="Arial"/>
          <w:sz w:val="24"/>
          <w:szCs w:val="24"/>
          <w:lang w:val="en-GB"/>
        </w:rPr>
        <w:t>.</w:t>
      </w:r>
      <w:r w:rsidR="0090794A">
        <w:rPr>
          <w:rFonts w:ascii="Arial" w:hAnsi="Arial" w:cs="Arial"/>
          <w:sz w:val="24"/>
          <w:szCs w:val="24"/>
          <w:lang w:val="en-GB"/>
        </w:rPr>
        <w:t xml:space="preserve"> In addition, to estimate the </w:t>
      </w:r>
      <w:r w:rsidR="00747896">
        <w:rPr>
          <w:rFonts w:ascii="Arial" w:hAnsi="Arial" w:cs="Arial"/>
          <w:sz w:val="24"/>
          <w:szCs w:val="24"/>
          <w:lang w:val="en-GB"/>
        </w:rPr>
        <w:t>monthly auxiliary variables</w:t>
      </w:r>
      <w:r w:rsidR="0090794A">
        <w:rPr>
          <w:rFonts w:ascii="Arial" w:hAnsi="Arial" w:cs="Arial"/>
          <w:sz w:val="24"/>
          <w:szCs w:val="24"/>
          <w:lang w:val="en-GB"/>
        </w:rPr>
        <w:t>, the RTS overnight stays are truncated to the maximum number of days of the reference month, to be coherent with the marginals used.</w:t>
      </w:r>
      <w:r w:rsidR="00CC0198">
        <w:rPr>
          <w:rFonts w:ascii="Arial" w:hAnsi="Arial" w:cs="Arial"/>
          <w:sz w:val="24"/>
          <w:szCs w:val="24"/>
          <w:lang w:val="en-GB"/>
        </w:rPr>
        <w:t xml:space="preserve"> It is noted that the RTS collects information of all the stages of the trip (destination and accommodation), allowing to estimate the hotel overnight stays </w:t>
      </w:r>
      <w:r w:rsidR="00FE1378">
        <w:rPr>
          <w:rFonts w:ascii="Arial" w:hAnsi="Arial" w:cs="Arial"/>
          <w:sz w:val="24"/>
          <w:szCs w:val="24"/>
          <w:lang w:val="en-GB"/>
        </w:rPr>
        <w:t xml:space="preserve">spent </w:t>
      </w:r>
      <w:r w:rsidR="00CC0198">
        <w:rPr>
          <w:rFonts w:ascii="Arial" w:hAnsi="Arial" w:cs="Arial"/>
          <w:sz w:val="24"/>
          <w:szCs w:val="24"/>
          <w:lang w:val="en-GB"/>
        </w:rPr>
        <w:t>in each autonomous community.</w:t>
      </w:r>
    </w:p>
    <w:p w:rsidR="00BD7F08" w:rsidRDefault="00BD1BD7" w:rsidP="00F907B7">
      <w:pPr>
        <w:spacing w:before="120" w:after="0" w:line="360" w:lineRule="auto"/>
        <w:jc w:val="both"/>
        <w:rPr>
          <w:rFonts w:ascii="Arial" w:hAnsi="Arial" w:cs="Arial"/>
          <w:sz w:val="24"/>
          <w:szCs w:val="24"/>
          <w:lang w:val="en-GB"/>
        </w:rPr>
      </w:pPr>
      <w:r>
        <w:rPr>
          <w:rFonts w:ascii="Arial" w:hAnsi="Arial" w:cs="Arial"/>
          <w:sz w:val="24"/>
          <w:szCs w:val="24"/>
          <w:lang w:val="en-GB"/>
        </w:rPr>
        <w:t>S</w:t>
      </w:r>
      <w:r w:rsidR="00FE1378">
        <w:rPr>
          <w:rFonts w:ascii="Arial" w:hAnsi="Arial" w:cs="Arial"/>
          <w:sz w:val="24"/>
          <w:szCs w:val="24"/>
          <w:lang w:val="en-GB"/>
        </w:rPr>
        <w:t xml:space="preserve">ix </w:t>
      </w:r>
      <w:r w:rsidR="00312F48">
        <w:rPr>
          <w:rFonts w:ascii="Arial" w:hAnsi="Arial" w:cs="Arial"/>
          <w:sz w:val="24"/>
          <w:szCs w:val="24"/>
          <w:lang w:val="en-GB"/>
        </w:rPr>
        <w:t xml:space="preserve">monthly </w:t>
      </w:r>
      <w:r w:rsidR="00FE1378">
        <w:rPr>
          <w:rFonts w:ascii="Arial" w:hAnsi="Arial" w:cs="Arial"/>
          <w:sz w:val="24"/>
          <w:szCs w:val="24"/>
          <w:lang w:val="en-GB"/>
        </w:rPr>
        <w:t xml:space="preserve">variables </w:t>
      </w:r>
      <w:r>
        <w:rPr>
          <w:rFonts w:ascii="Arial" w:hAnsi="Arial" w:cs="Arial"/>
          <w:sz w:val="24"/>
          <w:szCs w:val="24"/>
          <w:lang w:val="en-GB"/>
        </w:rPr>
        <w:t xml:space="preserve">are used </w:t>
      </w:r>
      <w:r w:rsidR="00FE1378">
        <w:rPr>
          <w:rFonts w:ascii="Arial" w:hAnsi="Arial" w:cs="Arial"/>
          <w:sz w:val="24"/>
          <w:szCs w:val="24"/>
          <w:lang w:val="en-GB"/>
        </w:rPr>
        <w:t>to calibrate</w:t>
      </w:r>
      <w:r w:rsidR="002B03BD">
        <w:rPr>
          <w:rFonts w:ascii="Arial" w:hAnsi="Arial" w:cs="Arial"/>
          <w:sz w:val="24"/>
          <w:szCs w:val="24"/>
          <w:lang w:val="en-GB"/>
        </w:rPr>
        <w:t>:</w:t>
      </w:r>
      <w:r w:rsidR="00A93ECA">
        <w:rPr>
          <w:rFonts w:ascii="Arial" w:hAnsi="Arial" w:cs="Arial"/>
          <w:sz w:val="24"/>
          <w:szCs w:val="24"/>
          <w:lang w:val="en-GB"/>
        </w:rPr>
        <w:t xml:space="preserve"> hotel overnight stays</w:t>
      </w:r>
      <w:r w:rsidR="00FE1378">
        <w:rPr>
          <w:rFonts w:ascii="Arial" w:hAnsi="Arial" w:cs="Arial"/>
          <w:sz w:val="24"/>
          <w:szCs w:val="24"/>
          <w:lang w:val="en-GB"/>
        </w:rPr>
        <w:t xml:space="preserve"> </w:t>
      </w:r>
      <w:r w:rsidR="00A93ECA">
        <w:rPr>
          <w:rFonts w:ascii="Arial" w:hAnsi="Arial" w:cs="Arial"/>
          <w:sz w:val="24"/>
          <w:szCs w:val="24"/>
          <w:lang w:val="en-GB"/>
        </w:rPr>
        <w:t xml:space="preserve">in </w:t>
      </w:r>
      <w:r w:rsidR="00FE1378">
        <w:rPr>
          <w:rFonts w:ascii="Arial" w:hAnsi="Arial" w:cs="Arial"/>
          <w:sz w:val="24"/>
          <w:szCs w:val="24"/>
          <w:lang w:val="en-GB"/>
        </w:rPr>
        <w:t>Madrid, Canary Islands, Andalusia, Catalonia, Valencian community and one which groups the others</w:t>
      </w:r>
      <w:r w:rsidR="002B03BD">
        <w:rPr>
          <w:rFonts w:ascii="Arial" w:hAnsi="Arial" w:cs="Arial"/>
          <w:sz w:val="24"/>
          <w:szCs w:val="24"/>
          <w:lang w:val="en-GB"/>
        </w:rPr>
        <w:t xml:space="preserve"> altogether</w:t>
      </w:r>
      <w:r w:rsidR="00FE1378">
        <w:rPr>
          <w:rFonts w:ascii="Arial" w:hAnsi="Arial" w:cs="Arial"/>
          <w:sz w:val="24"/>
          <w:szCs w:val="24"/>
          <w:lang w:val="en-GB"/>
        </w:rPr>
        <w:t xml:space="preserve">. </w:t>
      </w:r>
      <w:r w:rsidR="00AA2DB3">
        <w:rPr>
          <w:rFonts w:ascii="Arial" w:hAnsi="Arial" w:cs="Arial"/>
          <w:sz w:val="24"/>
          <w:szCs w:val="24"/>
          <w:lang w:val="en-GB"/>
        </w:rPr>
        <w:t xml:space="preserve">The reason to make this last group is that these communities </w:t>
      </w:r>
      <w:r w:rsidR="00FE1378">
        <w:rPr>
          <w:rFonts w:ascii="Arial" w:hAnsi="Arial" w:cs="Arial"/>
          <w:sz w:val="24"/>
          <w:szCs w:val="24"/>
          <w:lang w:val="en-GB"/>
        </w:rPr>
        <w:t>don</w:t>
      </w:r>
      <w:r w:rsidR="004853EB">
        <w:rPr>
          <w:rFonts w:ascii="Arial" w:hAnsi="Arial" w:cs="Arial"/>
          <w:sz w:val="24"/>
          <w:szCs w:val="24"/>
          <w:lang w:val="en-GB"/>
        </w:rPr>
        <w:t>’</w:t>
      </w:r>
      <w:r w:rsidR="00FE1378">
        <w:rPr>
          <w:rFonts w:ascii="Arial" w:hAnsi="Arial" w:cs="Arial"/>
          <w:sz w:val="24"/>
          <w:szCs w:val="24"/>
          <w:lang w:val="en-GB"/>
        </w:rPr>
        <w:t>t have enough sample</w:t>
      </w:r>
      <w:r w:rsidR="004F7000">
        <w:rPr>
          <w:rFonts w:ascii="Arial" w:hAnsi="Arial" w:cs="Arial"/>
          <w:sz w:val="24"/>
          <w:szCs w:val="24"/>
          <w:lang w:val="en-GB"/>
        </w:rPr>
        <w:t xml:space="preserve"> size</w:t>
      </w:r>
      <w:r w:rsidR="00FE1378">
        <w:rPr>
          <w:rFonts w:ascii="Arial" w:hAnsi="Arial" w:cs="Arial"/>
          <w:sz w:val="24"/>
          <w:szCs w:val="24"/>
          <w:lang w:val="en-GB"/>
        </w:rPr>
        <w:t xml:space="preserve"> to be calibrated by its own</w:t>
      </w:r>
      <w:r w:rsidR="00FF4666">
        <w:rPr>
          <w:rFonts w:ascii="Arial" w:hAnsi="Arial" w:cs="Arial"/>
          <w:sz w:val="24"/>
          <w:szCs w:val="24"/>
          <w:lang w:val="en-GB"/>
        </w:rPr>
        <w:t>, causing problems in the convergence of the CALMAR algorithm.</w:t>
      </w:r>
      <w:r w:rsidR="004F7000">
        <w:rPr>
          <w:rFonts w:ascii="Arial" w:hAnsi="Arial" w:cs="Arial"/>
          <w:sz w:val="24"/>
          <w:szCs w:val="24"/>
          <w:lang w:val="en-GB"/>
        </w:rPr>
        <w:t xml:space="preserve"> </w:t>
      </w:r>
    </w:p>
    <w:p w:rsidR="0065551A" w:rsidRPr="00FB2ED5" w:rsidRDefault="0065551A" w:rsidP="00BD7F08">
      <w:pPr>
        <w:pStyle w:val="Akapitzlist"/>
        <w:numPr>
          <w:ilvl w:val="0"/>
          <w:numId w:val="9"/>
        </w:numPr>
        <w:spacing w:before="360" w:after="0" w:line="360" w:lineRule="auto"/>
        <w:jc w:val="both"/>
        <w:rPr>
          <w:rFonts w:ascii="Arial" w:hAnsi="Arial" w:cs="Arial"/>
          <w:b/>
          <w:sz w:val="24"/>
          <w:szCs w:val="24"/>
          <w:lang w:val="en-GB"/>
        </w:rPr>
      </w:pPr>
      <w:r w:rsidRPr="00FB2ED5">
        <w:rPr>
          <w:rFonts w:ascii="Arial" w:hAnsi="Arial" w:cs="Arial"/>
          <w:b/>
          <w:sz w:val="24"/>
          <w:szCs w:val="24"/>
          <w:lang w:val="en-GB"/>
        </w:rPr>
        <w:t>Calibration. Results.</w:t>
      </w:r>
    </w:p>
    <w:p w:rsidR="008506AE" w:rsidRDefault="00825FBE" w:rsidP="00825FBE">
      <w:pPr>
        <w:spacing w:before="120" w:after="0" w:line="360" w:lineRule="auto"/>
        <w:jc w:val="both"/>
        <w:rPr>
          <w:rFonts w:ascii="Arial" w:hAnsi="Arial" w:cs="Arial"/>
          <w:sz w:val="24"/>
          <w:szCs w:val="24"/>
          <w:lang w:val="en-GB"/>
        </w:rPr>
      </w:pPr>
      <w:r>
        <w:rPr>
          <w:rFonts w:ascii="Arial" w:hAnsi="Arial" w:cs="Arial"/>
          <w:sz w:val="24"/>
          <w:szCs w:val="24"/>
          <w:lang w:val="en-GB"/>
        </w:rPr>
        <w:t>In this section</w:t>
      </w:r>
      <w:r w:rsidR="0086458D">
        <w:rPr>
          <w:rFonts w:ascii="Arial" w:hAnsi="Arial" w:cs="Arial"/>
          <w:sz w:val="24"/>
          <w:szCs w:val="24"/>
          <w:lang w:val="en-GB"/>
        </w:rPr>
        <w:t xml:space="preserve"> we </w:t>
      </w:r>
      <w:r>
        <w:rPr>
          <w:rFonts w:ascii="Arial" w:hAnsi="Arial" w:cs="Arial"/>
          <w:sz w:val="24"/>
          <w:szCs w:val="24"/>
          <w:lang w:val="en-GB"/>
        </w:rPr>
        <w:t>analys</w:t>
      </w:r>
      <w:r w:rsidR="0086458D">
        <w:rPr>
          <w:rFonts w:ascii="Arial" w:hAnsi="Arial" w:cs="Arial"/>
          <w:sz w:val="24"/>
          <w:szCs w:val="24"/>
          <w:lang w:val="en-GB"/>
        </w:rPr>
        <w:t>e</w:t>
      </w:r>
      <w:r>
        <w:rPr>
          <w:rFonts w:ascii="Arial" w:hAnsi="Arial" w:cs="Arial"/>
          <w:sz w:val="24"/>
          <w:szCs w:val="24"/>
          <w:lang w:val="en-GB"/>
        </w:rPr>
        <w:t xml:space="preserve"> separately the </w:t>
      </w:r>
      <w:r w:rsidR="00307310">
        <w:rPr>
          <w:rFonts w:ascii="Arial" w:hAnsi="Arial" w:cs="Arial"/>
          <w:sz w:val="24"/>
          <w:szCs w:val="24"/>
          <w:lang w:val="en-GB"/>
        </w:rPr>
        <w:t xml:space="preserve">RTS </w:t>
      </w:r>
      <w:r>
        <w:rPr>
          <w:rFonts w:ascii="Arial" w:hAnsi="Arial" w:cs="Arial"/>
          <w:sz w:val="24"/>
          <w:szCs w:val="24"/>
          <w:lang w:val="en-GB"/>
        </w:rPr>
        <w:t>estimates when sociodemographic calibration is included in the survey process an</w:t>
      </w:r>
      <w:r w:rsidR="00E12732">
        <w:rPr>
          <w:rFonts w:ascii="Arial" w:hAnsi="Arial" w:cs="Arial"/>
          <w:sz w:val="24"/>
          <w:szCs w:val="24"/>
          <w:lang w:val="en-GB"/>
        </w:rPr>
        <w:t xml:space="preserve">d its extension to calibrate </w:t>
      </w:r>
      <w:r>
        <w:rPr>
          <w:rFonts w:ascii="Arial" w:hAnsi="Arial" w:cs="Arial"/>
          <w:sz w:val="24"/>
          <w:szCs w:val="24"/>
          <w:lang w:val="en-GB"/>
        </w:rPr>
        <w:t>the HOS hotel overnight stays.</w:t>
      </w:r>
    </w:p>
    <w:p w:rsidR="00D46DA6" w:rsidRDefault="00825FBE" w:rsidP="00C82524">
      <w:pPr>
        <w:numPr>
          <w:ilvl w:val="1"/>
          <w:numId w:val="10"/>
        </w:numPr>
        <w:spacing w:before="360" w:after="0" w:line="360" w:lineRule="auto"/>
        <w:jc w:val="both"/>
        <w:rPr>
          <w:rFonts w:ascii="Arial" w:hAnsi="Arial" w:cs="Arial"/>
          <w:i/>
          <w:sz w:val="24"/>
          <w:szCs w:val="24"/>
          <w:lang w:val="en-GB"/>
        </w:rPr>
      </w:pPr>
      <w:r w:rsidRPr="00C82524">
        <w:rPr>
          <w:rFonts w:ascii="Arial" w:hAnsi="Arial" w:cs="Arial"/>
          <w:i/>
          <w:sz w:val="24"/>
          <w:szCs w:val="24"/>
          <w:lang w:val="en-GB"/>
        </w:rPr>
        <w:t xml:space="preserve">Calibration to sociodemographic variables </w:t>
      </w:r>
    </w:p>
    <w:p w:rsidR="00D46DA6" w:rsidRDefault="0003033A" w:rsidP="00353846">
      <w:pPr>
        <w:spacing w:before="120" w:after="0" w:line="360" w:lineRule="auto"/>
        <w:jc w:val="both"/>
        <w:rPr>
          <w:rFonts w:ascii="Arial" w:hAnsi="Arial" w:cs="Arial"/>
          <w:sz w:val="24"/>
          <w:szCs w:val="24"/>
          <w:lang w:val="en-GB"/>
        </w:rPr>
      </w:pPr>
      <w:r>
        <w:rPr>
          <w:rFonts w:ascii="Arial" w:hAnsi="Arial" w:cs="Arial"/>
          <w:sz w:val="24"/>
          <w:szCs w:val="24"/>
          <w:lang w:val="en-GB"/>
        </w:rPr>
        <w:t xml:space="preserve">To </w:t>
      </w:r>
      <w:r w:rsidR="00A83C83">
        <w:rPr>
          <w:rFonts w:ascii="Arial" w:hAnsi="Arial" w:cs="Arial"/>
          <w:sz w:val="24"/>
          <w:szCs w:val="24"/>
          <w:lang w:val="en-GB"/>
        </w:rPr>
        <w:t xml:space="preserve">understand </w:t>
      </w:r>
      <w:r w:rsidR="00750106">
        <w:rPr>
          <w:rFonts w:ascii="Arial" w:hAnsi="Arial" w:cs="Arial"/>
          <w:sz w:val="24"/>
          <w:szCs w:val="24"/>
          <w:lang w:val="en-GB"/>
        </w:rPr>
        <w:t xml:space="preserve">the effect of this calibration in </w:t>
      </w:r>
      <w:r w:rsidR="00A83C83">
        <w:rPr>
          <w:rFonts w:ascii="Arial" w:hAnsi="Arial" w:cs="Arial"/>
          <w:sz w:val="24"/>
          <w:szCs w:val="24"/>
          <w:lang w:val="en-GB"/>
        </w:rPr>
        <w:t>the survey</w:t>
      </w:r>
      <w:r w:rsidR="00750106">
        <w:rPr>
          <w:rFonts w:ascii="Arial" w:hAnsi="Arial" w:cs="Arial"/>
          <w:sz w:val="24"/>
          <w:szCs w:val="24"/>
          <w:lang w:val="en-GB"/>
        </w:rPr>
        <w:t xml:space="preserve"> </w:t>
      </w:r>
      <w:r w:rsidR="00A653CA">
        <w:rPr>
          <w:rFonts w:ascii="Arial" w:hAnsi="Arial" w:cs="Arial"/>
          <w:sz w:val="24"/>
          <w:szCs w:val="24"/>
          <w:lang w:val="en-GB"/>
        </w:rPr>
        <w:t>results</w:t>
      </w:r>
      <w:r w:rsidR="00750106">
        <w:rPr>
          <w:rFonts w:ascii="Arial" w:hAnsi="Arial" w:cs="Arial"/>
          <w:sz w:val="24"/>
          <w:szCs w:val="24"/>
          <w:lang w:val="en-GB"/>
        </w:rPr>
        <w:t xml:space="preserve">, </w:t>
      </w:r>
      <w:r w:rsidR="00A83C83">
        <w:rPr>
          <w:rFonts w:ascii="Arial" w:hAnsi="Arial" w:cs="Arial"/>
          <w:sz w:val="24"/>
          <w:szCs w:val="24"/>
          <w:lang w:val="en-GB"/>
        </w:rPr>
        <w:t xml:space="preserve">Table </w:t>
      </w:r>
      <w:r w:rsidR="009E3CA5">
        <w:rPr>
          <w:rFonts w:ascii="Arial" w:hAnsi="Arial" w:cs="Arial"/>
          <w:sz w:val="24"/>
          <w:szCs w:val="24"/>
          <w:lang w:val="en-GB"/>
        </w:rPr>
        <w:t>3</w:t>
      </w:r>
      <w:r w:rsidR="00750106">
        <w:rPr>
          <w:rFonts w:ascii="Arial" w:hAnsi="Arial" w:cs="Arial"/>
          <w:sz w:val="24"/>
          <w:szCs w:val="24"/>
          <w:lang w:val="en-GB"/>
        </w:rPr>
        <w:t xml:space="preserve"> </w:t>
      </w:r>
      <w:r w:rsidR="00A83C83">
        <w:rPr>
          <w:rFonts w:ascii="Arial" w:hAnsi="Arial" w:cs="Arial"/>
          <w:sz w:val="24"/>
          <w:szCs w:val="24"/>
          <w:lang w:val="en-GB"/>
        </w:rPr>
        <w:t xml:space="preserve">shows </w:t>
      </w:r>
      <w:r w:rsidR="00750106">
        <w:rPr>
          <w:rFonts w:ascii="Arial" w:hAnsi="Arial" w:cs="Arial"/>
          <w:sz w:val="24"/>
          <w:szCs w:val="24"/>
          <w:lang w:val="en-GB"/>
        </w:rPr>
        <w:t>how the population structure changes with this process, in relation</w:t>
      </w:r>
      <w:r w:rsidR="00A653CA">
        <w:rPr>
          <w:rFonts w:ascii="Arial" w:hAnsi="Arial" w:cs="Arial"/>
          <w:sz w:val="24"/>
          <w:szCs w:val="24"/>
          <w:lang w:val="en-GB"/>
        </w:rPr>
        <w:t xml:space="preserve"> to</w:t>
      </w:r>
      <w:r w:rsidR="00750106">
        <w:rPr>
          <w:rFonts w:ascii="Arial" w:hAnsi="Arial" w:cs="Arial"/>
          <w:sz w:val="24"/>
          <w:szCs w:val="24"/>
          <w:lang w:val="en-GB"/>
        </w:rPr>
        <w:t xml:space="preserve"> </w:t>
      </w:r>
      <w:r w:rsidR="00A653CA">
        <w:rPr>
          <w:rFonts w:ascii="Arial" w:hAnsi="Arial" w:cs="Arial"/>
          <w:sz w:val="24"/>
          <w:szCs w:val="24"/>
          <w:lang w:val="en-GB"/>
        </w:rPr>
        <w:t>some of</w:t>
      </w:r>
      <w:r w:rsidR="00750106">
        <w:rPr>
          <w:rFonts w:ascii="Arial" w:hAnsi="Arial" w:cs="Arial"/>
          <w:sz w:val="24"/>
          <w:szCs w:val="24"/>
          <w:lang w:val="en-GB"/>
        </w:rPr>
        <w:t xml:space="preserve"> the variables calibrated</w:t>
      </w:r>
      <w:r w:rsidR="00A653CA">
        <w:rPr>
          <w:rFonts w:ascii="Arial" w:hAnsi="Arial" w:cs="Arial"/>
          <w:sz w:val="24"/>
          <w:szCs w:val="24"/>
          <w:lang w:val="en-GB"/>
        </w:rPr>
        <w:t xml:space="preserve"> (nationality, educational level and gender)</w:t>
      </w:r>
      <w:r w:rsidR="00750106">
        <w:rPr>
          <w:rFonts w:ascii="Arial" w:hAnsi="Arial" w:cs="Arial"/>
          <w:sz w:val="24"/>
          <w:szCs w:val="24"/>
          <w:lang w:val="en-GB"/>
        </w:rPr>
        <w:t xml:space="preserve">. Next </w:t>
      </w:r>
      <w:r w:rsidR="004D1F04">
        <w:rPr>
          <w:rFonts w:ascii="Arial" w:hAnsi="Arial" w:cs="Arial"/>
          <w:sz w:val="24"/>
          <w:szCs w:val="24"/>
          <w:lang w:val="en-GB"/>
        </w:rPr>
        <w:t>chart</w:t>
      </w:r>
      <w:r w:rsidR="00750106">
        <w:rPr>
          <w:rFonts w:ascii="Arial" w:hAnsi="Arial" w:cs="Arial"/>
          <w:sz w:val="24"/>
          <w:szCs w:val="24"/>
          <w:lang w:val="en-GB"/>
        </w:rPr>
        <w:t xml:space="preserve"> shows </w:t>
      </w:r>
      <w:r w:rsidR="00A653CA">
        <w:rPr>
          <w:rFonts w:ascii="Arial" w:hAnsi="Arial" w:cs="Arial"/>
          <w:sz w:val="24"/>
          <w:szCs w:val="24"/>
          <w:lang w:val="en-GB"/>
        </w:rPr>
        <w:t>these structures for December</w:t>
      </w:r>
      <w:r w:rsidR="00307310">
        <w:rPr>
          <w:rFonts w:ascii="Arial" w:hAnsi="Arial" w:cs="Arial"/>
          <w:sz w:val="24"/>
          <w:szCs w:val="24"/>
          <w:lang w:val="en-GB"/>
        </w:rPr>
        <w:t xml:space="preserve"> 2017</w:t>
      </w:r>
      <w:r w:rsidR="00A653CA">
        <w:rPr>
          <w:rFonts w:ascii="Arial" w:hAnsi="Arial" w:cs="Arial"/>
          <w:sz w:val="24"/>
          <w:szCs w:val="24"/>
          <w:lang w:val="en-GB"/>
        </w:rPr>
        <w:t>:</w:t>
      </w:r>
    </w:p>
    <w:p w:rsidR="00A83C83" w:rsidRPr="00C82524" w:rsidRDefault="00A83C83" w:rsidP="00FC4182">
      <w:pPr>
        <w:pStyle w:val="Legenda"/>
        <w:keepNext/>
        <w:spacing w:before="120"/>
        <w:rPr>
          <w:rFonts w:ascii="Arial" w:hAnsi="Arial" w:cs="Arial"/>
          <w:b/>
          <w:i w:val="0"/>
          <w:color w:val="auto"/>
          <w:sz w:val="20"/>
          <w:szCs w:val="20"/>
          <w:lang w:val="en-GB"/>
        </w:rPr>
      </w:pPr>
      <w:r w:rsidRPr="00C82524">
        <w:rPr>
          <w:rFonts w:ascii="Arial" w:hAnsi="Arial" w:cs="Arial"/>
          <w:b/>
          <w:i w:val="0"/>
          <w:color w:val="auto"/>
          <w:sz w:val="20"/>
          <w:szCs w:val="20"/>
          <w:lang w:val="en-GB"/>
        </w:rPr>
        <w:t xml:space="preserve">Table </w:t>
      </w:r>
      <w:r w:rsidR="00052245">
        <w:rPr>
          <w:rFonts w:ascii="Arial" w:hAnsi="Arial" w:cs="Arial"/>
          <w:b/>
          <w:i w:val="0"/>
          <w:color w:val="auto"/>
          <w:sz w:val="20"/>
          <w:szCs w:val="20"/>
          <w:lang w:val="en-GB"/>
        </w:rPr>
        <w:t>3</w:t>
      </w:r>
      <w:r w:rsidRPr="00C82524">
        <w:rPr>
          <w:rFonts w:ascii="Arial" w:hAnsi="Arial" w:cs="Arial"/>
          <w:b/>
          <w:i w:val="0"/>
          <w:color w:val="auto"/>
          <w:sz w:val="20"/>
          <w:szCs w:val="20"/>
          <w:lang w:val="en-GB"/>
        </w:rPr>
        <w:t xml:space="preserve">. Population distribution according nationality, educational level and </w:t>
      </w:r>
      <w:r w:rsidR="00307310" w:rsidRPr="00C82524">
        <w:rPr>
          <w:rFonts w:ascii="Arial" w:hAnsi="Arial" w:cs="Arial"/>
          <w:b/>
          <w:i w:val="0"/>
          <w:color w:val="auto"/>
          <w:sz w:val="20"/>
          <w:szCs w:val="20"/>
          <w:lang w:val="en-GB"/>
        </w:rPr>
        <w:t>sex</w:t>
      </w:r>
    </w:p>
    <w:tbl>
      <w:tblPr>
        <w:tblW w:w="5000" w:type="pct"/>
        <w:tblCellMar>
          <w:left w:w="70" w:type="dxa"/>
          <w:right w:w="70" w:type="dxa"/>
        </w:tblCellMar>
        <w:tblLook w:val="04A0" w:firstRow="1" w:lastRow="0" w:firstColumn="1" w:lastColumn="0" w:noHBand="0" w:noVBand="1"/>
      </w:tblPr>
      <w:tblGrid>
        <w:gridCol w:w="2698"/>
        <w:gridCol w:w="1668"/>
        <w:gridCol w:w="1550"/>
        <w:gridCol w:w="1550"/>
        <w:gridCol w:w="1596"/>
      </w:tblGrid>
      <w:tr w:rsidR="0052659C" w:rsidRPr="00A653CA" w:rsidTr="007B4291">
        <w:trPr>
          <w:trHeight w:val="284"/>
        </w:trPr>
        <w:tc>
          <w:tcPr>
            <w:tcW w:w="1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7B4291" w:rsidRDefault="0052659C" w:rsidP="0052659C">
            <w:pPr>
              <w:spacing w:after="0" w:line="240" w:lineRule="auto"/>
              <w:rPr>
                <w:rFonts w:ascii="MS Sans Serif" w:eastAsia="Times New Roman" w:hAnsi="MS Sans Serif" w:cs="Arial"/>
                <w:b/>
                <w:bCs/>
                <w:szCs w:val="20"/>
                <w:lang w:val="en-GB" w:eastAsia="es-ES"/>
              </w:rPr>
            </w:pPr>
            <w:r w:rsidRPr="007B4291">
              <w:rPr>
                <w:rFonts w:ascii="MS Sans Serif" w:eastAsia="Times New Roman" w:hAnsi="MS Sans Serif" w:cs="Arial"/>
                <w:b/>
                <w:bCs/>
                <w:szCs w:val="20"/>
                <w:lang w:val="en-GB" w:eastAsia="es-ES"/>
              </w:rPr>
              <w:t>VARIABLE</w:t>
            </w:r>
          </w:p>
        </w:tc>
        <w:tc>
          <w:tcPr>
            <w:tcW w:w="879" w:type="pct"/>
            <w:tcBorders>
              <w:top w:val="single" w:sz="4" w:space="0" w:color="auto"/>
              <w:left w:val="nil"/>
              <w:bottom w:val="single" w:sz="4" w:space="0" w:color="auto"/>
              <w:right w:val="single" w:sz="4" w:space="0" w:color="auto"/>
            </w:tcBorders>
            <w:shd w:val="clear" w:color="auto" w:fill="auto"/>
            <w:noWrap/>
            <w:vAlign w:val="center"/>
            <w:hideMark/>
          </w:tcPr>
          <w:p w:rsidR="0052659C" w:rsidRPr="007B4291" w:rsidRDefault="0052659C" w:rsidP="0052659C">
            <w:pPr>
              <w:spacing w:after="0" w:line="240" w:lineRule="auto"/>
              <w:jc w:val="center"/>
              <w:rPr>
                <w:rFonts w:ascii="MS Sans Serif" w:eastAsia="Times New Roman" w:hAnsi="MS Sans Serif" w:cs="Arial"/>
                <w:b/>
                <w:bCs/>
                <w:sz w:val="20"/>
                <w:szCs w:val="20"/>
                <w:lang w:val="en-GB" w:eastAsia="es-ES"/>
              </w:rPr>
            </w:pPr>
            <w:r w:rsidRPr="007B4291">
              <w:rPr>
                <w:rFonts w:ascii="MS Sans Serif" w:eastAsia="Times New Roman" w:hAnsi="MS Sans Serif" w:cs="Arial"/>
                <w:b/>
                <w:bCs/>
                <w:sz w:val="20"/>
                <w:szCs w:val="20"/>
                <w:lang w:val="en-GB" w:eastAsia="es-ES"/>
              </w:rPr>
              <w:t>% (NON-CALIB)</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7B4291" w:rsidRDefault="0052659C" w:rsidP="0052659C">
            <w:pPr>
              <w:spacing w:after="0" w:line="240" w:lineRule="auto"/>
              <w:jc w:val="center"/>
              <w:rPr>
                <w:rFonts w:ascii="MS Sans Serif" w:eastAsia="Times New Roman" w:hAnsi="MS Sans Serif" w:cs="Arial"/>
                <w:b/>
                <w:bCs/>
                <w:sz w:val="20"/>
                <w:szCs w:val="20"/>
                <w:lang w:val="en-GB" w:eastAsia="es-ES"/>
              </w:rPr>
            </w:pPr>
            <w:r w:rsidRPr="007B4291">
              <w:rPr>
                <w:rFonts w:ascii="MS Sans Serif" w:eastAsia="Times New Roman" w:hAnsi="MS Sans Serif" w:cs="Arial"/>
                <w:b/>
                <w:bCs/>
                <w:sz w:val="20"/>
                <w:szCs w:val="20"/>
                <w:lang w:val="en-GB" w:eastAsia="es-ES"/>
              </w:rPr>
              <w:t>% (CALIB SD)</w:t>
            </w:r>
          </w:p>
        </w:tc>
        <w:tc>
          <w:tcPr>
            <w:tcW w:w="872" w:type="pct"/>
            <w:tcBorders>
              <w:top w:val="single" w:sz="4" w:space="0" w:color="auto"/>
              <w:left w:val="single" w:sz="4" w:space="0" w:color="auto"/>
              <w:bottom w:val="single" w:sz="4" w:space="0" w:color="auto"/>
              <w:right w:val="single" w:sz="4" w:space="0" w:color="auto"/>
            </w:tcBorders>
            <w:shd w:val="clear" w:color="auto" w:fill="auto"/>
            <w:vAlign w:val="center"/>
          </w:tcPr>
          <w:p w:rsidR="0052659C" w:rsidRPr="007B4291" w:rsidRDefault="0052659C" w:rsidP="0052659C">
            <w:pPr>
              <w:spacing w:after="0" w:line="240" w:lineRule="auto"/>
              <w:jc w:val="center"/>
              <w:rPr>
                <w:rFonts w:ascii="MS Sans Serif" w:eastAsia="Times New Roman" w:hAnsi="MS Sans Serif" w:cs="Arial"/>
                <w:b/>
                <w:bCs/>
                <w:sz w:val="20"/>
                <w:szCs w:val="20"/>
                <w:lang w:val="en-GB" w:eastAsia="es-ES"/>
              </w:rPr>
            </w:pPr>
            <w:r w:rsidRPr="007B4291">
              <w:rPr>
                <w:rFonts w:ascii="MS Sans Serif" w:eastAsia="Times New Roman" w:hAnsi="MS Sans Serif" w:cs="Arial"/>
                <w:b/>
                <w:bCs/>
                <w:sz w:val="20"/>
                <w:szCs w:val="20"/>
                <w:lang w:val="en-GB" w:eastAsia="es-ES"/>
              </w:rPr>
              <w:t>DIFFERENCE</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7B4291" w:rsidRDefault="0052659C" w:rsidP="0052659C">
            <w:pPr>
              <w:spacing w:after="0" w:line="240" w:lineRule="auto"/>
              <w:jc w:val="center"/>
              <w:rPr>
                <w:rFonts w:ascii="MS Sans Serif" w:eastAsia="Times New Roman" w:hAnsi="MS Sans Serif" w:cs="Arial"/>
                <w:b/>
                <w:bCs/>
                <w:sz w:val="20"/>
                <w:szCs w:val="20"/>
                <w:lang w:val="en-GB" w:eastAsia="es-ES"/>
              </w:rPr>
            </w:pPr>
            <w:r w:rsidRPr="007B4291">
              <w:rPr>
                <w:rFonts w:ascii="MS Sans Serif" w:eastAsia="Times New Roman" w:hAnsi="MS Sans Serif" w:cs="Arial"/>
                <w:b/>
                <w:bCs/>
                <w:sz w:val="20"/>
                <w:szCs w:val="20"/>
                <w:lang w:val="en-GB" w:eastAsia="es-ES"/>
              </w:rPr>
              <w:t>TRIPS/PERSON</w:t>
            </w:r>
          </w:p>
        </w:tc>
      </w:tr>
      <w:tr w:rsidR="0052659C" w:rsidRPr="00A653CA" w:rsidTr="007B4291">
        <w:trPr>
          <w:trHeight w:val="284"/>
        </w:trPr>
        <w:tc>
          <w:tcPr>
            <w:tcW w:w="1505" w:type="pct"/>
            <w:tcBorders>
              <w:top w:val="nil"/>
              <w:left w:val="single" w:sz="4" w:space="0" w:color="auto"/>
              <w:bottom w:val="single" w:sz="4" w:space="0" w:color="auto"/>
              <w:right w:val="single" w:sz="4" w:space="0" w:color="auto"/>
            </w:tcBorders>
            <w:shd w:val="clear" w:color="auto" w:fill="auto"/>
            <w:noWrap/>
            <w:vAlign w:val="center"/>
            <w:hideMark/>
          </w:tcPr>
          <w:p w:rsidR="0052659C" w:rsidRPr="007B4291" w:rsidRDefault="0052659C" w:rsidP="0052659C">
            <w:pPr>
              <w:spacing w:after="0" w:line="240" w:lineRule="auto"/>
              <w:rPr>
                <w:rFonts w:ascii="Arial" w:eastAsia="Times New Roman" w:hAnsi="Arial" w:cs="Arial"/>
                <w:b/>
                <w:sz w:val="24"/>
                <w:szCs w:val="20"/>
                <w:lang w:val="en-GB" w:eastAsia="es-ES"/>
              </w:rPr>
            </w:pPr>
            <w:r w:rsidRPr="007B4291">
              <w:rPr>
                <w:rFonts w:ascii="Arial" w:eastAsia="Times New Roman" w:hAnsi="Arial" w:cs="Arial"/>
                <w:b/>
                <w:sz w:val="24"/>
                <w:szCs w:val="20"/>
                <w:lang w:val="en-GB" w:eastAsia="es-ES"/>
              </w:rPr>
              <w:t>Spanish</w:t>
            </w:r>
          </w:p>
        </w:tc>
        <w:tc>
          <w:tcPr>
            <w:tcW w:w="879" w:type="pct"/>
            <w:tcBorders>
              <w:top w:val="single" w:sz="4" w:space="0" w:color="auto"/>
              <w:left w:val="nil"/>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88,64</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88,74</w:t>
            </w:r>
          </w:p>
        </w:tc>
        <w:tc>
          <w:tcPr>
            <w:tcW w:w="872" w:type="pct"/>
            <w:tcBorders>
              <w:top w:val="single" w:sz="4" w:space="0" w:color="auto"/>
              <w:left w:val="single" w:sz="4" w:space="0" w:color="auto"/>
              <w:bottom w:val="single" w:sz="4" w:space="0" w:color="auto"/>
              <w:right w:val="single" w:sz="4" w:space="0" w:color="auto"/>
            </w:tcBorders>
            <w:vAlign w:val="center"/>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0,10</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0,</w:t>
            </w:r>
            <w:r>
              <w:rPr>
                <w:rFonts w:ascii="Arial" w:eastAsia="Times New Roman" w:hAnsi="Arial" w:cs="Arial"/>
                <w:sz w:val="24"/>
                <w:szCs w:val="20"/>
                <w:lang w:val="en-GB" w:eastAsia="es-ES"/>
              </w:rPr>
              <w:t>326</w:t>
            </w:r>
          </w:p>
        </w:tc>
      </w:tr>
      <w:tr w:rsidR="0052659C" w:rsidRPr="00A653CA" w:rsidTr="007B4291">
        <w:trPr>
          <w:trHeight w:val="284"/>
        </w:trPr>
        <w:tc>
          <w:tcPr>
            <w:tcW w:w="1505" w:type="pct"/>
            <w:tcBorders>
              <w:top w:val="nil"/>
              <w:left w:val="single" w:sz="4" w:space="0" w:color="auto"/>
              <w:bottom w:val="single" w:sz="4" w:space="0" w:color="auto"/>
              <w:right w:val="single" w:sz="4" w:space="0" w:color="auto"/>
            </w:tcBorders>
            <w:shd w:val="clear" w:color="auto" w:fill="auto"/>
            <w:noWrap/>
            <w:vAlign w:val="center"/>
            <w:hideMark/>
          </w:tcPr>
          <w:p w:rsidR="0052659C" w:rsidRPr="007B4291" w:rsidRDefault="0052659C" w:rsidP="0052659C">
            <w:pPr>
              <w:spacing w:after="0" w:line="240" w:lineRule="auto"/>
              <w:rPr>
                <w:rFonts w:ascii="Arial" w:eastAsia="Times New Roman" w:hAnsi="Arial" w:cs="Arial"/>
                <w:b/>
                <w:sz w:val="24"/>
                <w:szCs w:val="20"/>
                <w:lang w:val="en-GB" w:eastAsia="es-ES"/>
              </w:rPr>
            </w:pPr>
            <w:r w:rsidRPr="007B4291">
              <w:rPr>
                <w:rFonts w:ascii="Arial" w:eastAsia="Times New Roman" w:hAnsi="Arial" w:cs="Arial"/>
                <w:b/>
                <w:sz w:val="24"/>
                <w:szCs w:val="20"/>
                <w:lang w:val="en-GB" w:eastAsia="es-ES"/>
              </w:rPr>
              <w:t>Foreigners</w:t>
            </w:r>
          </w:p>
        </w:tc>
        <w:tc>
          <w:tcPr>
            <w:tcW w:w="879" w:type="pct"/>
            <w:tcBorders>
              <w:top w:val="single" w:sz="4" w:space="0" w:color="auto"/>
              <w:left w:val="nil"/>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11,36</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11,26</w:t>
            </w:r>
          </w:p>
        </w:tc>
        <w:tc>
          <w:tcPr>
            <w:tcW w:w="872" w:type="pct"/>
            <w:tcBorders>
              <w:top w:val="single" w:sz="4" w:space="0" w:color="auto"/>
              <w:left w:val="single" w:sz="4" w:space="0" w:color="auto"/>
              <w:bottom w:val="single" w:sz="4" w:space="0" w:color="auto"/>
              <w:right w:val="single" w:sz="4" w:space="0" w:color="auto"/>
            </w:tcBorders>
            <w:vAlign w:val="center"/>
          </w:tcPr>
          <w:p w:rsidR="0052659C" w:rsidRPr="00A653CA" w:rsidRDefault="0052659C" w:rsidP="0052659C">
            <w:pPr>
              <w:spacing w:after="0" w:line="240" w:lineRule="auto"/>
              <w:jc w:val="center"/>
              <w:rPr>
                <w:rFonts w:ascii="Arial" w:eastAsia="Times New Roman" w:hAnsi="Arial" w:cs="Arial"/>
                <w:sz w:val="24"/>
                <w:szCs w:val="20"/>
                <w:lang w:val="en-GB" w:eastAsia="es-ES"/>
              </w:rPr>
            </w:pPr>
            <w:r>
              <w:rPr>
                <w:rFonts w:ascii="Arial" w:eastAsia="Times New Roman" w:hAnsi="Arial" w:cs="Arial"/>
                <w:sz w:val="24"/>
                <w:szCs w:val="20"/>
                <w:lang w:val="en-GB" w:eastAsia="es-ES"/>
              </w:rPr>
              <w:t>-</w:t>
            </w:r>
            <w:r w:rsidRPr="00A653CA">
              <w:rPr>
                <w:rFonts w:ascii="Arial" w:eastAsia="Times New Roman" w:hAnsi="Arial" w:cs="Arial"/>
                <w:sz w:val="24"/>
                <w:szCs w:val="20"/>
                <w:lang w:val="en-GB" w:eastAsia="es-ES"/>
              </w:rPr>
              <w:t>0,10</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Pr>
                <w:rFonts w:ascii="Arial" w:eastAsia="Times New Roman" w:hAnsi="Arial" w:cs="Arial"/>
                <w:sz w:val="24"/>
                <w:szCs w:val="20"/>
                <w:lang w:val="en-GB" w:eastAsia="es-ES"/>
              </w:rPr>
              <w:t>0,062</w:t>
            </w:r>
          </w:p>
        </w:tc>
      </w:tr>
      <w:tr w:rsidR="0052659C" w:rsidRPr="00A653CA" w:rsidTr="007B4291">
        <w:trPr>
          <w:trHeight w:val="284"/>
        </w:trPr>
        <w:tc>
          <w:tcPr>
            <w:tcW w:w="1505" w:type="pct"/>
            <w:tcBorders>
              <w:top w:val="nil"/>
              <w:left w:val="single" w:sz="4" w:space="0" w:color="auto"/>
              <w:bottom w:val="single" w:sz="4" w:space="0" w:color="auto"/>
              <w:right w:val="single" w:sz="4" w:space="0" w:color="auto"/>
            </w:tcBorders>
            <w:shd w:val="clear" w:color="auto" w:fill="auto"/>
            <w:noWrap/>
            <w:vAlign w:val="center"/>
            <w:hideMark/>
          </w:tcPr>
          <w:p w:rsidR="0052659C" w:rsidRPr="007B4291" w:rsidRDefault="0052659C" w:rsidP="0052659C">
            <w:pPr>
              <w:spacing w:after="0" w:line="240" w:lineRule="auto"/>
              <w:rPr>
                <w:rFonts w:ascii="Arial" w:eastAsia="Times New Roman" w:hAnsi="Arial" w:cs="Arial"/>
                <w:b/>
                <w:sz w:val="24"/>
                <w:szCs w:val="20"/>
                <w:lang w:val="en-GB" w:eastAsia="es-ES"/>
              </w:rPr>
            </w:pPr>
            <w:r w:rsidRPr="007B4291">
              <w:rPr>
                <w:rFonts w:ascii="Arial" w:eastAsia="Times New Roman" w:hAnsi="Arial" w:cs="Arial"/>
                <w:b/>
                <w:sz w:val="24"/>
                <w:szCs w:val="20"/>
                <w:lang w:val="en-GB" w:eastAsia="es-ES"/>
              </w:rPr>
              <w:t>Primary education</w:t>
            </w:r>
          </w:p>
        </w:tc>
        <w:tc>
          <w:tcPr>
            <w:tcW w:w="879" w:type="pct"/>
            <w:tcBorders>
              <w:top w:val="single" w:sz="4" w:space="0" w:color="auto"/>
              <w:left w:val="nil"/>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16,20</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21,94</w:t>
            </w:r>
          </w:p>
        </w:tc>
        <w:tc>
          <w:tcPr>
            <w:tcW w:w="872" w:type="pct"/>
            <w:tcBorders>
              <w:top w:val="single" w:sz="4" w:space="0" w:color="auto"/>
              <w:left w:val="single" w:sz="4" w:space="0" w:color="auto"/>
              <w:bottom w:val="single" w:sz="4" w:space="0" w:color="auto"/>
              <w:right w:val="single" w:sz="4" w:space="0" w:color="auto"/>
            </w:tcBorders>
            <w:vAlign w:val="center"/>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5,74</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Pr>
                <w:rFonts w:ascii="Arial" w:eastAsia="Times New Roman" w:hAnsi="Arial" w:cs="Arial"/>
                <w:sz w:val="24"/>
                <w:szCs w:val="20"/>
                <w:lang w:val="en-GB" w:eastAsia="es-ES"/>
              </w:rPr>
              <w:t>0,105</w:t>
            </w:r>
          </w:p>
        </w:tc>
      </w:tr>
      <w:tr w:rsidR="0052659C" w:rsidRPr="00A653CA" w:rsidTr="007B4291">
        <w:trPr>
          <w:trHeight w:val="284"/>
        </w:trPr>
        <w:tc>
          <w:tcPr>
            <w:tcW w:w="1505" w:type="pct"/>
            <w:tcBorders>
              <w:top w:val="nil"/>
              <w:left w:val="single" w:sz="4" w:space="0" w:color="auto"/>
              <w:bottom w:val="single" w:sz="4" w:space="0" w:color="auto"/>
              <w:right w:val="single" w:sz="4" w:space="0" w:color="auto"/>
            </w:tcBorders>
            <w:shd w:val="clear" w:color="auto" w:fill="auto"/>
            <w:noWrap/>
            <w:vAlign w:val="center"/>
            <w:hideMark/>
          </w:tcPr>
          <w:p w:rsidR="0052659C" w:rsidRPr="007B4291" w:rsidRDefault="0052659C" w:rsidP="0052659C">
            <w:pPr>
              <w:spacing w:after="0" w:line="240" w:lineRule="auto"/>
              <w:rPr>
                <w:rFonts w:ascii="Arial" w:eastAsia="Times New Roman" w:hAnsi="Arial" w:cs="Arial"/>
                <w:b/>
                <w:sz w:val="24"/>
                <w:szCs w:val="20"/>
                <w:lang w:val="en-GB" w:eastAsia="es-ES"/>
              </w:rPr>
            </w:pPr>
            <w:r w:rsidRPr="007B4291">
              <w:rPr>
                <w:rFonts w:ascii="Arial" w:eastAsia="Times New Roman" w:hAnsi="Arial" w:cs="Arial"/>
                <w:b/>
                <w:sz w:val="24"/>
                <w:szCs w:val="20"/>
                <w:lang w:val="en-GB" w:eastAsia="es-ES"/>
              </w:rPr>
              <w:t>Secondary education</w:t>
            </w:r>
          </w:p>
        </w:tc>
        <w:tc>
          <w:tcPr>
            <w:tcW w:w="879" w:type="pct"/>
            <w:tcBorders>
              <w:top w:val="single" w:sz="4" w:space="0" w:color="auto"/>
              <w:left w:val="nil"/>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53,02</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49,55</w:t>
            </w:r>
          </w:p>
        </w:tc>
        <w:tc>
          <w:tcPr>
            <w:tcW w:w="872" w:type="pct"/>
            <w:tcBorders>
              <w:top w:val="single" w:sz="4" w:space="0" w:color="auto"/>
              <w:left w:val="single" w:sz="4" w:space="0" w:color="auto"/>
              <w:bottom w:val="single" w:sz="4" w:space="0" w:color="auto"/>
              <w:right w:val="single" w:sz="4" w:space="0" w:color="auto"/>
            </w:tcBorders>
            <w:vAlign w:val="center"/>
          </w:tcPr>
          <w:p w:rsidR="0052659C" w:rsidRPr="00A653CA" w:rsidRDefault="0052659C" w:rsidP="0052659C">
            <w:pPr>
              <w:spacing w:after="0" w:line="240" w:lineRule="auto"/>
              <w:jc w:val="center"/>
              <w:rPr>
                <w:rFonts w:ascii="Arial" w:eastAsia="Times New Roman" w:hAnsi="Arial" w:cs="Arial"/>
                <w:sz w:val="24"/>
                <w:szCs w:val="20"/>
                <w:lang w:val="en-GB" w:eastAsia="es-ES"/>
              </w:rPr>
            </w:pPr>
            <w:r>
              <w:rPr>
                <w:rFonts w:ascii="Arial" w:eastAsia="Times New Roman" w:hAnsi="Arial" w:cs="Arial"/>
                <w:sz w:val="24"/>
                <w:szCs w:val="20"/>
                <w:lang w:val="en-GB" w:eastAsia="es-ES"/>
              </w:rPr>
              <w:t>-</w:t>
            </w:r>
            <w:r w:rsidRPr="00A653CA">
              <w:rPr>
                <w:rFonts w:ascii="Arial" w:eastAsia="Times New Roman" w:hAnsi="Arial" w:cs="Arial"/>
                <w:sz w:val="24"/>
                <w:szCs w:val="20"/>
                <w:lang w:val="en-GB" w:eastAsia="es-ES"/>
              </w:rPr>
              <w:t>3,47</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Pr>
                <w:rFonts w:ascii="Arial" w:eastAsia="Times New Roman" w:hAnsi="Arial" w:cs="Arial"/>
                <w:sz w:val="24"/>
                <w:szCs w:val="20"/>
                <w:lang w:val="en-GB" w:eastAsia="es-ES"/>
              </w:rPr>
              <w:t>0,268</w:t>
            </w:r>
          </w:p>
        </w:tc>
      </w:tr>
      <w:tr w:rsidR="0052659C" w:rsidRPr="00A653CA" w:rsidTr="007B4291">
        <w:trPr>
          <w:trHeight w:val="284"/>
        </w:trPr>
        <w:tc>
          <w:tcPr>
            <w:tcW w:w="1505" w:type="pct"/>
            <w:tcBorders>
              <w:top w:val="nil"/>
              <w:left w:val="single" w:sz="4" w:space="0" w:color="auto"/>
              <w:bottom w:val="single" w:sz="4" w:space="0" w:color="auto"/>
              <w:right w:val="single" w:sz="4" w:space="0" w:color="auto"/>
            </w:tcBorders>
            <w:shd w:val="clear" w:color="auto" w:fill="auto"/>
            <w:noWrap/>
            <w:vAlign w:val="center"/>
            <w:hideMark/>
          </w:tcPr>
          <w:p w:rsidR="0052659C" w:rsidRPr="007B4291" w:rsidRDefault="0052659C" w:rsidP="0052659C">
            <w:pPr>
              <w:spacing w:after="0" w:line="240" w:lineRule="auto"/>
              <w:rPr>
                <w:rFonts w:ascii="Arial" w:eastAsia="Times New Roman" w:hAnsi="Arial" w:cs="Arial"/>
                <w:b/>
                <w:sz w:val="24"/>
                <w:szCs w:val="20"/>
                <w:lang w:val="en-GB" w:eastAsia="es-ES"/>
              </w:rPr>
            </w:pPr>
            <w:r w:rsidRPr="007B4291">
              <w:rPr>
                <w:rFonts w:ascii="Arial" w:eastAsia="Times New Roman" w:hAnsi="Arial" w:cs="Arial"/>
                <w:b/>
                <w:sz w:val="24"/>
                <w:szCs w:val="20"/>
                <w:lang w:val="en-GB" w:eastAsia="es-ES"/>
              </w:rPr>
              <w:t>High education</w:t>
            </w:r>
          </w:p>
        </w:tc>
        <w:tc>
          <w:tcPr>
            <w:tcW w:w="879" w:type="pct"/>
            <w:tcBorders>
              <w:top w:val="single" w:sz="4" w:space="0" w:color="auto"/>
              <w:left w:val="nil"/>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30,77</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28,51</w:t>
            </w:r>
          </w:p>
        </w:tc>
        <w:tc>
          <w:tcPr>
            <w:tcW w:w="872" w:type="pct"/>
            <w:tcBorders>
              <w:top w:val="single" w:sz="4" w:space="0" w:color="auto"/>
              <w:left w:val="single" w:sz="4" w:space="0" w:color="auto"/>
              <w:bottom w:val="single" w:sz="4" w:space="0" w:color="auto"/>
              <w:right w:val="single" w:sz="4" w:space="0" w:color="auto"/>
            </w:tcBorders>
            <w:vAlign w:val="center"/>
          </w:tcPr>
          <w:p w:rsidR="0052659C" w:rsidRPr="00A653CA" w:rsidRDefault="0052659C" w:rsidP="0052659C">
            <w:pPr>
              <w:spacing w:after="0" w:line="240" w:lineRule="auto"/>
              <w:jc w:val="center"/>
              <w:rPr>
                <w:rFonts w:ascii="Arial" w:eastAsia="Times New Roman" w:hAnsi="Arial" w:cs="Arial"/>
                <w:sz w:val="24"/>
                <w:szCs w:val="20"/>
                <w:lang w:val="en-GB" w:eastAsia="es-ES"/>
              </w:rPr>
            </w:pPr>
            <w:r>
              <w:rPr>
                <w:rFonts w:ascii="Arial" w:eastAsia="Times New Roman" w:hAnsi="Arial" w:cs="Arial"/>
                <w:sz w:val="24"/>
                <w:szCs w:val="20"/>
                <w:lang w:val="en-GB" w:eastAsia="es-ES"/>
              </w:rPr>
              <w:t>-</w:t>
            </w:r>
            <w:r w:rsidRPr="00A653CA">
              <w:rPr>
                <w:rFonts w:ascii="Arial" w:eastAsia="Times New Roman" w:hAnsi="Arial" w:cs="Arial"/>
                <w:sz w:val="24"/>
                <w:szCs w:val="20"/>
                <w:lang w:val="en-GB" w:eastAsia="es-ES"/>
              </w:rPr>
              <w:t>2,26</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Pr>
                <w:rFonts w:ascii="Arial" w:eastAsia="Times New Roman" w:hAnsi="Arial" w:cs="Arial"/>
                <w:sz w:val="24"/>
                <w:szCs w:val="20"/>
                <w:lang w:val="en-GB" w:eastAsia="es-ES"/>
              </w:rPr>
              <w:t>0,49</w:t>
            </w:r>
            <w:r w:rsidR="00467420">
              <w:rPr>
                <w:rFonts w:ascii="Arial" w:eastAsia="Times New Roman" w:hAnsi="Arial" w:cs="Arial"/>
                <w:sz w:val="24"/>
                <w:szCs w:val="20"/>
                <w:lang w:val="en-GB" w:eastAsia="es-ES"/>
              </w:rPr>
              <w:t>0</w:t>
            </w:r>
          </w:p>
        </w:tc>
      </w:tr>
      <w:tr w:rsidR="0052659C" w:rsidRPr="00A653CA" w:rsidTr="007B4291">
        <w:trPr>
          <w:trHeight w:val="284"/>
        </w:trPr>
        <w:tc>
          <w:tcPr>
            <w:tcW w:w="1505" w:type="pct"/>
            <w:tcBorders>
              <w:top w:val="nil"/>
              <w:left w:val="single" w:sz="4" w:space="0" w:color="auto"/>
              <w:bottom w:val="single" w:sz="4" w:space="0" w:color="auto"/>
              <w:right w:val="single" w:sz="4" w:space="0" w:color="auto"/>
            </w:tcBorders>
            <w:shd w:val="clear" w:color="auto" w:fill="auto"/>
            <w:noWrap/>
            <w:vAlign w:val="center"/>
            <w:hideMark/>
          </w:tcPr>
          <w:p w:rsidR="0052659C" w:rsidRPr="007B4291" w:rsidRDefault="0052659C" w:rsidP="0052659C">
            <w:pPr>
              <w:spacing w:after="0" w:line="240" w:lineRule="auto"/>
              <w:rPr>
                <w:rFonts w:ascii="Arial" w:eastAsia="Times New Roman" w:hAnsi="Arial" w:cs="Arial"/>
                <w:b/>
                <w:sz w:val="24"/>
                <w:szCs w:val="20"/>
                <w:lang w:val="en-GB" w:eastAsia="es-ES"/>
              </w:rPr>
            </w:pPr>
            <w:r w:rsidRPr="007B4291">
              <w:rPr>
                <w:rFonts w:ascii="Arial" w:eastAsia="Times New Roman" w:hAnsi="Arial" w:cs="Arial"/>
                <w:b/>
                <w:sz w:val="24"/>
                <w:szCs w:val="20"/>
                <w:lang w:val="en-GB" w:eastAsia="es-ES"/>
              </w:rPr>
              <w:t>Men</w:t>
            </w:r>
          </w:p>
        </w:tc>
        <w:tc>
          <w:tcPr>
            <w:tcW w:w="879" w:type="pct"/>
            <w:tcBorders>
              <w:top w:val="single" w:sz="4" w:space="0" w:color="auto"/>
              <w:left w:val="nil"/>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49,39</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48,67</w:t>
            </w:r>
          </w:p>
        </w:tc>
        <w:tc>
          <w:tcPr>
            <w:tcW w:w="872" w:type="pct"/>
            <w:tcBorders>
              <w:top w:val="single" w:sz="4" w:space="0" w:color="auto"/>
              <w:left w:val="single" w:sz="4" w:space="0" w:color="auto"/>
              <w:bottom w:val="single" w:sz="4" w:space="0" w:color="auto"/>
              <w:right w:val="single" w:sz="4" w:space="0" w:color="auto"/>
            </w:tcBorders>
            <w:vAlign w:val="center"/>
          </w:tcPr>
          <w:p w:rsidR="0052659C" w:rsidRPr="00A653CA" w:rsidRDefault="0052659C" w:rsidP="0052659C">
            <w:pPr>
              <w:spacing w:after="0" w:line="240" w:lineRule="auto"/>
              <w:jc w:val="center"/>
              <w:rPr>
                <w:rFonts w:ascii="Arial" w:eastAsia="Times New Roman" w:hAnsi="Arial" w:cs="Arial"/>
                <w:sz w:val="24"/>
                <w:szCs w:val="20"/>
                <w:lang w:val="en-GB" w:eastAsia="es-ES"/>
              </w:rPr>
            </w:pPr>
            <w:r>
              <w:rPr>
                <w:rFonts w:ascii="Arial" w:eastAsia="Times New Roman" w:hAnsi="Arial" w:cs="Arial"/>
                <w:sz w:val="24"/>
                <w:szCs w:val="20"/>
                <w:lang w:val="en-GB" w:eastAsia="es-ES"/>
              </w:rPr>
              <w:t>-</w:t>
            </w:r>
            <w:r w:rsidRPr="00A653CA">
              <w:rPr>
                <w:rFonts w:ascii="Arial" w:eastAsia="Times New Roman" w:hAnsi="Arial" w:cs="Arial"/>
                <w:sz w:val="24"/>
                <w:szCs w:val="20"/>
                <w:lang w:val="en-GB" w:eastAsia="es-ES"/>
              </w:rPr>
              <w:t>0,72</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Pr>
                <w:rFonts w:ascii="Arial" w:eastAsia="Times New Roman" w:hAnsi="Arial" w:cs="Arial"/>
                <w:sz w:val="24"/>
                <w:szCs w:val="20"/>
                <w:lang w:val="en-GB" w:eastAsia="es-ES"/>
              </w:rPr>
              <w:t>0,346</w:t>
            </w:r>
          </w:p>
        </w:tc>
      </w:tr>
      <w:tr w:rsidR="0052659C" w:rsidRPr="00A653CA" w:rsidTr="007B4291">
        <w:trPr>
          <w:trHeight w:val="284"/>
        </w:trPr>
        <w:tc>
          <w:tcPr>
            <w:tcW w:w="1505" w:type="pct"/>
            <w:tcBorders>
              <w:top w:val="nil"/>
              <w:left w:val="single" w:sz="4" w:space="0" w:color="auto"/>
              <w:bottom w:val="single" w:sz="4" w:space="0" w:color="auto"/>
              <w:right w:val="single" w:sz="4" w:space="0" w:color="auto"/>
            </w:tcBorders>
            <w:shd w:val="clear" w:color="auto" w:fill="auto"/>
            <w:noWrap/>
            <w:vAlign w:val="center"/>
            <w:hideMark/>
          </w:tcPr>
          <w:p w:rsidR="0052659C" w:rsidRPr="007B4291" w:rsidRDefault="0052659C" w:rsidP="0052659C">
            <w:pPr>
              <w:spacing w:after="0" w:line="240" w:lineRule="auto"/>
              <w:rPr>
                <w:rFonts w:ascii="Arial" w:eastAsia="Times New Roman" w:hAnsi="Arial" w:cs="Arial"/>
                <w:b/>
                <w:sz w:val="24"/>
                <w:szCs w:val="20"/>
                <w:lang w:val="en-GB" w:eastAsia="es-ES"/>
              </w:rPr>
            </w:pPr>
            <w:r w:rsidRPr="007B4291">
              <w:rPr>
                <w:rFonts w:ascii="Arial" w:eastAsia="Times New Roman" w:hAnsi="Arial" w:cs="Arial"/>
                <w:b/>
                <w:sz w:val="24"/>
                <w:szCs w:val="20"/>
                <w:lang w:val="en-GB" w:eastAsia="es-ES"/>
              </w:rPr>
              <w:t>Women</w:t>
            </w:r>
          </w:p>
        </w:tc>
        <w:tc>
          <w:tcPr>
            <w:tcW w:w="879" w:type="pct"/>
            <w:tcBorders>
              <w:top w:val="single" w:sz="4" w:space="0" w:color="auto"/>
              <w:left w:val="nil"/>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50,61</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51,33</w:t>
            </w:r>
          </w:p>
        </w:tc>
        <w:tc>
          <w:tcPr>
            <w:tcW w:w="872" w:type="pct"/>
            <w:tcBorders>
              <w:top w:val="single" w:sz="4" w:space="0" w:color="auto"/>
              <w:left w:val="single" w:sz="4" w:space="0" w:color="auto"/>
              <w:bottom w:val="single" w:sz="4" w:space="0" w:color="auto"/>
              <w:right w:val="single" w:sz="4" w:space="0" w:color="auto"/>
            </w:tcBorders>
            <w:vAlign w:val="center"/>
          </w:tcPr>
          <w:p w:rsidR="0052659C" w:rsidRPr="00A653CA" w:rsidRDefault="0052659C" w:rsidP="0052659C">
            <w:pPr>
              <w:spacing w:after="0" w:line="240" w:lineRule="auto"/>
              <w:jc w:val="center"/>
              <w:rPr>
                <w:rFonts w:ascii="Arial" w:eastAsia="Times New Roman" w:hAnsi="Arial" w:cs="Arial"/>
                <w:sz w:val="24"/>
                <w:szCs w:val="20"/>
                <w:lang w:val="en-GB" w:eastAsia="es-ES"/>
              </w:rPr>
            </w:pPr>
            <w:r w:rsidRPr="00A653CA">
              <w:rPr>
                <w:rFonts w:ascii="Arial" w:eastAsia="Times New Roman" w:hAnsi="Arial" w:cs="Arial"/>
                <w:sz w:val="24"/>
                <w:szCs w:val="20"/>
                <w:lang w:val="en-GB" w:eastAsia="es-ES"/>
              </w:rPr>
              <w:t>0,72</w:t>
            </w:r>
          </w:p>
        </w:tc>
        <w:tc>
          <w:tcPr>
            <w:tcW w:w="8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659C" w:rsidRPr="00A653CA" w:rsidRDefault="0052659C" w:rsidP="0052659C">
            <w:pPr>
              <w:spacing w:after="0" w:line="240" w:lineRule="auto"/>
              <w:jc w:val="center"/>
              <w:rPr>
                <w:rFonts w:ascii="Arial" w:eastAsia="Times New Roman" w:hAnsi="Arial" w:cs="Arial"/>
                <w:sz w:val="24"/>
                <w:szCs w:val="20"/>
                <w:lang w:val="en-GB" w:eastAsia="es-ES"/>
              </w:rPr>
            </w:pPr>
            <w:r>
              <w:rPr>
                <w:rFonts w:ascii="Arial" w:eastAsia="Times New Roman" w:hAnsi="Arial" w:cs="Arial"/>
                <w:sz w:val="24"/>
                <w:szCs w:val="20"/>
                <w:lang w:val="en-GB" w:eastAsia="es-ES"/>
              </w:rPr>
              <w:t>0,298</w:t>
            </w:r>
          </w:p>
        </w:tc>
      </w:tr>
    </w:tbl>
    <w:p w:rsidR="003A75BA" w:rsidRPr="00C82524" w:rsidRDefault="00A83C83" w:rsidP="00825FBE">
      <w:pPr>
        <w:spacing w:before="120" w:after="0" w:line="360" w:lineRule="auto"/>
        <w:jc w:val="both"/>
        <w:rPr>
          <w:rFonts w:ascii="Arial" w:hAnsi="Arial" w:cs="Arial"/>
          <w:sz w:val="20"/>
          <w:szCs w:val="20"/>
          <w:lang w:val="en-GB"/>
        </w:rPr>
      </w:pPr>
      <w:r w:rsidRPr="00C82524">
        <w:rPr>
          <w:rFonts w:ascii="Arial" w:hAnsi="Arial" w:cs="Arial"/>
          <w:sz w:val="20"/>
          <w:szCs w:val="20"/>
          <w:lang w:val="en-GB"/>
        </w:rPr>
        <w:t>Sour</w:t>
      </w:r>
      <w:r w:rsidR="002F2910" w:rsidRPr="00BF7B29">
        <w:rPr>
          <w:rFonts w:ascii="Arial" w:hAnsi="Arial" w:cs="Arial"/>
          <w:sz w:val="20"/>
          <w:szCs w:val="20"/>
          <w:lang w:val="en-GB"/>
        </w:rPr>
        <w:t>ce</w:t>
      </w:r>
      <w:r w:rsidRPr="00C82524">
        <w:rPr>
          <w:rFonts w:ascii="Arial" w:hAnsi="Arial" w:cs="Arial"/>
          <w:sz w:val="20"/>
          <w:szCs w:val="20"/>
          <w:lang w:val="en-GB"/>
        </w:rPr>
        <w:t>: Residents Travel Survey. December 2017.</w:t>
      </w:r>
    </w:p>
    <w:p w:rsidR="007C3271" w:rsidRDefault="007C3271" w:rsidP="00825FBE">
      <w:pPr>
        <w:spacing w:before="120" w:after="0" w:line="360" w:lineRule="auto"/>
        <w:jc w:val="both"/>
        <w:rPr>
          <w:rFonts w:ascii="Arial" w:hAnsi="Arial" w:cs="Arial"/>
          <w:sz w:val="24"/>
          <w:szCs w:val="24"/>
          <w:lang w:val="en-GB"/>
        </w:rPr>
      </w:pPr>
      <w:r>
        <w:rPr>
          <w:rFonts w:ascii="Arial" w:hAnsi="Arial" w:cs="Arial"/>
          <w:sz w:val="24"/>
          <w:szCs w:val="24"/>
          <w:lang w:val="en-GB"/>
        </w:rPr>
        <w:t>In this case, it is noted a significant difference in</w:t>
      </w:r>
      <w:r w:rsidR="0052659C">
        <w:rPr>
          <w:rFonts w:ascii="Arial" w:hAnsi="Arial" w:cs="Arial"/>
          <w:sz w:val="24"/>
          <w:szCs w:val="24"/>
          <w:lang w:val="en-GB"/>
        </w:rPr>
        <w:t xml:space="preserve"> </w:t>
      </w:r>
      <w:r>
        <w:rPr>
          <w:rFonts w:ascii="Arial" w:hAnsi="Arial" w:cs="Arial"/>
          <w:sz w:val="24"/>
          <w:szCs w:val="24"/>
          <w:lang w:val="en-GB"/>
        </w:rPr>
        <w:t>the educational level structure whereas the nationality and</w:t>
      </w:r>
      <w:r w:rsidR="002C5B72">
        <w:rPr>
          <w:rFonts w:ascii="Arial" w:hAnsi="Arial" w:cs="Arial"/>
          <w:sz w:val="24"/>
          <w:szCs w:val="24"/>
          <w:lang w:val="en-GB"/>
        </w:rPr>
        <w:t xml:space="preserve"> gender structure </w:t>
      </w:r>
      <w:r w:rsidR="001917CD">
        <w:rPr>
          <w:rFonts w:ascii="Arial" w:hAnsi="Arial" w:cs="Arial"/>
          <w:sz w:val="24"/>
          <w:szCs w:val="24"/>
          <w:lang w:val="en-GB"/>
        </w:rPr>
        <w:t xml:space="preserve">also </w:t>
      </w:r>
      <w:r w:rsidR="002C5B72">
        <w:rPr>
          <w:rFonts w:ascii="Arial" w:hAnsi="Arial" w:cs="Arial"/>
          <w:sz w:val="24"/>
          <w:szCs w:val="24"/>
          <w:lang w:val="en-GB"/>
        </w:rPr>
        <w:t>change, but to a lesser extent.</w:t>
      </w:r>
      <w:r>
        <w:rPr>
          <w:rFonts w:ascii="Arial" w:hAnsi="Arial" w:cs="Arial"/>
          <w:sz w:val="24"/>
          <w:szCs w:val="24"/>
          <w:lang w:val="en-GB"/>
        </w:rPr>
        <w:t xml:space="preserve"> </w:t>
      </w:r>
      <w:r w:rsidR="002C5B72">
        <w:rPr>
          <w:rFonts w:ascii="Arial" w:hAnsi="Arial" w:cs="Arial"/>
          <w:sz w:val="24"/>
          <w:szCs w:val="24"/>
          <w:lang w:val="en-GB"/>
        </w:rPr>
        <w:t xml:space="preserve">If we analyse this for the whole year, the educational level structure changes in similar magnitudes </w:t>
      </w:r>
      <w:r w:rsidR="00A83C83">
        <w:rPr>
          <w:rFonts w:ascii="Arial" w:hAnsi="Arial" w:cs="Arial"/>
          <w:sz w:val="24"/>
          <w:szCs w:val="24"/>
          <w:lang w:val="en-GB"/>
        </w:rPr>
        <w:t>every</w:t>
      </w:r>
      <w:r w:rsidR="002C5B72">
        <w:rPr>
          <w:rFonts w:ascii="Arial" w:hAnsi="Arial" w:cs="Arial"/>
          <w:sz w:val="24"/>
          <w:szCs w:val="24"/>
          <w:lang w:val="en-GB"/>
        </w:rPr>
        <w:t xml:space="preserve"> month, whereas the other two variables</w:t>
      </w:r>
      <w:r w:rsidR="00A83C83">
        <w:rPr>
          <w:rFonts w:ascii="Arial" w:hAnsi="Arial" w:cs="Arial"/>
          <w:sz w:val="24"/>
          <w:szCs w:val="24"/>
          <w:lang w:val="en-GB"/>
        </w:rPr>
        <w:t xml:space="preserve"> do</w:t>
      </w:r>
      <w:r w:rsidR="002C5B72">
        <w:rPr>
          <w:rFonts w:ascii="Arial" w:hAnsi="Arial" w:cs="Arial"/>
          <w:sz w:val="24"/>
          <w:szCs w:val="24"/>
          <w:lang w:val="en-GB"/>
        </w:rPr>
        <w:t xml:space="preserve"> not always </w:t>
      </w:r>
      <w:r w:rsidR="00A83C83">
        <w:rPr>
          <w:rFonts w:ascii="Arial" w:hAnsi="Arial" w:cs="Arial"/>
          <w:sz w:val="24"/>
          <w:szCs w:val="24"/>
          <w:lang w:val="en-GB"/>
        </w:rPr>
        <w:t>present the same bias</w:t>
      </w:r>
      <w:r w:rsidR="002C5B72">
        <w:rPr>
          <w:rFonts w:ascii="Arial" w:hAnsi="Arial" w:cs="Arial"/>
          <w:sz w:val="24"/>
          <w:szCs w:val="24"/>
          <w:lang w:val="en-GB"/>
        </w:rPr>
        <w:t>.</w:t>
      </w:r>
      <w:r w:rsidR="0052659C">
        <w:rPr>
          <w:rFonts w:ascii="Arial" w:hAnsi="Arial" w:cs="Arial"/>
          <w:sz w:val="24"/>
          <w:szCs w:val="24"/>
          <w:lang w:val="en-GB"/>
        </w:rPr>
        <w:t xml:space="preserve"> </w:t>
      </w:r>
    </w:p>
    <w:p w:rsidR="001066B5" w:rsidRDefault="004D1F04" w:rsidP="00825FBE">
      <w:pPr>
        <w:spacing w:before="120" w:after="0" w:line="360" w:lineRule="auto"/>
        <w:jc w:val="both"/>
        <w:rPr>
          <w:rFonts w:ascii="Arial" w:hAnsi="Arial" w:cs="Arial"/>
          <w:sz w:val="24"/>
          <w:szCs w:val="24"/>
          <w:lang w:val="en-GB"/>
        </w:rPr>
      </w:pPr>
      <w:r>
        <w:rPr>
          <w:rFonts w:ascii="Arial" w:hAnsi="Arial" w:cs="Arial"/>
          <w:sz w:val="24"/>
          <w:szCs w:val="24"/>
          <w:lang w:val="en-GB"/>
        </w:rPr>
        <w:t xml:space="preserve">Focusing on the educational level, it is observed that primary education respondents are </w:t>
      </w:r>
      <w:r w:rsidR="000E742A">
        <w:rPr>
          <w:rFonts w:ascii="Arial" w:hAnsi="Arial" w:cs="Arial"/>
          <w:sz w:val="24"/>
          <w:szCs w:val="24"/>
          <w:lang w:val="en-GB"/>
        </w:rPr>
        <w:t>underrepresented in the sample</w:t>
      </w:r>
      <w:r>
        <w:rPr>
          <w:rFonts w:ascii="Arial" w:hAnsi="Arial" w:cs="Arial"/>
          <w:sz w:val="24"/>
          <w:szCs w:val="24"/>
          <w:lang w:val="en-GB"/>
        </w:rPr>
        <w:t xml:space="preserve"> whereas the secondary and higher education groups are </w:t>
      </w:r>
      <w:r w:rsidR="000E742A">
        <w:rPr>
          <w:rFonts w:ascii="Arial" w:hAnsi="Arial" w:cs="Arial"/>
          <w:sz w:val="24"/>
          <w:szCs w:val="24"/>
          <w:lang w:val="en-GB"/>
        </w:rPr>
        <w:t>overrepresented</w:t>
      </w:r>
      <w:r>
        <w:rPr>
          <w:rFonts w:ascii="Arial" w:hAnsi="Arial" w:cs="Arial"/>
          <w:sz w:val="24"/>
          <w:szCs w:val="24"/>
          <w:lang w:val="en-GB"/>
        </w:rPr>
        <w:t xml:space="preserve">. </w:t>
      </w:r>
      <w:r w:rsidR="001917CD">
        <w:rPr>
          <w:rFonts w:ascii="Arial" w:hAnsi="Arial" w:cs="Arial"/>
          <w:sz w:val="24"/>
          <w:szCs w:val="24"/>
          <w:lang w:val="en-GB"/>
        </w:rPr>
        <w:t xml:space="preserve">Since </w:t>
      </w:r>
      <w:r>
        <w:rPr>
          <w:rFonts w:ascii="Arial" w:hAnsi="Arial" w:cs="Arial"/>
          <w:sz w:val="24"/>
          <w:szCs w:val="24"/>
          <w:lang w:val="en-GB"/>
        </w:rPr>
        <w:t>the first group has</w:t>
      </w:r>
      <w:r w:rsidR="001917CD">
        <w:rPr>
          <w:rFonts w:ascii="Arial" w:hAnsi="Arial" w:cs="Arial"/>
          <w:sz w:val="24"/>
          <w:szCs w:val="24"/>
          <w:lang w:val="en-GB"/>
        </w:rPr>
        <w:t xml:space="preserve"> always much lower</w:t>
      </w:r>
      <w:r>
        <w:rPr>
          <w:rFonts w:ascii="Arial" w:hAnsi="Arial" w:cs="Arial"/>
          <w:sz w:val="24"/>
          <w:szCs w:val="24"/>
          <w:lang w:val="en-GB"/>
        </w:rPr>
        <w:t xml:space="preserve"> trips per person rates </w:t>
      </w:r>
      <w:r w:rsidR="001917CD">
        <w:rPr>
          <w:rFonts w:ascii="Arial" w:hAnsi="Arial" w:cs="Arial"/>
          <w:sz w:val="24"/>
          <w:szCs w:val="24"/>
          <w:lang w:val="en-GB"/>
        </w:rPr>
        <w:t xml:space="preserve">than the others, </w:t>
      </w:r>
      <w:r w:rsidR="000E742A">
        <w:rPr>
          <w:rFonts w:ascii="Arial" w:hAnsi="Arial" w:cs="Arial"/>
          <w:sz w:val="24"/>
          <w:szCs w:val="24"/>
          <w:lang w:val="en-GB"/>
        </w:rPr>
        <w:t xml:space="preserve">adjustment of the population totals </w:t>
      </w:r>
      <w:r w:rsidR="001917CD">
        <w:rPr>
          <w:rFonts w:ascii="Arial" w:hAnsi="Arial" w:cs="Arial"/>
          <w:sz w:val="24"/>
          <w:szCs w:val="24"/>
          <w:lang w:val="en-GB"/>
        </w:rPr>
        <w:t>should mean a decrease in the survey trips estimate</w:t>
      </w:r>
      <w:r w:rsidR="003A75BA">
        <w:rPr>
          <w:rFonts w:ascii="Arial" w:hAnsi="Arial" w:cs="Arial"/>
          <w:sz w:val="24"/>
          <w:szCs w:val="24"/>
          <w:lang w:val="en-GB"/>
        </w:rPr>
        <w:t xml:space="preserve">s, just like it is observed in </w:t>
      </w:r>
      <w:r w:rsidR="00392C11">
        <w:rPr>
          <w:rFonts w:ascii="Arial" w:hAnsi="Arial" w:cs="Arial"/>
          <w:sz w:val="24"/>
          <w:szCs w:val="24"/>
          <w:lang w:val="en-GB"/>
        </w:rPr>
        <w:t>Figure 3</w:t>
      </w:r>
      <w:r w:rsidR="003A75BA">
        <w:rPr>
          <w:rFonts w:ascii="Arial" w:hAnsi="Arial" w:cs="Arial"/>
          <w:sz w:val="24"/>
          <w:szCs w:val="24"/>
          <w:lang w:val="en-GB"/>
        </w:rPr>
        <w:t>:</w:t>
      </w:r>
    </w:p>
    <w:p w:rsidR="001066B5" w:rsidRPr="00C82524" w:rsidRDefault="001066B5" w:rsidP="00FC4182">
      <w:pPr>
        <w:pStyle w:val="Legenda"/>
        <w:keepNext/>
        <w:spacing w:before="120"/>
        <w:jc w:val="both"/>
        <w:rPr>
          <w:rFonts w:ascii="Arial" w:hAnsi="Arial" w:cs="Arial"/>
          <w:b/>
          <w:i w:val="0"/>
          <w:color w:val="auto"/>
          <w:sz w:val="20"/>
          <w:szCs w:val="20"/>
          <w:lang w:val="en-GB"/>
        </w:rPr>
      </w:pPr>
      <w:r w:rsidRPr="00EC5F5A">
        <w:rPr>
          <w:rFonts w:ascii="Arial" w:hAnsi="Arial" w:cs="Arial"/>
          <w:b/>
          <w:i w:val="0"/>
          <w:color w:val="auto"/>
          <w:sz w:val="20"/>
          <w:szCs w:val="20"/>
          <w:lang w:val="en-GB"/>
        </w:rPr>
        <w:t xml:space="preserve">Figure </w:t>
      </w:r>
      <w:r>
        <w:rPr>
          <w:rFonts w:ascii="Arial" w:hAnsi="Arial" w:cs="Arial"/>
          <w:b/>
          <w:i w:val="0"/>
          <w:color w:val="auto"/>
          <w:sz w:val="20"/>
          <w:szCs w:val="20"/>
          <w:lang w:val="en-GB"/>
        </w:rPr>
        <w:t>3</w:t>
      </w:r>
      <w:r w:rsidRPr="00EC5F5A">
        <w:rPr>
          <w:rFonts w:ascii="Arial" w:hAnsi="Arial" w:cs="Arial"/>
          <w:b/>
          <w:i w:val="0"/>
          <w:color w:val="auto"/>
          <w:sz w:val="20"/>
          <w:szCs w:val="20"/>
          <w:lang w:val="en-GB"/>
        </w:rPr>
        <w:t xml:space="preserve">. </w:t>
      </w:r>
      <w:r>
        <w:rPr>
          <w:rFonts w:ascii="Arial" w:hAnsi="Arial" w:cs="Arial"/>
          <w:b/>
          <w:i w:val="0"/>
          <w:color w:val="auto"/>
          <w:sz w:val="20"/>
          <w:szCs w:val="20"/>
          <w:lang w:val="en-GB"/>
        </w:rPr>
        <w:t>RTS trips estimates (non-calibrated and calibrated to sociodemographic variables)</w:t>
      </w:r>
      <w:r w:rsidR="00022FCB">
        <w:rPr>
          <w:rFonts w:ascii="Arial" w:hAnsi="Arial" w:cs="Arial"/>
          <w:b/>
          <w:i w:val="0"/>
          <w:color w:val="auto"/>
          <w:sz w:val="20"/>
          <w:szCs w:val="20"/>
          <w:lang w:val="en-GB"/>
        </w:rPr>
        <w:t xml:space="preserve">. </w:t>
      </w:r>
      <w:r w:rsidR="00022FCB" w:rsidRPr="00C85ABE">
        <w:rPr>
          <w:rFonts w:ascii="Arial" w:hAnsi="Arial" w:cs="Arial"/>
          <w:b/>
          <w:i w:val="0"/>
          <w:color w:val="auto"/>
          <w:sz w:val="20"/>
          <w:szCs w:val="20"/>
          <w:lang w:val="en-GB"/>
        </w:rPr>
        <w:t>Note: y axis origin is shifted</w:t>
      </w:r>
      <w:r w:rsidR="00022FCB">
        <w:rPr>
          <w:rFonts w:ascii="Arial" w:hAnsi="Arial" w:cs="Arial"/>
          <w:b/>
          <w:i w:val="0"/>
          <w:color w:val="auto"/>
          <w:sz w:val="20"/>
          <w:szCs w:val="20"/>
          <w:lang w:val="en-GB"/>
        </w:rPr>
        <w:t>.</w:t>
      </w:r>
    </w:p>
    <w:p w:rsidR="003A75BA" w:rsidRDefault="001A11C3" w:rsidP="00825FBE">
      <w:pPr>
        <w:spacing w:before="120" w:after="0" w:line="360" w:lineRule="auto"/>
        <w:jc w:val="both"/>
        <w:rPr>
          <w:rFonts w:ascii="Arial" w:hAnsi="Arial" w:cs="Arial"/>
          <w:sz w:val="24"/>
          <w:szCs w:val="24"/>
          <w:lang w:val="en-GB"/>
        </w:rPr>
      </w:pPr>
      <w:r>
        <w:rPr>
          <w:noProof/>
          <w:lang w:eastAsia="pl-PL"/>
        </w:rPr>
        <w:drawing>
          <wp:inline distT="0" distB="0" distL="0" distR="0" wp14:anchorId="342F9963" wp14:editId="0A2D53C0">
            <wp:extent cx="5760720" cy="2893060"/>
            <wp:effectExtent l="0" t="0" r="11430" b="2540"/>
            <wp:docPr id="20" name="Gráfico 2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E8E9DA-453F-456A-81CA-FD13E9E8E5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F4C7E" w:rsidRPr="00C82524" w:rsidRDefault="001066B5" w:rsidP="00FC4182">
      <w:pPr>
        <w:spacing w:before="120" w:after="240" w:line="360" w:lineRule="auto"/>
        <w:jc w:val="both"/>
        <w:rPr>
          <w:rFonts w:ascii="Arial" w:hAnsi="Arial" w:cs="Arial"/>
          <w:sz w:val="20"/>
          <w:szCs w:val="20"/>
          <w:lang w:val="en-US"/>
        </w:rPr>
      </w:pPr>
      <w:r w:rsidRPr="00C82524">
        <w:rPr>
          <w:rFonts w:ascii="Arial" w:hAnsi="Arial" w:cs="Arial"/>
          <w:sz w:val="20"/>
          <w:szCs w:val="20"/>
          <w:lang w:val="en-US"/>
        </w:rPr>
        <w:t>Source: Residents Travel Survey. 2017.</w:t>
      </w:r>
    </w:p>
    <w:p w:rsidR="00750106" w:rsidRPr="00825FBE" w:rsidRDefault="001A11C3" w:rsidP="00825FBE">
      <w:pPr>
        <w:spacing w:before="120" w:after="0" w:line="360" w:lineRule="auto"/>
        <w:jc w:val="both"/>
        <w:rPr>
          <w:rFonts w:ascii="Arial" w:hAnsi="Arial" w:cs="Arial"/>
          <w:sz w:val="24"/>
          <w:szCs w:val="24"/>
          <w:lang w:val="en-GB"/>
        </w:rPr>
      </w:pPr>
      <w:r>
        <w:rPr>
          <w:rFonts w:ascii="Arial" w:hAnsi="Arial" w:cs="Arial"/>
          <w:sz w:val="24"/>
          <w:szCs w:val="24"/>
          <w:lang w:val="en-GB"/>
        </w:rPr>
        <w:t>The average</w:t>
      </w:r>
      <w:r w:rsidR="00EF2442">
        <w:rPr>
          <w:rFonts w:ascii="Arial" w:hAnsi="Arial" w:cs="Arial"/>
          <w:sz w:val="24"/>
          <w:szCs w:val="24"/>
          <w:lang w:val="en-GB"/>
        </w:rPr>
        <w:t xml:space="preserve"> </w:t>
      </w:r>
      <w:r>
        <w:rPr>
          <w:rFonts w:ascii="Arial" w:hAnsi="Arial" w:cs="Arial"/>
          <w:sz w:val="24"/>
          <w:szCs w:val="24"/>
          <w:lang w:val="en-GB"/>
        </w:rPr>
        <w:t xml:space="preserve">decrease </w:t>
      </w:r>
      <w:r w:rsidR="00EF2442">
        <w:rPr>
          <w:rFonts w:ascii="Arial" w:hAnsi="Arial" w:cs="Arial"/>
          <w:sz w:val="24"/>
          <w:szCs w:val="24"/>
          <w:lang w:val="en-GB"/>
        </w:rPr>
        <w:t>in 2017 is close to 450.000 trips what means a -3,25% variation respect to the non-calibrated estimates.</w:t>
      </w:r>
    </w:p>
    <w:p w:rsidR="00825FBE" w:rsidRPr="00C82524" w:rsidRDefault="009329C2" w:rsidP="00C82524">
      <w:pPr>
        <w:numPr>
          <w:ilvl w:val="1"/>
          <w:numId w:val="10"/>
        </w:numPr>
        <w:spacing w:before="360" w:after="0" w:line="360" w:lineRule="auto"/>
        <w:jc w:val="both"/>
        <w:rPr>
          <w:rFonts w:ascii="Arial" w:hAnsi="Arial" w:cs="Arial"/>
          <w:i/>
          <w:sz w:val="24"/>
          <w:szCs w:val="24"/>
          <w:lang w:val="en-GB"/>
        </w:rPr>
      </w:pPr>
      <w:r w:rsidRPr="00C82524">
        <w:rPr>
          <w:rFonts w:ascii="Arial" w:hAnsi="Arial" w:cs="Arial"/>
          <w:i/>
          <w:sz w:val="24"/>
          <w:szCs w:val="24"/>
          <w:lang w:val="en-GB"/>
        </w:rPr>
        <w:t xml:space="preserve">Calibration to </w:t>
      </w:r>
      <w:r w:rsidR="008506AE" w:rsidRPr="00C82524">
        <w:rPr>
          <w:rFonts w:ascii="Arial" w:hAnsi="Arial" w:cs="Arial"/>
          <w:i/>
          <w:sz w:val="24"/>
          <w:szCs w:val="24"/>
          <w:lang w:val="en-GB"/>
        </w:rPr>
        <w:t>HOS hotel overnight stays</w:t>
      </w:r>
      <w:r w:rsidR="00825FBE" w:rsidRPr="00C82524">
        <w:rPr>
          <w:rFonts w:ascii="Arial" w:hAnsi="Arial" w:cs="Arial"/>
          <w:i/>
          <w:sz w:val="24"/>
          <w:szCs w:val="24"/>
          <w:lang w:val="en-GB"/>
        </w:rPr>
        <w:t xml:space="preserve"> (and sociodemographic)</w:t>
      </w:r>
    </w:p>
    <w:p w:rsidR="00825FBE" w:rsidRDefault="00825FBE" w:rsidP="00825FBE">
      <w:pPr>
        <w:spacing w:before="120" w:after="0" w:line="360" w:lineRule="auto"/>
        <w:jc w:val="both"/>
        <w:rPr>
          <w:rFonts w:ascii="Arial" w:hAnsi="Arial" w:cs="Arial"/>
          <w:sz w:val="24"/>
          <w:szCs w:val="24"/>
          <w:lang w:val="en-GB"/>
        </w:rPr>
      </w:pPr>
      <w:r>
        <w:rPr>
          <w:rFonts w:ascii="Arial" w:hAnsi="Arial" w:cs="Arial"/>
          <w:sz w:val="24"/>
          <w:szCs w:val="24"/>
          <w:lang w:val="en-GB"/>
        </w:rPr>
        <w:t xml:space="preserve">As it was </w:t>
      </w:r>
      <w:r w:rsidR="00DA2FCF">
        <w:rPr>
          <w:rFonts w:ascii="Arial" w:hAnsi="Arial" w:cs="Arial"/>
          <w:sz w:val="24"/>
          <w:szCs w:val="24"/>
          <w:lang w:val="en-GB"/>
        </w:rPr>
        <w:t xml:space="preserve">stated </w:t>
      </w:r>
      <w:r w:rsidR="00A97953">
        <w:rPr>
          <w:rFonts w:ascii="Arial" w:hAnsi="Arial" w:cs="Arial"/>
          <w:sz w:val="24"/>
          <w:szCs w:val="24"/>
          <w:lang w:val="en-GB"/>
        </w:rPr>
        <w:t xml:space="preserve">in previous </w:t>
      </w:r>
      <w:r w:rsidR="00A97953" w:rsidRPr="004A2F2D">
        <w:rPr>
          <w:rFonts w:ascii="Arial" w:hAnsi="Arial" w:cs="Arial"/>
          <w:sz w:val="24"/>
          <w:szCs w:val="24"/>
          <w:lang w:val="en-GB"/>
        </w:rPr>
        <w:t>sections</w:t>
      </w:r>
      <w:r w:rsidR="00E71CB8" w:rsidRPr="004A2F2D">
        <w:rPr>
          <w:rFonts w:ascii="Arial" w:hAnsi="Arial" w:cs="Arial"/>
          <w:sz w:val="24"/>
          <w:szCs w:val="24"/>
          <w:lang w:val="en-GB"/>
        </w:rPr>
        <w:t>,</w:t>
      </w:r>
      <w:r w:rsidRPr="004A2F2D">
        <w:rPr>
          <w:rFonts w:ascii="Arial" w:hAnsi="Arial" w:cs="Arial"/>
          <w:sz w:val="24"/>
          <w:szCs w:val="24"/>
          <w:lang w:val="en-GB"/>
        </w:rPr>
        <w:t xml:space="preserve"> </w:t>
      </w:r>
      <w:r w:rsidR="004A2F2D">
        <w:rPr>
          <w:rFonts w:ascii="Arial" w:hAnsi="Arial" w:cs="Arial"/>
          <w:sz w:val="24"/>
          <w:szCs w:val="24"/>
          <w:lang w:val="en-GB"/>
        </w:rPr>
        <w:t xml:space="preserve">this </w:t>
      </w:r>
      <w:r w:rsidR="00101DB4">
        <w:rPr>
          <w:rFonts w:ascii="Arial" w:hAnsi="Arial" w:cs="Arial"/>
          <w:sz w:val="24"/>
          <w:szCs w:val="24"/>
          <w:lang w:val="en-GB"/>
        </w:rPr>
        <w:t>approach was considered</w:t>
      </w:r>
      <w:r w:rsidR="004A2F2D">
        <w:rPr>
          <w:rFonts w:ascii="Arial" w:hAnsi="Arial" w:cs="Arial"/>
          <w:sz w:val="24"/>
          <w:szCs w:val="24"/>
          <w:lang w:val="en-GB"/>
        </w:rPr>
        <w:t xml:space="preserve"> </w:t>
      </w:r>
      <w:r w:rsidR="00901A8A">
        <w:rPr>
          <w:rFonts w:ascii="Arial" w:hAnsi="Arial" w:cs="Arial"/>
          <w:sz w:val="24"/>
          <w:szCs w:val="24"/>
          <w:lang w:val="en-GB"/>
        </w:rPr>
        <w:t xml:space="preserve">to get more accurate results and </w:t>
      </w:r>
      <w:r w:rsidR="004A2F2D">
        <w:rPr>
          <w:rFonts w:ascii="Arial" w:hAnsi="Arial" w:cs="Arial"/>
          <w:sz w:val="24"/>
          <w:szCs w:val="24"/>
          <w:lang w:val="en-GB"/>
        </w:rPr>
        <w:t>to increase the coherence with t</w:t>
      </w:r>
      <w:r w:rsidR="00DA2FCF">
        <w:rPr>
          <w:rFonts w:ascii="Arial" w:hAnsi="Arial" w:cs="Arial"/>
          <w:sz w:val="24"/>
          <w:szCs w:val="24"/>
          <w:lang w:val="en-GB"/>
        </w:rPr>
        <w:t>he Hotel Occupancy Survey,</w:t>
      </w:r>
      <w:r w:rsidR="004A2F2D">
        <w:rPr>
          <w:rFonts w:ascii="Arial" w:hAnsi="Arial" w:cs="Arial"/>
          <w:sz w:val="24"/>
          <w:szCs w:val="24"/>
          <w:lang w:val="en-GB"/>
        </w:rPr>
        <w:t xml:space="preserve"> </w:t>
      </w:r>
      <w:r w:rsidR="00DA2FCF">
        <w:rPr>
          <w:rFonts w:ascii="Arial" w:hAnsi="Arial" w:cs="Arial"/>
          <w:sz w:val="24"/>
          <w:szCs w:val="24"/>
          <w:lang w:val="en-GB"/>
        </w:rPr>
        <w:t>not</w:t>
      </w:r>
      <w:r w:rsidR="00901A8A">
        <w:rPr>
          <w:rFonts w:ascii="Arial" w:hAnsi="Arial" w:cs="Arial"/>
          <w:sz w:val="24"/>
          <w:szCs w:val="24"/>
          <w:lang w:val="en-GB"/>
        </w:rPr>
        <w:t xml:space="preserve"> </w:t>
      </w:r>
      <w:r w:rsidR="00DA2FCF">
        <w:rPr>
          <w:rFonts w:ascii="Arial" w:hAnsi="Arial" w:cs="Arial"/>
          <w:sz w:val="24"/>
          <w:szCs w:val="24"/>
          <w:lang w:val="en-GB"/>
        </w:rPr>
        <w:t>send</w:t>
      </w:r>
      <w:r w:rsidR="00901A8A">
        <w:rPr>
          <w:rFonts w:ascii="Arial" w:hAnsi="Arial" w:cs="Arial"/>
          <w:sz w:val="24"/>
          <w:szCs w:val="24"/>
          <w:lang w:val="en-GB"/>
        </w:rPr>
        <w:t>ing</w:t>
      </w:r>
      <w:r w:rsidR="00DA2FCF">
        <w:rPr>
          <w:rFonts w:ascii="Arial" w:hAnsi="Arial" w:cs="Arial"/>
          <w:sz w:val="24"/>
          <w:szCs w:val="24"/>
          <w:lang w:val="en-GB"/>
        </w:rPr>
        <w:t xml:space="preserve"> contradictory messages to </w:t>
      </w:r>
      <w:r w:rsidR="004A2F2D">
        <w:rPr>
          <w:rFonts w:ascii="Arial" w:hAnsi="Arial" w:cs="Arial"/>
          <w:sz w:val="24"/>
          <w:szCs w:val="24"/>
          <w:lang w:val="en-GB"/>
        </w:rPr>
        <w:t xml:space="preserve">the </w:t>
      </w:r>
      <w:r w:rsidR="00DA2FCF">
        <w:rPr>
          <w:rFonts w:ascii="Arial" w:hAnsi="Arial" w:cs="Arial"/>
          <w:sz w:val="24"/>
          <w:szCs w:val="24"/>
          <w:lang w:val="en-GB"/>
        </w:rPr>
        <w:t>user</w:t>
      </w:r>
      <w:r w:rsidR="004A2F2D">
        <w:rPr>
          <w:rFonts w:ascii="Arial" w:hAnsi="Arial" w:cs="Arial"/>
          <w:sz w:val="24"/>
          <w:szCs w:val="24"/>
          <w:lang w:val="en-GB"/>
        </w:rPr>
        <w:t>s</w:t>
      </w:r>
      <w:r w:rsidR="00DA2FCF">
        <w:rPr>
          <w:rFonts w:ascii="Arial" w:hAnsi="Arial" w:cs="Arial"/>
          <w:sz w:val="24"/>
          <w:szCs w:val="24"/>
          <w:lang w:val="en-GB"/>
        </w:rPr>
        <w:t xml:space="preserve"> when both surveys are analysed together.</w:t>
      </w:r>
    </w:p>
    <w:p w:rsidR="009E41F9" w:rsidRDefault="003A025F" w:rsidP="00825FBE">
      <w:pPr>
        <w:spacing w:before="120" w:after="0" w:line="360" w:lineRule="auto"/>
        <w:jc w:val="both"/>
        <w:rPr>
          <w:rFonts w:ascii="Arial" w:hAnsi="Arial" w:cs="Arial"/>
          <w:sz w:val="24"/>
          <w:szCs w:val="24"/>
          <w:lang w:val="en-GB"/>
        </w:rPr>
      </w:pPr>
      <w:r>
        <w:rPr>
          <w:rFonts w:ascii="Arial" w:hAnsi="Arial" w:cs="Arial"/>
          <w:sz w:val="24"/>
          <w:szCs w:val="24"/>
          <w:lang w:val="en-GB"/>
        </w:rPr>
        <w:t xml:space="preserve">Next graph shows the hotel overnight stays in </w:t>
      </w:r>
      <w:r w:rsidR="007771E2">
        <w:rPr>
          <w:rFonts w:ascii="Arial" w:hAnsi="Arial" w:cs="Arial"/>
          <w:sz w:val="24"/>
          <w:szCs w:val="24"/>
          <w:lang w:val="en-GB"/>
        </w:rPr>
        <w:t xml:space="preserve">the Canary Islands </w:t>
      </w:r>
      <w:r>
        <w:rPr>
          <w:rFonts w:ascii="Arial" w:hAnsi="Arial" w:cs="Arial"/>
          <w:sz w:val="24"/>
          <w:szCs w:val="24"/>
          <w:lang w:val="en-GB"/>
        </w:rPr>
        <w:t>(one of the regions calibrated individually), comparing</w:t>
      </w:r>
      <w:r w:rsidR="00747896">
        <w:rPr>
          <w:rFonts w:ascii="Arial" w:hAnsi="Arial" w:cs="Arial"/>
          <w:sz w:val="24"/>
          <w:szCs w:val="24"/>
          <w:lang w:val="en-GB"/>
        </w:rPr>
        <w:t>:</w:t>
      </w:r>
      <w:r>
        <w:rPr>
          <w:rFonts w:ascii="Arial" w:hAnsi="Arial" w:cs="Arial"/>
          <w:sz w:val="24"/>
          <w:szCs w:val="24"/>
          <w:lang w:val="en-GB"/>
        </w:rPr>
        <w:t xml:space="preserve"> the HOS estimates, </w:t>
      </w:r>
      <w:r w:rsidR="00747896">
        <w:rPr>
          <w:rFonts w:ascii="Arial" w:hAnsi="Arial" w:cs="Arial"/>
          <w:sz w:val="24"/>
          <w:szCs w:val="24"/>
          <w:lang w:val="en-GB"/>
        </w:rPr>
        <w:t xml:space="preserve">the </w:t>
      </w:r>
      <w:r>
        <w:rPr>
          <w:rFonts w:ascii="Arial" w:hAnsi="Arial" w:cs="Arial"/>
          <w:sz w:val="24"/>
          <w:szCs w:val="24"/>
          <w:lang w:val="en-GB"/>
        </w:rPr>
        <w:t>RT</w:t>
      </w:r>
      <w:r w:rsidR="00327A2E">
        <w:rPr>
          <w:rFonts w:ascii="Arial" w:hAnsi="Arial" w:cs="Arial"/>
          <w:sz w:val="24"/>
          <w:szCs w:val="24"/>
          <w:lang w:val="en-GB"/>
        </w:rPr>
        <w:t>S</w:t>
      </w:r>
      <w:r>
        <w:rPr>
          <w:rFonts w:ascii="Arial" w:hAnsi="Arial" w:cs="Arial"/>
          <w:sz w:val="24"/>
          <w:szCs w:val="24"/>
          <w:lang w:val="en-GB"/>
        </w:rPr>
        <w:t xml:space="preserve"> estimates calibrat</w:t>
      </w:r>
      <w:r w:rsidR="007771E2">
        <w:rPr>
          <w:rFonts w:ascii="Arial" w:hAnsi="Arial" w:cs="Arial"/>
          <w:sz w:val="24"/>
          <w:szCs w:val="24"/>
          <w:lang w:val="en-GB"/>
        </w:rPr>
        <w:t>ed</w:t>
      </w:r>
      <w:r>
        <w:rPr>
          <w:rFonts w:ascii="Arial" w:hAnsi="Arial" w:cs="Arial"/>
          <w:sz w:val="24"/>
          <w:szCs w:val="24"/>
          <w:lang w:val="en-GB"/>
        </w:rPr>
        <w:t xml:space="preserve"> </w:t>
      </w:r>
      <w:r w:rsidR="007771E2">
        <w:rPr>
          <w:rFonts w:ascii="Arial" w:hAnsi="Arial" w:cs="Arial"/>
          <w:sz w:val="24"/>
          <w:szCs w:val="24"/>
          <w:lang w:val="en-GB"/>
        </w:rPr>
        <w:t xml:space="preserve">only </w:t>
      </w:r>
      <w:r>
        <w:rPr>
          <w:rFonts w:ascii="Arial" w:hAnsi="Arial" w:cs="Arial"/>
          <w:sz w:val="24"/>
          <w:szCs w:val="24"/>
          <w:lang w:val="en-GB"/>
        </w:rPr>
        <w:t xml:space="preserve">to sociodemographic </w:t>
      </w:r>
      <w:r w:rsidR="007771E2">
        <w:rPr>
          <w:rFonts w:ascii="Arial" w:hAnsi="Arial" w:cs="Arial"/>
          <w:sz w:val="24"/>
          <w:szCs w:val="24"/>
          <w:lang w:val="en-GB"/>
        </w:rPr>
        <w:t xml:space="preserve">totals </w:t>
      </w:r>
      <w:r>
        <w:rPr>
          <w:rFonts w:ascii="Arial" w:hAnsi="Arial" w:cs="Arial"/>
          <w:sz w:val="24"/>
          <w:szCs w:val="24"/>
          <w:lang w:val="en-GB"/>
        </w:rPr>
        <w:t xml:space="preserve">and </w:t>
      </w:r>
      <w:r w:rsidR="00747896">
        <w:rPr>
          <w:rFonts w:ascii="Arial" w:hAnsi="Arial" w:cs="Arial"/>
          <w:sz w:val="24"/>
          <w:szCs w:val="24"/>
          <w:lang w:val="en-GB"/>
        </w:rPr>
        <w:t xml:space="preserve">the </w:t>
      </w:r>
      <w:r>
        <w:rPr>
          <w:rFonts w:ascii="Arial" w:hAnsi="Arial" w:cs="Arial"/>
          <w:sz w:val="24"/>
          <w:szCs w:val="24"/>
          <w:lang w:val="en-GB"/>
        </w:rPr>
        <w:t>RT</w:t>
      </w:r>
      <w:r w:rsidR="00327A2E">
        <w:rPr>
          <w:rFonts w:ascii="Arial" w:hAnsi="Arial" w:cs="Arial"/>
          <w:sz w:val="24"/>
          <w:szCs w:val="24"/>
          <w:lang w:val="en-GB"/>
        </w:rPr>
        <w:t>S</w:t>
      </w:r>
      <w:r>
        <w:rPr>
          <w:rFonts w:ascii="Arial" w:hAnsi="Arial" w:cs="Arial"/>
          <w:sz w:val="24"/>
          <w:szCs w:val="24"/>
          <w:lang w:val="en-GB"/>
        </w:rPr>
        <w:t xml:space="preserve"> estimates including </w:t>
      </w:r>
      <w:r w:rsidR="00BF24C0">
        <w:rPr>
          <w:rFonts w:ascii="Arial" w:hAnsi="Arial" w:cs="Arial"/>
          <w:sz w:val="24"/>
          <w:szCs w:val="24"/>
          <w:lang w:val="en-GB"/>
        </w:rPr>
        <w:t xml:space="preserve">also </w:t>
      </w:r>
      <w:r>
        <w:rPr>
          <w:rFonts w:ascii="Arial" w:hAnsi="Arial" w:cs="Arial"/>
          <w:sz w:val="24"/>
          <w:szCs w:val="24"/>
          <w:lang w:val="en-GB"/>
        </w:rPr>
        <w:t xml:space="preserve">calibration to HOS </w:t>
      </w:r>
      <w:r w:rsidR="007771E2">
        <w:rPr>
          <w:rFonts w:ascii="Arial" w:hAnsi="Arial" w:cs="Arial"/>
          <w:sz w:val="24"/>
          <w:szCs w:val="24"/>
          <w:lang w:val="en-GB"/>
        </w:rPr>
        <w:t>figures</w:t>
      </w:r>
      <w:r>
        <w:rPr>
          <w:rFonts w:ascii="Arial" w:hAnsi="Arial" w:cs="Arial"/>
          <w:sz w:val="24"/>
          <w:szCs w:val="24"/>
          <w:lang w:val="en-GB"/>
        </w:rPr>
        <w:t>.</w:t>
      </w:r>
    </w:p>
    <w:p w:rsidR="006B2C04" w:rsidRPr="006B2C04" w:rsidRDefault="009E41F9" w:rsidP="006A6B34">
      <w:pPr>
        <w:pStyle w:val="Legenda"/>
        <w:keepNext/>
        <w:spacing w:before="120" w:after="240"/>
        <w:jc w:val="both"/>
        <w:rPr>
          <w:rFonts w:ascii="Arial" w:hAnsi="Arial" w:cs="Arial"/>
          <w:b/>
          <w:i w:val="0"/>
          <w:color w:val="auto"/>
          <w:sz w:val="20"/>
          <w:szCs w:val="20"/>
          <w:lang w:val="en-GB"/>
        </w:rPr>
      </w:pPr>
      <w:r w:rsidRPr="00EC5F5A">
        <w:rPr>
          <w:rFonts w:ascii="Arial" w:hAnsi="Arial" w:cs="Arial"/>
          <w:b/>
          <w:i w:val="0"/>
          <w:color w:val="auto"/>
          <w:sz w:val="20"/>
          <w:szCs w:val="20"/>
          <w:lang w:val="en-GB"/>
        </w:rPr>
        <w:t xml:space="preserve">Figure </w:t>
      </w:r>
      <w:r>
        <w:rPr>
          <w:rFonts w:ascii="Arial" w:hAnsi="Arial" w:cs="Arial"/>
          <w:b/>
          <w:i w:val="0"/>
          <w:color w:val="auto"/>
          <w:sz w:val="20"/>
          <w:szCs w:val="20"/>
          <w:lang w:val="en-GB"/>
        </w:rPr>
        <w:t>4</w:t>
      </w:r>
      <w:r w:rsidRPr="00EC5F5A">
        <w:rPr>
          <w:rFonts w:ascii="Arial" w:hAnsi="Arial" w:cs="Arial"/>
          <w:b/>
          <w:i w:val="0"/>
          <w:color w:val="auto"/>
          <w:sz w:val="20"/>
          <w:szCs w:val="20"/>
          <w:lang w:val="en-GB"/>
        </w:rPr>
        <w:t xml:space="preserve">. </w:t>
      </w:r>
      <w:r>
        <w:rPr>
          <w:rFonts w:ascii="Arial" w:hAnsi="Arial" w:cs="Arial"/>
          <w:b/>
          <w:i w:val="0"/>
          <w:color w:val="auto"/>
          <w:sz w:val="20"/>
          <w:szCs w:val="20"/>
          <w:lang w:val="en-GB"/>
        </w:rPr>
        <w:t>Canar</w:t>
      </w:r>
      <w:r w:rsidR="006B2C04">
        <w:rPr>
          <w:rFonts w:ascii="Arial" w:hAnsi="Arial" w:cs="Arial"/>
          <w:b/>
          <w:i w:val="0"/>
          <w:color w:val="auto"/>
          <w:sz w:val="20"/>
          <w:szCs w:val="20"/>
          <w:lang w:val="en-GB"/>
        </w:rPr>
        <w:t>y I</w:t>
      </w:r>
      <w:r>
        <w:rPr>
          <w:rFonts w:ascii="Arial" w:hAnsi="Arial" w:cs="Arial"/>
          <w:b/>
          <w:i w:val="0"/>
          <w:color w:val="auto"/>
          <w:sz w:val="20"/>
          <w:szCs w:val="20"/>
          <w:lang w:val="en-GB"/>
        </w:rPr>
        <w:t>s</w:t>
      </w:r>
      <w:r w:rsidR="006B2C04">
        <w:rPr>
          <w:rFonts w:ascii="Arial" w:hAnsi="Arial" w:cs="Arial"/>
          <w:b/>
          <w:i w:val="0"/>
          <w:color w:val="auto"/>
          <w:sz w:val="20"/>
          <w:szCs w:val="20"/>
          <w:lang w:val="en-GB"/>
        </w:rPr>
        <w:t>lands</w:t>
      </w:r>
      <w:r>
        <w:rPr>
          <w:rFonts w:ascii="Arial" w:hAnsi="Arial" w:cs="Arial"/>
          <w:b/>
          <w:i w:val="0"/>
          <w:color w:val="auto"/>
          <w:sz w:val="20"/>
          <w:szCs w:val="20"/>
          <w:lang w:val="en-GB"/>
        </w:rPr>
        <w:t xml:space="preserve"> hotel</w:t>
      </w:r>
      <w:r w:rsidR="006E49F7">
        <w:rPr>
          <w:rFonts w:ascii="Arial" w:hAnsi="Arial" w:cs="Arial"/>
          <w:b/>
          <w:i w:val="0"/>
          <w:color w:val="auto"/>
          <w:sz w:val="20"/>
          <w:szCs w:val="20"/>
          <w:lang w:val="en-GB"/>
        </w:rPr>
        <w:t xml:space="preserve"> </w:t>
      </w:r>
      <w:r>
        <w:rPr>
          <w:rFonts w:ascii="Arial" w:hAnsi="Arial" w:cs="Arial"/>
          <w:b/>
          <w:i w:val="0"/>
          <w:color w:val="auto"/>
          <w:sz w:val="20"/>
          <w:szCs w:val="20"/>
          <w:lang w:val="en-GB"/>
        </w:rPr>
        <w:t>overnight stays. HOS estimates and RTS estimates (calibrated to SD variables and calibrated to SD and HOS estimates):</w:t>
      </w:r>
    </w:p>
    <w:p w:rsidR="00DA2FCF" w:rsidRPr="00825FBE" w:rsidRDefault="00AB6A3E" w:rsidP="00C82524">
      <w:pPr>
        <w:rPr>
          <w:rFonts w:ascii="Arial" w:hAnsi="Arial" w:cs="Arial"/>
          <w:sz w:val="24"/>
          <w:szCs w:val="24"/>
          <w:lang w:val="en-GB"/>
        </w:rPr>
      </w:pPr>
      <w:r>
        <w:rPr>
          <w:noProof/>
          <w:lang w:eastAsia="pl-PL"/>
        </w:rPr>
        <w:drawing>
          <wp:inline distT="0" distB="0" distL="0" distR="0" wp14:anchorId="1C8D7999" wp14:editId="7A7E9A40">
            <wp:extent cx="5715000" cy="3240405"/>
            <wp:effectExtent l="0" t="0" r="0" b="17145"/>
            <wp:docPr id="15" name="Gráfico 1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B2C04" w:rsidRDefault="009E41F9" w:rsidP="00FC4182">
      <w:pPr>
        <w:spacing w:before="120" w:after="240" w:line="360" w:lineRule="auto"/>
        <w:jc w:val="both"/>
        <w:rPr>
          <w:rFonts w:ascii="Arial" w:hAnsi="Arial" w:cs="Arial"/>
          <w:sz w:val="20"/>
          <w:szCs w:val="20"/>
          <w:lang w:val="en-US"/>
        </w:rPr>
      </w:pPr>
      <w:r w:rsidRPr="00C82524">
        <w:rPr>
          <w:rFonts w:ascii="Arial" w:hAnsi="Arial" w:cs="Arial"/>
          <w:sz w:val="20"/>
          <w:szCs w:val="20"/>
          <w:lang w:val="en-US"/>
        </w:rPr>
        <w:t>Source: Residents Travel Survey and Hotel Occupancy Survey.</w:t>
      </w:r>
      <w:r>
        <w:rPr>
          <w:rFonts w:ascii="Arial" w:hAnsi="Arial" w:cs="Arial"/>
          <w:sz w:val="20"/>
          <w:szCs w:val="20"/>
          <w:lang w:val="en-US"/>
        </w:rPr>
        <w:t xml:space="preserve"> 2016-</w:t>
      </w:r>
      <w:r w:rsidRPr="00C82524">
        <w:rPr>
          <w:rFonts w:ascii="Arial" w:hAnsi="Arial" w:cs="Arial"/>
          <w:sz w:val="20"/>
          <w:szCs w:val="20"/>
          <w:lang w:val="en-US"/>
        </w:rPr>
        <w:t>2017.</w:t>
      </w:r>
      <w:r w:rsidR="005934AF">
        <w:rPr>
          <w:rFonts w:ascii="Arial" w:hAnsi="Arial" w:cs="Arial"/>
          <w:sz w:val="20"/>
          <w:szCs w:val="20"/>
          <w:lang w:val="en-US"/>
        </w:rPr>
        <w:t xml:space="preserve"> </w:t>
      </w:r>
    </w:p>
    <w:p w:rsidR="00F35887" w:rsidRDefault="003A025F" w:rsidP="003A025F">
      <w:pPr>
        <w:spacing w:before="120" w:after="0" w:line="360" w:lineRule="auto"/>
        <w:jc w:val="both"/>
        <w:rPr>
          <w:rFonts w:ascii="Arial" w:hAnsi="Arial" w:cs="Arial"/>
          <w:sz w:val="24"/>
          <w:szCs w:val="24"/>
          <w:lang w:val="en-GB"/>
        </w:rPr>
      </w:pPr>
      <w:r w:rsidRPr="003A025F">
        <w:rPr>
          <w:rFonts w:ascii="Arial" w:hAnsi="Arial" w:cs="Arial"/>
          <w:sz w:val="24"/>
          <w:szCs w:val="24"/>
          <w:lang w:val="en-GB"/>
        </w:rPr>
        <w:t xml:space="preserve">A significant enhancement in the coherence between both surveys is </w:t>
      </w:r>
      <w:r>
        <w:rPr>
          <w:rFonts w:ascii="Arial" w:hAnsi="Arial" w:cs="Arial"/>
          <w:sz w:val="24"/>
          <w:szCs w:val="24"/>
          <w:lang w:val="en-GB"/>
        </w:rPr>
        <w:t>observed in the graph</w:t>
      </w:r>
      <w:r w:rsidR="00C66166">
        <w:rPr>
          <w:rFonts w:ascii="Arial" w:hAnsi="Arial" w:cs="Arial"/>
          <w:sz w:val="24"/>
          <w:szCs w:val="24"/>
          <w:lang w:val="en-GB"/>
        </w:rPr>
        <w:t xml:space="preserve"> when calibration to HOS figures is included</w:t>
      </w:r>
      <w:r w:rsidRPr="003A025F">
        <w:rPr>
          <w:rFonts w:ascii="Arial" w:hAnsi="Arial" w:cs="Arial"/>
          <w:sz w:val="24"/>
          <w:szCs w:val="24"/>
          <w:lang w:val="en-GB"/>
        </w:rPr>
        <w:t>.</w:t>
      </w:r>
      <w:r w:rsidR="00517954">
        <w:rPr>
          <w:rFonts w:ascii="Arial" w:hAnsi="Arial" w:cs="Arial"/>
          <w:sz w:val="24"/>
          <w:szCs w:val="24"/>
          <w:lang w:val="en-GB"/>
        </w:rPr>
        <w:t xml:space="preserve"> It is</w:t>
      </w:r>
      <w:r w:rsidR="002948A8">
        <w:rPr>
          <w:rFonts w:ascii="Arial" w:hAnsi="Arial" w:cs="Arial"/>
          <w:sz w:val="24"/>
          <w:szCs w:val="24"/>
          <w:lang w:val="en-GB"/>
        </w:rPr>
        <w:t xml:space="preserve"> also</w:t>
      </w:r>
      <w:r w:rsidR="00517954">
        <w:rPr>
          <w:rFonts w:ascii="Arial" w:hAnsi="Arial" w:cs="Arial"/>
          <w:sz w:val="24"/>
          <w:szCs w:val="24"/>
          <w:lang w:val="en-GB"/>
        </w:rPr>
        <w:t xml:space="preserve"> remarkable the smoothing in periods where the tourism h</w:t>
      </w:r>
      <w:r w:rsidR="002948A8">
        <w:rPr>
          <w:rFonts w:ascii="Arial" w:hAnsi="Arial" w:cs="Arial"/>
          <w:sz w:val="24"/>
          <w:szCs w:val="24"/>
          <w:lang w:val="en-GB"/>
        </w:rPr>
        <w:t>as a higher seasonal component.</w:t>
      </w:r>
      <w:r w:rsidR="00933C3A">
        <w:rPr>
          <w:rFonts w:ascii="Arial" w:hAnsi="Arial" w:cs="Arial"/>
          <w:sz w:val="24"/>
          <w:szCs w:val="24"/>
          <w:lang w:val="en-GB"/>
        </w:rPr>
        <w:t xml:space="preserve"> Differences due to overnight stays of trips starting and finishing in different months remain but the impact of a few long trips on the final figures is minimised.</w:t>
      </w:r>
    </w:p>
    <w:p w:rsidR="00F63411" w:rsidRDefault="00F63411" w:rsidP="003A025F">
      <w:pPr>
        <w:spacing w:before="120" w:after="0" w:line="360" w:lineRule="auto"/>
        <w:jc w:val="both"/>
        <w:rPr>
          <w:rFonts w:ascii="Arial" w:hAnsi="Arial" w:cs="Arial"/>
          <w:sz w:val="24"/>
          <w:szCs w:val="24"/>
          <w:lang w:val="en-GB"/>
        </w:rPr>
      </w:pPr>
      <w:r>
        <w:rPr>
          <w:rFonts w:ascii="Arial" w:hAnsi="Arial" w:cs="Arial"/>
          <w:sz w:val="24"/>
          <w:szCs w:val="24"/>
          <w:lang w:val="en-GB"/>
        </w:rPr>
        <w:t xml:space="preserve">If we focus on the </w:t>
      </w:r>
      <w:r w:rsidR="002948A8">
        <w:rPr>
          <w:rFonts w:ascii="Arial" w:hAnsi="Arial" w:cs="Arial"/>
          <w:sz w:val="24"/>
          <w:szCs w:val="24"/>
          <w:lang w:val="en-GB"/>
        </w:rPr>
        <w:t>annual variation rates</w:t>
      </w:r>
      <w:r w:rsidR="0041045D">
        <w:rPr>
          <w:rFonts w:ascii="Arial" w:hAnsi="Arial" w:cs="Arial"/>
          <w:sz w:val="24"/>
          <w:szCs w:val="24"/>
          <w:lang w:val="en-GB"/>
        </w:rPr>
        <w:t xml:space="preserve"> (Figure 5)</w:t>
      </w:r>
      <w:r>
        <w:rPr>
          <w:rFonts w:ascii="Arial" w:hAnsi="Arial" w:cs="Arial"/>
          <w:sz w:val="24"/>
          <w:szCs w:val="24"/>
          <w:lang w:val="en-GB"/>
        </w:rPr>
        <w:t xml:space="preserve">, it is also observed almost for </w:t>
      </w:r>
      <w:r w:rsidR="00933C3A">
        <w:rPr>
          <w:rFonts w:ascii="Arial" w:hAnsi="Arial" w:cs="Arial"/>
          <w:sz w:val="24"/>
          <w:szCs w:val="24"/>
          <w:lang w:val="en-GB"/>
        </w:rPr>
        <w:t>every</w:t>
      </w:r>
      <w:r>
        <w:rPr>
          <w:rFonts w:ascii="Arial" w:hAnsi="Arial" w:cs="Arial"/>
          <w:sz w:val="24"/>
          <w:szCs w:val="24"/>
          <w:lang w:val="en-GB"/>
        </w:rPr>
        <w:t xml:space="preserve"> month a notable approach in the RT</w:t>
      </w:r>
      <w:r w:rsidR="00327A2E">
        <w:rPr>
          <w:rFonts w:ascii="Arial" w:hAnsi="Arial" w:cs="Arial"/>
          <w:sz w:val="24"/>
          <w:szCs w:val="24"/>
          <w:lang w:val="en-GB"/>
        </w:rPr>
        <w:t>S</w:t>
      </w:r>
      <w:r>
        <w:rPr>
          <w:rFonts w:ascii="Arial" w:hAnsi="Arial" w:cs="Arial"/>
          <w:sz w:val="24"/>
          <w:szCs w:val="24"/>
          <w:lang w:val="en-GB"/>
        </w:rPr>
        <w:t xml:space="preserve"> variation rates to the HOS ones</w:t>
      </w:r>
      <w:r w:rsidR="0041045D">
        <w:rPr>
          <w:rFonts w:ascii="Arial" w:hAnsi="Arial" w:cs="Arial"/>
          <w:sz w:val="24"/>
          <w:szCs w:val="24"/>
          <w:lang w:val="en-GB"/>
        </w:rPr>
        <w:t>:</w:t>
      </w:r>
    </w:p>
    <w:p w:rsidR="001A63A9" w:rsidRDefault="001A63A9" w:rsidP="00C82524">
      <w:pPr>
        <w:pStyle w:val="Legenda"/>
        <w:rPr>
          <w:rFonts w:ascii="Arial" w:hAnsi="Arial" w:cs="Arial"/>
          <w:b/>
          <w:i w:val="0"/>
          <w:color w:val="auto"/>
          <w:sz w:val="20"/>
          <w:szCs w:val="20"/>
          <w:lang w:val="en-GB"/>
        </w:rPr>
      </w:pPr>
    </w:p>
    <w:p w:rsidR="001A63A9" w:rsidRDefault="001A63A9" w:rsidP="00C82524">
      <w:pPr>
        <w:pStyle w:val="Legenda"/>
        <w:rPr>
          <w:rFonts w:ascii="Arial" w:hAnsi="Arial" w:cs="Arial"/>
          <w:b/>
          <w:i w:val="0"/>
          <w:color w:val="auto"/>
          <w:sz w:val="20"/>
          <w:szCs w:val="20"/>
          <w:lang w:val="en-GB"/>
        </w:rPr>
      </w:pPr>
    </w:p>
    <w:p w:rsidR="001A63A9" w:rsidRDefault="001A63A9" w:rsidP="00C82524">
      <w:pPr>
        <w:pStyle w:val="Legenda"/>
        <w:rPr>
          <w:rFonts w:ascii="Arial" w:hAnsi="Arial" w:cs="Arial"/>
          <w:b/>
          <w:i w:val="0"/>
          <w:color w:val="auto"/>
          <w:sz w:val="20"/>
          <w:szCs w:val="20"/>
          <w:lang w:val="en-GB"/>
        </w:rPr>
      </w:pPr>
    </w:p>
    <w:p w:rsidR="001A63A9" w:rsidRDefault="001A63A9" w:rsidP="00C82524">
      <w:pPr>
        <w:pStyle w:val="Legenda"/>
        <w:rPr>
          <w:rFonts w:ascii="Arial" w:hAnsi="Arial" w:cs="Arial"/>
          <w:b/>
          <w:i w:val="0"/>
          <w:color w:val="auto"/>
          <w:sz w:val="20"/>
          <w:szCs w:val="20"/>
          <w:lang w:val="en-GB"/>
        </w:rPr>
      </w:pPr>
    </w:p>
    <w:p w:rsidR="001A63A9" w:rsidRDefault="001A63A9" w:rsidP="00C82524">
      <w:pPr>
        <w:pStyle w:val="Legenda"/>
        <w:rPr>
          <w:rFonts w:ascii="Arial" w:hAnsi="Arial" w:cs="Arial"/>
          <w:b/>
          <w:i w:val="0"/>
          <w:color w:val="auto"/>
          <w:sz w:val="20"/>
          <w:szCs w:val="20"/>
          <w:lang w:val="en-GB"/>
        </w:rPr>
      </w:pPr>
    </w:p>
    <w:p w:rsidR="00DB7203" w:rsidRPr="00DB7203" w:rsidRDefault="00DB7203" w:rsidP="00DB7203">
      <w:pPr>
        <w:rPr>
          <w:lang w:val="en-GB"/>
        </w:rPr>
      </w:pPr>
    </w:p>
    <w:p w:rsidR="000A347D" w:rsidRDefault="003D129D" w:rsidP="00163593">
      <w:pPr>
        <w:pStyle w:val="Legenda"/>
        <w:spacing w:before="120" w:after="240"/>
        <w:rPr>
          <w:rFonts w:ascii="Arial" w:hAnsi="Arial" w:cs="Arial"/>
          <w:sz w:val="24"/>
          <w:szCs w:val="24"/>
          <w:lang w:val="en-GB"/>
        </w:rPr>
      </w:pPr>
      <w:r w:rsidRPr="00EC5F5A">
        <w:rPr>
          <w:rFonts w:ascii="Arial" w:hAnsi="Arial" w:cs="Arial"/>
          <w:b/>
          <w:i w:val="0"/>
          <w:color w:val="auto"/>
          <w:sz w:val="20"/>
          <w:szCs w:val="20"/>
          <w:lang w:val="en-GB"/>
        </w:rPr>
        <w:t xml:space="preserve">Figure </w:t>
      </w:r>
      <w:r w:rsidR="00412D1E">
        <w:rPr>
          <w:rFonts w:ascii="Arial" w:hAnsi="Arial" w:cs="Arial"/>
          <w:b/>
          <w:i w:val="0"/>
          <w:color w:val="auto"/>
          <w:sz w:val="20"/>
          <w:szCs w:val="20"/>
          <w:lang w:val="en-GB"/>
        </w:rPr>
        <w:t>5</w:t>
      </w:r>
      <w:r w:rsidRPr="00EC5F5A">
        <w:rPr>
          <w:rFonts w:ascii="Arial" w:hAnsi="Arial" w:cs="Arial"/>
          <w:b/>
          <w:i w:val="0"/>
          <w:color w:val="auto"/>
          <w:sz w:val="20"/>
          <w:szCs w:val="20"/>
          <w:lang w:val="en-GB"/>
        </w:rPr>
        <w:t xml:space="preserve">. </w:t>
      </w:r>
      <w:r>
        <w:rPr>
          <w:rFonts w:ascii="Arial" w:hAnsi="Arial" w:cs="Arial"/>
          <w:b/>
          <w:i w:val="0"/>
          <w:color w:val="auto"/>
          <w:sz w:val="20"/>
          <w:szCs w:val="20"/>
          <w:lang w:val="en-GB"/>
        </w:rPr>
        <w:t>Canar</w:t>
      </w:r>
      <w:r w:rsidR="00766882">
        <w:rPr>
          <w:rFonts w:ascii="Arial" w:hAnsi="Arial" w:cs="Arial"/>
          <w:b/>
          <w:i w:val="0"/>
          <w:color w:val="auto"/>
          <w:sz w:val="20"/>
          <w:szCs w:val="20"/>
          <w:lang w:val="en-GB"/>
        </w:rPr>
        <w:t>y Islands</w:t>
      </w:r>
      <w:r>
        <w:rPr>
          <w:rFonts w:ascii="Arial" w:hAnsi="Arial" w:cs="Arial"/>
          <w:b/>
          <w:i w:val="0"/>
          <w:color w:val="auto"/>
          <w:sz w:val="20"/>
          <w:szCs w:val="20"/>
          <w:lang w:val="en-GB"/>
        </w:rPr>
        <w:t xml:space="preserve"> hotel overnight stays variation rate. HOS estimates and RTS estimates (calibrated to SD variables and calibrated to SD and HOS estimates):</w:t>
      </w:r>
    </w:p>
    <w:p w:rsidR="00412D1E" w:rsidRDefault="00AB6A3E" w:rsidP="00F35887">
      <w:pPr>
        <w:spacing w:before="120" w:after="0" w:line="360" w:lineRule="auto"/>
        <w:jc w:val="both"/>
        <w:rPr>
          <w:rFonts w:ascii="Arial" w:hAnsi="Arial" w:cs="Arial"/>
          <w:sz w:val="24"/>
          <w:szCs w:val="24"/>
          <w:lang w:val="en-GB"/>
        </w:rPr>
      </w:pPr>
      <w:r>
        <w:rPr>
          <w:noProof/>
          <w:lang w:eastAsia="pl-PL"/>
        </w:rPr>
        <w:drawing>
          <wp:inline distT="0" distB="0" distL="0" distR="0" wp14:anchorId="60BD8215" wp14:editId="61344382">
            <wp:extent cx="5760720" cy="2823882"/>
            <wp:effectExtent l="0" t="0" r="11430" b="14605"/>
            <wp:docPr id="7" name="Gráfico 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12D1E" w:rsidRDefault="00412D1E" w:rsidP="00DB7203">
      <w:pPr>
        <w:spacing w:before="120" w:after="0" w:line="360" w:lineRule="auto"/>
        <w:jc w:val="both"/>
        <w:rPr>
          <w:rFonts w:ascii="Arial" w:hAnsi="Arial" w:cs="Arial"/>
          <w:sz w:val="20"/>
          <w:szCs w:val="20"/>
          <w:lang w:val="en-US"/>
        </w:rPr>
      </w:pPr>
      <w:r w:rsidRPr="00C85ABE">
        <w:rPr>
          <w:rFonts w:ascii="Arial" w:hAnsi="Arial" w:cs="Arial"/>
          <w:sz w:val="20"/>
          <w:szCs w:val="20"/>
          <w:lang w:val="en-US"/>
        </w:rPr>
        <w:t>Source: Residents Travel Survey and Hotel Occupancy Survey.</w:t>
      </w:r>
      <w:r>
        <w:rPr>
          <w:rFonts w:ascii="Arial" w:hAnsi="Arial" w:cs="Arial"/>
          <w:sz w:val="20"/>
          <w:szCs w:val="20"/>
          <w:lang w:val="en-US"/>
        </w:rPr>
        <w:t xml:space="preserve"> 2016-</w:t>
      </w:r>
      <w:r w:rsidRPr="00C85ABE">
        <w:rPr>
          <w:rFonts w:ascii="Arial" w:hAnsi="Arial" w:cs="Arial"/>
          <w:sz w:val="20"/>
          <w:szCs w:val="20"/>
          <w:lang w:val="en-US"/>
        </w:rPr>
        <w:t>2017.</w:t>
      </w:r>
    </w:p>
    <w:p w:rsidR="0065551A" w:rsidRDefault="0065551A" w:rsidP="00FB2ED5">
      <w:pPr>
        <w:pStyle w:val="Akapitzlist"/>
        <w:numPr>
          <w:ilvl w:val="0"/>
          <w:numId w:val="9"/>
        </w:numPr>
        <w:spacing w:before="360" w:after="0" w:line="360" w:lineRule="auto"/>
        <w:jc w:val="both"/>
        <w:rPr>
          <w:rFonts w:ascii="Arial" w:hAnsi="Arial" w:cs="Arial"/>
          <w:b/>
          <w:sz w:val="24"/>
          <w:szCs w:val="24"/>
          <w:lang w:val="en-GB"/>
        </w:rPr>
      </w:pPr>
      <w:r w:rsidRPr="00FB2ED5">
        <w:rPr>
          <w:rFonts w:ascii="Arial" w:hAnsi="Arial" w:cs="Arial"/>
          <w:b/>
          <w:sz w:val="24"/>
          <w:szCs w:val="24"/>
          <w:lang w:val="en-GB"/>
        </w:rPr>
        <w:t>Extended calibration</w:t>
      </w:r>
      <w:r w:rsidR="00A44CEA">
        <w:rPr>
          <w:rFonts w:ascii="Arial" w:hAnsi="Arial" w:cs="Arial"/>
          <w:b/>
          <w:sz w:val="24"/>
          <w:szCs w:val="24"/>
          <w:lang w:val="en-GB"/>
        </w:rPr>
        <w:t>: combining monthly and quarterly totals</w:t>
      </w:r>
      <w:r w:rsidRPr="00FB2ED5">
        <w:rPr>
          <w:rFonts w:ascii="Arial" w:hAnsi="Arial" w:cs="Arial"/>
          <w:b/>
          <w:sz w:val="24"/>
          <w:szCs w:val="24"/>
          <w:lang w:val="en-GB"/>
        </w:rPr>
        <w:t>.</w:t>
      </w:r>
    </w:p>
    <w:p w:rsidR="00D258ED" w:rsidRDefault="00A44CEA" w:rsidP="00175ECE">
      <w:pPr>
        <w:spacing w:before="120" w:after="0" w:line="360" w:lineRule="auto"/>
        <w:jc w:val="both"/>
        <w:rPr>
          <w:rFonts w:ascii="Arial" w:hAnsi="Arial" w:cs="Arial"/>
          <w:sz w:val="24"/>
          <w:szCs w:val="24"/>
          <w:lang w:val="en-GB"/>
        </w:rPr>
      </w:pPr>
      <w:r>
        <w:rPr>
          <w:rFonts w:ascii="Arial" w:hAnsi="Arial" w:cs="Arial"/>
          <w:sz w:val="24"/>
          <w:szCs w:val="24"/>
          <w:lang w:val="en-GB"/>
        </w:rPr>
        <w:t xml:space="preserve">The previous approach only benefits the five regions treated individually. </w:t>
      </w:r>
      <w:r w:rsidRPr="00C82524">
        <w:rPr>
          <w:rFonts w:ascii="Arial" w:hAnsi="Arial" w:cs="Arial"/>
          <w:sz w:val="24"/>
          <w:szCs w:val="24"/>
          <w:lang w:val="en-GB"/>
        </w:rPr>
        <w:t xml:space="preserve">As </w:t>
      </w:r>
      <w:r>
        <w:rPr>
          <w:rFonts w:ascii="Arial" w:hAnsi="Arial" w:cs="Arial"/>
          <w:sz w:val="24"/>
          <w:szCs w:val="24"/>
          <w:lang w:val="en-GB"/>
        </w:rPr>
        <w:t xml:space="preserve">shown in </w:t>
      </w:r>
      <w:r w:rsidR="003862A7">
        <w:rPr>
          <w:rFonts w:ascii="Arial" w:hAnsi="Arial" w:cs="Arial"/>
          <w:sz w:val="24"/>
          <w:szCs w:val="24"/>
          <w:lang w:val="en-GB"/>
        </w:rPr>
        <w:t>Figure 6</w:t>
      </w:r>
      <w:r w:rsidRPr="00C82524">
        <w:rPr>
          <w:rFonts w:ascii="Arial" w:hAnsi="Arial" w:cs="Arial"/>
          <w:sz w:val="24"/>
          <w:szCs w:val="24"/>
          <w:lang w:val="en-GB"/>
        </w:rPr>
        <w:t xml:space="preserve">, </w:t>
      </w:r>
      <w:r>
        <w:rPr>
          <w:rFonts w:ascii="Arial" w:hAnsi="Arial" w:cs="Arial"/>
          <w:sz w:val="24"/>
          <w:szCs w:val="24"/>
          <w:lang w:val="en-GB"/>
        </w:rPr>
        <w:t xml:space="preserve">in </w:t>
      </w:r>
      <w:r w:rsidRPr="00C82524">
        <w:rPr>
          <w:rFonts w:ascii="Arial" w:hAnsi="Arial" w:cs="Arial"/>
          <w:sz w:val="24"/>
          <w:szCs w:val="24"/>
          <w:lang w:val="en-GB"/>
        </w:rPr>
        <w:t xml:space="preserve">the </w:t>
      </w:r>
      <w:r>
        <w:rPr>
          <w:rFonts w:ascii="Arial" w:hAnsi="Arial" w:cs="Arial"/>
          <w:sz w:val="24"/>
          <w:szCs w:val="24"/>
          <w:lang w:val="en-GB"/>
        </w:rPr>
        <w:t xml:space="preserve">individual </w:t>
      </w:r>
      <w:r w:rsidRPr="00C82524">
        <w:rPr>
          <w:rFonts w:ascii="Arial" w:hAnsi="Arial" w:cs="Arial"/>
          <w:sz w:val="24"/>
          <w:szCs w:val="24"/>
          <w:lang w:val="en-GB"/>
        </w:rPr>
        <w:t xml:space="preserve">estimates of </w:t>
      </w:r>
      <w:r>
        <w:rPr>
          <w:rFonts w:ascii="Arial" w:hAnsi="Arial" w:cs="Arial"/>
          <w:sz w:val="24"/>
          <w:szCs w:val="24"/>
          <w:lang w:val="en-GB"/>
        </w:rPr>
        <w:t xml:space="preserve">the </w:t>
      </w:r>
      <w:r w:rsidRPr="00C82524">
        <w:rPr>
          <w:rFonts w:ascii="Arial" w:hAnsi="Arial" w:cs="Arial"/>
          <w:sz w:val="24"/>
          <w:szCs w:val="24"/>
          <w:lang w:val="en-GB"/>
        </w:rPr>
        <w:t>autonomous communities calibrated altogether</w:t>
      </w:r>
      <w:r>
        <w:rPr>
          <w:rFonts w:ascii="Arial" w:hAnsi="Arial" w:cs="Arial"/>
          <w:sz w:val="24"/>
          <w:szCs w:val="24"/>
          <w:lang w:val="en-GB"/>
        </w:rPr>
        <w:t>, the lack of coherence</w:t>
      </w:r>
      <w:r w:rsidRPr="00C82524">
        <w:rPr>
          <w:rFonts w:ascii="Arial" w:hAnsi="Arial" w:cs="Arial"/>
          <w:sz w:val="24"/>
          <w:szCs w:val="24"/>
          <w:lang w:val="en-GB"/>
        </w:rPr>
        <w:t xml:space="preserve"> RTS-HOS </w:t>
      </w:r>
      <w:r>
        <w:rPr>
          <w:rFonts w:ascii="Arial" w:hAnsi="Arial" w:cs="Arial"/>
          <w:sz w:val="24"/>
          <w:szCs w:val="24"/>
          <w:lang w:val="en-GB"/>
        </w:rPr>
        <w:t>still remains</w:t>
      </w:r>
      <w:r w:rsidRPr="00C82524">
        <w:rPr>
          <w:rFonts w:ascii="Arial" w:hAnsi="Arial" w:cs="Arial"/>
          <w:sz w:val="24"/>
          <w:szCs w:val="24"/>
          <w:lang w:val="en-GB"/>
        </w:rPr>
        <w:t>.</w:t>
      </w:r>
    </w:p>
    <w:p w:rsidR="00D258ED" w:rsidRPr="00C82524" w:rsidRDefault="00D258ED" w:rsidP="00163593">
      <w:pPr>
        <w:pStyle w:val="Legenda"/>
        <w:keepNext/>
        <w:spacing w:before="120" w:after="240"/>
        <w:jc w:val="both"/>
        <w:rPr>
          <w:rFonts w:ascii="Arial" w:hAnsi="Arial" w:cs="Arial"/>
          <w:b/>
          <w:i w:val="0"/>
          <w:color w:val="auto"/>
          <w:sz w:val="20"/>
          <w:szCs w:val="20"/>
          <w:lang w:val="en-GB"/>
        </w:rPr>
      </w:pPr>
      <w:r w:rsidRPr="00EC5F5A">
        <w:rPr>
          <w:rFonts w:ascii="Arial" w:hAnsi="Arial" w:cs="Arial"/>
          <w:b/>
          <w:i w:val="0"/>
          <w:color w:val="auto"/>
          <w:sz w:val="20"/>
          <w:szCs w:val="20"/>
          <w:lang w:val="en-GB"/>
        </w:rPr>
        <w:t xml:space="preserve">Figure </w:t>
      </w:r>
      <w:r w:rsidR="00BF7B29">
        <w:rPr>
          <w:rFonts w:ascii="Arial" w:hAnsi="Arial" w:cs="Arial"/>
          <w:b/>
          <w:i w:val="0"/>
          <w:color w:val="auto"/>
          <w:sz w:val="20"/>
          <w:szCs w:val="20"/>
          <w:lang w:val="en-GB"/>
        </w:rPr>
        <w:t>6</w:t>
      </w:r>
      <w:r w:rsidRPr="00EC5F5A">
        <w:rPr>
          <w:rFonts w:ascii="Arial" w:hAnsi="Arial" w:cs="Arial"/>
          <w:b/>
          <w:i w:val="0"/>
          <w:color w:val="auto"/>
          <w:sz w:val="20"/>
          <w:szCs w:val="20"/>
          <w:lang w:val="en-GB"/>
        </w:rPr>
        <w:t xml:space="preserve">. </w:t>
      </w:r>
      <w:r w:rsidR="00BF7B29">
        <w:rPr>
          <w:rFonts w:ascii="Arial" w:hAnsi="Arial" w:cs="Arial"/>
          <w:b/>
          <w:i w:val="0"/>
          <w:color w:val="auto"/>
          <w:sz w:val="20"/>
          <w:szCs w:val="20"/>
          <w:lang w:val="en-GB"/>
        </w:rPr>
        <w:t>Balearic Islands</w:t>
      </w:r>
      <w:r>
        <w:rPr>
          <w:rFonts w:ascii="Arial" w:hAnsi="Arial" w:cs="Arial"/>
          <w:b/>
          <w:i w:val="0"/>
          <w:color w:val="auto"/>
          <w:sz w:val="20"/>
          <w:szCs w:val="20"/>
          <w:lang w:val="en-GB"/>
        </w:rPr>
        <w:t xml:space="preserve"> hotel overnight stays. HOS estimates and RTS estimates (calibrated to SD variables and calibrated to SD and HOS estimates):</w:t>
      </w:r>
    </w:p>
    <w:p w:rsidR="00175ECE" w:rsidRDefault="00B1615A" w:rsidP="00175ECE">
      <w:pPr>
        <w:spacing w:before="120" w:after="0" w:line="360" w:lineRule="auto"/>
        <w:jc w:val="both"/>
        <w:rPr>
          <w:rFonts w:ascii="Arial" w:hAnsi="Arial" w:cs="Arial"/>
          <w:sz w:val="24"/>
          <w:szCs w:val="24"/>
          <w:lang w:val="en-GB"/>
        </w:rPr>
      </w:pPr>
      <w:r>
        <w:rPr>
          <w:noProof/>
          <w:lang w:eastAsia="pl-PL"/>
        </w:rPr>
        <w:drawing>
          <wp:inline distT="0" distB="0" distL="0" distR="0" wp14:anchorId="3703E093" wp14:editId="2ACB26A5">
            <wp:extent cx="5760720" cy="2971800"/>
            <wp:effectExtent l="0" t="0" r="11430" b="0"/>
            <wp:docPr id="17" name="Gráfico 1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B6A3E" w:rsidRPr="00C85ABE" w:rsidRDefault="00BF7B29" w:rsidP="00BF7B29">
      <w:pPr>
        <w:spacing w:before="120" w:after="0" w:line="360" w:lineRule="auto"/>
        <w:jc w:val="both"/>
        <w:rPr>
          <w:rFonts w:ascii="Arial" w:hAnsi="Arial" w:cs="Arial"/>
          <w:sz w:val="20"/>
          <w:szCs w:val="20"/>
          <w:lang w:val="en-US"/>
        </w:rPr>
      </w:pPr>
      <w:r w:rsidRPr="00C85ABE">
        <w:rPr>
          <w:rFonts w:ascii="Arial" w:hAnsi="Arial" w:cs="Arial"/>
          <w:sz w:val="20"/>
          <w:szCs w:val="20"/>
          <w:lang w:val="en-US"/>
        </w:rPr>
        <w:t>Source: Residents Travel Survey and Hotel Occupancy Survey.</w:t>
      </w:r>
      <w:r>
        <w:rPr>
          <w:rFonts w:ascii="Arial" w:hAnsi="Arial" w:cs="Arial"/>
          <w:sz w:val="20"/>
          <w:szCs w:val="20"/>
          <w:lang w:val="en-US"/>
        </w:rPr>
        <w:t xml:space="preserve"> 2016-</w:t>
      </w:r>
      <w:r w:rsidRPr="00C85ABE">
        <w:rPr>
          <w:rFonts w:ascii="Arial" w:hAnsi="Arial" w:cs="Arial"/>
          <w:sz w:val="20"/>
          <w:szCs w:val="20"/>
          <w:lang w:val="en-US"/>
        </w:rPr>
        <w:t>2017.</w:t>
      </w:r>
    </w:p>
    <w:p w:rsidR="00175ECE" w:rsidRDefault="00175ECE" w:rsidP="00175ECE">
      <w:pPr>
        <w:spacing w:before="120" w:after="0" w:line="360" w:lineRule="auto"/>
        <w:jc w:val="both"/>
        <w:rPr>
          <w:rFonts w:ascii="Arial" w:hAnsi="Arial" w:cs="Arial"/>
          <w:sz w:val="24"/>
          <w:szCs w:val="24"/>
          <w:lang w:val="en-US"/>
        </w:rPr>
      </w:pPr>
      <w:r>
        <w:rPr>
          <w:rFonts w:ascii="Arial" w:hAnsi="Arial" w:cs="Arial"/>
          <w:sz w:val="24"/>
          <w:szCs w:val="24"/>
          <w:lang w:val="en-US"/>
        </w:rPr>
        <w:t xml:space="preserve">For these autonomous communities with a smaller sample size, a new possibility is being explored. Although the sample is designed to provide monthly estimates, pooling monthly files into a quarterly one allows to increase the number of trips to each region of destination. The new approach consists of adjusting in the same process the monthly auxiliary figures described in the previous section for each of the three months considered and one </w:t>
      </w:r>
      <w:r w:rsidR="00101DB4">
        <w:rPr>
          <w:rFonts w:ascii="Arial" w:hAnsi="Arial" w:cs="Arial"/>
          <w:sz w:val="24"/>
          <w:szCs w:val="24"/>
          <w:lang w:val="en-US"/>
        </w:rPr>
        <w:t xml:space="preserve">more </w:t>
      </w:r>
      <w:r>
        <w:rPr>
          <w:rFonts w:ascii="Arial" w:hAnsi="Arial" w:cs="Arial"/>
          <w:sz w:val="24"/>
          <w:szCs w:val="24"/>
          <w:lang w:val="en-US"/>
        </w:rPr>
        <w:t>quarterly variable for the overnight stays in each autonomous community not calibrated individually in the monthly process.</w:t>
      </w:r>
    </w:p>
    <w:p w:rsidR="00175ECE" w:rsidRDefault="0064031A">
      <w:pPr>
        <w:spacing w:before="120" w:after="0" w:line="360" w:lineRule="auto"/>
        <w:jc w:val="both"/>
        <w:rPr>
          <w:rFonts w:ascii="Arial" w:hAnsi="Arial" w:cs="Arial"/>
          <w:sz w:val="24"/>
          <w:szCs w:val="24"/>
          <w:lang w:val="en-US"/>
        </w:rPr>
      </w:pPr>
      <w:r>
        <w:rPr>
          <w:rFonts w:ascii="Arial" w:hAnsi="Arial" w:cs="Arial"/>
          <w:sz w:val="24"/>
          <w:szCs w:val="24"/>
          <w:lang w:val="en-US"/>
        </w:rPr>
        <w:t>To ensure the coherence with the monthly aggregate for this group of regions, n</w:t>
      </w:r>
      <w:r w:rsidR="00175ECE">
        <w:rPr>
          <w:rFonts w:ascii="Arial" w:hAnsi="Arial" w:cs="Arial"/>
          <w:sz w:val="24"/>
          <w:szCs w:val="24"/>
          <w:lang w:val="en-US"/>
        </w:rPr>
        <w:t xml:space="preserve">ew quarterly marginals are computed sharing the monthly marginal </w:t>
      </w:r>
      <w:r>
        <w:rPr>
          <w:rFonts w:ascii="Arial" w:hAnsi="Arial" w:cs="Arial"/>
          <w:sz w:val="24"/>
          <w:szCs w:val="24"/>
          <w:lang w:val="en-US"/>
        </w:rPr>
        <w:t>among</w:t>
      </w:r>
      <w:r w:rsidR="00175ECE">
        <w:rPr>
          <w:rFonts w:ascii="Arial" w:hAnsi="Arial" w:cs="Arial"/>
          <w:sz w:val="24"/>
          <w:szCs w:val="24"/>
          <w:lang w:val="en-US"/>
        </w:rPr>
        <w:t xml:space="preserve"> all the autonomous communities grouped together, using the</w:t>
      </w:r>
      <w:r>
        <w:rPr>
          <w:rFonts w:ascii="Arial" w:hAnsi="Arial" w:cs="Arial"/>
          <w:sz w:val="24"/>
          <w:szCs w:val="24"/>
          <w:lang w:val="en-US"/>
        </w:rPr>
        <w:t>ir weight in the</w:t>
      </w:r>
      <w:r w:rsidR="00175ECE">
        <w:rPr>
          <w:rFonts w:ascii="Arial" w:hAnsi="Arial" w:cs="Arial"/>
          <w:sz w:val="24"/>
          <w:szCs w:val="24"/>
          <w:lang w:val="en-US"/>
        </w:rPr>
        <w:t xml:space="preserve"> HOS estimates. </w:t>
      </w:r>
    </w:p>
    <w:p w:rsidR="00175ECE" w:rsidRDefault="00175ECE" w:rsidP="00175ECE">
      <w:pPr>
        <w:spacing w:before="120" w:after="0" w:line="360" w:lineRule="auto"/>
        <w:jc w:val="both"/>
        <w:rPr>
          <w:rFonts w:ascii="Arial" w:hAnsi="Arial" w:cs="Arial"/>
          <w:sz w:val="24"/>
          <w:szCs w:val="24"/>
          <w:lang w:val="en-US"/>
        </w:rPr>
      </w:pPr>
      <w:r>
        <w:rPr>
          <w:rFonts w:ascii="Arial" w:hAnsi="Arial" w:cs="Arial"/>
          <w:sz w:val="24"/>
          <w:szCs w:val="24"/>
          <w:lang w:val="en-US"/>
        </w:rPr>
        <w:t>The quarterly auxiliary variables are computed following the same procedure than the monthly ones: truncating to the maximum number of days of the reference month but for all the autonomous communities individually.</w:t>
      </w:r>
    </w:p>
    <w:p w:rsidR="00175ECE" w:rsidRDefault="003862A7" w:rsidP="00175ECE">
      <w:pPr>
        <w:spacing w:before="120" w:after="0" w:line="360" w:lineRule="auto"/>
        <w:jc w:val="both"/>
        <w:rPr>
          <w:rFonts w:ascii="Arial" w:hAnsi="Arial" w:cs="Arial"/>
          <w:sz w:val="24"/>
          <w:szCs w:val="24"/>
          <w:lang w:val="en-US"/>
        </w:rPr>
      </w:pPr>
      <w:r>
        <w:rPr>
          <w:rFonts w:ascii="Arial" w:hAnsi="Arial" w:cs="Arial"/>
          <w:sz w:val="24"/>
          <w:szCs w:val="24"/>
          <w:lang w:val="en-US"/>
        </w:rPr>
        <w:t>Figure 7</w:t>
      </w:r>
      <w:r w:rsidR="00847CDA" w:rsidRPr="00C82524">
        <w:rPr>
          <w:rFonts w:ascii="Arial" w:hAnsi="Arial" w:cs="Arial"/>
          <w:color w:val="FF0000"/>
          <w:sz w:val="24"/>
          <w:szCs w:val="24"/>
          <w:lang w:val="en-US"/>
        </w:rPr>
        <w:t xml:space="preserve"> </w:t>
      </w:r>
      <w:r w:rsidR="00175ECE">
        <w:rPr>
          <w:rFonts w:ascii="Arial" w:hAnsi="Arial" w:cs="Arial"/>
          <w:sz w:val="24"/>
          <w:szCs w:val="24"/>
          <w:lang w:val="en-US"/>
        </w:rPr>
        <w:t xml:space="preserve">shows the quarterly series for the Balearic Islands hotel overnight stays when </w:t>
      </w:r>
      <w:r w:rsidR="00A273F7">
        <w:rPr>
          <w:rFonts w:ascii="Arial" w:hAnsi="Arial" w:cs="Arial"/>
          <w:sz w:val="24"/>
          <w:szCs w:val="24"/>
          <w:lang w:val="en-US"/>
        </w:rPr>
        <w:t>the</w:t>
      </w:r>
      <w:r w:rsidR="00175ECE">
        <w:rPr>
          <w:rFonts w:ascii="Arial" w:hAnsi="Arial" w:cs="Arial"/>
          <w:sz w:val="24"/>
          <w:szCs w:val="24"/>
          <w:lang w:val="en-US"/>
        </w:rPr>
        <w:t xml:space="preserve"> quarterly </w:t>
      </w:r>
      <w:r w:rsidR="00A273F7">
        <w:rPr>
          <w:rFonts w:ascii="Arial" w:hAnsi="Arial" w:cs="Arial"/>
          <w:sz w:val="24"/>
          <w:szCs w:val="24"/>
          <w:lang w:val="en-US"/>
        </w:rPr>
        <w:t>individual total are taken into account.</w:t>
      </w:r>
    </w:p>
    <w:p w:rsidR="00BF7B29" w:rsidRPr="00C82524" w:rsidRDefault="00BF7B29" w:rsidP="00163593">
      <w:pPr>
        <w:pStyle w:val="Legenda"/>
        <w:keepNext/>
        <w:spacing w:before="120" w:after="240"/>
        <w:jc w:val="both"/>
        <w:rPr>
          <w:rFonts w:ascii="Arial" w:hAnsi="Arial" w:cs="Arial"/>
          <w:b/>
          <w:i w:val="0"/>
          <w:color w:val="auto"/>
          <w:sz w:val="20"/>
          <w:szCs w:val="20"/>
          <w:lang w:val="en-GB"/>
        </w:rPr>
      </w:pPr>
      <w:r w:rsidRPr="00EC5F5A">
        <w:rPr>
          <w:rFonts w:ascii="Arial" w:hAnsi="Arial" w:cs="Arial"/>
          <w:b/>
          <w:i w:val="0"/>
          <w:color w:val="auto"/>
          <w:sz w:val="20"/>
          <w:szCs w:val="20"/>
          <w:lang w:val="en-GB"/>
        </w:rPr>
        <w:t xml:space="preserve">Figure </w:t>
      </w:r>
      <w:r>
        <w:rPr>
          <w:rFonts w:ascii="Arial" w:hAnsi="Arial" w:cs="Arial"/>
          <w:b/>
          <w:i w:val="0"/>
          <w:color w:val="auto"/>
          <w:sz w:val="20"/>
          <w:szCs w:val="20"/>
          <w:lang w:val="en-GB"/>
        </w:rPr>
        <w:t>7</w:t>
      </w:r>
      <w:r w:rsidRPr="00EC5F5A">
        <w:rPr>
          <w:rFonts w:ascii="Arial" w:hAnsi="Arial" w:cs="Arial"/>
          <w:b/>
          <w:i w:val="0"/>
          <w:color w:val="auto"/>
          <w:sz w:val="20"/>
          <w:szCs w:val="20"/>
          <w:lang w:val="en-GB"/>
        </w:rPr>
        <w:t xml:space="preserve">. </w:t>
      </w:r>
      <w:r>
        <w:rPr>
          <w:rFonts w:ascii="Arial" w:hAnsi="Arial" w:cs="Arial"/>
          <w:b/>
          <w:i w:val="0"/>
          <w:color w:val="auto"/>
          <w:sz w:val="20"/>
          <w:szCs w:val="20"/>
          <w:lang w:val="en-GB"/>
        </w:rPr>
        <w:t xml:space="preserve">Balearic Islands hotel overnight stays. HOS estimates and </w:t>
      </w:r>
      <w:r w:rsidR="001F0885">
        <w:rPr>
          <w:rFonts w:ascii="Arial" w:hAnsi="Arial" w:cs="Arial"/>
          <w:b/>
          <w:i w:val="0"/>
          <w:color w:val="auto"/>
          <w:sz w:val="20"/>
          <w:szCs w:val="20"/>
          <w:lang w:val="en-GB"/>
        </w:rPr>
        <w:t xml:space="preserve">RTS estimates </w:t>
      </w:r>
      <w:r w:rsidR="006B6412">
        <w:rPr>
          <w:rFonts w:ascii="Arial" w:hAnsi="Arial" w:cs="Arial"/>
          <w:b/>
          <w:i w:val="0"/>
          <w:color w:val="auto"/>
          <w:sz w:val="20"/>
          <w:szCs w:val="20"/>
          <w:lang w:val="en-GB"/>
        </w:rPr>
        <w:t xml:space="preserve">(monthly and quarterly </w:t>
      </w:r>
      <w:r w:rsidR="001F0885">
        <w:rPr>
          <w:rFonts w:ascii="Arial" w:hAnsi="Arial" w:cs="Arial"/>
          <w:b/>
          <w:i w:val="0"/>
          <w:color w:val="auto"/>
          <w:sz w:val="20"/>
          <w:szCs w:val="20"/>
          <w:lang w:val="en-GB"/>
        </w:rPr>
        <w:t>calibrated</w:t>
      </w:r>
      <w:r w:rsidR="006B6412">
        <w:rPr>
          <w:rFonts w:ascii="Arial" w:hAnsi="Arial" w:cs="Arial"/>
          <w:b/>
          <w:i w:val="0"/>
          <w:color w:val="auto"/>
          <w:sz w:val="20"/>
          <w:szCs w:val="20"/>
          <w:lang w:val="en-GB"/>
        </w:rPr>
        <w:t>)</w:t>
      </w:r>
    </w:p>
    <w:p w:rsidR="00175ECE" w:rsidRDefault="00B1615A" w:rsidP="00175ECE">
      <w:pPr>
        <w:spacing w:before="120" w:after="0" w:line="360" w:lineRule="auto"/>
        <w:jc w:val="both"/>
        <w:rPr>
          <w:rFonts w:ascii="Arial" w:hAnsi="Arial" w:cs="Arial"/>
          <w:sz w:val="24"/>
          <w:szCs w:val="24"/>
          <w:lang w:val="en-US"/>
        </w:rPr>
      </w:pPr>
      <w:r>
        <w:rPr>
          <w:noProof/>
          <w:lang w:eastAsia="pl-PL"/>
        </w:rPr>
        <w:drawing>
          <wp:inline distT="0" distB="0" distL="0" distR="0" wp14:anchorId="37B959C4" wp14:editId="5CB596A8">
            <wp:extent cx="5760720" cy="3351530"/>
            <wp:effectExtent l="0" t="0" r="11430" b="1270"/>
            <wp:docPr id="18" name="Gráfico 1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B1615A" w:rsidRDefault="006B6412" w:rsidP="00FC4182">
      <w:pPr>
        <w:spacing w:before="120" w:after="240" w:line="360" w:lineRule="auto"/>
        <w:jc w:val="both"/>
        <w:rPr>
          <w:rFonts w:ascii="Arial" w:hAnsi="Arial" w:cs="Arial"/>
          <w:sz w:val="20"/>
          <w:szCs w:val="20"/>
          <w:lang w:val="en-US"/>
        </w:rPr>
      </w:pPr>
      <w:r w:rsidRPr="00C85ABE">
        <w:rPr>
          <w:rFonts w:ascii="Arial" w:hAnsi="Arial" w:cs="Arial"/>
          <w:sz w:val="20"/>
          <w:szCs w:val="20"/>
          <w:lang w:val="en-US"/>
        </w:rPr>
        <w:t>Source: Residents Travel Survey and Hotel Occupancy Survey.</w:t>
      </w:r>
      <w:r>
        <w:rPr>
          <w:rFonts w:ascii="Arial" w:hAnsi="Arial" w:cs="Arial"/>
          <w:sz w:val="20"/>
          <w:szCs w:val="20"/>
          <w:lang w:val="en-US"/>
        </w:rPr>
        <w:t xml:space="preserve"> 2016-</w:t>
      </w:r>
      <w:r w:rsidRPr="00C85ABE">
        <w:rPr>
          <w:rFonts w:ascii="Arial" w:hAnsi="Arial" w:cs="Arial"/>
          <w:sz w:val="20"/>
          <w:szCs w:val="20"/>
          <w:lang w:val="en-US"/>
        </w:rPr>
        <w:t>2017.</w:t>
      </w:r>
    </w:p>
    <w:p w:rsidR="00B1615A" w:rsidRDefault="00B1615A" w:rsidP="00FC4182">
      <w:pPr>
        <w:spacing w:before="120" w:after="240" w:line="360" w:lineRule="auto"/>
        <w:jc w:val="both"/>
        <w:rPr>
          <w:rFonts w:ascii="Arial" w:hAnsi="Arial" w:cs="Arial"/>
          <w:sz w:val="20"/>
          <w:szCs w:val="20"/>
          <w:lang w:val="en-US"/>
        </w:rPr>
      </w:pPr>
    </w:p>
    <w:p w:rsidR="006B6412" w:rsidRDefault="00175ECE" w:rsidP="00175ECE">
      <w:pPr>
        <w:spacing w:before="120" w:after="0" w:line="360" w:lineRule="auto"/>
        <w:jc w:val="both"/>
        <w:rPr>
          <w:rFonts w:ascii="Arial" w:hAnsi="Arial" w:cs="Arial"/>
          <w:sz w:val="24"/>
          <w:szCs w:val="24"/>
          <w:lang w:val="en-US"/>
        </w:rPr>
      </w:pPr>
      <w:r>
        <w:rPr>
          <w:rFonts w:ascii="Arial" w:hAnsi="Arial" w:cs="Arial"/>
          <w:sz w:val="24"/>
          <w:szCs w:val="24"/>
          <w:lang w:val="en-US"/>
        </w:rPr>
        <w:t>In this case, it is noted how the fitting between the RT</w:t>
      </w:r>
      <w:r w:rsidR="00327A2E">
        <w:rPr>
          <w:rFonts w:ascii="Arial" w:hAnsi="Arial" w:cs="Arial"/>
          <w:sz w:val="24"/>
          <w:szCs w:val="24"/>
          <w:lang w:val="en-US"/>
        </w:rPr>
        <w:t>S</w:t>
      </w:r>
      <w:r>
        <w:rPr>
          <w:rFonts w:ascii="Arial" w:hAnsi="Arial" w:cs="Arial"/>
          <w:sz w:val="24"/>
          <w:szCs w:val="24"/>
          <w:lang w:val="en-US"/>
        </w:rPr>
        <w:t xml:space="preserve"> and HOS </w:t>
      </w:r>
      <w:r w:rsidR="00101DB4">
        <w:rPr>
          <w:rFonts w:ascii="Arial" w:hAnsi="Arial" w:cs="Arial"/>
          <w:sz w:val="24"/>
          <w:szCs w:val="24"/>
          <w:lang w:val="en-US"/>
        </w:rPr>
        <w:t>improves</w:t>
      </w:r>
      <w:r>
        <w:rPr>
          <w:rFonts w:ascii="Arial" w:hAnsi="Arial" w:cs="Arial"/>
          <w:sz w:val="24"/>
          <w:szCs w:val="24"/>
          <w:lang w:val="en-US"/>
        </w:rPr>
        <w:t xml:space="preserve"> as opposed to the monthly calibration where </w:t>
      </w:r>
      <w:r w:rsidR="00101DB4">
        <w:rPr>
          <w:rFonts w:ascii="Arial" w:hAnsi="Arial" w:cs="Arial"/>
          <w:sz w:val="24"/>
          <w:szCs w:val="24"/>
          <w:lang w:val="en-US"/>
        </w:rPr>
        <w:t>a more irregular behavior of the series</w:t>
      </w:r>
      <w:r w:rsidR="00104AB1">
        <w:rPr>
          <w:rFonts w:ascii="Arial" w:hAnsi="Arial" w:cs="Arial"/>
          <w:sz w:val="24"/>
          <w:szCs w:val="24"/>
          <w:lang w:val="en-US"/>
        </w:rPr>
        <w:t xml:space="preserve"> is observed</w:t>
      </w:r>
      <w:r>
        <w:rPr>
          <w:rFonts w:ascii="Arial" w:hAnsi="Arial" w:cs="Arial"/>
          <w:sz w:val="24"/>
          <w:szCs w:val="24"/>
          <w:lang w:val="en-US"/>
        </w:rPr>
        <w:t xml:space="preserve">. </w:t>
      </w:r>
      <w:r w:rsidR="00104AB1">
        <w:rPr>
          <w:rFonts w:ascii="Arial" w:hAnsi="Arial" w:cs="Arial"/>
          <w:sz w:val="24"/>
          <w:szCs w:val="24"/>
          <w:lang w:val="en-US"/>
        </w:rPr>
        <w:t xml:space="preserve"> </w:t>
      </w:r>
      <w:r w:rsidR="00CE5B9F">
        <w:rPr>
          <w:rFonts w:ascii="Arial" w:hAnsi="Arial" w:cs="Arial"/>
          <w:sz w:val="24"/>
          <w:szCs w:val="24"/>
          <w:lang w:val="en-US"/>
        </w:rPr>
        <w:t>Figure 8</w:t>
      </w:r>
      <w:r w:rsidR="00104AB1">
        <w:rPr>
          <w:rFonts w:ascii="Arial" w:hAnsi="Arial" w:cs="Arial"/>
          <w:color w:val="FF0000"/>
          <w:sz w:val="24"/>
          <w:szCs w:val="24"/>
          <w:lang w:val="en-US"/>
        </w:rPr>
        <w:t xml:space="preserve"> </w:t>
      </w:r>
      <w:r w:rsidR="00104AB1">
        <w:rPr>
          <w:rFonts w:ascii="Arial" w:hAnsi="Arial" w:cs="Arial"/>
          <w:sz w:val="24"/>
          <w:szCs w:val="24"/>
          <w:lang w:val="en-US"/>
        </w:rPr>
        <w:t>focus on the variation rates</w:t>
      </w:r>
      <w:r>
        <w:rPr>
          <w:rFonts w:ascii="Arial" w:hAnsi="Arial" w:cs="Arial"/>
          <w:sz w:val="24"/>
          <w:szCs w:val="24"/>
          <w:lang w:val="en-US"/>
        </w:rPr>
        <w:t>:</w:t>
      </w:r>
    </w:p>
    <w:p w:rsidR="006B6412" w:rsidRDefault="006B6412" w:rsidP="00163593">
      <w:pPr>
        <w:pStyle w:val="Legenda"/>
        <w:keepNext/>
        <w:spacing w:before="120" w:after="240"/>
        <w:jc w:val="both"/>
        <w:rPr>
          <w:rFonts w:ascii="Arial" w:hAnsi="Arial" w:cs="Arial"/>
          <w:b/>
          <w:i w:val="0"/>
          <w:color w:val="auto"/>
          <w:sz w:val="20"/>
          <w:szCs w:val="20"/>
          <w:lang w:val="en-GB"/>
        </w:rPr>
      </w:pPr>
      <w:r w:rsidRPr="00EC5F5A">
        <w:rPr>
          <w:rFonts w:ascii="Arial" w:hAnsi="Arial" w:cs="Arial"/>
          <w:b/>
          <w:i w:val="0"/>
          <w:color w:val="auto"/>
          <w:sz w:val="20"/>
          <w:szCs w:val="20"/>
          <w:lang w:val="en-GB"/>
        </w:rPr>
        <w:t xml:space="preserve">Figure </w:t>
      </w:r>
      <w:r w:rsidR="00014E7B">
        <w:rPr>
          <w:rFonts w:ascii="Arial" w:hAnsi="Arial" w:cs="Arial"/>
          <w:b/>
          <w:i w:val="0"/>
          <w:color w:val="auto"/>
          <w:sz w:val="20"/>
          <w:szCs w:val="20"/>
          <w:lang w:val="en-GB"/>
        </w:rPr>
        <w:t>8</w:t>
      </w:r>
      <w:r w:rsidRPr="00EC5F5A">
        <w:rPr>
          <w:rFonts w:ascii="Arial" w:hAnsi="Arial" w:cs="Arial"/>
          <w:b/>
          <w:i w:val="0"/>
          <w:color w:val="auto"/>
          <w:sz w:val="20"/>
          <w:szCs w:val="20"/>
          <w:lang w:val="en-GB"/>
        </w:rPr>
        <w:t xml:space="preserve">. </w:t>
      </w:r>
      <w:r>
        <w:rPr>
          <w:rFonts w:ascii="Arial" w:hAnsi="Arial" w:cs="Arial"/>
          <w:b/>
          <w:i w:val="0"/>
          <w:color w:val="auto"/>
          <w:sz w:val="20"/>
          <w:szCs w:val="20"/>
          <w:lang w:val="en-GB"/>
        </w:rPr>
        <w:t>Balearic Islands hotel overnight stays variation rate. HOS estimates and RTS estimates (monthly and quarterly calibrated)</w:t>
      </w:r>
    </w:p>
    <w:p w:rsidR="00175ECE" w:rsidRDefault="00B1615A" w:rsidP="00175ECE">
      <w:pPr>
        <w:spacing w:before="120" w:after="0" w:line="360" w:lineRule="auto"/>
        <w:jc w:val="both"/>
        <w:rPr>
          <w:rFonts w:ascii="Arial" w:hAnsi="Arial" w:cs="Arial"/>
          <w:sz w:val="24"/>
          <w:szCs w:val="24"/>
          <w:lang w:val="en-US"/>
        </w:rPr>
      </w:pPr>
      <w:r>
        <w:rPr>
          <w:noProof/>
          <w:lang w:eastAsia="pl-PL"/>
        </w:rPr>
        <w:drawing>
          <wp:inline distT="0" distB="0" distL="0" distR="0" wp14:anchorId="22A01E65" wp14:editId="73BACADA">
            <wp:extent cx="5760720" cy="3039035"/>
            <wp:effectExtent l="0" t="0" r="11430" b="9525"/>
            <wp:docPr id="19" name="Gráfico 1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1615A" w:rsidRDefault="00C06FFD" w:rsidP="00FC4182">
      <w:pPr>
        <w:spacing w:before="120" w:after="240" w:line="360" w:lineRule="auto"/>
        <w:jc w:val="both"/>
        <w:rPr>
          <w:rFonts w:ascii="Arial" w:hAnsi="Arial" w:cs="Arial"/>
          <w:sz w:val="20"/>
          <w:szCs w:val="20"/>
          <w:lang w:val="en-US"/>
        </w:rPr>
      </w:pPr>
      <w:r w:rsidRPr="00C85ABE">
        <w:rPr>
          <w:rFonts w:ascii="Arial" w:hAnsi="Arial" w:cs="Arial"/>
          <w:sz w:val="20"/>
          <w:szCs w:val="20"/>
          <w:lang w:val="en-US"/>
        </w:rPr>
        <w:t>Source: Residents Travel Survey and Hotel Occupancy Survey.</w:t>
      </w:r>
      <w:r>
        <w:rPr>
          <w:rFonts w:ascii="Arial" w:hAnsi="Arial" w:cs="Arial"/>
          <w:sz w:val="20"/>
          <w:szCs w:val="20"/>
          <w:lang w:val="en-US"/>
        </w:rPr>
        <w:t xml:space="preserve"> 2016-</w:t>
      </w:r>
      <w:r w:rsidRPr="00C85ABE">
        <w:rPr>
          <w:rFonts w:ascii="Arial" w:hAnsi="Arial" w:cs="Arial"/>
          <w:sz w:val="20"/>
          <w:szCs w:val="20"/>
          <w:lang w:val="en-US"/>
        </w:rPr>
        <w:t>2017.</w:t>
      </w:r>
    </w:p>
    <w:p w:rsidR="0065551A" w:rsidRDefault="00175ECE" w:rsidP="003A1D16">
      <w:pPr>
        <w:spacing w:before="120" w:after="0" w:line="360" w:lineRule="auto"/>
        <w:jc w:val="both"/>
        <w:rPr>
          <w:rFonts w:ascii="Arial" w:hAnsi="Arial" w:cs="Arial"/>
          <w:sz w:val="24"/>
          <w:szCs w:val="24"/>
          <w:lang w:val="en-GB"/>
        </w:rPr>
      </w:pPr>
      <w:r>
        <w:rPr>
          <w:rFonts w:ascii="Arial" w:hAnsi="Arial" w:cs="Arial"/>
          <w:sz w:val="24"/>
          <w:szCs w:val="24"/>
          <w:lang w:val="en-GB"/>
        </w:rPr>
        <w:t>Note how this calibration change</w:t>
      </w:r>
      <w:r w:rsidR="009A27F5">
        <w:rPr>
          <w:rFonts w:ascii="Arial" w:hAnsi="Arial" w:cs="Arial"/>
          <w:sz w:val="24"/>
          <w:szCs w:val="24"/>
          <w:lang w:val="en-GB"/>
        </w:rPr>
        <w:t>s</w:t>
      </w:r>
      <w:r>
        <w:rPr>
          <w:rFonts w:ascii="Arial" w:hAnsi="Arial" w:cs="Arial"/>
          <w:sz w:val="24"/>
          <w:szCs w:val="24"/>
          <w:lang w:val="en-GB"/>
        </w:rPr>
        <w:t xml:space="preserve"> the </w:t>
      </w:r>
      <w:r w:rsidR="009A27F5">
        <w:rPr>
          <w:rFonts w:ascii="Arial" w:hAnsi="Arial" w:cs="Arial"/>
          <w:sz w:val="24"/>
          <w:szCs w:val="24"/>
          <w:lang w:val="en-GB"/>
        </w:rPr>
        <w:t>size</w:t>
      </w:r>
      <w:r>
        <w:rPr>
          <w:rFonts w:ascii="Arial" w:hAnsi="Arial" w:cs="Arial"/>
          <w:sz w:val="24"/>
          <w:szCs w:val="24"/>
          <w:lang w:val="en-GB"/>
        </w:rPr>
        <w:t xml:space="preserve"> and occasionally the sign of the variation rates</w:t>
      </w:r>
      <w:r w:rsidR="005A3167">
        <w:rPr>
          <w:rFonts w:ascii="Arial" w:hAnsi="Arial" w:cs="Arial"/>
          <w:sz w:val="24"/>
          <w:szCs w:val="24"/>
          <w:lang w:val="en-GB"/>
        </w:rPr>
        <w:t>: although differences due to methodological reasons remain, this new figures give the users a coherent message</w:t>
      </w:r>
      <w:r>
        <w:rPr>
          <w:rFonts w:ascii="Arial" w:hAnsi="Arial" w:cs="Arial"/>
          <w:sz w:val="24"/>
          <w:szCs w:val="24"/>
          <w:lang w:val="en-GB"/>
        </w:rPr>
        <w:t xml:space="preserve">. </w:t>
      </w:r>
      <w:r w:rsidR="005A3167">
        <w:rPr>
          <w:rFonts w:ascii="Arial" w:hAnsi="Arial" w:cs="Arial"/>
          <w:sz w:val="24"/>
          <w:szCs w:val="24"/>
          <w:lang w:val="en-GB"/>
        </w:rPr>
        <w:t>Besides, as</w:t>
      </w:r>
      <w:r>
        <w:rPr>
          <w:rFonts w:ascii="Arial" w:hAnsi="Arial" w:cs="Arial"/>
          <w:sz w:val="24"/>
          <w:szCs w:val="24"/>
          <w:lang w:val="en-GB"/>
        </w:rPr>
        <w:t xml:space="preserve"> we are fitting the estimates to the HOS survey results</w:t>
      </w:r>
      <w:r w:rsidR="009A27F5">
        <w:rPr>
          <w:rFonts w:ascii="Arial" w:hAnsi="Arial" w:cs="Arial"/>
          <w:sz w:val="24"/>
          <w:szCs w:val="24"/>
          <w:lang w:val="en-GB"/>
        </w:rPr>
        <w:t>,</w:t>
      </w:r>
      <w:r>
        <w:rPr>
          <w:rFonts w:ascii="Arial" w:hAnsi="Arial" w:cs="Arial"/>
          <w:sz w:val="24"/>
          <w:szCs w:val="24"/>
          <w:lang w:val="en-GB"/>
        </w:rPr>
        <w:t xml:space="preserve"> with lower sampling errors</w:t>
      </w:r>
      <w:r w:rsidR="005A3167">
        <w:rPr>
          <w:rFonts w:ascii="Arial" w:hAnsi="Arial" w:cs="Arial"/>
          <w:sz w:val="24"/>
          <w:szCs w:val="24"/>
          <w:lang w:val="en-GB"/>
        </w:rPr>
        <w:t xml:space="preserve"> and highly correlated with the RTS figures</w:t>
      </w:r>
      <w:r>
        <w:rPr>
          <w:rFonts w:ascii="Arial" w:hAnsi="Arial" w:cs="Arial"/>
          <w:sz w:val="24"/>
          <w:szCs w:val="24"/>
          <w:lang w:val="en-GB"/>
        </w:rPr>
        <w:t xml:space="preserve">, </w:t>
      </w:r>
      <w:r w:rsidR="009A27F5">
        <w:rPr>
          <w:rFonts w:ascii="Arial" w:hAnsi="Arial" w:cs="Arial"/>
          <w:sz w:val="24"/>
          <w:szCs w:val="24"/>
          <w:lang w:val="en-GB"/>
        </w:rPr>
        <w:t>the new results are</w:t>
      </w:r>
      <w:r>
        <w:rPr>
          <w:rFonts w:ascii="Arial" w:hAnsi="Arial" w:cs="Arial"/>
          <w:sz w:val="24"/>
          <w:szCs w:val="24"/>
          <w:lang w:val="en-GB"/>
        </w:rPr>
        <w:t xml:space="preserve"> more accurate.</w:t>
      </w:r>
    </w:p>
    <w:p w:rsidR="0065551A" w:rsidRPr="00FB2ED5" w:rsidRDefault="0065551A" w:rsidP="00FB2ED5">
      <w:pPr>
        <w:pStyle w:val="Akapitzlist"/>
        <w:numPr>
          <w:ilvl w:val="0"/>
          <w:numId w:val="9"/>
        </w:numPr>
        <w:spacing w:before="360" w:after="0" w:line="360" w:lineRule="auto"/>
        <w:jc w:val="both"/>
        <w:rPr>
          <w:rFonts w:ascii="Arial" w:hAnsi="Arial" w:cs="Arial"/>
          <w:b/>
          <w:sz w:val="24"/>
          <w:szCs w:val="24"/>
          <w:lang w:val="en-GB"/>
        </w:rPr>
      </w:pPr>
      <w:r w:rsidRPr="00FB2ED5">
        <w:rPr>
          <w:rFonts w:ascii="Arial" w:hAnsi="Arial" w:cs="Arial"/>
          <w:b/>
          <w:sz w:val="24"/>
          <w:szCs w:val="24"/>
          <w:lang w:val="en-GB"/>
        </w:rPr>
        <w:t>Conclusion</w:t>
      </w:r>
    </w:p>
    <w:p w:rsidR="00761EA2" w:rsidRDefault="00761EA2" w:rsidP="00C82524">
      <w:pPr>
        <w:spacing w:before="120" w:after="0" w:line="360" w:lineRule="auto"/>
        <w:jc w:val="both"/>
        <w:rPr>
          <w:rFonts w:ascii="Arial" w:hAnsi="Arial" w:cs="Arial"/>
          <w:sz w:val="24"/>
          <w:szCs w:val="24"/>
          <w:lang w:val="en-GB"/>
        </w:rPr>
      </w:pPr>
      <w:r>
        <w:rPr>
          <w:rFonts w:ascii="Arial" w:hAnsi="Arial" w:cs="Arial"/>
          <w:sz w:val="24"/>
          <w:szCs w:val="24"/>
          <w:lang w:val="en-GB"/>
        </w:rPr>
        <w:t>This study shows how auxiliary information can be used to improve the information obtained from sample surveys. First of all, at the sampling stage, the use of a logit model to predict the respondent probability of travelling based on the available information of the individual is presented as a suitable option to increase the sample size without the need to add additional costs.</w:t>
      </w:r>
    </w:p>
    <w:p w:rsidR="00761EA2" w:rsidRPr="0059553A" w:rsidRDefault="00E1573F" w:rsidP="00C82524">
      <w:pPr>
        <w:spacing w:before="120" w:after="0" w:line="360" w:lineRule="auto"/>
        <w:jc w:val="both"/>
        <w:rPr>
          <w:rFonts w:ascii="Arial" w:hAnsi="Arial" w:cs="Arial"/>
          <w:sz w:val="24"/>
          <w:szCs w:val="24"/>
          <w:lang w:val="en-GB"/>
        </w:rPr>
      </w:pPr>
      <w:r>
        <w:rPr>
          <w:rFonts w:ascii="Arial" w:hAnsi="Arial" w:cs="Arial"/>
          <w:sz w:val="24"/>
          <w:szCs w:val="24"/>
          <w:lang w:val="en-GB"/>
        </w:rPr>
        <w:t xml:space="preserve">During the weighting process, </w:t>
      </w:r>
      <w:r w:rsidR="00761EA2" w:rsidRPr="00C82524">
        <w:rPr>
          <w:rFonts w:ascii="Arial" w:hAnsi="Arial" w:cs="Arial"/>
          <w:sz w:val="24"/>
          <w:szCs w:val="24"/>
          <w:lang w:val="en-GB"/>
        </w:rPr>
        <w:t>calibration to HOS overnight stays allows</w:t>
      </w:r>
      <w:r>
        <w:rPr>
          <w:rFonts w:ascii="Arial" w:hAnsi="Arial" w:cs="Arial"/>
          <w:sz w:val="24"/>
          <w:szCs w:val="24"/>
          <w:lang w:val="en-GB"/>
        </w:rPr>
        <w:t xml:space="preserve"> </w:t>
      </w:r>
      <w:r w:rsidR="00761EA2" w:rsidRPr="00C82524">
        <w:rPr>
          <w:rFonts w:ascii="Arial" w:hAnsi="Arial" w:cs="Arial"/>
          <w:sz w:val="24"/>
          <w:szCs w:val="24"/>
          <w:lang w:val="en-GB"/>
        </w:rPr>
        <w:t>to get more accurate hotel overnight stays estimates</w:t>
      </w:r>
      <w:r>
        <w:rPr>
          <w:rFonts w:ascii="Arial" w:hAnsi="Arial" w:cs="Arial"/>
          <w:sz w:val="24"/>
          <w:szCs w:val="24"/>
          <w:lang w:val="en-GB"/>
        </w:rPr>
        <w:t xml:space="preserve"> and </w:t>
      </w:r>
      <w:r w:rsidR="00761EA2">
        <w:rPr>
          <w:rFonts w:ascii="Arial" w:hAnsi="Arial" w:cs="Arial"/>
          <w:sz w:val="24"/>
          <w:szCs w:val="24"/>
          <w:lang w:val="en-GB"/>
        </w:rPr>
        <w:t xml:space="preserve">to increase the coherence between both surveys </w:t>
      </w:r>
      <w:r>
        <w:rPr>
          <w:rFonts w:ascii="Arial" w:hAnsi="Arial" w:cs="Arial"/>
          <w:sz w:val="24"/>
          <w:szCs w:val="24"/>
          <w:lang w:val="en-GB"/>
        </w:rPr>
        <w:t>making the analysis easier for users.</w:t>
      </w:r>
    </w:p>
    <w:p w:rsidR="00E10769" w:rsidRDefault="00761EA2" w:rsidP="003A1D16">
      <w:pPr>
        <w:spacing w:before="120" w:after="0" w:line="360" w:lineRule="auto"/>
        <w:jc w:val="both"/>
        <w:rPr>
          <w:rFonts w:ascii="Arial" w:hAnsi="Arial" w:cs="Arial"/>
          <w:sz w:val="24"/>
          <w:szCs w:val="24"/>
          <w:lang w:val="en-GB"/>
        </w:rPr>
      </w:pPr>
      <w:r w:rsidRPr="00C82524">
        <w:rPr>
          <w:rFonts w:ascii="Arial" w:hAnsi="Arial" w:cs="Arial"/>
          <w:sz w:val="24"/>
          <w:szCs w:val="24"/>
          <w:lang w:val="en-GB"/>
        </w:rPr>
        <w:t>Regarding the quarterly calibration, the results are satisfactory and invite to include this procedure in the survey process, nevertheless more analyses must be performed to assess if this could cause</w:t>
      </w:r>
      <w:r w:rsidR="002A71B7">
        <w:rPr>
          <w:rFonts w:ascii="Arial" w:hAnsi="Arial" w:cs="Arial"/>
          <w:sz w:val="24"/>
          <w:szCs w:val="24"/>
          <w:lang w:val="en-GB"/>
        </w:rPr>
        <w:t xml:space="preserve"> a</w:t>
      </w:r>
      <w:r w:rsidRPr="00C82524">
        <w:rPr>
          <w:rFonts w:ascii="Arial" w:hAnsi="Arial" w:cs="Arial"/>
          <w:sz w:val="24"/>
          <w:szCs w:val="24"/>
          <w:lang w:val="en-GB"/>
        </w:rPr>
        <w:t xml:space="preserve"> </w:t>
      </w:r>
      <w:r w:rsidR="002A71B7">
        <w:rPr>
          <w:rFonts w:ascii="Arial" w:hAnsi="Arial" w:cs="Arial"/>
          <w:sz w:val="24"/>
          <w:szCs w:val="24"/>
          <w:lang w:val="en-GB"/>
        </w:rPr>
        <w:t>break</w:t>
      </w:r>
      <w:r w:rsidR="00E1573F" w:rsidRPr="00E1573F">
        <w:rPr>
          <w:rFonts w:ascii="Arial" w:hAnsi="Arial" w:cs="Arial"/>
          <w:sz w:val="24"/>
          <w:szCs w:val="24"/>
          <w:lang w:val="en-GB"/>
        </w:rPr>
        <w:t xml:space="preserve"> </w:t>
      </w:r>
      <w:r w:rsidR="00E1573F">
        <w:rPr>
          <w:rFonts w:ascii="Arial" w:hAnsi="Arial" w:cs="Arial"/>
          <w:sz w:val="24"/>
          <w:szCs w:val="24"/>
          <w:lang w:val="en-GB"/>
        </w:rPr>
        <w:t xml:space="preserve">in </w:t>
      </w:r>
      <w:r w:rsidR="002A71B7">
        <w:rPr>
          <w:rFonts w:ascii="Arial" w:hAnsi="Arial" w:cs="Arial"/>
          <w:sz w:val="24"/>
          <w:szCs w:val="24"/>
          <w:lang w:val="en-GB"/>
        </w:rPr>
        <w:t xml:space="preserve">the </w:t>
      </w:r>
      <w:r w:rsidRPr="00C82524">
        <w:rPr>
          <w:rFonts w:ascii="Arial" w:hAnsi="Arial" w:cs="Arial"/>
          <w:sz w:val="24"/>
          <w:szCs w:val="24"/>
          <w:lang w:val="en-GB"/>
        </w:rPr>
        <w:t xml:space="preserve">series, making useless the comparison with </w:t>
      </w:r>
      <w:r w:rsidR="00E1573F">
        <w:rPr>
          <w:rFonts w:ascii="Arial" w:hAnsi="Arial" w:cs="Arial"/>
          <w:sz w:val="24"/>
          <w:szCs w:val="24"/>
          <w:lang w:val="en-GB"/>
        </w:rPr>
        <w:t>already published information</w:t>
      </w:r>
      <w:r w:rsidRPr="00C82524">
        <w:rPr>
          <w:rFonts w:ascii="Arial" w:hAnsi="Arial" w:cs="Arial"/>
          <w:sz w:val="24"/>
          <w:szCs w:val="24"/>
          <w:lang w:val="en-GB"/>
        </w:rPr>
        <w:t>.</w:t>
      </w:r>
    </w:p>
    <w:p w:rsidR="00F30C27" w:rsidRPr="00EC5F5A" w:rsidRDefault="00F30C27" w:rsidP="008C00B0">
      <w:pPr>
        <w:pStyle w:val="Akapitzlist"/>
        <w:numPr>
          <w:ilvl w:val="0"/>
          <w:numId w:val="9"/>
        </w:numPr>
        <w:spacing w:before="360" w:after="0" w:line="360" w:lineRule="auto"/>
        <w:jc w:val="both"/>
        <w:rPr>
          <w:rFonts w:ascii="Arial" w:hAnsi="Arial" w:cs="Arial"/>
          <w:b/>
          <w:sz w:val="24"/>
          <w:szCs w:val="24"/>
          <w:lang w:val="en-GB"/>
        </w:rPr>
      </w:pPr>
      <w:r w:rsidRPr="00EC5F5A">
        <w:rPr>
          <w:rFonts w:ascii="Arial" w:hAnsi="Arial" w:cs="Arial"/>
          <w:b/>
          <w:sz w:val="24"/>
          <w:szCs w:val="24"/>
          <w:lang w:val="en-GB"/>
        </w:rPr>
        <w:t>References</w:t>
      </w:r>
    </w:p>
    <w:p w:rsidR="008D1CA9" w:rsidRDefault="008D1CA9" w:rsidP="00C82524">
      <w:pPr>
        <w:spacing w:before="120" w:after="0" w:line="360" w:lineRule="auto"/>
        <w:jc w:val="both"/>
        <w:rPr>
          <w:rFonts w:ascii="Arial" w:hAnsi="Arial" w:cs="Arial"/>
          <w:sz w:val="24"/>
          <w:szCs w:val="24"/>
          <w:lang w:val="en-GB"/>
        </w:rPr>
      </w:pPr>
      <w:r w:rsidRPr="00C82524">
        <w:rPr>
          <w:rFonts w:ascii="Arial" w:hAnsi="Arial" w:cs="Arial"/>
          <w:sz w:val="24"/>
          <w:szCs w:val="24"/>
          <w:lang w:val="en-GB"/>
        </w:rPr>
        <w:t xml:space="preserve">Deville, J.-C. and Särndal, C.-E. (1992). Calibration estimators in survey sampling. Journal of the American Statistical Association, 87, </w:t>
      </w:r>
      <w:r>
        <w:rPr>
          <w:rFonts w:ascii="Arial" w:hAnsi="Arial" w:cs="Arial"/>
          <w:sz w:val="24"/>
          <w:szCs w:val="24"/>
          <w:lang w:val="en-GB"/>
        </w:rPr>
        <w:t xml:space="preserve">pp. </w:t>
      </w:r>
      <w:r w:rsidRPr="00C82524">
        <w:rPr>
          <w:rFonts w:ascii="Arial" w:hAnsi="Arial" w:cs="Arial"/>
          <w:sz w:val="24"/>
          <w:szCs w:val="24"/>
          <w:lang w:val="en-GB"/>
        </w:rPr>
        <w:t>376-382</w:t>
      </w:r>
    </w:p>
    <w:p w:rsidR="004570E0" w:rsidRDefault="004570E0" w:rsidP="004570E0">
      <w:pPr>
        <w:spacing w:before="120" w:after="0" w:line="360" w:lineRule="auto"/>
        <w:jc w:val="both"/>
        <w:rPr>
          <w:rFonts w:ascii="Arial" w:hAnsi="Arial" w:cs="Arial"/>
          <w:sz w:val="24"/>
          <w:szCs w:val="24"/>
          <w:lang w:val="en-GB"/>
        </w:rPr>
      </w:pPr>
      <w:r>
        <w:rPr>
          <w:rFonts w:ascii="Arial" w:hAnsi="Arial" w:cs="Arial"/>
          <w:sz w:val="24"/>
          <w:szCs w:val="24"/>
          <w:lang w:val="en-GB"/>
        </w:rPr>
        <w:t>Eurostat (2014). Methodological manual for tourism statistics, version 3.1</w:t>
      </w:r>
      <w:r w:rsidR="00FB34FC">
        <w:rPr>
          <w:rFonts w:ascii="Arial" w:hAnsi="Arial" w:cs="Arial"/>
          <w:sz w:val="24"/>
          <w:szCs w:val="24"/>
          <w:lang w:val="en-GB"/>
        </w:rPr>
        <w:t xml:space="preserve">. Available at </w:t>
      </w:r>
      <w:hyperlink r:id="rId21" w:history="1">
        <w:r w:rsidR="00FB34FC" w:rsidRPr="00FB34FC">
          <w:rPr>
            <w:rStyle w:val="Hipercze"/>
            <w:rFonts w:ascii="Arial" w:hAnsi="Arial" w:cs="Arial"/>
            <w:sz w:val="24"/>
            <w:szCs w:val="24"/>
            <w:lang w:val="en-GB"/>
          </w:rPr>
          <w:t>http://ec.europa.eu/eurostat/documents/3859598/6454997/KS-GQ-14-013-EN-N.pdf/166605aa-c990-40c4-b9f7-59c297154277</w:t>
        </w:r>
      </w:hyperlink>
    </w:p>
    <w:p w:rsidR="0078717E" w:rsidRDefault="0078717E" w:rsidP="004570E0">
      <w:pPr>
        <w:spacing w:before="120" w:after="0" w:line="360" w:lineRule="auto"/>
        <w:jc w:val="both"/>
        <w:rPr>
          <w:rFonts w:ascii="Arial" w:hAnsi="Arial" w:cs="Arial"/>
          <w:sz w:val="24"/>
          <w:szCs w:val="24"/>
          <w:lang w:val="en-GB"/>
        </w:rPr>
      </w:pPr>
      <w:r>
        <w:rPr>
          <w:rFonts w:ascii="Arial" w:hAnsi="Arial" w:cs="Arial"/>
          <w:sz w:val="24"/>
          <w:szCs w:val="24"/>
          <w:lang w:val="en-GB"/>
        </w:rPr>
        <w:t xml:space="preserve">INE (2015). Tourism Survey for Spanish Residents. Methods. Available at </w:t>
      </w:r>
      <w:hyperlink r:id="rId22" w:history="1">
        <w:r w:rsidRPr="0078717E">
          <w:rPr>
            <w:rStyle w:val="Hipercze"/>
            <w:rFonts w:ascii="Arial" w:hAnsi="Arial" w:cs="Arial"/>
            <w:sz w:val="24"/>
            <w:szCs w:val="24"/>
            <w:lang w:val="en-GB"/>
          </w:rPr>
          <w:t>http://www.ine.es/en/daco/daco42/etr/etr_metodologia_en.pdf</w:t>
        </w:r>
      </w:hyperlink>
    </w:p>
    <w:p w:rsidR="004570E0" w:rsidRDefault="004570E0" w:rsidP="004570E0">
      <w:pPr>
        <w:spacing w:before="120" w:after="0" w:line="360" w:lineRule="auto"/>
        <w:jc w:val="both"/>
        <w:rPr>
          <w:rFonts w:ascii="Arial" w:hAnsi="Arial" w:cs="Arial"/>
          <w:sz w:val="24"/>
          <w:szCs w:val="24"/>
          <w:lang w:val="en-GB"/>
        </w:rPr>
      </w:pPr>
      <w:r>
        <w:rPr>
          <w:rFonts w:ascii="Arial" w:hAnsi="Arial" w:cs="Arial"/>
          <w:sz w:val="24"/>
          <w:szCs w:val="24"/>
          <w:lang w:val="en-GB"/>
        </w:rPr>
        <w:t xml:space="preserve">Mc Cormack, Kevin, CSO, Ireland. The calibration software CALMAR- What is it? Available at </w:t>
      </w:r>
      <w:hyperlink r:id="rId23" w:history="1">
        <w:r w:rsidRPr="008D1CA9">
          <w:rPr>
            <w:rStyle w:val="Hipercze"/>
            <w:rFonts w:ascii="Arial" w:hAnsi="Arial" w:cs="Arial"/>
            <w:sz w:val="24"/>
            <w:szCs w:val="24"/>
            <w:lang w:val="en-GB"/>
          </w:rPr>
          <w:t>https://es.scribd.com/document/344968317/CalmarEngDoc</w:t>
        </w:r>
      </w:hyperlink>
      <w:r>
        <w:rPr>
          <w:rFonts w:ascii="Arial" w:hAnsi="Arial" w:cs="Arial"/>
          <w:sz w:val="24"/>
          <w:szCs w:val="24"/>
          <w:lang w:val="en-GB"/>
        </w:rPr>
        <w:t xml:space="preserve"> (Accessed 18 May 2018) </w:t>
      </w:r>
    </w:p>
    <w:p w:rsidR="004570E0" w:rsidRPr="00C82524" w:rsidRDefault="004570E0" w:rsidP="00C82524">
      <w:pPr>
        <w:spacing w:before="120" w:after="0" w:line="360" w:lineRule="auto"/>
        <w:jc w:val="both"/>
        <w:rPr>
          <w:rFonts w:ascii="Arial" w:hAnsi="Arial" w:cs="Arial"/>
          <w:sz w:val="24"/>
          <w:szCs w:val="24"/>
          <w:lang w:val="en-GB"/>
        </w:rPr>
      </w:pPr>
      <w:r w:rsidRPr="00C82524">
        <w:rPr>
          <w:rFonts w:ascii="Arial" w:hAnsi="Arial" w:cs="Arial"/>
          <w:sz w:val="24"/>
          <w:szCs w:val="24"/>
          <w:lang w:val="en-GB"/>
        </w:rPr>
        <w:t>Regulation (EU) No 692/2011 of the European Parliament and of the Council of 6 July2011 concerning European statistics on tourism.</w:t>
      </w:r>
      <w:r>
        <w:rPr>
          <w:rFonts w:ascii="Arial" w:hAnsi="Arial" w:cs="Arial"/>
          <w:sz w:val="24"/>
          <w:szCs w:val="24"/>
          <w:lang w:val="en-GB"/>
        </w:rPr>
        <w:t xml:space="preserve"> Available at </w:t>
      </w:r>
      <w:hyperlink r:id="rId24" w:history="1">
        <w:r w:rsidRPr="004570E0">
          <w:rPr>
            <w:rStyle w:val="Hipercze"/>
            <w:rFonts w:ascii="Arial" w:hAnsi="Arial" w:cs="Arial"/>
            <w:sz w:val="24"/>
            <w:szCs w:val="24"/>
            <w:lang w:val="en-GB"/>
          </w:rPr>
          <w:t>http://eur-lex.europa.eu/LexUriServ/LexUriServ.do?uri=OJ:L:2011:192:0017:0032:EN:PDF</w:t>
        </w:r>
      </w:hyperlink>
    </w:p>
    <w:p w:rsidR="004570E0" w:rsidRPr="00C82524" w:rsidRDefault="004570E0" w:rsidP="00C82524">
      <w:pPr>
        <w:spacing w:before="120" w:after="0" w:line="360" w:lineRule="auto"/>
        <w:rPr>
          <w:rFonts w:ascii="Arial" w:hAnsi="Arial" w:cs="Arial"/>
          <w:sz w:val="24"/>
          <w:szCs w:val="24"/>
          <w:lang w:val="en-GB"/>
        </w:rPr>
      </w:pPr>
      <w:r w:rsidRPr="00C82524">
        <w:rPr>
          <w:rFonts w:ascii="Arial" w:hAnsi="Arial" w:cs="Arial"/>
          <w:sz w:val="24"/>
          <w:szCs w:val="24"/>
          <w:lang w:val="en-GB"/>
        </w:rPr>
        <w:t xml:space="preserve">United Nations, World Tourism Organization, </w:t>
      </w:r>
      <w:r>
        <w:rPr>
          <w:rFonts w:ascii="Arial" w:hAnsi="Arial" w:cs="Arial"/>
          <w:sz w:val="24"/>
          <w:szCs w:val="24"/>
          <w:lang w:val="en-GB"/>
        </w:rPr>
        <w:t>(2008</w:t>
      </w:r>
      <w:r w:rsidRPr="00C82524">
        <w:rPr>
          <w:rFonts w:ascii="Arial" w:hAnsi="Arial" w:cs="Arial"/>
          <w:sz w:val="24"/>
          <w:szCs w:val="24"/>
          <w:lang w:val="en-GB"/>
        </w:rPr>
        <w:t xml:space="preserve">), </w:t>
      </w:r>
      <w:r>
        <w:rPr>
          <w:rFonts w:ascii="Arial" w:hAnsi="Arial" w:cs="Arial"/>
          <w:sz w:val="24"/>
          <w:szCs w:val="24"/>
          <w:lang w:val="en-GB"/>
        </w:rPr>
        <w:t>International Recommendations for Tourism Statistics</w:t>
      </w:r>
      <w:r w:rsidRPr="00C82524">
        <w:rPr>
          <w:rFonts w:ascii="Arial" w:hAnsi="Arial" w:cs="Arial"/>
          <w:sz w:val="24"/>
          <w:szCs w:val="24"/>
          <w:lang w:val="en-GB"/>
        </w:rPr>
        <w:t>.</w:t>
      </w:r>
      <w:r>
        <w:rPr>
          <w:rFonts w:ascii="Arial" w:hAnsi="Arial" w:cs="Arial"/>
          <w:sz w:val="24"/>
          <w:szCs w:val="24"/>
          <w:lang w:val="en-GB"/>
        </w:rPr>
        <w:t xml:space="preserve"> Available at </w:t>
      </w:r>
      <w:hyperlink r:id="rId25" w:history="1">
        <w:r w:rsidRPr="004570E0">
          <w:rPr>
            <w:rStyle w:val="Hipercze"/>
            <w:rFonts w:ascii="Arial" w:hAnsi="Arial" w:cs="Arial"/>
            <w:sz w:val="24"/>
            <w:szCs w:val="24"/>
            <w:lang w:val="en-GB"/>
          </w:rPr>
          <w:t>https://unstats.un.org/unsd/publication/Seriesm/SeriesM_83rev1s.pdf</w:t>
        </w:r>
      </w:hyperlink>
    </w:p>
    <w:p w:rsidR="004740F1" w:rsidRPr="00EC5F5A" w:rsidRDefault="004740F1" w:rsidP="00C74A1D">
      <w:pPr>
        <w:rPr>
          <w:rFonts w:ascii="Arial" w:hAnsi="Arial" w:cs="Arial"/>
          <w:sz w:val="24"/>
          <w:szCs w:val="24"/>
          <w:lang w:val="en-GB"/>
        </w:rPr>
      </w:pPr>
    </w:p>
    <w:sectPr w:rsidR="004740F1" w:rsidRPr="00EC5F5A" w:rsidSect="0023623C">
      <w:headerReference w:type="even" r:id="rId26"/>
      <w:headerReference w:type="default" r:id="rId27"/>
      <w:footerReference w:type="default" r:id="rId28"/>
      <w:headerReference w:type="first" r:id="rId29"/>
      <w:pgSz w:w="11906" w:h="16838"/>
      <w:pgMar w:top="1417" w:right="1417" w:bottom="1417" w:left="1417" w:header="397" w:footer="35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3284B" w:rsidRDefault="00E3284B" w:rsidP="00E82B25">
      <w:pPr>
        <w:spacing w:after="0" w:line="240" w:lineRule="auto"/>
      </w:pPr>
      <w:r>
        <w:separator/>
      </w:r>
    </w:p>
  </w:endnote>
  <w:endnote w:type="continuationSeparator" w:id="0">
    <w:p w:rsidR="00E3284B" w:rsidRDefault="00E3284B" w:rsidP="00E82B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43" w:usb2="00000009" w:usb3="00000000" w:csb0="000001FF" w:csb1="00000000"/>
  </w:font>
  <w:font w:name="MS Sans Serif">
    <w:altName w:val="Microsoft Sans Serif"/>
    <w:panose1 w:val="00000000000000000000"/>
    <w:charset w:val="00"/>
    <w:family w:val="roman"/>
    <w:notTrueType/>
    <w:pitch w:val="default"/>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9436665"/>
      <w:docPartObj>
        <w:docPartGallery w:val="Page Numbers (Bottom of Page)"/>
        <w:docPartUnique/>
      </w:docPartObj>
    </w:sdtPr>
    <w:sdtEndPr>
      <w:rPr>
        <w:rFonts w:ascii="Arial" w:hAnsi="Arial" w:cs="Arial"/>
        <w:sz w:val="24"/>
        <w:szCs w:val="24"/>
      </w:rPr>
    </w:sdtEndPr>
    <w:sdtContent>
      <w:p w:rsidR="00DE7883" w:rsidRPr="009378F5" w:rsidRDefault="00DE7883" w:rsidP="0035694D">
        <w:pPr>
          <w:pStyle w:val="Stopka"/>
          <w:jc w:val="right"/>
          <w:rPr>
            <w:rFonts w:ascii="Arial" w:hAnsi="Arial" w:cs="Arial"/>
            <w:sz w:val="24"/>
            <w:szCs w:val="24"/>
          </w:rPr>
        </w:pPr>
        <w:r w:rsidRPr="009378F5">
          <w:rPr>
            <w:rFonts w:ascii="Arial" w:hAnsi="Arial" w:cs="Arial"/>
            <w:sz w:val="24"/>
            <w:szCs w:val="24"/>
          </w:rPr>
          <w:fldChar w:fldCharType="begin"/>
        </w:r>
        <w:r w:rsidRPr="009378F5">
          <w:rPr>
            <w:rFonts w:ascii="Arial" w:hAnsi="Arial" w:cs="Arial"/>
            <w:sz w:val="24"/>
            <w:szCs w:val="24"/>
          </w:rPr>
          <w:instrText>PAGE   \* MERGEFORMAT</w:instrText>
        </w:r>
        <w:r w:rsidRPr="009378F5">
          <w:rPr>
            <w:rFonts w:ascii="Arial" w:hAnsi="Arial" w:cs="Arial"/>
            <w:sz w:val="24"/>
            <w:szCs w:val="24"/>
          </w:rPr>
          <w:fldChar w:fldCharType="separate"/>
        </w:r>
        <w:r w:rsidR="00C00005">
          <w:rPr>
            <w:rFonts w:ascii="Arial" w:hAnsi="Arial" w:cs="Arial"/>
            <w:noProof/>
            <w:sz w:val="24"/>
            <w:szCs w:val="24"/>
          </w:rPr>
          <w:t>2</w:t>
        </w:r>
        <w:r w:rsidRPr="009378F5">
          <w:rPr>
            <w:rFonts w:ascii="Arial" w:hAnsi="Arial" w:cs="Arial"/>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3284B" w:rsidRDefault="00E3284B" w:rsidP="00E82B25">
      <w:pPr>
        <w:spacing w:after="0" w:line="240" w:lineRule="auto"/>
      </w:pPr>
      <w:r>
        <w:separator/>
      </w:r>
    </w:p>
  </w:footnote>
  <w:footnote w:type="continuationSeparator" w:id="0">
    <w:p w:rsidR="00E3284B" w:rsidRDefault="00E3284B" w:rsidP="00E82B2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883" w:rsidRDefault="00C00005">
    <w:pPr>
      <w:pStyle w:val="Nagwek"/>
    </w:pPr>
    <w:r>
      <w:rPr>
        <w:noProof/>
        <w:lang w:eastAsia="pl-PL"/>
      </w:rPr>
      <w:pict w14:anchorId="765B66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586001" o:spid="_x0000_s2068" type="#_x0000_t75" style="position:absolute;margin-left:0;margin-top:0;width:595.2pt;height:841.9pt;z-index:-251657216;mso-position-horizontal:center;mso-position-horizontal-relative:margin;mso-position-vertical:center;mso-position-vertical-relative:margin" o:allowincell="f">
          <v:imagedata r:id="rId1" o:title="paper4"/>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883" w:rsidRDefault="00C00005">
    <w:pPr>
      <w:pStyle w:val="Nagwek"/>
    </w:pPr>
    <w:r>
      <w:rPr>
        <w:noProof/>
        <w:lang w:eastAsia="pl-PL"/>
      </w:rPr>
      <w:pict w14:anchorId="067703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586002" o:spid="_x0000_s2069" type="#_x0000_t75" style="position:absolute;margin-left:-70.95pt;margin-top:-70.45pt;width:595.2pt;height:841.9pt;z-index:-251656192;mso-position-horizontal-relative:margin;mso-position-vertical-relative:margin" o:allowincell="f">
          <v:imagedata r:id="rId1" o:title="paper4"/>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883" w:rsidRDefault="00C00005">
    <w:pPr>
      <w:pStyle w:val="Nagwek"/>
    </w:pPr>
    <w:r>
      <w:rPr>
        <w:noProof/>
        <w:lang w:eastAsia="pl-PL"/>
      </w:rPr>
      <w:pict w14:anchorId="2EECFB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586000" o:spid="_x0000_s2067" type="#_x0000_t75" style="position:absolute;margin-left:0;margin-top:0;width:595.2pt;height:841.9pt;z-index:-251658240;mso-position-horizontal:center;mso-position-horizontal-relative:margin;mso-position-vertical:center;mso-position-vertical-relative:margin" o:allowincell="f">
          <v:imagedata r:id="rId1" o:title="paper4"/>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614FFD"/>
    <w:multiLevelType w:val="hybridMultilevel"/>
    <w:tmpl w:val="DA68476C"/>
    <w:lvl w:ilvl="0" w:tplc="80549B7E">
      <w:start w:val="1"/>
      <w:numFmt w:val="bullet"/>
      <w:lvlText w:val="-"/>
      <w:lvlJc w:val="left"/>
      <w:pPr>
        <w:ind w:left="360" w:hanging="360"/>
      </w:pPr>
      <w:rPr>
        <w:rFonts w:ascii="Calibri" w:hAnsi="Calibri"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15:restartNumberingAfterBreak="0">
    <w:nsid w:val="20B21400"/>
    <w:multiLevelType w:val="hybridMultilevel"/>
    <w:tmpl w:val="E25EF156"/>
    <w:lvl w:ilvl="0" w:tplc="80549B7E">
      <w:start w:val="1"/>
      <w:numFmt w:val="bullet"/>
      <w:lvlText w:val="-"/>
      <w:lvlJc w:val="left"/>
      <w:pPr>
        <w:ind w:left="360" w:hanging="360"/>
      </w:pPr>
      <w:rPr>
        <w:rFonts w:ascii="Calibri" w:hAnsi="Calibri"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15:restartNumberingAfterBreak="0">
    <w:nsid w:val="309D28A8"/>
    <w:multiLevelType w:val="hybridMultilevel"/>
    <w:tmpl w:val="049C1860"/>
    <w:lvl w:ilvl="0" w:tplc="80549B7E">
      <w:start w:val="1"/>
      <w:numFmt w:val="bullet"/>
      <w:lvlText w:val="-"/>
      <w:lvlJc w:val="left"/>
      <w:pPr>
        <w:ind w:left="360" w:hanging="360"/>
      </w:pPr>
      <w:rPr>
        <w:rFonts w:ascii="Calibri" w:hAnsi="Calibri"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3AD23CD8"/>
    <w:multiLevelType w:val="hybridMultilevel"/>
    <w:tmpl w:val="89760F5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4C4A7C6C"/>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5B6C09B2"/>
    <w:multiLevelType w:val="hybridMultilevel"/>
    <w:tmpl w:val="4E4C48FA"/>
    <w:lvl w:ilvl="0" w:tplc="80549B7E">
      <w:start w:val="1"/>
      <w:numFmt w:val="bullet"/>
      <w:lvlText w:val="-"/>
      <w:lvlJc w:val="left"/>
      <w:pPr>
        <w:ind w:left="360" w:hanging="360"/>
      </w:pPr>
      <w:rPr>
        <w:rFonts w:ascii="Calibri" w:hAnsi="Calibri"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 w15:restartNumberingAfterBreak="0">
    <w:nsid w:val="6FCD5C91"/>
    <w:multiLevelType w:val="hybridMultilevel"/>
    <w:tmpl w:val="D9A41ADC"/>
    <w:lvl w:ilvl="0" w:tplc="1EF4DF18">
      <w:start w:val="1"/>
      <w:numFmt w:val="bullet"/>
      <w:lvlText w:val="­"/>
      <w:lvlJc w:val="left"/>
      <w:pPr>
        <w:ind w:left="360" w:hanging="360"/>
      </w:pPr>
      <w:rPr>
        <w:rFonts w:ascii="Calibri" w:hAnsi="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724F0A67"/>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741F161B"/>
    <w:multiLevelType w:val="multilevel"/>
    <w:tmpl w:val="0B90D15E"/>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75D12001"/>
    <w:multiLevelType w:val="hybridMultilevel"/>
    <w:tmpl w:val="9DB22DD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9"/>
  </w:num>
  <w:num w:numId="2">
    <w:abstractNumId w:val="2"/>
  </w:num>
  <w:num w:numId="3">
    <w:abstractNumId w:val="5"/>
  </w:num>
  <w:num w:numId="4">
    <w:abstractNumId w:val="0"/>
  </w:num>
  <w:num w:numId="5">
    <w:abstractNumId w:val="1"/>
  </w:num>
  <w:num w:numId="6">
    <w:abstractNumId w:val="7"/>
  </w:num>
  <w:num w:numId="7">
    <w:abstractNumId w:val="8"/>
  </w:num>
  <w:num w:numId="8">
    <w:abstractNumId w:val="3"/>
  </w:num>
  <w:num w:numId="9">
    <w:abstractNumId w:val="4"/>
  </w:num>
  <w:num w:numId="10">
    <w:abstractNumId w:val="4"/>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0" w:firstLine="0"/>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7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369C"/>
    <w:rsid w:val="00000BCA"/>
    <w:rsid w:val="00014E7B"/>
    <w:rsid w:val="000212C5"/>
    <w:rsid w:val="000217AE"/>
    <w:rsid w:val="00022FCB"/>
    <w:rsid w:val="00026CD3"/>
    <w:rsid w:val="0003033A"/>
    <w:rsid w:val="000349AD"/>
    <w:rsid w:val="000369DB"/>
    <w:rsid w:val="00044A97"/>
    <w:rsid w:val="00047C24"/>
    <w:rsid w:val="000506AF"/>
    <w:rsid w:val="00050969"/>
    <w:rsid w:val="00052245"/>
    <w:rsid w:val="00057F06"/>
    <w:rsid w:val="000642FC"/>
    <w:rsid w:val="00067F0E"/>
    <w:rsid w:val="00070925"/>
    <w:rsid w:val="00072352"/>
    <w:rsid w:val="0007368E"/>
    <w:rsid w:val="0007704A"/>
    <w:rsid w:val="00081DBC"/>
    <w:rsid w:val="00081DCF"/>
    <w:rsid w:val="000957CC"/>
    <w:rsid w:val="000A347D"/>
    <w:rsid w:val="000A3C58"/>
    <w:rsid w:val="000B2F60"/>
    <w:rsid w:val="000C6472"/>
    <w:rsid w:val="000D5006"/>
    <w:rsid w:val="000D58FC"/>
    <w:rsid w:val="000D705A"/>
    <w:rsid w:val="000E36AA"/>
    <w:rsid w:val="000E6D98"/>
    <w:rsid w:val="000E742A"/>
    <w:rsid w:val="000E76F1"/>
    <w:rsid w:val="000F337F"/>
    <w:rsid w:val="000F3E3B"/>
    <w:rsid w:val="00101DB4"/>
    <w:rsid w:val="0010277A"/>
    <w:rsid w:val="00104AB1"/>
    <w:rsid w:val="001066B5"/>
    <w:rsid w:val="00106CC6"/>
    <w:rsid w:val="00114667"/>
    <w:rsid w:val="00117361"/>
    <w:rsid w:val="00125233"/>
    <w:rsid w:val="00127C35"/>
    <w:rsid w:val="00133E07"/>
    <w:rsid w:val="00142A8D"/>
    <w:rsid w:val="00144611"/>
    <w:rsid w:val="00146E96"/>
    <w:rsid w:val="00151274"/>
    <w:rsid w:val="00157DAD"/>
    <w:rsid w:val="00160406"/>
    <w:rsid w:val="00163593"/>
    <w:rsid w:val="0016743D"/>
    <w:rsid w:val="0017408C"/>
    <w:rsid w:val="00175ECE"/>
    <w:rsid w:val="00181993"/>
    <w:rsid w:val="00182357"/>
    <w:rsid w:val="00190669"/>
    <w:rsid w:val="001917CD"/>
    <w:rsid w:val="001923CA"/>
    <w:rsid w:val="00197C4F"/>
    <w:rsid w:val="001A11C3"/>
    <w:rsid w:val="001A1929"/>
    <w:rsid w:val="001A36D3"/>
    <w:rsid w:val="001A63A9"/>
    <w:rsid w:val="001B4A25"/>
    <w:rsid w:val="001B50AC"/>
    <w:rsid w:val="001B5BDA"/>
    <w:rsid w:val="001C1996"/>
    <w:rsid w:val="001C5DD8"/>
    <w:rsid w:val="001E43DC"/>
    <w:rsid w:val="001E59D6"/>
    <w:rsid w:val="001E63C5"/>
    <w:rsid w:val="001E6FA0"/>
    <w:rsid w:val="001F0885"/>
    <w:rsid w:val="001F4ECE"/>
    <w:rsid w:val="0020550F"/>
    <w:rsid w:val="00211C7E"/>
    <w:rsid w:val="00221F17"/>
    <w:rsid w:val="0022632F"/>
    <w:rsid w:val="00231BE3"/>
    <w:rsid w:val="00234927"/>
    <w:rsid w:val="0023623C"/>
    <w:rsid w:val="00237054"/>
    <w:rsid w:val="00242620"/>
    <w:rsid w:val="00242938"/>
    <w:rsid w:val="00257A6D"/>
    <w:rsid w:val="00261240"/>
    <w:rsid w:val="00262801"/>
    <w:rsid w:val="00264610"/>
    <w:rsid w:val="00267D49"/>
    <w:rsid w:val="00273242"/>
    <w:rsid w:val="00273396"/>
    <w:rsid w:val="0027578D"/>
    <w:rsid w:val="00276600"/>
    <w:rsid w:val="0028150C"/>
    <w:rsid w:val="00282B53"/>
    <w:rsid w:val="0028742D"/>
    <w:rsid w:val="002914ED"/>
    <w:rsid w:val="00293580"/>
    <w:rsid w:val="002938CB"/>
    <w:rsid w:val="002948A8"/>
    <w:rsid w:val="00296172"/>
    <w:rsid w:val="002A71B7"/>
    <w:rsid w:val="002B03BD"/>
    <w:rsid w:val="002B2047"/>
    <w:rsid w:val="002B6333"/>
    <w:rsid w:val="002B6D33"/>
    <w:rsid w:val="002C5773"/>
    <w:rsid w:val="002C5B72"/>
    <w:rsid w:val="002E7AA9"/>
    <w:rsid w:val="002F2910"/>
    <w:rsid w:val="002F7B48"/>
    <w:rsid w:val="002F7E37"/>
    <w:rsid w:val="00307310"/>
    <w:rsid w:val="00307951"/>
    <w:rsid w:val="003110A9"/>
    <w:rsid w:val="00312F48"/>
    <w:rsid w:val="003144BE"/>
    <w:rsid w:val="00323EFC"/>
    <w:rsid w:val="00327A2E"/>
    <w:rsid w:val="00336E21"/>
    <w:rsid w:val="00342D69"/>
    <w:rsid w:val="00351C4F"/>
    <w:rsid w:val="00353846"/>
    <w:rsid w:val="0035479E"/>
    <w:rsid w:val="0035694D"/>
    <w:rsid w:val="00360B38"/>
    <w:rsid w:val="00362815"/>
    <w:rsid w:val="00363310"/>
    <w:rsid w:val="003656E8"/>
    <w:rsid w:val="00371E2A"/>
    <w:rsid w:val="00376241"/>
    <w:rsid w:val="003814DD"/>
    <w:rsid w:val="003862A7"/>
    <w:rsid w:val="00392C11"/>
    <w:rsid w:val="00396E77"/>
    <w:rsid w:val="003A025F"/>
    <w:rsid w:val="003A1D16"/>
    <w:rsid w:val="003A75BA"/>
    <w:rsid w:val="003B1D4A"/>
    <w:rsid w:val="003B3285"/>
    <w:rsid w:val="003B5F46"/>
    <w:rsid w:val="003C0F42"/>
    <w:rsid w:val="003C1A1E"/>
    <w:rsid w:val="003C2105"/>
    <w:rsid w:val="003D129D"/>
    <w:rsid w:val="003D2980"/>
    <w:rsid w:val="003E2A30"/>
    <w:rsid w:val="003F72D2"/>
    <w:rsid w:val="004032BD"/>
    <w:rsid w:val="0041045D"/>
    <w:rsid w:val="00412D1E"/>
    <w:rsid w:val="004150F5"/>
    <w:rsid w:val="00416331"/>
    <w:rsid w:val="004364A8"/>
    <w:rsid w:val="004520A0"/>
    <w:rsid w:val="0045406A"/>
    <w:rsid w:val="004570E0"/>
    <w:rsid w:val="00467420"/>
    <w:rsid w:val="004740F1"/>
    <w:rsid w:val="0047778C"/>
    <w:rsid w:val="004853EB"/>
    <w:rsid w:val="00493026"/>
    <w:rsid w:val="004965CD"/>
    <w:rsid w:val="004A10BB"/>
    <w:rsid w:val="004A12A7"/>
    <w:rsid w:val="004A1A99"/>
    <w:rsid w:val="004A2F2D"/>
    <w:rsid w:val="004A38EA"/>
    <w:rsid w:val="004A4C9C"/>
    <w:rsid w:val="004A5F42"/>
    <w:rsid w:val="004A6AA6"/>
    <w:rsid w:val="004A7943"/>
    <w:rsid w:val="004A7B88"/>
    <w:rsid w:val="004A7D91"/>
    <w:rsid w:val="004B35D2"/>
    <w:rsid w:val="004B39C1"/>
    <w:rsid w:val="004B6729"/>
    <w:rsid w:val="004C5048"/>
    <w:rsid w:val="004D1F04"/>
    <w:rsid w:val="004D242A"/>
    <w:rsid w:val="004E1D23"/>
    <w:rsid w:val="004E52C1"/>
    <w:rsid w:val="004F04B4"/>
    <w:rsid w:val="004F7000"/>
    <w:rsid w:val="0050041A"/>
    <w:rsid w:val="00504BE0"/>
    <w:rsid w:val="00517954"/>
    <w:rsid w:val="005215E8"/>
    <w:rsid w:val="00524B7C"/>
    <w:rsid w:val="0052659C"/>
    <w:rsid w:val="00530FD6"/>
    <w:rsid w:val="00536AA5"/>
    <w:rsid w:val="0053770E"/>
    <w:rsid w:val="005422D1"/>
    <w:rsid w:val="00543776"/>
    <w:rsid w:val="00550D74"/>
    <w:rsid w:val="0056415D"/>
    <w:rsid w:val="00573128"/>
    <w:rsid w:val="005756EB"/>
    <w:rsid w:val="005812C5"/>
    <w:rsid w:val="00586403"/>
    <w:rsid w:val="00593169"/>
    <w:rsid w:val="005934AF"/>
    <w:rsid w:val="005A1F57"/>
    <w:rsid w:val="005A3167"/>
    <w:rsid w:val="005B6971"/>
    <w:rsid w:val="005B6BFC"/>
    <w:rsid w:val="005C1EEF"/>
    <w:rsid w:val="005C69A2"/>
    <w:rsid w:val="005C7D3F"/>
    <w:rsid w:val="005D19EA"/>
    <w:rsid w:val="005D4AFC"/>
    <w:rsid w:val="005D794A"/>
    <w:rsid w:val="006052BF"/>
    <w:rsid w:val="00605677"/>
    <w:rsid w:val="00610DF6"/>
    <w:rsid w:val="00611975"/>
    <w:rsid w:val="006149ED"/>
    <w:rsid w:val="006232EA"/>
    <w:rsid w:val="00631B16"/>
    <w:rsid w:val="0064031A"/>
    <w:rsid w:val="0064472C"/>
    <w:rsid w:val="006450AF"/>
    <w:rsid w:val="00647FB9"/>
    <w:rsid w:val="00653D6C"/>
    <w:rsid w:val="0065551A"/>
    <w:rsid w:val="00661B0B"/>
    <w:rsid w:val="0066318D"/>
    <w:rsid w:val="00663ADC"/>
    <w:rsid w:val="006661E3"/>
    <w:rsid w:val="00667788"/>
    <w:rsid w:val="006756FA"/>
    <w:rsid w:val="00675D60"/>
    <w:rsid w:val="006775F7"/>
    <w:rsid w:val="0069009D"/>
    <w:rsid w:val="00697934"/>
    <w:rsid w:val="006A6B34"/>
    <w:rsid w:val="006B2C04"/>
    <w:rsid w:val="006B3713"/>
    <w:rsid w:val="006B5686"/>
    <w:rsid w:val="006B5A4A"/>
    <w:rsid w:val="006B6412"/>
    <w:rsid w:val="006C446B"/>
    <w:rsid w:val="006C4F40"/>
    <w:rsid w:val="006C5879"/>
    <w:rsid w:val="006D0869"/>
    <w:rsid w:val="006D0905"/>
    <w:rsid w:val="006D17CB"/>
    <w:rsid w:val="006D5BD9"/>
    <w:rsid w:val="006D793D"/>
    <w:rsid w:val="006E49F7"/>
    <w:rsid w:val="006F65CF"/>
    <w:rsid w:val="0070068D"/>
    <w:rsid w:val="00706B96"/>
    <w:rsid w:val="0071601C"/>
    <w:rsid w:val="0071702D"/>
    <w:rsid w:val="00723EE3"/>
    <w:rsid w:val="00727F54"/>
    <w:rsid w:val="00742A91"/>
    <w:rsid w:val="00747896"/>
    <w:rsid w:val="00750106"/>
    <w:rsid w:val="00750942"/>
    <w:rsid w:val="007526DA"/>
    <w:rsid w:val="00761EA2"/>
    <w:rsid w:val="00766882"/>
    <w:rsid w:val="00766BA7"/>
    <w:rsid w:val="00767098"/>
    <w:rsid w:val="007730C4"/>
    <w:rsid w:val="00776C97"/>
    <w:rsid w:val="007771E2"/>
    <w:rsid w:val="00777E5C"/>
    <w:rsid w:val="0078499A"/>
    <w:rsid w:val="007859DA"/>
    <w:rsid w:val="0078717E"/>
    <w:rsid w:val="00790962"/>
    <w:rsid w:val="007944E3"/>
    <w:rsid w:val="0079548D"/>
    <w:rsid w:val="007B4291"/>
    <w:rsid w:val="007C1803"/>
    <w:rsid w:val="007C3271"/>
    <w:rsid w:val="007C5B6C"/>
    <w:rsid w:val="007C66D6"/>
    <w:rsid w:val="007D4BB2"/>
    <w:rsid w:val="007D6DA3"/>
    <w:rsid w:val="007E6D8C"/>
    <w:rsid w:val="007F4109"/>
    <w:rsid w:val="00821779"/>
    <w:rsid w:val="0082373C"/>
    <w:rsid w:val="00823841"/>
    <w:rsid w:val="00825FBE"/>
    <w:rsid w:val="008314CB"/>
    <w:rsid w:val="00832D1E"/>
    <w:rsid w:val="00837421"/>
    <w:rsid w:val="008404FF"/>
    <w:rsid w:val="008421A7"/>
    <w:rsid w:val="00847CDA"/>
    <w:rsid w:val="008506AE"/>
    <w:rsid w:val="00850DA8"/>
    <w:rsid w:val="00862311"/>
    <w:rsid w:val="0086458D"/>
    <w:rsid w:val="008653C2"/>
    <w:rsid w:val="00867B2C"/>
    <w:rsid w:val="008729D6"/>
    <w:rsid w:val="00873330"/>
    <w:rsid w:val="0088016E"/>
    <w:rsid w:val="008806FE"/>
    <w:rsid w:val="00883326"/>
    <w:rsid w:val="00890F9D"/>
    <w:rsid w:val="00894D6A"/>
    <w:rsid w:val="0089575E"/>
    <w:rsid w:val="008A4DA7"/>
    <w:rsid w:val="008A71B3"/>
    <w:rsid w:val="008A71D2"/>
    <w:rsid w:val="008A7A7F"/>
    <w:rsid w:val="008B0935"/>
    <w:rsid w:val="008B6C95"/>
    <w:rsid w:val="008C00B0"/>
    <w:rsid w:val="008C2722"/>
    <w:rsid w:val="008C60C9"/>
    <w:rsid w:val="008C6E36"/>
    <w:rsid w:val="008C7068"/>
    <w:rsid w:val="008D1CA9"/>
    <w:rsid w:val="008D56E1"/>
    <w:rsid w:val="008D6094"/>
    <w:rsid w:val="008E2D02"/>
    <w:rsid w:val="008E3AD8"/>
    <w:rsid w:val="008E702F"/>
    <w:rsid w:val="008E7F5F"/>
    <w:rsid w:val="00901A8A"/>
    <w:rsid w:val="00902A7F"/>
    <w:rsid w:val="0090794A"/>
    <w:rsid w:val="0091767F"/>
    <w:rsid w:val="00921034"/>
    <w:rsid w:val="009329C2"/>
    <w:rsid w:val="00933C3A"/>
    <w:rsid w:val="009378F5"/>
    <w:rsid w:val="009520E6"/>
    <w:rsid w:val="00953210"/>
    <w:rsid w:val="00953CA8"/>
    <w:rsid w:val="00973B8D"/>
    <w:rsid w:val="009838BD"/>
    <w:rsid w:val="00983C7F"/>
    <w:rsid w:val="009861F2"/>
    <w:rsid w:val="00986534"/>
    <w:rsid w:val="00992B34"/>
    <w:rsid w:val="009A27F5"/>
    <w:rsid w:val="009B7941"/>
    <w:rsid w:val="009B79E6"/>
    <w:rsid w:val="009C7D15"/>
    <w:rsid w:val="009E3CA5"/>
    <w:rsid w:val="009E41F9"/>
    <w:rsid w:val="00A07215"/>
    <w:rsid w:val="00A1158D"/>
    <w:rsid w:val="00A22395"/>
    <w:rsid w:val="00A23816"/>
    <w:rsid w:val="00A25776"/>
    <w:rsid w:val="00A25FFF"/>
    <w:rsid w:val="00A273F7"/>
    <w:rsid w:val="00A356F0"/>
    <w:rsid w:val="00A44CEA"/>
    <w:rsid w:val="00A454B6"/>
    <w:rsid w:val="00A531F2"/>
    <w:rsid w:val="00A6013E"/>
    <w:rsid w:val="00A653CA"/>
    <w:rsid w:val="00A66766"/>
    <w:rsid w:val="00A80104"/>
    <w:rsid w:val="00A83C83"/>
    <w:rsid w:val="00A8474F"/>
    <w:rsid w:val="00A87F06"/>
    <w:rsid w:val="00A93ECA"/>
    <w:rsid w:val="00A94880"/>
    <w:rsid w:val="00A962E0"/>
    <w:rsid w:val="00A97438"/>
    <w:rsid w:val="00A97953"/>
    <w:rsid w:val="00AA2644"/>
    <w:rsid w:val="00AA2DB3"/>
    <w:rsid w:val="00AA37C1"/>
    <w:rsid w:val="00AA4942"/>
    <w:rsid w:val="00AA4973"/>
    <w:rsid w:val="00AB5F61"/>
    <w:rsid w:val="00AB6A3E"/>
    <w:rsid w:val="00AC1D66"/>
    <w:rsid w:val="00AC6434"/>
    <w:rsid w:val="00AC7DE6"/>
    <w:rsid w:val="00AD1423"/>
    <w:rsid w:val="00AD4AEE"/>
    <w:rsid w:val="00AD6F89"/>
    <w:rsid w:val="00AF1478"/>
    <w:rsid w:val="00AF5096"/>
    <w:rsid w:val="00B13B4A"/>
    <w:rsid w:val="00B1615A"/>
    <w:rsid w:val="00B27AD2"/>
    <w:rsid w:val="00B305F1"/>
    <w:rsid w:val="00B47197"/>
    <w:rsid w:val="00B50F6F"/>
    <w:rsid w:val="00B63252"/>
    <w:rsid w:val="00B65C14"/>
    <w:rsid w:val="00B67B74"/>
    <w:rsid w:val="00B71048"/>
    <w:rsid w:val="00B72169"/>
    <w:rsid w:val="00B74218"/>
    <w:rsid w:val="00B77A7F"/>
    <w:rsid w:val="00B8457C"/>
    <w:rsid w:val="00B84681"/>
    <w:rsid w:val="00B86FC7"/>
    <w:rsid w:val="00B912C3"/>
    <w:rsid w:val="00B93DDA"/>
    <w:rsid w:val="00B93FDC"/>
    <w:rsid w:val="00BB13B2"/>
    <w:rsid w:val="00BB19AC"/>
    <w:rsid w:val="00BC26CE"/>
    <w:rsid w:val="00BC578B"/>
    <w:rsid w:val="00BD1BD7"/>
    <w:rsid w:val="00BD7F08"/>
    <w:rsid w:val="00BE7559"/>
    <w:rsid w:val="00BF24C0"/>
    <w:rsid w:val="00BF389D"/>
    <w:rsid w:val="00BF6DBC"/>
    <w:rsid w:val="00BF7B29"/>
    <w:rsid w:val="00C00005"/>
    <w:rsid w:val="00C06FFD"/>
    <w:rsid w:val="00C16E8E"/>
    <w:rsid w:val="00C22316"/>
    <w:rsid w:val="00C23048"/>
    <w:rsid w:val="00C261EA"/>
    <w:rsid w:val="00C40213"/>
    <w:rsid w:val="00C417A0"/>
    <w:rsid w:val="00C41D9D"/>
    <w:rsid w:val="00C444A7"/>
    <w:rsid w:val="00C44AF7"/>
    <w:rsid w:val="00C4669A"/>
    <w:rsid w:val="00C55909"/>
    <w:rsid w:val="00C56B65"/>
    <w:rsid w:val="00C66166"/>
    <w:rsid w:val="00C726EA"/>
    <w:rsid w:val="00C73A75"/>
    <w:rsid w:val="00C74A1D"/>
    <w:rsid w:val="00C7621E"/>
    <w:rsid w:val="00C819F2"/>
    <w:rsid w:val="00C81E0C"/>
    <w:rsid w:val="00C82524"/>
    <w:rsid w:val="00C82E3A"/>
    <w:rsid w:val="00C95326"/>
    <w:rsid w:val="00CB2B44"/>
    <w:rsid w:val="00CB4074"/>
    <w:rsid w:val="00CB7E10"/>
    <w:rsid w:val="00CC0198"/>
    <w:rsid w:val="00CC1C1D"/>
    <w:rsid w:val="00CC511D"/>
    <w:rsid w:val="00CC7114"/>
    <w:rsid w:val="00CD5AF9"/>
    <w:rsid w:val="00CE034F"/>
    <w:rsid w:val="00CE5084"/>
    <w:rsid w:val="00CE5B9F"/>
    <w:rsid w:val="00CE7C10"/>
    <w:rsid w:val="00CF1923"/>
    <w:rsid w:val="00CF32BC"/>
    <w:rsid w:val="00CF33AD"/>
    <w:rsid w:val="00CF656A"/>
    <w:rsid w:val="00D0056F"/>
    <w:rsid w:val="00D01A51"/>
    <w:rsid w:val="00D0258C"/>
    <w:rsid w:val="00D0270E"/>
    <w:rsid w:val="00D03A65"/>
    <w:rsid w:val="00D056B4"/>
    <w:rsid w:val="00D05FFD"/>
    <w:rsid w:val="00D20550"/>
    <w:rsid w:val="00D258ED"/>
    <w:rsid w:val="00D3638C"/>
    <w:rsid w:val="00D41B6E"/>
    <w:rsid w:val="00D4443B"/>
    <w:rsid w:val="00D46DA6"/>
    <w:rsid w:val="00D52194"/>
    <w:rsid w:val="00D53A36"/>
    <w:rsid w:val="00D65C24"/>
    <w:rsid w:val="00D716EE"/>
    <w:rsid w:val="00D87493"/>
    <w:rsid w:val="00D91467"/>
    <w:rsid w:val="00DA2FCF"/>
    <w:rsid w:val="00DA74F6"/>
    <w:rsid w:val="00DB7203"/>
    <w:rsid w:val="00DC2734"/>
    <w:rsid w:val="00DC6437"/>
    <w:rsid w:val="00DD39D4"/>
    <w:rsid w:val="00DD4526"/>
    <w:rsid w:val="00DD4977"/>
    <w:rsid w:val="00DE01B4"/>
    <w:rsid w:val="00DE6B40"/>
    <w:rsid w:val="00DE7883"/>
    <w:rsid w:val="00DF27A8"/>
    <w:rsid w:val="00DF6B77"/>
    <w:rsid w:val="00E06932"/>
    <w:rsid w:val="00E10769"/>
    <w:rsid w:val="00E12732"/>
    <w:rsid w:val="00E1573F"/>
    <w:rsid w:val="00E15BA7"/>
    <w:rsid w:val="00E17727"/>
    <w:rsid w:val="00E261EB"/>
    <w:rsid w:val="00E313B2"/>
    <w:rsid w:val="00E3284B"/>
    <w:rsid w:val="00E36FC7"/>
    <w:rsid w:val="00E5303F"/>
    <w:rsid w:val="00E56521"/>
    <w:rsid w:val="00E64437"/>
    <w:rsid w:val="00E71CB8"/>
    <w:rsid w:val="00E71DC6"/>
    <w:rsid w:val="00E7228E"/>
    <w:rsid w:val="00E82B25"/>
    <w:rsid w:val="00E9159A"/>
    <w:rsid w:val="00E92831"/>
    <w:rsid w:val="00E9313B"/>
    <w:rsid w:val="00E9750D"/>
    <w:rsid w:val="00EA4A98"/>
    <w:rsid w:val="00EB2737"/>
    <w:rsid w:val="00EB7A63"/>
    <w:rsid w:val="00EC1DF2"/>
    <w:rsid w:val="00EC1E42"/>
    <w:rsid w:val="00EC4C13"/>
    <w:rsid w:val="00EC5F5A"/>
    <w:rsid w:val="00EC6DC8"/>
    <w:rsid w:val="00ED46E6"/>
    <w:rsid w:val="00EE04F1"/>
    <w:rsid w:val="00EE2EBC"/>
    <w:rsid w:val="00EE4A70"/>
    <w:rsid w:val="00EF2442"/>
    <w:rsid w:val="00F0289C"/>
    <w:rsid w:val="00F06942"/>
    <w:rsid w:val="00F30C27"/>
    <w:rsid w:val="00F35887"/>
    <w:rsid w:val="00F51570"/>
    <w:rsid w:val="00F52EE2"/>
    <w:rsid w:val="00F62723"/>
    <w:rsid w:val="00F63411"/>
    <w:rsid w:val="00F74EA2"/>
    <w:rsid w:val="00F778B3"/>
    <w:rsid w:val="00F84A16"/>
    <w:rsid w:val="00F907B7"/>
    <w:rsid w:val="00F93FAE"/>
    <w:rsid w:val="00FA7F28"/>
    <w:rsid w:val="00FB2ED5"/>
    <w:rsid w:val="00FB34FC"/>
    <w:rsid w:val="00FB3B59"/>
    <w:rsid w:val="00FC4182"/>
    <w:rsid w:val="00FD539C"/>
    <w:rsid w:val="00FD65BE"/>
    <w:rsid w:val="00FE1378"/>
    <w:rsid w:val="00FE2BF4"/>
    <w:rsid w:val="00FE369C"/>
    <w:rsid w:val="00FF4666"/>
    <w:rsid w:val="00FF4C7E"/>
    <w:rsid w:val="00FF6EE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70"/>
    <o:shapelayout v:ext="edit">
      <o:idmap v:ext="edit" data="1"/>
    </o:shapelayout>
  </w:shapeDefaults>
  <w:decimalSymbol w:val=","/>
  <w:listSeparator w:val=";"/>
  <w15:chartTrackingRefBased/>
  <w15:docId w15:val="{9AE525FC-51F6-4DB1-82B2-A79702D2E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qFormat/>
    <w:rsid w:val="001E63C5"/>
    <w:pPr>
      <w:keepNext/>
      <w:spacing w:after="0" w:line="240" w:lineRule="auto"/>
      <w:jc w:val="center"/>
      <w:outlineLvl w:val="0"/>
    </w:pPr>
    <w:rPr>
      <w:rFonts w:ascii="Times New Roman" w:eastAsia="Times New Roman" w:hAnsi="Times New Roman" w:cs="Times New Roman"/>
      <w:b/>
      <w:kern w:val="32"/>
      <w:sz w:val="48"/>
      <w:szCs w:val="20"/>
      <w:lang w:val="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39"/>
    <w:rsid w:val="008D60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uiPriority w:val="1"/>
    <w:qFormat/>
    <w:rsid w:val="00B47197"/>
    <w:pPr>
      <w:spacing w:after="0" w:line="240" w:lineRule="auto"/>
    </w:pPr>
  </w:style>
  <w:style w:type="paragraph" w:styleId="Tekstdymka">
    <w:name w:val="Balloon Text"/>
    <w:basedOn w:val="Normalny"/>
    <w:link w:val="TekstdymkaZnak"/>
    <w:uiPriority w:val="99"/>
    <w:semiHidden/>
    <w:unhideWhenUsed/>
    <w:rsid w:val="00B47197"/>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B47197"/>
    <w:rPr>
      <w:rFonts w:ascii="Segoe UI" w:hAnsi="Segoe UI" w:cs="Segoe UI"/>
      <w:sz w:val="18"/>
      <w:szCs w:val="18"/>
    </w:rPr>
  </w:style>
  <w:style w:type="paragraph" w:styleId="Nagwek">
    <w:name w:val="header"/>
    <w:basedOn w:val="Normalny"/>
    <w:link w:val="NagwekZnak"/>
    <w:uiPriority w:val="99"/>
    <w:unhideWhenUsed/>
    <w:rsid w:val="00E82B2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82B25"/>
  </w:style>
  <w:style w:type="paragraph" w:styleId="Stopka">
    <w:name w:val="footer"/>
    <w:basedOn w:val="Normalny"/>
    <w:link w:val="StopkaZnak"/>
    <w:uiPriority w:val="99"/>
    <w:unhideWhenUsed/>
    <w:rsid w:val="00E82B2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82B25"/>
  </w:style>
  <w:style w:type="character" w:styleId="Odwoaniedokomentarza">
    <w:name w:val="annotation reference"/>
    <w:basedOn w:val="Domylnaczcionkaakapitu"/>
    <w:uiPriority w:val="99"/>
    <w:semiHidden/>
    <w:unhideWhenUsed/>
    <w:rsid w:val="00697934"/>
    <w:rPr>
      <w:sz w:val="16"/>
      <w:szCs w:val="16"/>
    </w:rPr>
  </w:style>
  <w:style w:type="paragraph" w:styleId="Tekstkomentarza">
    <w:name w:val="annotation text"/>
    <w:basedOn w:val="Normalny"/>
    <w:link w:val="TekstkomentarzaZnak"/>
    <w:uiPriority w:val="99"/>
    <w:semiHidden/>
    <w:unhideWhenUsed/>
    <w:rsid w:val="00697934"/>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697934"/>
    <w:rPr>
      <w:sz w:val="20"/>
      <w:szCs w:val="20"/>
    </w:rPr>
  </w:style>
  <w:style w:type="paragraph" w:styleId="Tematkomentarza">
    <w:name w:val="annotation subject"/>
    <w:basedOn w:val="Tekstkomentarza"/>
    <w:next w:val="Tekstkomentarza"/>
    <w:link w:val="TematkomentarzaZnak"/>
    <w:uiPriority w:val="99"/>
    <w:semiHidden/>
    <w:unhideWhenUsed/>
    <w:rsid w:val="00697934"/>
    <w:rPr>
      <w:b/>
      <w:bCs/>
    </w:rPr>
  </w:style>
  <w:style w:type="character" w:customStyle="1" w:styleId="TematkomentarzaZnak">
    <w:name w:val="Temat komentarza Znak"/>
    <w:basedOn w:val="TekstkomentarzaZnak"/>
    <w:link w:val="Tematkomentarza"/>
    <w:uiPriority w:val="99"/>
    <w:semiHidden/>
    <w:rsid w:val="00697934"/>
    <w:rPr>
      <w:b/>
      <w:bCs/>
      <w:sz w:val="20"/>
      <w:szCs w:val="20"/>
    </w:rPr>
  </w:style>
  <w:style w:type="character" w:styleId="Hipercze">
    <w:name w:val="Hyperlink"/>
    <w:basedOn w:val="Domylnaczcionkaakapitu"/>
    <w:uiPriority w:val="99"/>
    <w:unhideWhenUsed/>
    <w:rsid w:val="00A454B6"/>
    <w:rPr>
      <w:color w:val="0563C1" w:themeColor="hyperlink"/>
      <w:u w:val="single"/>
    </w:rPr>
  </w:style>
  <w:style w:type="paragraph" w:styleId="Tekstprzypisudolnego">
    <w:name w:val="footnote text"/>
    <w:basedOn w:val="Normalny"/>
    <w:link w:val="TekstprzypisudolnegoZnak"/>
    <w:uiPriority w:val="99"/>
    <w:semiHidden/>
    <w:unhideWhenUsed/>
    <w:rsid w:val="00F30C27"/>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F30C27"/>
    <w:rPr>
      <w:sz w:val="20"/>
      <w:szCs w:val="20"/>
    </w:rPr>
  </w:style>
  <w:style w:type="character" w:styleId="Odwoanieprzypisudolnego">
    <w:name w:val="footnote reference"/>
    <w:basedOn w:val="Domylnaczcionkaakapitu"/>
    <w:uiPriority w:val="99"/>
    <w:semiHidden/>
    <w:unhideWhenUsed/>
    <w:rsid w:val="00F30C27"/>
    <w:rPr>
      <w:vertAlign w:val="superscript"/>
    </w:rPr>
  </w:style>
  <w:style w:type="paragraph" w:styleId="Legenda">
    <w:name w:val="caption"/>
    <w:basedOn w:val="Normalny"/>
    <w:next w:val="Normalny"/>
    <w:uiPriority w:val="35"/>
    <w:unhideWhenUsed/>
    <w:qFormat/>
    <w:rsid w:val="00AD4AEE"/>
    <w:pPr>
      <w:spacing w:after="200" w:line="240" w:lineRule="auto"/>
    </w:pPr>
    <w:rPr>
      <w:i/>
      <w:iCs/>
      <w:color w:val="44546A" w:themeColor="text2"/>
      <w:sz w:val="18"/>
      <w:szCs w:val="18"/>
    </w:rPr>
  </w:style>
  <w:style w:type="character" w:customStyle="1" w:styleId="Nagwek1Znak">
    <w:name w:val="Nagłówek 1 Znak"/>
    <w:basedOn w:val="Domylnaczcionkaakapitu"/>
    <w:link w:val="Nagwek1"/>
    <w:rsid w:val="001E63C5"/>
    <w:rPr>
      <w:rFonts w:ascii="Times New Roman" w:eastAsia="Times New Roman" w:hAnsi="Times New Roman" w:cs="Times New Roman"/>
      <w:b/>
      <w:kern w:val="32"/>
      <w:sz w:val="48"/>
      <w:szCs w:val="20"/>
      <w:lang w:val="en-US"/>
    </w:rPr>
  </w:style>
  <w:style w:type="paragraph" w:styleId="Akapitzlist">
    <w:name w:val="List Paragraph"/>
    <w:basedOn w:val="Normalny"/>
    <w:uiPriority w:val="34"/>
    <w:qFormat/>
    <w:rsid w:val="00C7621E"/>
    <w:pPr>
      <w:ind w:left="720"/>
      <w:contextualSpacing/>
    </w:pPr>
  </w:style>
  <w:style w:type="character" w:styleId="UyteHipercze">
    <w:name w:val="FollowedHyperlink"/>
    <w:basedOn w:val="Domylnaczcionkaakapitu"/>
    <w:uiPriority w:val="99"/>
    <w:semiHidden/>
    <w:unhideWhenUsed/>
    <w:rsid w:val="00FB34F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656215">
      <w:bodyDiv w:val="1"/>
      <w:marLeft w:val="0"/>
      <w:marRight w:val="0"/>
      <w:marTop w:val="0"/>
      <w:marBottom w:val="0"/>
      <w:divBdr>
        <w:top w:val="none" w:sz="0" w:space="0" w:color="auto"/>
        <w:left w:val="none" w:sz="0" w:space="0" w:color="auto"/>
        <w:bottom w:val="none" w:sz="0" w:space="0" w:color="auto"/>
        <w:right w:val="none" w:sz="0" w:space="0" w:color="auto"/>
      </w:divBdr>
    </w:div>
    <w:div w:id="85468196">
      <w:bodyDiv w:val="1"/>
      <w:marLeft w:val="0"/>
      <w:marRight w:val="0"/>
      <w:marTop w:val="0"/>
      <w:marBottom w:val="0"/>
      <w:divBdr>
        <w:top w:val="none" w:sz="0" w:space="0" w:color="auto"/>
        <w:left w:val="none" w:sz="0" w:space="0" w:color="auto"/>
        <w:bottom w:val="none" w:sz="0" w:space="0" w:color="auto"/>
        <w:right w:val="none" w:sz="0" w:space="0" w:color="auto"/>
      </w:divBdr>
    </w:div>
    <w:div w:id="289748826">
      <w:bodyDiv w:val="1"/>
      <w:marLeft w:val="0"/>
      <w:marRight w:val="0"/>
      <w:marTop w:val="0"/>
      <w:marBottom w:val="0"/>
      <w:divBdr>
        <w:top w:val="none" w:sz="0" w:space="0" w:color="auto"/>
        <w:left w:val="none" w:sz="0" w:space="0" w:color="auto"/>
        <w:bottom w:val="none" w:sz="0" w:space="0" w:color="auto"/>
        <w:right w:val="none" w:sz="0" w:space="0" w:color="auto"/>
      </w:divBdr>
    </w:div>
    <w:div w:id="327486379">
      <w:bodyDiv w:val="1"/>
      <w:marLeft w:val="0"/>
      <w:marRight w:val="0"/>
      <w:marTop w:val="0"/>
      <w:marBottom w:val="0"/>
      <w:divBdr>
        <w:top w:val="none" w:sz="0" w:space="0" w:color="auto"/>
        <w:left w:val="none" w:sz="0" w:space="0" w:color="auto"/>
        <w:bottom w:val="none" w:sz="0" w:space="0" w:color="auto"/>
        <w:right w:val="none" w:sz="0" w:space="0" w:color="auto"/>
      </w:divBdr>
    </w:div>
    <w:div w:id="653721725">
      <w:bodyDiv w:val="1"/>
      <w:marLeft w:val="0"/>
      <w:marRight w:val="0"/>
      <w:marTop w:val="0"/>
      <w:marBottom w:val="0"/>
      <w:divBdr>
        <w:top w:val="none" w:sz="0" w:space="0" w:color="auto"/>
        <w:left w:val="none" w:sz="0" w:space="0" w:color="auto"/>
        <w:bottom w:val="none" w:sz="0" w:space="0" w:color="auto"/>
        <w:right w:val="none" w:sz="0" w:space="0" w:color="auto"/>
      </w:divBdr>
    </w:div>
    <w:div w:id="726950943">
      <w:bodyDiv w:val="1"/>
      <w:marLeft w:val="0"/>
      <w:marRight w:val="0"/>
      <w:marTop w:val="0"/>
      <w:marBottom w:val="0"/>
      <w:divBdr>
        <w:top w:val="none" w:sz="0" w:space="0" w:color="auto"/>
        <w:left w:val="none" w:sz="0" w:space="0" w:color="auto"/>
        <w:bottom w:val="none" w:sz="0" w:space="0" w:color="auto"/>
        <w:right w:val="none" w:sz="0" w:space="0" w:color="auto"/>
      </w:divBdr>
    </w:div>
    <w:div w:id="801272319">
      <w:bodyDiv w:val="1"/>
      <w:marLeft w:val="0"/>
      <w:marRight w:val="0"/>
      <w:marTop w:val="0"/>
      <w:marBottom w:val="0"/>
      <w:divBdr>
        <w:top w:val="none" w:sz="0" w:space="0" w:color="auto"/>
        <w:left w:val="none" w:sz="0" w:space="0" w:color="auto"/>
        <w:bottom w:val="none" w:sz="0" w:space="0" w:color="auto"/>
        <w:right w:val="none" w:sz="0" w:space="0" w:color="auto"/>
      </w:divBdr>
    </w:div>
    <w:div w:id="898203398">
      <w:bodyDiv w:val="1"/>
      <w:marLeft w:val="0"/>
      <w:marRight w:val="0"/>
      <w:marTop w:val="0"/>
      <w:marBottom w:val="0"/>
      <w:divBdr>
        <w:top w:val="none" w:sz="0" w:space="0" w:color="auto"/>
        <w:left w:val="none" w:sz="0" w:space="0" w:color="auto"/>
        <w:bottom w:val="none" w:sz="0" w:space="0" w:color="auto"/>
        <w:right w:val="none" w:sz="0" w:space="0" w:color="auto"/>
      </w:divBdr>
    </w:div>
    <w:div w:id="900095598">
      <w:bodyDiv w:val="1"/>
      <w:marLeft w:val="0"/>
      <w:marRight w:val="0"/>
      <w:marTop w:val="0"/>
      <w:marBottom w:val="0"/>
      <w:divBdr>
        <w:top w:val="none" w:sz="0" w:space="0" w:color="auto"/>
        <w:left w:val="none" w:sz="0" w:space="0" w:color="auto"/>
        <w:bottom w:val="none" w:sz="0" w:space="0" w:color="auto"/>
        <w:right w:val="none" w:sz="0" w:space="0" w:color="auto"/>
      </w:divBdr>
    </w:div>
    <w:div w:id="1142383137">
      <w:bodyDiv w:val="1"/>
      <w:marLeft w:val="0"/>
      <w:marRight w:val="0"/>
      <w:marTop w:val="0"/>
      <w:marBottom w:val="0"/>
      <w:divBdr>
        <w:top w:val="none" w:sz="0" w:space="0" w:color="auto"/>
        <w:left w:val="none" w:sz="0" w:space="0" w:color="auto"/>
        <w:bottom w:val="none" w:sz="0" w:space="0" w:color="auto"/>
        <w:right w:val="none" w:sz="0" w:space="0" w:color="auto"/>
      </w:divBdr>
    </w:div>
    <w:div w:id="1244098997">
      <w:bodyDiv w:val="1"/>
      <w:marLeft w:val="0"/>
      <w:marRight w:val="0"/>
      <w:marTop w:val="0"/>
      <w:marBottom w:val="0"/>
      <w:divBdr>
        <w:top w:val="none" w:sz="0" w:space="0" w:color="auto"/>
        <w:left w:val="none" w:sz="0" w:space="0" w:color="auto"/>
        <w:bottom w:val="none" w:sz="0" w:space="0" w:color="auto"/>
        <w:right w:val="none" w:sz="0" w:space="0" w:color="auto"/>
      </w:divBdr>
    </w:div>
    <w:div w:id="1269699515">
      <w:bodyDiv w:val="1"/>
      <w:marLeft w:val="0"/>
      <w:marRight w:val="0"/>
      <w:marTop w:val="0"/>
      <w:marBottom w:val="0"/>
      <w:divBdr>
        <w:top w:val="none" w:sz="0" w:space="0" w:color="auto"/>
        <w:left w:val="none" w:sz="0" w:space="0" w:color="auto"/>
        <w:bottom w:val="none" w:sz="0" w:space="0" w:color="auto"/>
        <w:right w:val="none" w:sz="0" w:space="0" w:color="auto"/>
      </w:divBdr>
    </w:div>
    <w:div w:id="1361124886">
      <w:bodyDiv w:val="1"/>
      <w:marLeft w:val="0"/>
      <w:marRight w:val="0"/>
      <w:marTop w:val="0"/>
      <w:marBottom w:val="0"/>
      <w:divBdr>
        <w:top w:val="none" w:sz="0" w:space="0" w:color="auto"/>
        <w:left w:val="none" w:sz="0" w:space="0" w:color="auto"/>
        <w:bottom w:val="none" w:sz="0" w:space="0" w:color="auto"/>
        <w:right w:val="none" w:sz="0" w:space="0" w:color="auto"/>
      </w:divBdr>
    </w:div>
    <w:div w:id="1374690113">
      <w:bodyDiv w:val="1"/>
      <w:marLeft w:val="0"/>
      <w:marRight w:val="0"/>
      <w:marTop w:val="0"/>
      <w:marBottom w:val="0"/>
      <w:divBdr>
        <w:top w:val="none" w:sz="0" w:space="0" w:color="auto"/>
        <w:left w:val="none" w:sz="0" w:space="0" w:color="auto"/>
        <w:bottom w:val="none" w:sz="0" w:space="0" w:color="auto"/>
        <w:right w:val="none" w:sz="0" w:space="0" w:color="auto"/>
      </w:divBdr>
      <w:divsChild>
        <w:div w:id="1823279214">
          <w:marLeft w:val="0"/>
          <w:marRight w:val="0"/>
          <w:marTop w:val="0"/>
          <w:marBottom w:val="0"/>
          <w:divBdr>
            <w:top w:val="none" w:sz="0" w:space="0" w:color="auto"/>
            <w:left w:val="none" w:sz="0" w:space="0" w:color="auto"/>
            <w:bottom w:val="none" w:sz="0" w:space="0" w:color="auto"/>
            <w:right w:val="none" w:sz="0" w:space="0" w:color="auto"/>
          </w:divBdr>
        </w:div>
        <w:div w:id="1604340124">
          <w:marLeft w:val="0"/>
          <w:marRight w:val="0"/>
          <w:marTop w:val="0"/>
          <w:marBottom w:val="0"/>
          <w:divBdr>
            <w:top w:val="none" w:sz="0" w:space="0" w:color="auto"/>
            <w:left w:val="none" w:sz="0" w:space="0" w:color="auto"/>
            <w:bottom w:val="none" w:sz="0" w:space="0" w:color="auto"/>
            <w:right w:val="none" w:sz="0" w:space="0" w:color="auto"/>
          </w:divBdr>
        </w:div>
        <w:div w:id="2005889341">
          <w:marLeft w:val="0"/>
          <w:marRight w:val="0"/>
          <w:marTop w:val="0"/>
          <w:marBottom w:val="0"/>
          <w:divBdr>
            <w:top w:val="none" w:sz="0" w:space="0" w:color="auto"/>
            <w:left w:val="none" w:sz="0" w:space="0" w:color="auto"/>
            <w:bottom w:val="none" w:sz="0" w:space="0" w:color="auto"/>
            <w:right w:val="none" w:sz="0" w:space="0" w:color="auto"/>
          </w:divBdr>
        </w:div>
        <w:div w:id="1608390285">
          <w:marLeft w:val="0"/>
          <w:marRight w:val="0"/>
          <w:marTop w:val="0"/>
          <w:marBottom w:val="0"/>
          <w:divBdr>
            <w:top w:val="none" w:sz="0" w:space="0" w:color="auto"/>
            <w:left w:val="none" w:sz="0" w:space="0" w:color="auto"/>
            <w:bottom w:val="none" w:sz="0" w:space="0" w:color="auto"/>
            <w:right w:val="none" w:sz="0" w:space="0" w:color="auto"/>
          </w:divBdr>
        </w:div>
        <w:div w:id="702168585">
          <w:marLeft w:val="0"/>
          <w:marRight w:val="0"/>
          <w:marTop w:val="0"/>
          <w:marBottom w:val="0"/>
          <w:divBdr>
            <w:top w:val="none" w:sz="0" w:space="0" w:color="auto"/>
            <w:left w:val="none" w:sz="0" w:space="0" w:color="auto"/>
            <w:bottom w:val="none" w:sz="0" w:space="0" w:color="auto"/>
            <w:right w:val="none" w:sz="0" w:space="0" w:color="auto"/>
          </w:divBdr>
        </w:div>
        <w:div w:id="211577600">
          <w:marLeft w:val="0"/>
          <w:marRight w:val="0"/>
          <w:marTop w:val="0"/>
          <w:marBottom w:val="0"/>
          <w:divBdr>
            <w:top w:val="none" w:sz="0" w:space="0" w:color="auto"/>
            <w:left w:val="none" w:sz="0" w:space="0" w:color="auto"/>
            <w:bottom w:val="none" w:sz="0" w:space="0" w:color="auto"/>
            <w:right w:val="none" w:sz="0" w:space="0" w:color="auto"/>
          </w:divBdr>
        </w:div>
        <w:div w:id="2054380288">
          <w:marLeft w:val="0"/>
          <w:marRight w:val="0"/>
          <w:marTop w:val="0"/>
          <w:marBottom w:val="0"/>
          <w:divBdr>
            <w:top w:val="none" w:sz="0" w:space="0" w:color="auto"/>
            <w:left w:val="none" w:sz="0" w:space="0" w:color="auto"/>
            <w:bottom w:val="none" w:sz="0" w:space="0" w:color="auto"/>
            <w:right w:val="none" w:sz="0" w:space="0" w:color="auto"/>
          </w:divBdr>
        </w:div>
        <w:div w:id="981931434">
          <w:marLeft w:val="0"/>
          <w:marRight w:val="0"/>
          <w:marTop w:val="0"/>
          <w:marBottom w:val="0"/>
          <w:divBdr>
            <w:top w:val="none" w:sz="0" w:space="0" w:color="auto"/>
            <w:left w:val="none" w:sz="0" w:space="0" w:color="auto"/>
            <w:bottom w:val="none" w:sz="0" w:space="0" w:color="auto"/>
            <w:right w:val="none" w:sz="0" w:space="0" w:color="auto"/>
          </w:divBdr>
        </w:div>
        <w:div w:id="783304674">
          <w:marLeft w:val="0"/>
          <w:marRight w:val="0"/>
          <w:marTop w:val="0"/>
          <w:marBottom w:val="0"/>
          <w:divBdr>
            <w:top w:val="none" w:sz="0" w:space="0" w:color="auto"/>
            <w:left w:val="none" w:sz="0" w:space="0" w:color="auto"/>
            <w:bottom w:val="none" w:sz="0" w:space="0" w:color="auto"/>
            <w:right w:val="none" w:sz="0" w:space="0" w:color="auto"/>
          </w:divBdr>
        </w:div>
        <w:div w:id="1350790691">
          <w:marLeft w:val="0"/>
          <w:marRight w:val="0"/>
          <w:marTop w:val="0"/>
          <w:marBottom w:val="0"/>
          <w:divBdr>
            <w:top w:val="none" w:sz="0" w:space="0" w:color="auto"/>
            <w:left w:val="none" w:sz="0" w:space="0" w:color="auto"/>
            <w:bottom w:val="none" w:sz="0" w:space="0" w:color="auto"/>
            <w:right w:val="none" w:sz="0" w:space="0" w:color="auto"/>
          </w:divBdr>
        </w:div>
      </w:divsChild>
    </w:div>
    <w:div w:id="1378777789">
      <w:bodyDiv w:val="1"/>
      <w:marLeft w:val="0"/>
      <w:marRight w:val="0"/>
      <w:marTop w:val="0"/>
      <w:marBottom w:val="0"/>
      <w:divBdr>
        <w:top w:val="none" w:sz="0" w:space="0" w:color="auto"/>
        <w:left w:val="none" w:sz="0" w:space="0" w:color="auto"/>
        <w:bottom w:val="none" w:sz="0" w:space="0" w:color="auto"/>
        <w:right w:val="none" w:sz="0" w:space="0" w:color="auto"/>
      </w:divBdr>
    </w:div>
    <w:div w:id="1406876176">
      <w:bodyDiv w:val="1"/>
      <w:marLeft w:val="0"/>
      <w:marRight w:val="0"/>
      <w:marTop w:val="0"/>
      <w:marBottom w:val="0"/>
      <w:divBdr>
        <w:top w:val="none" w:sz="0" w:space="0" w:color="auto"/>
        <w:left w:val="none" w:sz="0" w:space="0" w:color="auto"/>
        <w:bottom w:val="none" w:sz="0" w:space="0" w:color="auto"/>
        <w:right w:val="none" w:sz="0" w:space="0" w:color="auto"/>
      </w:divBdr>
    </w:div>
    <w:div w:id="1493566892">
      <w:bodyDiv w:val="1"/>
      <w:marLeft w:val="0"/>
      <w:marRight w:val="0"/>
      <w:marTop w:val="0"/>
      <w:marBottom w:val="0"/>
      <w:divBdr>
        <w:top w:val="none" w:sz="0" w:space="0" w:color="auto"/>
        <w:left w:val="none" w:sz="0" w:space="0" w:color="auto"/>
        <w:bottom w:val="none" w:sz="0" w:space="0" w:color="auto"/>
        <w:right w:val="none" w:sz="0" w:space="0" w:color="auto"/>
      </w:divBdr>
    </w:div>
    <w:div w:id="1611740946">
      <w:bodyDiv w:val="1"/>
      <w:marLeft w:val="0"/>
      <w:marRight w:val="0"/>
      <w:marTop w:val="0"/>
      <w:marBottom w:val="0"/>
      <w:divBdr>
        <w:top w:val="none" w:sz="0" w:space="0" w:color="auto"/>
        <w:left w:val="none" w:sz="0" w:space="0" w:color="auto"/>
        <w:bottom w:val="none" w:sz="0" w:space="0" w:color="auto"/>
        <w:right w:val="none" w:sz="0" w:space="0" w:color="auto"/>
      </w:divBdr>
    </w:div>
    <w:div w:id="1846554663">
      <w:bodyDiv w:val="1"/>
      <w:marLeft w:val="0"/>
      <w:marRight w:val="0"/>
      <w:marTop w:val="0"/>
      <w:marBottom w:val="0"/>
      <w:divBdr>
        <w:top w:val="none" w:sz="0" w:space="0" w:color="auto"/>
        <w:left w:val="none" w:sz="0" w:space="0" w:color="auto"/>
        <w:bottom w:val="none" w:sz="0" w:space="0" w:color="auto"/>
        <w:right w:val="none" w:sz="0" w:space="0" w:color="auto"/>
      </w:divBdr>
    </w:div>
    <w:div w:id="1886133660">
      <w:bodyDiv w:val="1"/>
      <w:marLeft w:val="0"/>
      <w:marRight w:val="0"/>
      <w:marTop w:val="0"/>
      <w:marBottom w:val="0"/>
      <w:divBdr>
        <w:top w:val="none" w:sz="0" w:space="0" w:color="auto"/>
        <w:left w:val="none" w:sz="0" w:space="0" w:color="auto"/>
        <w:bottom w:val="none" w:sz="0" w:space="0" w:color="auto"/>
        <w:right w:val="none" w:sz="0" w:space="0" w:color="auto"/>
      </w:divBdr>
    </w:div>
    <w:div w:id="1945259673">
      <w:bodyDiv w:val="1"/>
      <w:marLeft w:val="0"/>
      <w:marRight w:val="0"/>
      <w:marTop w:val="0"/>
      <w:marBottom w:val="0"/>
      <w:divBdr>
        <w:top w:val="none" w:sz="0" w:space="0" w:color="auto"/>
        <w:left w:val="none" w:sz="0" w:space="0" w:color="auto"/>
        <w:bottom w:val="none" w:sz="0" w:space="0" w:color="auto"/>
        <w:right w:val="none" w:sz="0" w:space="0" w:color="auto"/>
      </w:divBdr>
    </w:div>
    <w:div w:id="1963153430">
      <w:bodyDiv w:val="1"/>
      <w:marLeft w:val="0"/>
      <w:marRight w:val="0"/>
      <w:marTop w:val="0"/>
      <w:marBottom w:val="0"/>
      <w:divBdr>
        <w:top w:val="none" w:sz="0" w:space="0" w:color="auto"/>
        <w:left w:val="none" w:sz="0" w:space="0" w:color="auto"/>
        <w:bottom w:val="none" w:sz="0" w:space="0" w:color="auto"/>
        <w:right w:val="none" w:sz="0" w:space="0" w:color="auto"/>
      </w:divBdr>
    </w:div>
    <w:div w:id="2072383419">
      <w:bodyDiv w:val="1"/>
      <w:marLeft w:val="0"/>
      <w:marRight w:val="0"/>
      <w:marTop w:val="0"/>
      <w:marBottom w:val="0"/>
      <w:divBdr>
        <w:top w:val="none" w:sz="0" w:space="0" w:color="auto"/>
        <w:left w:val="none" w:sz="0" w:space="0" w:color="auto"/>
        <w:bottom w:val="none" w:sz="0" w:space="0" w:color="auto"/>
        <w:right w:val="none" w:sz="0" w:space="0" w:color="auto"/>
      </w:divBdr>
    </w:div>
    <w:div w:id="2132478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arlos.fullea.carrera@ine.es" TargetMode="External"/><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ec.europa.eu/eurostat/documents/3859598/6454997/KS-GQ-14-013-EN-N.pdf/166605aa-c990-40c4-b9f7-59c297154277" TargetMode="Externa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chart" Target="charts/chart5.xml"/><Relationship Id="rId25" Type="http://schemas.openxmlformats.org/officeDocument/2006/relationships/hyperlink" Target="https://unstats.un.org/unsd/publication/Seriesm/SeriesM_83rev1s.pdf" TargetMode="Externa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chart" Target="charts/chart8.xm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hyperlink" Target="http://eur-lex.europa.eu/LexUriServ/LexUriServ.do?uri=OJ:L:2011:192:0017:0032:EN:PDF" TargetMode="Externa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hyperlink" Target="https://es.scribd.com/document/344968317/CalmarEngDoc" TargetMode="External"/><Relationship Id="rId28" Type="http://schemas.openxmlformats.org/officeDocument/2006/relationships/footer" Target="footer1.xml"/><Relationship Id="rId10" Type="http://schemas.openxmlformats.org/officeDocument/2006/relationships/hyperlink" Target="mailto:jorge.polo@correo.aeat.es" TargetMode="External"/><Relationship Id="rId19" Type="http://schemas.openxmlformats.org/officeDocument/2006/relationships/chart" Target="charts/chart7.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maria.izquierdo.valverde@ine.es" TargetMode="External"/><Relationship Id="rId14" Type="http://schemas.openxmlformats.org/officeDocument/2006/relationships/chart" Target="charts/chart2.xml"/><Relationship Id="rId22" Type="http://schemas.openxmlformats.org/officeDocument/2006/relationships/hyperlink" Target="http://www.ine.es/en/daco/daco42/etr/etr_metodologia_en.pdf" TargetMode="External"/><Relationship Id="rId27" Type="http://schemas.openxmlformats.org/officeDocument/2006/relationships/header" Target="head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oleObject" Target="file:///\\OEX34E\SGTURCYT\ETUR\ETUR2\muestral_nivel_estudios\viaj_cuest_2017_proc.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OEX34E\SGTURCYT\ETUR\ETUR2\muestral_nivel_estudios\viaj_cuest_2017_proc.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arlos\Desktop\Paper_q_2018_OK\Paper\Estimaciones_Poblacionales_Mayores15_20180426.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Arkusz_programu_Microsoft_Excel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Arkusz_programu_Microsoft_Excel2.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Arkusz_programu_Microsoft_Excel3.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Arkusz_programu_Microsoft_Excel4.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Arkusz_programu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Percentage of visitors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viaj_cuest_2017!$F$1</c:f>
              <c:strCache>
                <c:ptCount val="1"/>
                <c:pt idx="0">
                  <c:v>visitors/pers sample</c:v>
                </c:pt>
              </c:strCache>
            </c:strRef>
          </c:tx>
          <c:spPr>
            <a:ln w="28575" cap="rnd">
              <a:solidFill>
                <a:schemeClr val="accent1"/>
              </a:solidFill>
              <a:round/>
            </a:ln>
            <a:effectLst/>
          </c:spPr>
          <c:marker>
            <c:symbol val="none"/>
          </c:marker>
          <c:cat>
            <c:strRef>
              <c:f>viaj_cuest_2017!$A$2:$A$13</c:f>
              <c:strCache>
                <c:ptCount val="12"/>
                <c:pt idx="0">
                  <c:v>01</c:v>
                </c:pt>
                <c:pt idx="1">
                  <c:v>02</c:v>
                </c:pt>
                <c:pt idx="2">
                  <c:v>03</c:v>
                </c:pt>
                <c:pt idx="3">
                  <c:v>04</c:v>
                </c:pt>
                <c:pt idx="4">
                  <c:v>05</c:v>
                </c:pt>
                <c:pt idx="5">
                  <c:v>06</c:v>
                </c:pt>
                <c:pt idx="6">
                  <c:v>07</c:v>
                </c:pt>
                <c:pt idx="7">
                  <c:v>08</c:v>
                </c:pt>
                <c:pt idx="8">
                  <c:v>09</c:v>
                </c:pt>
                <c:pt idx="9">
                  <c:v>10</c:v>
                </c:pt>
                <c:pt idx="10">
                  <c:v>11</c:v>
                </c:pt>
                <c:pt idx="11">
                  <c:v>12</c:v>
                </c:pt>
              </c:strCache>
            </c:strRef>
          </c:cat>
          <c:val>
            <c:numRef>
              <c:f>viaj_cuest_2017!$F$2:$F$13</c:f>
              <c:numCache>
                <c:formatCode>0.00%</c:formatCode>
                <c:ptCount val="12"/>
                <c:pt idx="0">
                  <c:v>0.20306351032269782</c:v>
                </c:pt>
                <c:pt idx="1">
                  <c:v>0.18450140407480434</c:v>
                </c:pt>
                <c:pt idx="2">
                  <c:v>0.18889624856988016</c:v>
                </c:pt>
                <c:pt idx="3">
                  <c:v>0.28615071283095722</c:v>
                </c:pt>
                <c:pt idx="4">
                  <c:v>0.22057381069151544</c:v>
                </c:pt>
                <c:pt idx="5">
                  <c:v>0.2338511856091578</c:v>
                </c:pt>
                <c:pt idx="6">
                  <c:v>0.29861410532799509</c:v>
                </c:pt>
                <c:pt idx="7">
                  <c:v>0.36777009821753365</c:v>
                </c:pt>
                <c:pt idx="8">
                  <c:v>0.26232394366197181</c:v>
                </c:pt>
                <c:pt idx="9">
                  <c:v>0.23531922678212086</c:v>
                </c:pt>
                <c:pt idx="10">
                  <c:v>0.1800194221898519</c:v>
                </c:pt>
                <c:pt idx="11">
                  <c:v>0.22088696394802659</c:v>
                </c:pt>
              </c:numCache>
            </c:numRef>
          </c:val>
          <c:smooth val="0"/>
          <c:extLst xmlns:c16r2="http://schemas.microsoft.com/office/drawing/2015/06/chart">
            <c:ext xmlns:c16="http://schemas.microsoft.com/office/drawing/2014/chart" uri="{C3380CC4-5D6E-409C-BE32-E72D297353CC}">
              <c16:uniqueId val="{00000000-F8C1-4131-9223-C2DDCDA744F9}"/>
            </c:ext>
          </c:extLst>
        </c:ser>
        <c:ser>
          <c:idx val="1"/>
          <c:order val="1"/>
          <c:tx>
            <c:strRef>
              <c:f>viaj_cuest_2017!$K$1</c:f>
              <c:strCache>
                <c:ptCount val="1"/>
                <c:pt idx="0">
                  <c:v>visitors/pers weighted</c:v>
                </c:pt>
              </c:strCache>
            </c:strRef>
          </c:tx>
          <c:spPr>
            <a:ln w="28575" cap="rnd">
              <a:solidFill>
                <a:schemeClr val="accent2"/>
              </a:solidFill>
              <a:round/>
            </a:ln>
            <a:effectLst/>
          </c:spPr>
          <c:marker>
            <c:symbol val="none"/>
          </c:marker>
          <c:cat>
            <c:strRef>
              <c:f>viaj_cuest_2017!$A$2:$A$13</c:f>
              <c:strCache>
                <c:ptCount val="12"/>
                <c:pt idx="0">
                  <c:v>01</c:v>
                </c:pt>
                <c:pt idx="1">
                  <c:v>02</c:v>
                </c:pt>
                <c:pt idx="2">
                  <c:v>03</c:v>
                </c:pt>
                <c:pt idx="3">
                  <c:v>04</c:v>
                </c:pt>
                <c:pt idx="4">
                  <c:v>05</c:v>
                </c:pt>
                <c:pt idx="5">
                  <c:v>06</c:v>
                </c:pt>
                <c:pt idx="6">
                  <c:v>07</c:v>
                </c:pt>
                <c:pt idx="7">
                  <c:v>08</c:v>
                </c:pt>
                <c:pt idx="8">
                  <c:v>09</c:v>
                </c:pt>
                <c:pt idx="9">
                  <c:v>10</c:v>
                </c:pt>
                <c:pt idx="10">
                  <c:v>11</c:v>
                </c:pt>
                <c:pt idx="11">
                  <c:v>12</c:v>
                </c:pt>
              </c:strCache>
            </c:strRef>
          </c:cat>
          <c:val>
            <c:numRef>
              <c:f>viaj_cuest_2017!$K$2:$K$13</c:f>
              <c:numCache>
                <c:formatCode>0.00%</c:formatCode>
                <c:ptCount val="12"/>
                <c:pt idx="0">
                  <c:v>0.19204503033874895</c:v>
                </c:pt>
                <c:pt idx="1">
                  <c:v>0.17498706795617025</c:v>
                </c:pt>
                <c:pt idx="2">
                  <c:v>0.17612855064757391</c:v>
                </c:pt>
                <c:pt idx="3">
                  <c:v>0.27143218821315912</c:v>
                </c:pt>
                <c:pt idx="4">
                  <c:v>0.20757257325671116</c:v>
                </c:pt>
                <c:pt idx="5">
                  <c:v>0.21945102963420382</c:v>
                </c:pt>
                <c:pt idx="6">
                  <c:v>0.27801653918788449</c:v>
                </c:pt>
                <c:pt idx="7">
                  <c:v>0.37778566718054984</c:v>
                </c:pt>
                <c:pt idx="8">
                  <c:v>0.24988138434072779</c:v>
                </c:pt>
                <c:pt idx="9">
                  <c:v>0.21438394822858553</c:v>
                </c:pt>
                <c:pt idx="10">
                  <c:v>0.16539336594811171</c:v>
                </c:pt>
                <c:pt idx="11">
                  <c:v>0.20758137342603158</c:v>
                </c:pt>
              </c:numCache>
            </c:numRef>
          </c:val>
          <c:smooth val="0"/>
          <c:extLst xmlns:c16r2="http://schemas.microsoft.com/office/drawing/2015/06/chart">
            <c:ext xmlns:c16="http://schemas.microsoft.com/office/drawing/2014/chart" uri="{C3380CC4-5D6E-409C-BE32-E72D297353CC}">
              <c16:uniqueId val="{00000001-F8C1-4131-9223-C2DDCDA744F9}"/>
            </c:ext>
          </c:extLst>
        </c:ser>
        <c:dLbls>
          <c:showLegendKey val="0"/>
          <c:showVal val="0"/>
          <c:showCatName val="0"/>
          <c:showSerName val="0"/>
          <c:showPercent val="0"/>
          <c:showBubbleSize val="0"/>
        </c:dLbls>
        <c:smooth val="0"/>
        <c:axId val="223223504"/>
        <c:axId val="223225856"/>
      </c:lineChart>
      <c:catAx>
        <c:axId val="223223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3225856"/>
        <c:crosses val="autoZero"/>
        <c:auto val="1"/>
        <c:lblAlgn val="ctr"/>
        <c:lblOffset val="100"/>
        <c:noMultiLvlLbl val="0"/>
      </c:catAx>
      <c:valAx>
        <c:axId val="223225856"/>
        <c:scaling>
          <c:orientation val="minMax"/>
          <c:min val="0.1500000000000000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32235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Trips/person</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viaj_cuest_2017!$G$1</c:f>
              <c:strCache>
                <c:ptCount val="1"/>
                <c:pt idx="0">
                  <c:v>trips/pers sample</c:v>
                </c:pt>
              </c:strCache>
            </c:strRef>
          </c:tx>
          <c:spPr>
            <a:ln w="28575" cap="rnd">
              <a:solidFill>
                <a:schemeClr val="accent1"/>
              </a:solidFill>
              <a:round/>
            </a:ln>
            <a:effectLst/>
          </c:spPr>
          <c:marker>
            <c:symbol val="none"/>
          </c:marker>
          <c:cat>
            <c:strRef>
              <c:f>viaj_cuest_2017!$A$2:$A$13</c:f>
              <c:strCache>
                <c:ptCount val="12"/>
                <c:pt idx="0">
                  <c:v>01</c:v>
                </c:pt>
                <c:pt idx="1">
                  <c:v>02</c:v>
                </c:pt>
                <c:pt idx="2">
                  <c:v>03</c:v>
                </c:pt>
                <c:pt idx="3">
                  <c:v>04</c:v>
                </c:pt>
                <c:pt idx="4">
                  <c:v>05</c:v>
                </c:pt>
                <c:pt idx="5">
                  <c:v>06</c:v>
                </c:pt>
                <c:pt idx="6">
                  <c:v>07</c:v>
                </c:pt>
                <c:pt idx="7">
                  <c:v>08</c:v>
                </c:pt>
                <c:pt idx="8">
                  <c:v>09</c:v>
                </c:pt>
                <c:pt idx="9">
                  <c:v>10</c:v>
                </c:pt>
                <c:pt idx="10">
                  <c:v>11</c:v>
                </c:pt>
                <c:pt idx="11">
                  <c:v>12</c:v>
                </c:pt>
              </c:strCache>
            </c:strRef>
          </c:cat>
          <c:val>
            <c:numRef>
              <c:f>viaj_cuest_2017!$G$2:$G$13</c:f>
              <c:numCache>
                <c:formatCode>0.000</c:formatCode>
                <c:ptCount val="12"/>
                <c:pt idx="0">
                  <c:v>0.32257673911727314</c:v>
                </c:pt>
                <c:pt idx="1">
                  <c:v>0.30059150385373723</c:v>
                </c:pt>
                <c:pt idx="2">
                  <c:v>0.30703920033720722</c:v>
                </c:pt>
                <c:pt idx="3">
                  <c:v>0.42823769018809155</c:v>
                </c:pt>
                <c:pt idx="4">
                  <c:v>0.36237126042177537</c:v>
                </c:pt>
                <c:pt idx="5">
                  <c:v>0.37398578526951382</c:v>
                </c:pt>
                <c:pt idx="6">
                  <c:v>0.4935016938712658</c:v>
                </c:pt>
                <c:pt idx="7" formatCode="0.00000">
                  <c:v>0.54874499818115674</c:v>
                </c:pt>
                <c:pt idx="8">
                  <c:v>0.39709810587663913</c:v>
                </c:pt>
                <c:pt idx="9">
                  <c:v>0.378132812976401</c:v>
                </c:pt>
                <c:pt idx="10">
                  <c:v>0.28659868900218499</c:v>
                </c:pt>
                <c:pt idx="11">
                  <c:v>0.32068565851277986</c:v>
                </c:pt>
              </c:numCache>
            </c:numRef>
          </c:val>
          <c:smooth val="0"/>
          <c:extLst xmlns:c16r2="http://schemas.microsoft.com/office/drawing/2015/06/chart">
            <c:ext xmlns:c16="http://schemas.microsoft.com/office/drawing/2014/chart" uri="{C3380CC4-5D6E-409C-BE32-E72D297353CC}">
              <c16:uniqueId val="{00000000-05BB-4FC5-A61C-6F5143FE01F5}"/>
            </c:ext>
          </c:extLst>
        </c:ser>
        <c:ser>
          <c:idx val="1"/>
          <c:order val="1"/>
          <c:tx>
            <c:strRef>
              <c:f>viaj_cuest_2017!$L$1</c:f>
              <c:strCache>
                <c:ptCount val="1"/>
                <c:pt idx="0">
                  <c:v>trips/pers weighted</c:v>
                </c:pt>
              </c:strCache>
            </c:strRef>
          </c:tx>
          <c:spPr>
            <a:ln w="28575" cap="rnd">
              <a:solidFill>
                <a:schemeClr val="accent2"/>
              </a:solidFill>
              <a:round/>
            </a:ln>
            <a:effectLst/>
          </c:spPr>
          <c:marker>
            <c:symbol val="none"/>
          </c:marker>
          <c:cat>
            <c:strRef>
              <c:f>viaj_cuest_2017!$A$2:$A$13</c:f>
              <c:strCache>
                <c:ptCount val="12"/>
                <c:pt idx="0">
                  <c:v>01</c:v>
                </c:pt>
                <c:pt idx="1">
                  <c:v>02</c:v>
                </c:pt>
                <c:pt idx="2">
                  <c:v>03</c:v>
                </c:pt>
                <c:pt idx="3">
                  <c:v>04</c:v>
                </c:pt>
                <c:pt idx="4">
                  <c:v>05</c:v>
                </c:pt>
                <c:pt idx="5">
                  <c:v>06</c:v>
                </c:pt>
                <c:pt idx="6">
                  <c:v>07</c:v>
                </c:pt>
                <c:pt idx="7">
                  <c:v>08</c:v>
                </c:pt>
                <c:pt idx="8">
                  <c:v>09</c:v>
                </c:pt>
                <c:pt idx="9">
                  <c:v>10</c:v>
                </c:pt>
                <c:pt idx="10">
                  <c:v>11</c:v>
                </c:pt>
                <c:pt idx="11">
                  <c:v>12</c:v>
                </c:pt>
              </c:strCache>
            </c:strRef>
          </c:cat>
          <c:val>
            <c:numRef>
              <c:f>viaj_cuest_2017!$L$2:$L$13</c:f>
              <c:numCache>
                <c:formatCode>0.000</c:formatCode>
                <c:ptCount val="12"/>
                <c:pt idx="0">
                  <c:v>0.29990724878369224</c:v>
                </c:pt>
                <c:pt idx="1">
                  <c:v>0.28092129651802911</c:v>
                </c:pt>
                <c:pt idx="2">
                  <c:v>0.28700420705741991</c:v>
                </c:pt>
                <c:pt idx="3">
                  <c:v>0.40122937189475205</c:v>
                </c:pt>
                <c:pt idx="4">
                  <c:v>0.33475316167950442</c:v>
                </c:pt>
                <c:pt idx="5">
                  <c:v>0.34630020341425571</c:v>
                </c:pt>
                <c:pt idx="6">
                  <c:v>0.45409866215080402</c:v>
                </c:pt>
                <c:pt idx="7" formatCode="0.00000">
                  <c:v>0.54871126524008385</c:v>
                </c:pt>
                <c:pt idx="8">
                  <c:v>0.37322416372329953</c:v>
                </c:pt>
                <c:pt idx="9">
                  <c:v>0.33669765647772348</c:v>
                </c:pt>
                <c:pt idx="10">
                  <c:v>0.25856758922420697</c:v>
                </c:pt>
                <c:pt idx="11">
                  <c:v>0.29743260573841701</c:v>
                </c:pt>
              </c:numCache>
            </c:numRef>
          </c:val>
          <c:smooth val="0"/>
          <c:extLst xmlns:c16r2="http://schemas.microsoft.com/office/drawing/2015/06/chart">
            <c:ext xmlns:c16="http://schemas.microsoft.com/office/drawing/2014/chart" uri="{C3380CC4-5D6E-409C-BE32-E72D297353CC}">
              <c16:uniqueId val="{00000001-05BB-4FC5-A61C-6F5143FE01F5}"/>
            </c:ext>
          </c:extLst>
        </c:ser>
        <c:dLbls>
          <c:showLegendKey val="0"/>
          <c:showVal val="0"/>
          <c:showCatName val="0"/>
          <c:showSerName val="0"/>
          <c:showPercent val="0"/>
          <c:showBubbleSize val="0"/>
        </c:dLbls>
        <c:smooth val="0"/>
        <c:axId val="223220760"/>
        <c:axId val="223222720"/>
      </c:lineChart>
      <c:catAx>
        <c:axId val="223220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3222720"/>
        <c:crosses val="autoZero"/>
        <c:auto val="1"/>
        <c:lblAlgn val="ctr"/>
        <c:lblOffset val="100"/>
        <c:noMultiLvlLbl val="0"/>
      </c:catAx>
      <c:valAx>
        <c:axId val="223222720"/>
        <c:scaling>
          <c:orientation val="minMax"/>
          <c:max val="0.57000000000000006"/>
          <c:min val="0.2"/>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322076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Trips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Hoja1!$B$6</c:f>
              <c:strCache>
                <c:ptCount val="1"/>
                <c:pt idx="0">
                  <c:v>Trips non-calib</c:v>
                </c:pt>
              </c:strCache>
            </c:strRef>
          </c:tx>
          <c:spPr>
            <a:ln w="28575" cap="rnd">
              <a:solidFill>
                <a:schemeClr val="accent1"/>
              </a:solidFill>
              <a:round/>
            </a:ln>
            <a:effectLst/>
          </c:spPr>
          <c:marker>
            <c:symbol val="none"/>
          </c:marker>
          <c:val>
            <c:numRef>
              <c:f>Hoja1!$B$7:$B$18</c:f>
              <c:numCache>
                <c:formatCode>#,##0.00</c:formatCode>
                <c:ptCount val="12"/>
                <c:pt idx="0">
                  <c:v>11713124.424896002</c:v>
                </c:pt>
                <c:pt idx="1">
                  <c:v>10973052.998143021</c:v>
                </c:pt>
                <c:pt idx="2">
                  <c:v>11212297.497690985</c:v>
                </c:pt>
                <c:pt idx="3">
                  <c:v>15677690.643392036</c:v>
                </c:pt>
                <c:pt idx="4">
                  <c:v>13083202.340103023</c:v>
                </c:pt>
                <c:pt idx="5">
                  <c:v>13537634.041505961</c:v>
                </c:pt>
                <c:pt idx="6">
                  <c:v>17756995.525672056</c:v>
                </c:pt>
                <c:pt idx="7">
                  <c:v>21464519.647644933</c:v>
                </c:pt>
                <c:pt idx="8">
                  <c:v>14605152.785789004</c:v>
                </c:pt>
                <c:pt idx="9">
                  <c:v>13182015.94229194</c:v>
                </c:pt>
                <c:pt idx="10">
                  <c:v>10129024.864633992</c:v>
                </c:pt>
                <c:pt idx="11">
                  <c:v>11658293.336217983</c:v>
                </c:pt>
              </c:numCache>
            </c:numRef>
          </c:val>
          <c:smooth val="0"/>
          <c:extLst xmlns:c16r2="http://schemas.microsoft.com/office/drawing/2015/06/chart">
            <c:ext xmlns:c16="http://schemas.microsoft.com/office/drawing/2014/chart" uri="{C3380CC4-5D6E-409C-BE32-E72D297353CC}">
              <c16:uniqueId val="{00000000-D4D9-4BA0-A469-3CE2E96BE00D}"/>
            </c:ext>
          </c:extLst>
        </c:ser>
        <c:ser>
          <c:idx val="1"/>
          <c:order val="1"/>
          <c:tx>
            <c:strRef>
              <c:f>Hoja1!$C$6</c:f>
              <c:strCache>
                <c:ptCount val="1"/>
                <c:pt idx="0">
                  <c:v>Trips calib SD</c:v>
                </c:pt>
              </c:strCache>
            </c:strRef>
          </c:tx>
          <c:spPr>
            <a:ln w="28575" cap="rnd">
              <a:solidFill>
                <a:schemeClr val="accent2"/>
              </a:solidFill>
              <a:round/>
            </a:ln>
            <a:effectLst/>
          </c:spPr>
          <c:marker>
            <c:symbol val="none"/>
          </c:marker>
          <c:val>
            <c:numRef>
              <c:f>Hoja1!$C$7:$C$18</c:f>
              <c:numCache>
                <c:formatCode>#,##0.00</c:formatCode>
                <c:ptCount val="12"/>
                <c:pt idx="0">
                  <c:v>11507403.384430112</c:v>
                </c:pt>
                <c:pt idx="1">
                  <c:v>10700556.296421248</c:v>
                </c:pt>
                <c:pt idx="2">
                  <c:v>10918619.375646185</c:v>
                </c:pt>
                <c:pt idx="3">
                  <c:v>15091020.904229086</c:v>
                </c:pt>
                <c:pt idx="4">
                  <c:v>12506140.72136778</c:v>
                </c:pt>
                <c:pt idx="5">
                  <c:v>12864198.683242664</c:v>
                </c:pt>
                <c:pt idx="6">
                  <c:v>17056807.02369443</c:v>
                </c:pt>
                <c:pt idx="7">
                  <c:v>21105785.844368372</c:v>
                </c:pt>
                <c:pt idx="8">
                  <c:v>14294603.437345682</c:v>
                </c:pt>
                <c:pt idx="9">
                  <c:v>12532159.394532653</c:v>
                </c:pt>
                <c:pt idx="10">
                  <c:v>9699577.7736600358</c:v>
                </c:pt>
                <c:pt idx="11">
                  <c:v>11347506.873380981</c:v>
                </c:pt>
              </c:numCache>
            </c:numRef>
          </c:val>
          <c:smooth val="0"/>
          <c:extLst xmlns:c16r2="http://schemas.microsoft.com/office/drawing/2015/06/chart">
            <c:ext xmlns:c16="http://schemas.microsoft.com/office/drawing/2014/chart" uri="{C3380CC4-5D6E-409C-BE32-E72D297353CC}">
              <c16:uniqueId val="{00000001-D4D9-4BA0-A469-3CE2E96BE00D}"/>
            </c:ext>
          </c:extLst>
        </c:ser>
        <c:dLbls>
          <c:showLegendKey val="0"/>
          <c:showVal val="0"/>
          <c:showCatName val="0"/>
          <c:showSerName val="0"/>
          <c:showPercent val="0"/>
          <c:showBubbleSize val="0"/>
        </c:dLbls>
        <c:smooth val="0"/>
        <c:axId val="127013632"/>
        <c:axId val="127012848"/>
      </c:lineChart>
      <c:catAx>
        <c:axId val="12701363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7012848"/>
        <c:crosses val="autoZero"/>
        <c:auto val="1"/>
        <c:lblAlgn val="ctr"/>
        <c:lblOffset val="100"/>
        <c:noMultiLvlLbl val="0"/>
      </c:catAx>
      <c:valAx>
        <c:axId val="127012848"/>
        <c:scaling>
          <c:orientation val="minMax"/>
          <c:max val="22000000"/>
          <c:min val="8000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70136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[Informe_comparativo_con_EOH_20180426 (version 1).xlsb.xlsx]Graficos Pernoctaciones!Tabla dinámica4</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Canary Islands</a:t>
            </a:r>
            <a:r>
              <a:rPr lang="es-ES" baseline="0"/>
              <a:t> hotel overnight stays</a:t>
            </a:r>
            <a:endParaRPr lang="es-E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ivotFmts>
      <c:pivotFmt>
        <c:idx val="0"/>
        <c:spPr>
          <a:solidFill>
            <a:schemeClr val="accent1"/>
          </a:solidFill>
          <a:ln w="28575" cap="rnd">
            <a:solidFill>
              <a:schemeClr val="accent1"/>
            </a:solidFill>
            <a:round/>
          </a:ln>
          <a:effectLst/>
        </c:spPr>
        <c:marker>
          <c:symbol val="none"/>
        </c:marker>
      </c:pivotFmt>
      <c:pivotFmt>
        <c:idx val="1"/>
        <c:spPr>
          <a:solidFill>
            <a:schemeClr val="accent1"/>
          </a:solidFill>
          <a:ln w="28575" cap="rnd">
            <a:solidFill>
              <a:schemeClr val="accent1"/>
            </a:solidFill>
            <a:round/>
          </a:ln>
          <a:effectLst/>
        </c:spPr>
        <c:marker>
          <c:symbol val="none"/>
        </c:marker>
      </c:pivotFmt>
      <c:pivotFmt>
        <c:idx val="2"/>
        <c:spPr>
          <a:solidFill>
            <a:schemeClr val="accent1"/>
          </a:solidFill>
          <a:ln w="28575" cap="rnd">
            <a:solidFill>
              <a:schemeClr val="accent1"/>
            </a:solidFill>
            <a:round/>
          </a:ln>
          <a:effectLst/>
        </c:spPr>
        <c:marker>
          <c:symbol val="none"/>
        </c:marker>
      </c:pivotFmt>
      <c:pivotFmt>
        <c:idx val="3"/>
        <c:spPr>
          <a:solidFill>
            <a:schemeClr val="accent1"/>
          </a:solidFill>
          <a:ln w="28575" cap="rnd">
            <a:solidFill>
              <a:schemeClr val="accent1"/>
            </a:solidFill>
            <a:round/>
          </a:ln>
          <a:effectLst/>
        </c:spPr>
        <c:marker>
          <c:symbol val="none"/>
        </c:marker>
      </c:pivotFmt>
      <c:pivotFmt>
        <c:idx val="4"/>
        <c:spPr>
          <a:solidFill>
            <a:schemeClr val="accent1"/>
          </a:solidFill>
          <a:ln w="28575" cap="rnd">
            <a:solidFill>
              <a:schemeClr val="accent1"/>
            </a:solidFill>
            <a:round/>
          </a:ln>
          <a:effectLst/>
        </c:spPr>
        <c:marker>
          <c:symbol val="none"/>
        </c:marker>
      </c:pivotFmt>
      <c:pivotFmt>
        <c:idx val="5"/>
        <c:spPr>
          <a:solidFill>
            <a:schemeClr val="accent1"/>
          </a:solidFill>
          <a:ln w="28575" cap="rnd">
            <a:solidFill>
              <a:schemeClr val="accent1"/>
            </a:solidFill>
            <a:round/>
          </a:ln>
          <a:effectLst/>
        </c:spPr>
        <c:marker>
          <c:symbol val="none"/>
        </c:marker>
      </c:pivotFmt>
      <c:pivotFmt>
        <c:idx val="6"/>
        <c:spPr>
          <a:solidFill>
            <a:schemeClr val="accent1"/>
          </a:solidFill>
          <a:ln w="28575" cap="rnd">
            <a:solidFill>
              <a:schemeClr val="accent1"/>
            </a:solidFill>
            <a:round/>
          </a:ln>
          <a:effectLst/>
        </c:spPr>
        <c:marker>
          <c:symbol val="none"/>
        </c:marker>
      </c:pivotFmt>
      <c:pivotFmt>
        <c:idx val="7"/>
        <c:spPr>
          <a:solidFill>
            <a:schemeClr val="accent1"/>
          </a:solidFill>
          <a:ln w="28575" cap="rnd">
            <a:solidFill>
              <a:schemeClr val="accent1"/>
            </a:solidFill>
            <a:round/>
          </a:ln>
          <a:effectLst/>
        </c:spPr>
        <c:marker>
          <c:symbol val="none"/>
        </c:marker>
      </c:pivotFmt>
      <c:pivotFmt>
        <c:idx val="8"/>
        <c:spPr>
          <a:solidFill>
            <a:schemeClr val="accent1"/>
          </a:solidFill>
          <a:ln w="28575" cap="rnd">
            <a:solidFill>
              <a:schemeClr val="accent1"/>
            </a:solidFill>
            <a:round/>
          </a:ln>
          <a:effectLst/>
        </c:spPr>
        <c:marker>
          <c:symbol val="none"/>
        </c:marker>
      </c:pivotFmt>
      <c:pivotFmt>
        <c:idx val="9"/>
        <c:spPr>
          <a:solidFill>
            <a:schemeClr val="accent1"/>
          </a:solidFill>
          <a:ln w="28575" cap="rnd">
            <a:solidFill>
              <a:schemeClr val="accent1"/>
            </a:solidFill>
            <a:round/>
          </a:ln>
          <a:effectLst/>
        </c:spPr>
        <c:marker>
          <c:symbol val="none"/>
        </c:marker>
      </c:pivotFmt>
      <c:pivotFmt>
        <c:idx val="10"/>
        <c:spPr>
          <a:solidFill>
            <a:schemeClr val="accent1"/>
          </a:solidFill>
          <a:ln w="28575" cap="rnd">
            <a:solidFill>
              <a:schemeClr val="accent1"/>
            </a:solidFill>
            <a:round/>
          </a:ln>
          <a:effectLst/>
        </c:spPr>
        <c:marker>
          <c:symbol val="none"/>
        </c:marker>
      </c:pivotFmt>
      <c:pivotFmt>
        <c:idx val="11"/>
        <c:spPr>
          <a:solidFill>
            <a:schemeClr val="accent1"/>
          </a:solidFill>
          <a:ln w="28575" cap="rnd">
            <a:solidFill>
              <a:schemeClr val="accent1"/>
            </a:solidFill>
            <a:round/>
          </a:ln>
          <a:effectLst/>
        </c:spPr>
        <c:marker>
          <c:symbol val="none"/>
        </c:marker>
      </c:pivotFmt>
      <c:pivotFmt>
        <c:idx val="12"/>
        <c:spPr>
          <a:solidFill>
            <a:schemeClr val="accent1"/>
          </a:solidFill>
          <a:ln w="28575" cap="rnd">
            <a:solidFill>
              <a:schemeClr val="accent1"/>
            </a:solidFill>
            <a:round/>
          </a:ln>
          <a:effectLst/>
        </c:spPr>
        <c:marker>
          <c:symbol val="none"/>
        </c:marker>
      </c:pivotFmt>
      <c:pivotFmt>
        <c:idx val="13"/>
        <c:spPr>
          <a:solidFill>
            <a:schemeClr val="accent1"/>
          </a:solidFill>
          <a:ln w="28575" cap="rnd">
            <a:solidFill>
              <a:schemeClr val="accent1"/>
            </a:solidFill>
            <a:round/>
          </a:ln>
          <a:effectLst/>
        </c:spPr>
        <c:marker>
          <c:symbol val="none"/>
        </c:marker>
      </c:pivotFmt>
      <c:pivotFmt>
        <c:idx val="14"/>
        <c:spPr>
          <a:solidFill>
            <a:schemeClr val="accent1"/>
          </a:solidFill>
          <a:ln w="28575" cap="rnd">
            <a:solidFill>
              <a:schemeClr val="accent1"/>
            </a:solidFill>
            <a:round/>
          </a:ln>
          <a:effectLst/>
        </c:spPr>
        <c:marker>
          <c:symbol val="none"/>
        </c:marker>
      </c:pivotFmt>
      <c:pivotFmt>
        <c:idx val="15"/>
        <c:spPr>
          <a:solidFill>
            <a:schemeClr val="accent1"/>
          </a:solidFill>
          <a:ln w="28575" cap="rnd">
            <a:solidFill>
              <a:schemeClr val="accent1"/>
            </a:solidFill>
            <a:round/>
          </a:ln>
          <a:effectLst/>
        </c:spPr>
        <c:marker>
          <c:symbol val="none"/>
        </c:marker>
      </c:pivotFmt>
      <c:pivotFmt>
        <c:idx val="16"/>
        <c:spPr>
          <a:solidFill>
            <a:schemeClr val="accent1"/>
          </a:solidFill>
          <a:ln w="28575" cap="rnd">
            <a:solidFill>
              <a:schemeClr val="accent1"/>
            </a:solidFill>
            <a:round/>
          </a:ln>
          <a:effectLst/>
        </c:spPr>
        <c:marker>
          <c:symbol val="none"/>
        </c:marker>
      </c:pivotFmt>
      <c:pivotFmt>
        <c:idx val="17"/>
        <c:spPr>
          <a:solidFill>
            <a:schemeClr val="accent1"/>
          </a:solidFill>
          <a:ln w="28575" cap="rnd">
            <a:solidFill>
              <a:schemeClr val="accent1"/>
            </a:solidFill>
            <a:round/>
          </a:ln>
          <a:effectLst/>
        </c:spPr>
        <c:marker>
          <c:symbol val="none"/>
        </c:marker>
      </c:pivotFmt>
      <c:pivotFmt>
        <c:idx val="18"/>
        <c:spPr>
          <a:solidFill>
            <a:schemeClr val="accent1"/>
          </a:solidFill>
          <a:ln w="28575" cap="rnd">
            <a:solidFill>
              <a:schemeClr val="accent1"/>
            </a:solidFill>
            <a:round/>
          </a:ln>
          <a:effectLst/>
        </c:spPr>
        <c:marker>
          <c:symbol val="none"/>
        </c:marker>
      </c:pivotFmt>
      <c:pivotFmt>
        <c:idx val="19"/>
        <c:spPr>
          <a:solidFill>
            <a:schemeClr val="accent1"/>
          </a:solidFill>
          <a:ln w="28575" cap="rnd">
            <a:solidFill>
              <a:schemeClr val="accent1"/>
            </a:solidFill>
            <a:round/>
          </a:ln>
          <a:effectLst/>
        </c:spPr>
        <c:marker>
          <c:symbol val="none"/>
        </c:marker>
      </c:pivotFmt>
      <c:pivotFmt>
        <c:idx val="20"/>
        <c:spPr>
          <a:solidFill>
            <a:schemeClr val="accent1"/>
          </a:solidFill>
          <a:ln w="28575" cap="rnd">
            <a:solidFill>
              <a:schemeClr val="accent1"/>
            </a:solidFill>
            <a:round/>
          </a:ln>
          <a:effectLst/>
        </c:spPr>
        <c:marker>
          <c:symbol val="none"/>
        </c:marker>
      </c:pivotFmt>
      <c:pivotFmt>
        <c:idx val="21"/>
        <c:spPr>
          <a:solidFill>
            <a:schemeClr val="accent1"/>
          </a:solidFill>
          <a:ln w="28575" cap="rnd">
            <a:solidFill>
              <a:schemeClr val="accent1"/>
            </a:solidFill>
            <a:round/>
          </a:ln>
          <a:effectLst/>
        </c:spPr>
        <c:marker>
          <c:symbol val="none"/>
        </c:marker>
      </c:pivotFmt>
      <c:pivotFmt>
        <c:idx val="22"/>
        <c:spPr>
          <a:solidFill>
            <a:schemeClr val="accent1"/>
          </a:solidFill>
          <a:ln w="28575" cap="rnd">
            <a:solidFill>
              <a:schemeClr val="accent1"/>
            </a:solidFill>
            <a:round/>
          </a:ln>
          <a:effectLst/>
        </c:spPr>
        <c:marker>
          <c:symbol val="none"/>
        </c:marker>
      </c:pivotFmt>
      <c:pivotFmt>
        <c:idx val="23"/>
        <c:spPr>
          <a:solidFill>
            <a:schemeClr val="accent1"/>
          </a:solidFill>
          <a:ln w="28575" cap="rnd">
            <a:solidFill>
              <a:schemeClr val="accent1"/>
            </a:solidFill>
            <a:round/>
          </a:ln>
          <a:effectLst/>
        </c:spPr>
        <c:marker>
          <c:symbol val="none"/>
        </c:marker>
      </c:pivotFmt>
      <c:pivotFmt>
        <c:idx val="24"/>
        <c:spPr>
          <a:solidFill>
            <a:schemeClr val="accent1"/>
          </a:solidFill>
          <a:ln w="28575" cap="rnd">
            <a:solidFill>
              <a:schemeClr val="accent1"/>
            </a:solidFill>
            <a:round/>
          </a:ln>
          <a:effectLst/>
        </c:spPr>
        <c:marker>
          <c:symbol val="none"/>
        </c:marker>
      </c:pivotFmt>
      <c:pivotFmt>
        <c:idx val="25"/>
        <c:spPr>
          <a:solidFill>
            <a:schemeClr val="accent1"/>
          </a:solidFill>
          <a:ln w="28575" cap="rnd">
            <a:solidFill>
              <a:schemeClr val="accent1"/>
            </a:solidFill>
            <a:round/>
          </a:ln>
          <a:effectLst/>
        </c:spPr>
        <c:marker>
          <c:symbol val="none"/>
        </c:marker>
      </c:pivotFmt>
      <c:pivotFmt>
        <c:idx val="26"/>
        <c:spPr>
          <a:solidFill>
            <a:schemeClr val="accent1"/>
          </a:solidFill>
          <a:ln w="28575" cap="rnd">
            <a:solidFill>
              <a:schemeClr val="accent1"/>
            </a:solidFill>
            <a:round/>
          </a:ln>
          <a:effectLst/>
        </c:spPr>
        <c:marker>
          <c:symbol val="none"/>
        </c:marker>
      </c:pivotFmt>
      <c:pivotFmt>
        <c:idx val="27"/>
        <c:spPr>
          <a:solidFill>
            <a:schemeClr val="accent1"/>
          </a:solidFill>
          <a:ln w="28575" cap="rnd">
            <a:solidFill>
              <a:schemeClr val="accent1"/>
            </a:solidFill>
            <a:round/>
          </a:ln>
          <a:effectLst/>
        </c:spPr>
        <c:marker>
          <c:symbol val="none"/>
        </c:marker>
      </c:pivotFmt>
      <c:pivotFmt>
        <c:idx val="28"/>
        <c:spPr>
          <a:solidFill>
            <a:schemeClr val="accent1"/>
          </a:solidFill>
          <a:ln w="28575" cap="rnd">
            <a:solidFill>
              <a:schemeClr val="accent1"/>
            </a:solidFill>
            <a:round/>
          </a:ln>
          <a:effectLst/>
        </c:spPr>
        <c:marker>
          <c:symbol val="none"/>
        </c:marker>
      </c:pivotFmt>
      <c:pivotFmt>
        <c:idx val="29"/>
        <c:spPr>
          <a:solidFill>
            <a:schemeClr val="accent1"/>
          </a:solidFill>
          <a:ln w="28575" cap="rnd">
            <a:solidFill>
              <a:schemeClr val="accent1"/>
            </a:solidFill>
            <a:round/>
          </a:ln>
          <a:effectLst/>
        </c:spPr>
        <c:marker>
          <c:symbol val="none"/>
        </c:marker>
      </c:pivotFmt>
      <c:pivotFmt>
        <c:idx val="30"/>
        <c:spPr>
          <a:solidFill>
            <a:schemeClr val="accent1"/>
          </a:solidFill>
          <a:ln w="28575" cap="rnd">
            <a:solidFill>
              <a:schemeClr val="accent1"/>
            </a:solidFill>
            <a:round/>
          </a:ln>
          <a:effectLst/>
        </c:spPr>
        <c:marker>
          <c:symbol val="none"/>
        </c:marker>
      </c:pivotFmt>
      <c:pivotFmt>
        <c:idx val="31"/>
        <c:spPr>
          <a:solidFill>
            <a:schemeClr val="accent1"/>
          </a:solidFill>
          <a:ln w="28575" cap="rnd">
            <a:solidFill>
              <a:schemeClr val="accent1"/>
            </a:solidFill>
            <a:round/>
          </a:ln>
          <a:effectLst/>
        </c:spPr>
        <c:marker>
          <c:symbol val="none"/>
        </c:marker>
      </c:pivotFmt>
    </c:pivotFmts>
    <c:plotArea>
      <c:layout/>
      <c:lineChart>
        <c:grouping val="standard"/>
        <c:varyColors val="0"/>
        <c:ser>
          <c:idx val="0"/>
          <c:order val="0"/>
          <c:tx>
            <c:strRef>
              <c:f>'Graficos Pernoctaciones'!$C$4</c:f>
              <c:strCache>
                <c:ptCount val="1"/>
                <c:pt idx="0">
                  <c:v>RTS calibrated to SD and HOS</c:v>
                </c:pt>
              </c:strCache>
            </c:strRef>
          </c:tx>
          <c:spPr>
            <a:ln w="28575" cap="rnd">
              <a:solidFill>
                <a:schemeClr val="accent1"/>
              </a:solidFill>
              <a:round/>
            </a:ln>
            <a:effectLst/>
          </c:spPr>
          <c:marker>
            <c:symbol val="none"/>
          </c:marker>
          <c:cat>
            <c:multiLvlStrRef>
              <c:f>'Graficos Pernoctaciones'!$A$5:$B$28</c:f>
              <c:multiLvlStrCache>
                <c:ptCount val="24"/>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lvl>
                <c:lvl>
                  <c:pt idx="0">
                    <c:v>2016</c:v>
                  </c:pt>
                  <c:pt idx="12">
                    <c:v>2017</c:v>
                  </c:pt>
                </c:lvl>
              </c:multiLvlStrCache>
            </c:multiLvlStrRef>
          </c:cat>
          <c:val>
            <c:numRef>
              <c:f>'Graficos Pernoctaciones'!$C$5:$C$28</c:f>
              <c:numCache>
                <c:formatCode>General</c:formatCode>
                <c:ptCount val="24"/>
                <c:pt idx="0">
                  <c:v>495027.68927899998</c:v>
                </c:pt>
                <c:pt idx="1">
                  <c:v>388098.41655799997</c:v>
                </c:pt>
                <c:pt idx="2">
                  <c:v>567238.3045239998</c:v>
                </c:pt>
                <c:pt idx="3">
                  <c:v>546711.50978600001</c:v>
                </c:pt>
                <c:pt idx="4">
                  <c:v>699208.72296499962</c:v>
                </c:pt>
                <c:pt idx="5">
                  <c:v>792504.11622500012</c:v>
                </c:pt>
                <c:pt idx="6">
                  <c:v>1022983.9325850002</c:v>
                </c:pt>
                <c:pt idx="7">
                  <c:v>1133663.6110410001</c:v>
                </c:pt>
                <c:pt idx="8">
                  <c:v>782604.82021300006</c:v>
                </c:pt>
                <c:pt idx="9">
                  <c:v>516529.28976100002</c:v>
                </c:pt>
                <c:pt idx="10">
                  <c:v>383429.75803399994</c:v>
                </c:pt>
                <c:pt idx="11">
                  <c:v>507500.514639</c:v>
                </c:pt>
                <c:pt idx="12">
                  <c:v>408747.01727299992</c:v>
                </c:pt>
                <c:pt idx="13">
                  <c:v>345553.89768599998</c:v>
                </c:pt>
                <c:pt idx="14">
                  <c:v>464679.94521900004</c:v>
                </c:pt>
                <c:pt idx="15">
                  <c:v>710634.97034899995</c:v>
                </c:pt>
                <c:pt idx="16">
                  <c:v>688315.4219989999</c:v>
                </c:pt>
                <c:pt idx="17">
                  <c:v>794429.71822000004</c:v>
                </c:pt>
                <c:pt idx="18">
                  <c:v>999745.80703200039</c:v>
                </c:pt>
                <c:pt idx="19">
                  <c:v>1159504.0432270002</c:v>
                </c:pt>
                <c:pt idx="20">
                  <c:v>970869.19893499964</c:v>
                </c:pt>
                <c:pt idx="21">
                  <c:v>546946.64400699991</c:v>
                </c:pt>
                <c:pt idx="22">
                  <c:v>398421.45440900011</c:v>
                </c:pt>
                <c:pt idx="23">
                  <c:v>546195.04794399987</c:v>
                </c:pt>
              </c:numCache>
            </c:numRef>
          </c:val>
          <c:smooth val="0"/>
          <c:extLst xmlns:c16r2="http://schemas.microsoft.com/office/drawing/2015/06/chart">
            <c:ext xmlns:c16="http://schemas.microsoft.com/office/drawing/2014/chart" uri="{C3380CC4-5D6E-409C-BE32-E72D297353CC}">
              <c16:uniqueId val="{00000000-0152-477F-95F8-C08F92BEE3A1}"/>
            </c:ext>
          </c:extLst>
        </c:ser>
        <c:ser>
          <c:idx val="1"/>
          <c:order val="1"/>
          <c:tx>
            <c:strRef>
              <c:f>'Graficos Pernoctaciones'!$D$4</c:f>
              <c:strCache>
                <c:ptCount val="1"/>
                <c:pt idx="0">
                  <c:v>HOS</c:v>
                </c:pt>
              </c:strCache>
            </c:strRef>
          </c:tx>
          <c:spPr>
            <a:ln w="28575" cap="rnd">
              <a:solidFill>
                <a:schemeClr val="accent2"/>
              </a:solidFill>
              <a:round/>
            </a:ln>
            <a:effectLst/>
          </c:spPr>
          <c:marker>
            <c:symbol val="none"/>
          </c:marker>
          <c:cat>
            <c:multiLvlStrRef>
              <c:f>'Graficos Pernoctaciones'!$A$5:$B$28</c:f>
              <c:multiLvlStrCache>
                <c:ptCount val="24"/>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lvl>
                <c:lvl>
                  <c:pt idx="0">
                    <c:v>2016</c:v>
                  </c:pt>
                  <c:pt idx="12">
                    <c:v>2017</c:v>
                  </c:pt>
                </c:lvl>
              </c:multiLvlStrCache>
            </c:multiLvlStrRef>
          </c:cat>
          <c:val>
            <c:numRef>
              <c:f>'Graficos Pernoctaciones'!$D$5:$D$28</c:f>
              <c:numCache>
                <c:formatCode>General</c:formatCode>
                <c:ptCount val="24"/>
                <c:pt idx="0">
                  <c:v>461233</c:v>
                </c:pt>
                <c:pt idx="1">
                  <c:v>407232</c:v>
                </c:pt>
                <c:pt idx="2">
                  <c:v>558660</c:v>
                </c:pt>
                <c:pt idx="3">
                  <c:v>520773</c:v>
                </c:pt>
                <c:pt idx="4">
                  <c:v>660330</c:v>
                </c:pt>
                <c:pt idx="5">
                  <c:v>756693</c:v>
                </c:pt>
                <c:pt idx="6">
                  <c:v>1023831</c:v>
                </c:pt>
                <c:pt idx="7">
                  <c:v>1223647</c:v>
                </c:pt>
                <c:pt idx="8">
                  <c:v>771774</c:v>
                </c:pt>
                <c:pt idx="9">
                  <c:v>581308</c:v>
                </c:pt>
                <c:pt idx="10">
                  <c:v>441092</c:v>
                </c:pt>
                <c:pt idx="11">
                  <c:v>518386</c:v>
                </c:pt>
                <c:pt idx="12">
                  <c:v>430545</c:v>
                </c:pt>
                <c:pt idx="13">
                  <c:v>390804</c:v>
                </c:pt>
                <c:pt idx="14">
                  <c:v>447995</c:v>
                </c:pt>
                <c:pt idx="15">
                  <c:v>678889</c:v>
                </c:pt>
                <c:pt idx="16">
                  <c:v>649472</c:v>
                </c:pt>
                <c:pt idx="17">
                  <c:v>760540</c:v>
                </c:pt>
                <c:pt idx="18">
                  <c:v>1010067</c:v>
                </c:pt>
                <c:pt idx="19">
                  <c:v>1266348</c:v>
                </c:pt>
                <c:pt idx="20">
                  <c:v>822037</c:v>
                </c:pt>
                <c:pt idx="21">
                  <c:v>601066</c:v>
                </c:pt>
                <c:pt idx="22">
                  <c:v>438380</c:v>
                </c:pt>
                <c:pt idx="23">
                  <c:v>532568</c:v>
                </c:pt>
              </c:numCache>
            </c:numRef>
          </c:val>
          <c:smooth val="0"/>
          <c:extLst xmlns:c16r2="http://schemas.microsoft.com/office/drawing/2015/06/chart">
            <c:ext xmlns:c16="http://schemas.microsoft.com/office/drawing/2014/chart" uri="{C3380CC4-5D6E-409C-BE32-E72D297353CC}">
              <c16:uniqueId val="{00000001-0152-477F-95F8-C08F92BEE3A1}"/>
            </c:ext>
          </c:extLst>
        </c:ser>
        <c:ser>
          <c:idx val="2"/>
          <c:order val="2"/>
          <c:tx>
            <c:strRef>
              <c:f>'Graficos Pernoctaciones'!$E$4</c:f>
              <c:strCache>
                <c:ptCount val="1"/>
                <c:pt idx="0">
                  <c:v>RTS calibrated to SD</c:v>
                </c:pt>
              </c:strCache>
            </c:strRef>
          </c:tx>
          <c:spPr>
            <a:ln w="28575" cap="rnd">
              <a:solidFill>
                <a:schemeClr val="accent3"/>
              </a:solidFill>
              <a:round/>
            </a:ln>
            <a:effectLst/>
          </c:spPr>
          <c:marker>
            <c:symbol val="none"/>
          </c:marker>
          <c:cat>
            <c:multiLvlStrRef>
              <c:f>'Graficos Pernoctaciones'!$A$5:$B$28</c:f>
              <c:multiLvlStrCache>
                <c:ptCount val="24"/>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lvl>
                <c:lvl>
                  <c:pt idx="0">
                    <c:v>2016</c:v>
                  </c:pt>
                  <c:pt idx="12">
                    <c:v>2017</c:v>
                  </c:pt>
                </c:lvl>
              </c:multiLvlStrCache>
            </c:multiLvlStrRef>
          </c:cat>
          <c:val>
            <c:numRef>
              <c:f>'Graficos Pernoctaciones'!$E$5:$E$28</c:f>
              <c:numCache>
                <c:formatCode>General</c:formatCode>
                <c:ptCount val="24"/>
                <c:pt idx="0">
                  <c:v>672603.20081128937</c:v>
                </c:pt>
                <c:pt idx="1">
                  <c:v>421372.63232387148</c:v>
                </c:pt>
                <c:pt idx="2">
                  <c:v>818666.83461822139</c:v>
                </c:pt>
                <c:pt idx="3">
                  <c:v>477798.05855563161</c:v>
                </c:pt>
                <c:pt idx="4">
                  <c:v>694151.59508395218</c:v>
                </c:pt>
                <c:pt idx="5">
                  <c:v>820785.47002138162</c:v>
                </c:pt>
                <c:pt idx="6">
                  <c:v>1657968.924600983</c:v>
                </c:pt>
                <c:pt idx="7">
                  <c:v>1319432.7713417434</c:v>
                </c:pt>
                <c:pt idx="8">
                  <c:v>606859.27823684993</c:v>
                </c:pt>
                <c:pt idx="9">
                  <c:v>621306.66175947979</c:v>
                </c:pt>
                <c:pt idx="10">
                  <c:v>330288.03600924456</c:v>
                </c:pt>
                <c:pt idx="11">
                  <c:v>338685.41525071923</c:v>
                </c:pt>
                <c:pt idx="12">
                  <c:v>351525.92472667096</c:v>
                </c:pt>
                <c:pt idx="13">
                  <c:v>368925.10094393761</c:v>
                </c:pt>
                <c:pt idx="14">
                  <c:v>341973.93540764519</c:v>
                </c:pt>
                <c:pt idx="15">
                  <c:v>452667.38917905436</c:v>
                </c:pt>
                <c:pt idx="16">
                  <c:v>577606.52494878799</c:v>
                </c:pt>
                <c:pt idx="17">
                  <c:v>637512.83654298296</c:v>
                </c:pt>
                <c:pt idx="18">
                  <c:v>1638344.637144075</c:v>
                </c:pt>
                <c:pt idx="19">
                  <c:v>1972618.8429027712</c:v>
                </c:pt>
                <c:pt idx="20">
                  <c:v>1139578.0921199259</c:v>
                </c:pt>
                <c:pt idx="21">
                  <c:v>572257.53899621521</c:v>
                </c:pt>
                <c:pt idx="22">
                  <c:v>325849.31621078408</c:v>
                </c:pt>
                <c:pt idx="23">
                  <c:v>345221.43515376095</c:v>
                </c:pt>
              </c:numCache>
            </c:numRef>
          </c:val>
          <c:smooth val="0"/>
          <c:extLst xmlns:c16r2="http://schemas.microsoft.com/office/drawing/2015/06/chart">
            <c:ext xmlns:c16="http://schemas.microsoft.com/office/drawing/2014/chart" uri="{C3380CC4-5D6E-409C-BE32-E72D297353CC}">
              <c16:uniqueId val="{00000002-0152-477F-95F8-C08F92BEE3A1}"/>
            </c:ext>
          </c:extLst>
        </c:ser>
        <c:dLbls>
          <c:showLegendKey val="0"/>
          <c:showVal val="0"/>
          <c:showCatName val="0"/>
          <c:showSerName val="0"/>
          <c:showPercent val="0"/>
          <c:showBubbleSize val="0"/>
        </c:dLbls>
        <c:smooth val="0"/>
        <c:axId val="254561512"/>
        <c:axId val="254558768"/>
      </c:lineChart>
      <c:catAx>
        <c:axId val="254561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558768"/>
        <c:crosses val="autoZero"/>
        <c:auto val="1"/>
        <c:lblAlgn val="ctr"/>
        <c:lblOffset val="100"/>
        <c:noMultiLvlLbl val="0"/>
      </c:catAx>
      <c:valAx>
        <c:axId val="254558768"/>
        <c:scaling>
          <c:orientation val="minMax"/>
          <c:max val="2000000"/>
        </c:scaling>
        <c:delete val="0"/>
        <c:axPos val="l"/>
        <c:majorGridlines>
          <c:spPr>
            <a:ln w="9525" cap="flat" cmpd="sng" algn="ctr">
              <a:solidFill>
                <a:schemeClr val="tx1">
                  <a:lumMod val="15000"/>
                  <a:lumOff val="85000"/>
                </a:schemeClr>
              </a:solidFill>
              <a:round/>
            </a:ln>
            <a:effectLst/>
          </c:spPr>
        </c:majorGridlines>
        <c:numFmt formatCode="0.0E+00" sourceLinked="0"/>
        <c:majorTickMark val="none"/>
        <c:minorTickMark val="none"/>
        <c:tickLblPos val="nextTo"/>
        <c:spPr>
          <a:noFill/>
          <a:ln>
            <a:solidFill>
              <a:schemeClr val="bg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5615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spcBef>
          <a:spcPts val="1200"/>
        </a:spcBef>
        <a:defRPr/>
      </a:pPr>
      <a:endParaRPr lang="pl-PL"/>
    </a:p>
  </c:txPr>
  <c:externalData r:id="rId4">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[Informe_comparativo_con_EOH_20180426 (version 1).xlsb.xlsx]Tasa Variacion Pernoctaciones!Tabla dinámica4</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400" b="0" i="0" baseline="0">
                <a:effectLst/>
              </a:rPr>
              <a:t>Canary Islands hotel overnight stays variation rate</a:t>
            </a:r>
            <a:endParaRPr lang="es-ES" sz="1100">
              <a:effectLst/>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s>
    <c:plotArea>
      <c:layout/>
      <c:barChart>
        <c:barDir val="col"/>
        <c:grouping val="clustered"/>
        <c:varyColors val="0"/>
        <c:ser>
          <c:idx val="0"/>
          <c:order val="0"/>
          <c:tx>
            <c:strRef>
              <c:f>'Tasa Variacion Pernoctaciones'!$C$4</c:f>
              <c:strCache>
                <c:ptCount val="1"/>
                <c:pt idx="0">
                  <c:v>RTS calibrated to SD and HOS</c:v>
                </c:pt>
              </c:strCache>
            </c:strRef>
          </c:tx>
          <c:spPr>
            <a:solidFill>
              <a:schemeClr val="accent1"/>
            </a:solidFill>
            <a:ln>
              <a:noFill/>
            </a:ln>
            <a:effectLst/>
          </c:spPr>
          <c:invertIfNegative val="0"/>
          <c:cat>
            <c:multiLvlStrRef>
              <c:f>'Tasa Variacion Pernoctaciones'!$A$5:$B$28</c:f>
              <c:multiLvlStrCache>
                <c:ptCount val="24"/>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lvl>
                <c:lvl>
                  <c:pt idx="0">
                    <c:v>2016</c:v>
                  </c:pt>
                  <c:pt idx="12">
                    <c:v>2017</c:v>
                  </c:pt>
                </c:lvl>
              </c:multiLvlStrCache>
            </c:multiLvlStrRef>
          </c:cat>
          <c:val>
            <c:numRef>
              <c:f>'Tasa Variacion Pernoctaciones'!$C$5:$C$28</c:f>
              <c:numCache>
                <c:formatCode>General</c:formatCode>
                <c:ptCount val="24"/>
                <c:pt idx="0">
                  <c:v>9.1012334898691538</c:v>
                </c:pt>
                <c:pt idx="1">
                  <c:v>-2.796965949664687</c:v>
                </c:pt>
                <c:pt idx="2">
                  <c:v>24.981804654255878</c:v>
                </c:pt>
                <c:pt idx="3">
                  <c:v>-10.308966177599165</c:v>
                </c:pt>
                <c:pt idx="4">
                  <c:v>6.5572836888539987</c:v>
                </c:pt>
                <c:pt idx="5">
                  <c:v>4.0090264733802172</c:v>
                </c:pt>
                <c:pt idx="6">
                  <c:v>2.5955042961168795</c:v>
                </c:pt>
                <c:pt idx="7">
                  <c:v>-8.9588962555326219</c:v>
                </c:pt>
                <c:pt idx="8">
                  <c:v>-6.1088638589628097</c:v>
                </c:pt>
                <c:pt idx="9">
                  <c:v>-4.4994426809776051</c:v>
                </c:pt>
                <c:pt idx="10">
                  <c:v>3.9608352061426544E-2</c:v>
                </c:pt>
                <c:pt idx="11">
                  <c:v>14.058809152255725</c:v>
                </c:pt>
                <c:pt idx="12">
                  <c:v>-17.429463820835256</c:v>
                </c:pt>
                <c:pt idx="13">
                  <c:v>-10.96230158559327</c:v>
                </c:pt>
                <c:pt idx="14">
                  <c:v>-18.080295087099596</c:v>
                </c:pt>
                <c:pt idx="15">
                  <c:v>29.983539330855624</c:v>
                </c:pt>
                <c:pt idx="16">
                  <c:v>-1.55794694891771</c:v>
                </c:pt>
                <c:pt idx="17">
                  <c:v>0.24297690770014313</c:v>
                </c:pt>
                <c:pt idx="18">
                  <c:v>-2.2716022033971606</c:v>
                </c:pt>
                <c:pt idx="19">
                  <c:v>2.2793738754895543</c:v>
                </c:pt>
                <c:pt idx="20">
                  <c:v>24.056123072531044</c:v>
                </c:pt>
                <c:pt idx="21">
                  <c:v>5.8887956305583522</c:v>
                </c:pt>
                <c:pt idx="22">
                  <c:v>3.909893809981968</c:v>
                </c:pt>
                <c:pt idx="23">
                  <c:v>7.6245308504808929</c:v>
                </c:pt>
              </c:numCache>
            </c:numRef>
          </c:val>
          <c:extLst xmlns:c16r2="http://schemas.microsoft.com/office/drawing/2015/06/chart">
            <c:ext xmlns:c16="http://schemas.microsoft.com/office/drawing/2014/chart" uri="{C3380CC4-5D6E-409C-BE32-E72D297353CC}">
              <c16:uniqueId val="{00000000-E92C-4A92-870A-8162B5FA7379}"/>
            </c:ext>
          </c:extLst>
        </c:ser>
        <c:ser>
          <c:idx val="1"/>
          <c:order val="1"/>
          <c:tx>
            <c:strRef>
              <c:f>'Tasa Variacion Pernoctaciones'!$D$4</c:f>
              <c:strCache>
                <c:ptCount val="1"/>
                <c:pt idx="0">
                  <c:v>HOS</c:v>
                </c:pt>
              </c:strCache>
            </c:strRef>
          </c:tx>
          <c:spPr>
            <a:solidFill>
              <a:schemeClr val="accent2"/>
            </a:solidFill>
            <a:ln>
              <a:noFill/>
            </a:ln>
            <a:effectLst/>
          </c:spPr>
          <c:invertIfNegative val="0"/>
          <c:cat>
            <c:multiLvlStrRef>
              <c:f>'Tasa Variacion Pernoctaciones'!$A$5:$B$28</c:f>
              <c:multiLvlStrCache>
                <c:ptCount val="24"/>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lvl>
                <c:lvl>
                  <c:pt idx="0">
                    <c:v>2016</c:v>
                  </c:pt>
                  <c:pt idx="12">
                    <c:v>2017</c:v>
                  </c:pt>
                </c:lvl>
              </c:multiLvlStrCache>
            </c:multiLvlStrRef>
          </c:cat>
          <c:val>
            <c:numRef>
              <c:f>'Tasa Variacion Pernoctaciones'!$D$5:$D$28</c:f>
              <c:numCache>
                <c:formatCode>General</c:formatCode>
                <c:ptCount val="24"/>
                <c:pt idx="0">
                  <c:v>5.9874487852069391</c:v>
                </c:pt>
                <c:pt idx="1">
                  <c:v>-4.52777549848199</c:v>
                </c:pt>
                <c:pt idx="2">
                  <c:v>28.628068575849252</c:v>
                </c:pt>
                <c:pt idx="3">
                  <c:v>-15.952570777479025</c:v>
                </c:pt>
                <c:pt idx="4">
                  <c:v>1.3990685161213046</c:v>
                </c:pt>
                <c:pt idx="5">
                  <c:v>-6.4449583388914711E-2</c:v>
                </c:pt>
                <c:pt idx="6">
                  <c:v>2.3082103899945139</c:v>
                </c:pt>
                <c:pt idx="7">
                  <c:v>-4.8068515274194867</c:v>
                </c:pt>
                <c:pt idx="8">
                  <c:v>0.95411259941398097</c:v>
                </c:pt>
                <c:pt idx="9">
                  <c:v>2.263559454719144</c:v>
                </c:pt>
                <c:pt idx="10">
                  <c:v>8.7207396397928516</c:v>
                </c:pt>
                <c:pt idx="11">
                  <c:v>14.09322707234244</c:v>
                </c:pt>
                <c:pt idx="12">
                  <c:v>-6.6534701549975868</c:v>
                </c:pt>
                <c:pt idx="13">
                  <c:v>-4.0340641206977885</c:v>
                </c:pt>
                <c:pt idx="14">
                  <c:v>-19.809007267389823</c:v>
                </c:pt>
                <c:pt idx="15">
                  <c:v>30.361789109650459</c:v>
                </c:pt>
                <c:pt idx="16">
                  <c:v>-1.6443293504762813</c:v>
                </c:pt>
                <c:pt idx="17">
                  <c:v>0.50839640382558393</c:v>
                </c:pt>
                <c:pt idx="18">
                  <c:v>-1.3443624973262236</c:v>
                </c:pt>
                <c:pt idx="19">
                  <c:v>3.4896502014061248</c:v>
                </c:pt>
                <c:pt idx="20">
                  <c:v>6.5126578506143007</c:v>
                </c:pt>
                <c:pt idx="21">
                  <c:v>3.398886648730115</c:v>
                </c:pt>
                <c:pt idx="22">
                  <c:v>-0.61483772092896238</c:v>
                </c:pt>
                <c:pt idx="23">
                  <c:v>2.7357991921078018</c:v>
                </c:pt>
              </c:numCache>
            </c:numRef>
          </c:val>
          <c:extLst xmlns:c16r2="http://schemas.microsoft.com/office/drawing/2015/06/chart">
            <c:ext xmlns:c16="http://schemas.microsoft.com/office/drawing/2014/chart" uri="{C3380CC4-5D6E-409C-BE32-E72D297353CC}">
              <c16:uniqueId val="{00000001-E92C-4A92-870A-8162B5FA7379}"/>
            </c:ext>
          </c:extLst>
        </c:ser>
        <c:ser>
          <c:idx val="2"/>
          <c:order val="2"/>
          <c:tx>
            <c:strRef>
              <c:f>'Tasa Variacion Pernoctaciones'!$E$4</c:f>
              <c:strCache>
                <c:ptCount val="1"/>
                <c:pt idx="0">
                  <c:v>RTS calibrated to SD</c:v>
                </c:pt>
              </c:strCache>
            </c:strRef>
          </c:tx>
          <c:spPr>
            <a:solidFill>
              <a:schemeClr val="accent3"/>
            </a:solidFill>
            <a:ln>
              <a:noFill/>
            </a:ln>
            <a:effectLst/>
          </c:spPr>
          <c:invertIfNegative val="0"/>
          <c:cat>
            <c:multiLvlStrRef>
              <c:f>'Tasa Variacion Pernoctaciones'!$A$5:$B$28</c:f>
              <c:multiLvlStrCache>
                <c:ptCount val="24"/>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lvl>
                <c:lvl>
                  <c:pt idx="0">
                    <c:v>2016</c:v>
                  </c:pt>
                  <c:pt idx="12">
                    <c:v>2017</c:v>
                  </c:pt>
                </c:lvl>
              </c:multiLvlStrCache>
            </c:multiLvlStrRef>
          </c:cat>
          <c:val>
            <c:numRef>
              <c:f>'Tasa Variacion Pernoctaciones'!$E$5:$E$28</c:f>
              <c:numCache>
                <c:formatCode>General</c:formatCode>
                <c:ptCount val="24"/>
                <c:pt idx="0">
                  <c:v>-2.0209027565846638</c:v>
                </c:pt>
                <c:pt idx="1">
                  <c:v>9.1857133804797328</c:v>
                </c:pt>
                <c:pt idx="2">
                  <c:v>196.30761440928626</c:v>
                </c:pt>
                <c:pt idx="3">
                  <c:v>-1.0278697952547322</c:v>
                </c:pt>
                <c:pt idx="4">
                  <c:v>72.09449906722125</c:v>
                </c:pt>
                <c:pt idx="5">
                  <c:v>-16.342227815671407</c:v>
                </c:pt>
                <c:pt idx="6">
                  <c:v>93.093026376621069</c:v>
                </c:pt>
                <c:pt idx="7">
                  <c:v>-27.910577364957657</c:v>
                </c:pt>
                <c:pt idx="8">
                  <c:v>-15.938183261626737</c:v>
                </c:pt>
                <c:pt idx="9">
                  <c:v>94.812859663892453</c:v>
                </c:pt>
                <c:pt idx="10">
                  <c:v>18.291240790162956</c:v>
                </c:pt>
                <c:pt idx="11">
                  <c:v>1.3176917183751025</c:v>
                </c:pt>
                <c:pt idx="12">
                  <c:v>-47.736507304356749</c:v>
                </c:pt>
                <c:pt idx="13">
                  <c:v>-12.446829090604572</c:v>
                </c:pt>
                <c:pt idx="14">
                  <c:v>-58.227948055679825</c:v>
                </c:pt>
                <c:pt idx="15">
                  <c:v>-5.2596842801217019</c:v>
                </c:pt>
                <c:pt idx="16">
                  <c:v>-16.789570312961533</c:v>
                </c:pt>
                <c:pt idx="17">
                  <c:v>-22.328932488732335</c:v>
                </c:pt>
                <c:pt idx="18">
                  <c:v>-1.1836342144730394</c:v>
                </c:pt>
                <c:pt idx="19">
                  <c:v>49.505066551954499</c:v>
                </c:pt>
                <c:pt idx="20">
                  <c:v>87.782923156554631</c:v>
                </c:pt>
                <c:pt idx="21">
                  <c:v>-7.8945110011153341</c:v>
                </c:pt>
                <c:pt idx="22">
                  <c:v>-1.3438936063479567</c:v>
                </c:pt>
                <c:pt idx="23">
                  <c:v>1.9298203018879079</c:v>
                </c:pt>
              </c:numCache>
            </c:numRef>
          </c:val>
          <c:extLst xmlns:c16r2="http://schemas.microsoft.com/office/drawing/2015/06/chart">
            <c:ext xmlns:c16="http://schemas.microsoft.com/office/drawing/2014/chart" uri="{C3380CC4-5D6E-409C-BE32-E72D297353CC}">
              <c16:uniqueId val="{00000002-E92C-4A92-870A-8162B5FA7379}"/>
            </c:ext>
          </c:extLst>
        </c:ser>
        <c:dLbls>
          <c:showLegendKey val="0"/>
          <c:showVal val="0"/>
          <c:showCatName val="0"/>
          <c:showSerName val="0"/>
          <c:showPercent val="0"/>
          <c:showBubbleSize val="0"/>
        </c:dLbls>
        <c:gapWidth val="219"/>
        <c:overlap val="-27"/>
        <c:axId val="254557200"/>
        <c:axId val="254560728"/>
      </c:barChart>
      <c:catAx>
        <c:axId val="25455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560728"/>
        <c:crosses val="autoZero"/>
        <c:auto val="1"/>
        <c:lblAlgn val="ctr"/>
        <c:lblOffset val="100"/>
        <c:noMultiLvlLbl val="0"/>
      </c:catAx>
      <c:valAx>
        <c:axId val="254560728"/>
        <c:scaling>
          <c:orientation val="minMax"/>
          <c:max val="200"/>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55720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[Informe_comparativo_con_EOH_20180426 (version 1).xlsb.xlsx]Graficos Pernoctaciones!Tabla dinámica4</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Balearic Islands</a:t>
            </a:r>
            <a:r>
              <a:rPr lang="es-ES" baseline="0"/>
              <a:t> hotel overnight stays</a:t>
            </a:r>
            <a:endParaRPr lang="es-E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ivotFmts>
      <c:pivotFmt>
        <c:idx val="0"/>
        <c:spPr>
          <a:solidFill>
            <a:schemeClr val="accent1"/>
          </a:solidFill>
          <a:ln w="28575" cap="rnd">
            <a:solidFill>
              <a:schemeClr val="accent1"/>
            </a:solidFill>
            <a:round/>
          </a:ln>
          <a:effectLst/>
        </c:spPr>
        <c:marker>
          <c:symbol val="none"/>
        </c:marker>
      </c:pivotFmt>
      <c:pivotFmt>
        <c:idx val="1"/>
        <c:spPr>
          <a:solidFill>
            <a:schemeClr val="accent1"/>
          </a:solidFill>
          <a:ln w="28575" cap="rnd">
            <a:solidFill>
              <a:schemeClr val="accent1"/>
            </a:solidFill>
            <a:round/>
          </a:ln>
          <a:effectLst/>
        </c:spPr>
        <c:marker>
          <c:symbol val="none"/>
        </c:marker>
      </c:pivotFmt>
      <c:pivotFmt>
        <c:idx val="2"/>
        <c:spPr>
          <a:solidFill>
            <a:schemeClr val="accent1"/>
          </a:solidFill>
          <a:ln w="28575" cap="rnd">
            <a:solidFill>
              <a:schemeClr val="accent1"/>
            </a:solidFill>
            <a:round/>
          </a:ln>
          <a:effectLst/>
        </c:spPr>
        <c:marker>
          <c:symbol val="none"/>
        </c:marker>
      </c:pivotFmt>
      <c:pivotFmt>
        <c:idx val="3"/>
        <c:spPr>
          <a:solidFill>
            <a:schemeClr val="accent1"/>
          </a:solidFill>
          <a:ln w="28575" cap="rnd">
            <a:solidFill>
              <a:schemeClr val="accent1"/>
            </a:solidFill>
            <a:round/>
          </a:ln>
          <a:effectLst/>
        </c:spPr>
        <c:marker>
          <c:symbol val="none"/>
        </c:marker>
      </c:pivotFmt>
      <c:pivotFmt>
        <c:idx val="4"/>
        <c:spPr>
          <a:solidFill>
            <a:schemeClr val="accent1"/>
          </a:solidFill>
          <a:ln w="28575" cap="rnd">
            <a:solidFill>
              <a:schemeClr val="accent1"/>
            </a:solidFill>
            <a:round/>
          </a:ln>
          <a:effectLst/>
        </c:spPr>
        <c:marker>
          <c:symbol val="none"/>
        </c:marker>
      </c:pivotFmt>
      <c:pivotFmt>
        <c:idx val="5"/>
        <c:spPr>
          <a:solidFill>
            <a:schemeClr val="accent1"/>
          </a:solidFill>
          <a:ln w="28575" cap="rnd">
            <a:solidFill>
              <a:schemeClr val="accent1"/>
            </a:solidFill>
            <a:round/>
          </a:ln>
          <a:effectLst/>
        </c:spPr>
        <c:marker>
          <c:symbol val="none"/>
        </c:marker>
      </c:pivotFmt>
      <c:pivotFmt>
        <c:idx val="6"/>
        <c:spPr>
          <a:solidFill>
            <a:schemeClr val="accent1"/>
          </a:solidFill>
          <a:ln w="28575" cap="rnd">
            <a:solidFill>
              <a:schemeClr val="accent1"/>
            </a:solidFill>
            <a:round/>
          </a:ln>
          <a:effectLst/>
        </c:spPr>
        <c:marker>
          <c:symbol val="none"/>
        </c:marker>
      </c:pivotFmt>
      <c:pivotFmt>
        <c:idx val="7"/>
        <c:spPr>
          <a:solidFill>
            <a:schemeClr val="accent1"/>
          </a:solidFill>
          <a:ln w="28575" cap="rnd">
            <a:solidFill>
              <a:schemeClr val="accent1"/>
            </a:solidFill>
            <a:round/>
          </a:ln>
          <a:effectLst/>
        </c:spPr>
        <c:marker>
          <c:symbol val="none"/>
        </c:marker>
      </c:pivotFmt>
      <c:pivotFmt>
        <c:idx val="8"/>
        <c:spPr>
          <a:solidFill>
            <a:schemeClr val="accent1"/>
          </a:solidFill>
          <a:ln w="28575" cap="rnd">
            <a:solidFill>
              <a:schemeClr val="accent1"/>
            </a:solidFill>
            <a:round/>
          </a:ln>
          <a:effectLst/>
        </c:spPr>
        <c:marker>
          <c:symbol val="none"/>
        </c:marker>
      </c:pivotFmt>
      <c:pivotFmt>
        <c:idx val="9"/>
        <c:spPr>
          <a:solidFill>
            <a:schemeClr val="accent1"/>
          </a:solidFill>
          <a:ln w="28575" cap="rnd">
            <a:solidFill>
              <a:schemeClr val="accent1"/>
            </a:solidFill>
            <a:round/>
          </a:ln>
          <a:effectLst/>
        </c:spPr>
        <c:marker>
          <c:symbol val="none"/>
        </c:marker>
      </c:pivotFmt>
      <c:pivotFmt>
        <c:idx val="10"/>
        <c:spPr>
          <a:solidFill>
            <a:schemeClr val="accent1"/>
          </a:solidFill>
          <a:ln w="28575" cap="rnd">
            <a:solidFill>
              <a:schemeClr val="accent1"/>
            </a:solidFill>
            <a:round/>
          </a:ln>
          <a:effectLst/>
        </c:spPr>
        <c:marker>
          <c:symbol val="none"/>
        </c:marker>
      </c:pivotFmt>
      <c:pivotFmt>
        <c:idx val="11"/>
        <c:spPr>
          <a:solidFill>
            <a:schemeClr val="accent1"/>
          </a:solidFill>
          <a:ln w="28575" cap="rnd">
            <a:solidFill>
              <a:schemeClr val="accent1"/>
            </a:solidFill>
            <a:round/>
          </a:ln>
          <a:effectLst/>
        </c:spPr>
        <c:marker>
          <c:symbol val="none"/>
        </c:marker>
      </c:pivotFmt>
      <c:pivotFmt>
        <c:idx val="12"/>
        <c:spPr>
          <a:solidFill>
            <a:schemeClr val="accent1"/>
          </a:solidFill>
          <a:ln w="28575" cap="rnd">
            <a:solidFill>
              <a:schemeClr val="accent1"/>
            </a:solidFill>
            <a:round/>
          </a:ln>
          <a:effectLst/>
        </c:spPr>
        <c:marker>
          <c:symbol val="none"/>
        </c:marker>
      </c:pivotFmt>
      <c:pivotFmt>
        <c:idx val="13"/>
        <c:spPr>
          <a:solidFill>
            <a:schemeClr val="accent1"/>
          </a:solidFill>
          <a:ln w="28575" cap="rnd">
            <a:solidFill>
              <a:schemeClr val="accent1"/>
            </a:solidFill>
            <a:round/>
          </a:ln>
          <a:effectLst/>
        </c:spPr>
        <c:marker>
          <c:symbol val="none"/>
        </c:marker>
      </c:pivotFmt>
      <c:pivotFmt>
        <c:idx val="14"/>
        <c:spPr>
          <a:solidFill>
            <a:schemeClr val="accent1"/>
          </a:solidFill>
          <a:ln w="28575" cap="rnd">
            <a:solidFill>
              <a:schemeClr val="accent1"/>
            </a:solidFill>
            <a:round/>
          </a:ln>
          <a:effectLst/>
        </c:spPr>
        <c:marker>
          <c:symbol val="none"/>
        </c:marker>
      </c:pivotFmt>
      <c:pivotFmt>
        <c:idx val="15"/>
        <c:spPr>
          <a:solidFill>
            <a:schemeClr val="accent1"/>
          </a:solidFill>
          <a:ln w="28575" cap="rnd">
            <a:solidFill>
              <a:schemeClr val="accent1"/>
            </a:solidFill>
            <a:round/>
          </a:ln>
          <a:effectLst/>
        </c:spPr>
        <c:marker>
          <c:symbol val="none"/>
        </c:marker>
      </c:pivotFmt>
      <c:pivotFmt>
        <c:idx val="16"/>
        <c:spPr>
          <a:solidFill>
            <a:schemeClr val="accent1"/>
          </a:solidFill>
          <a:ln w="28575" cap="rnd">
            <a:solidFill>
              <a:schemeClr val="accent1"/>
            </a:solidFill>
            <a:round/>
          </a:ln>
          <a:effectLst/>
        </c:spPr>
        <c:marker>
          <c:symbol val="none"/>
        </c:marker>
      </c:pivotFmt>
      <c:pivotFmt>
        <c:idx val="17"/>
        <c:spPr>
          <a:solidFill>
            <a:schemeClr val="accent1"/>
          </a:solidFill>
          <a:ln w="28575" cap="rnd">
            <a:solidFill>
              <a:schemeClr val="accent1"/>
            </a:solidFill>
            <a:round/>
          </a:ln>
          <a:effectLst/>
        </c:spPr>
        <c:marker>
          <c:symbol val="none"/>
        </c:marker>
      </c:pivotFmt>
      <c:pivotFmt>
        <c:idx val="18"/>
        <c:spPr>
          <a:solidFill>
            <a:schemeClr val="accent1"/>
          </a:solidFill>
          <a:ln w="28575" cap="rnd">
            <a:solidFill>
              <a:schemeClr val="accent1"/>
            </a:solidFill>
            <a:round/>
          </a:ln>
          <a:effectLst/>
        </c:spPr>
        <c:marker>
          <c:symbol val="none"/>
        </c:marker>
      </c:pivotFmt>
      <c:pivotFmt>
        <c:idx val="19"/>
        <c:spPr>
          <a:solidFill>
            <a:schemeClr val="accent1"/>
          </a:solidFill>
          <a:ln w="28575" cap="rnd">
            <a:solidFill>
              <a:schemeClr val="accent1"/>
            </a:solidFill>
            <a:round/>
          </a:ln>
          <a:effectLst/>
        </c:spPr>
        <c:marker>
          <c:symbol val="none"/>
        </c:marker>
      </c:pivotFmt>
      <c:pivotFmt>
        <c:idx val="20"/>
        <c:spPr>
          <a:solidFill>
            <a:schemeClr val="accent1"/>
          </a:solidFill>
          <a:ln w="28575" cap="rnd">
            <a:solidFill>
              <a:schemeClr val="accent1"/>
            </a:solidFill>
            <a:round/>
          </a:ln>
          <a:effectLst/>
        </c:spPr>
        <c:marker>
          <c:symbol val="none"/>
        </c:marker>
      </c:pivotFmt>
      <c:pivotFmt>
        <c:idx val="21"/>
        <c:spPr>
          <a:solidFill>
            <a:schemeClr val="accent1"/>
          </a:solidFill>
          <a:ln w="28575" cap="rnd">
            <a:solidFill>
              <a:schemeClr val="accent1"/>
            </a:solidFill>
            <a:round/>
          </a:ln>
          <a:effectLst/>
        </c:spPr>
        <c:marker>
          <c:symbol val="none"/>
        </c:marker>
      </c:pivotFmt>
      <c:pivotFmt>
        <c:idx val="22"/>
        <c:spPr>
          <a:solidFill>
            <a:schemeClr val="accent1"/>
          </a:solidFill>
          <a:ln w="28575" cap="rnd">
            <a:solidFill>
              <a:schemeClr val="accent1"/>
            </a:solidFill>
            <a:round/>
          </a:ln>
          <a:effectLst/>
        </c:spPr>
        <c:marker>
          <c:symbol val="none"/>
        </c:marker>
      </c:pivotFmt>
      <c:pivotFmt>
        <c:idx val="23"/>
        <c:spPr>
          <a:solidFill>
            <a:schemeClr val="accent1"/>
          </a:solidFill>
          <a:ln w="28575" cap="rnd">
            <a:solidFill>
              <a:schemeClr val="accent1"/>
            </a:solidFill>
            <a:round/>
          </a:ln>
          <a:effectLst/>
        </c:spPr>
        <c:marker>
          <c:symbol val="none"/>
        </c:marker>
      </c:pivotFmt>
      <c:pivotFmt>
        <c:idx val="24"/>
        <c:spPr>
          <a:solidFill>
            <a:schemeClr val="accent1"/>
          </a:solidFill>
          <a:ln w="28575" cap="rnd">
            <a:solidFill>
              <a:schemeClr val="accent1"/>
            </a:solidFill>
            <a:round/>
          </a:ln>
          <a:effectLst/>
        </c:spPr>
        <c:marker>
          <c:symbol val="none"/>
        </c:marker>
      </c:pivotFmt>
      <c:pivotFmt>
        <c:idx val="25"/>
        <c:spPr>
          <a:solidFill>
            <a:schemeClr val="accent1"/>
          </a:solidFill>
          <a:ln w="28575" cap="rnd">
            <a:solidFill>
              <a:schemeClr val="accent1"/>
            </a:solidFill>
            <a:round/>
          </a:ln>
          <a:effectLst/>
        </c:spPr>
        <c:marker>
          <c:symbol val="none"/>
        </c:marker>
      </c:pivotFmt>
      <c:pivotFmt>
        <c:idx val="26"/>
        <c:spPr>
          <a:solidFill>
            <a:schemeClr val="accent1"/>
          </a:solidFill>
          <a:ln w="28575" cap="rnd">
            <a:solidFill>
              <a:schemeClr val="accent1"/>
            </a:solidFill>
            <a:round/>
          </a:ln>
          <a:effectLst/>
        </c:spPr>
        <c:marker>
          <c:symbol val="none"/>
        </c:marker>
      </c:pivotFmt>
      <c:pivotFmt>
        <c:idx val="27"/>
        <c:spPr>
          <a:solidFill>
            <a:schemeClr val="accent1"/>
          </a:solidFill>
          <a:ln w="28575" cap="rnd">
            <a:solidFill>
              <a:schemeClr val="accent1"/>
            </a:solidFill>
            <a:round/>
          </a:ln>
          <a:effectLst/>
        </c:spPr>
        <c:marker>
          <c:symbol val="none"/>
        </c:marker>
      </c:pivotFmt>
      <c:pivotFmt>
        <c:idx val="28"/>
        <c:spPr>
          <a:solidFill>
            <a:schemeClr val="accent1"/>
          </a:solidFill>
          <a:ln w="28575" cap="rnd">
            <a:solidFill>
              <a:schemeClr val="accent1"/>
            </a:solidFill>
            <a:round/>
          </a:ln>
          <a:effectLst/>
        </c:spPr>
        <c:marker>
          <c:symbol val="none"/>
        </c:marker>
      </c:pivotFmt>
      <c:pivotFmt>
        <c:idx val="29"/>
        <c:spPr>
          <a:solidFill>
            <a:schemeClr val="accent1"/>
          </a:solidFill>
          <a:ln w="28575" cap="rnd">
            <a:solidFill>
              <a:schemeClr val="accent1"/>
            </a:solidFill>
            <a:round/>
          </a:ln>
          <a:effectLst/>
        </c:spPr>
        <c:marker>
          <c:symbol val="none"/>
        </c:marker>
      </c:pivotFmt>
      <c:pivotFmt>
        <c:idx val="30"/>
        <c:spPr>
          <a:solidFill>
            <a:schemeClr val="accent1"/>
          </a:solidFill>
          <a:ln w="28575" cap="rnd">
            <a:solidFill>
              <a:schemeClr val="accent1"/>
            </a:solidFill>
            <a:round/>
          </a:ln>
          <a:effectLst/>
        </c:spPr>
        <c:marker>
          <c:symbol val="none"/>
        </c:marker>
      </c:pivotFmt>
      <c:pivotFmt>
        <c:idx val="31"/>
        <c:spPr>
          <a:solidFill>
            <a:schemeClr val="accent1"/>
          </a:solidFill>
          <a:ln w="28575" cap="rnd">
            <a:solidFill>
              <a:schemeClr val="accent1"/>
            </a:solidFill>
            <a:round/>
          </a:ln>
          <a:effectLst/>
        </c:spPr>
        <c:marker>
          <c:symbol val="none"/>
        </c:marker>
      </c:pivotFmt>
    </c:pivotFmts>
    <c:plotArea>
      <c:layout/>
      <c:lineChart>
        <c:grouping val="standard"/>
        <c:varyColors val="0"/>
        <c:ser>
          <c:idx val="0"/>
          <c:order val="0"/>
          <c:tx>
            <c:strRef>
              <c:f>'Graficos Pernoctaciones'!$C$4</c:f>
              <c:strCache>
                <c:ptCount val="1"/>
                <c:pt idx="0">
                  <c:v>RTS calibrated to SD and HOS</c:v>
                </c:pt>
              </c:strCache>
            </c:strRef>
          </c:tx>
          <c:spPr>
            <a:ln w="28575" cap="rnd">
              <a:solidFill>
                <a:schemeClr val="accent1"/>
              </a:solidFill>
              <a:round/>
            </a:ln>
            <a:effectLst/>
          </c:spPr>
          <c:marker>
            <c:symbol val="none"/>
          </c:marker>
          <c:cat>
            <c:multiLvlStrRef>
              <c:f>'Graficos Pernoctaciones'!$A$5:$B$28</c:f>
              <c:multiLvlStrCache>
                <c:ptCount val="24"/>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lvl>
                <c:lvl>
                  <c:pt idx="0">
                    <c:v>2016</c:v>
                  </c:pt>
                  <c:pt idx="12">
                    <c:v>2017</c:v>
                  </c:pt>
                </c:lvl>
              </c:multiLvlStrCache>
            </c:multiLvlStrRef>
          </c:cat>
          <c:val>
            <c:numRef>
              <c:f>'Graficos Pernoctaciones'!$C$5:$C$28</c:f>
              <c:numCache>
                <c:formatCode>General</c:formatCode>
                <c:ptCount val="24"/>
                <c:pt idx="0">
                  <c:v>43121.190012999999</c:v>
                </c:pt>
                <c:pt idx="1">
                  <c:v>201530.25204499997</c:v>
                </c:pt>
                <c:pt idx="2">
                  <c:v>404502.53244799998</c:v>
                </c:pt>
                <c:pt idx="3">
                  <c:v>618351.26319699991</c:v>
                </c:pt>
                <c:pt idx="4">
                  <c:v>537667.28041200002</c:v>
                </c:pt>
                <c:pt idx="5">
                  <c:v>1026905.492559</c:v>
                </c:pt>
                <c:pt idx="6">
                  <c:v>943881.15236900013</c:v>
                </c:pt>
                <c:pt idx="7">
                  <c:v>860143.11666300031</c:v>
                </c:pt>
                <c:pt idx="8">
                  <c:v>666098.03300800011</c:v>
                </c:pt>
                <c:pt idx="9">
                  <c:v>332038.85588400002</c:v>
                </c:pt>
                <c:pt idx="10">
                  <c:v>181152.07467600005</c:v>
                </c:pt>
                <c:pt idx="11">
                  <c:v>126383.20170299998</c:v>
                </c:pt>
                <c:pt idx="12">
                  <c:v>34780.13648600001</c:v>
                </c:pt>
                <c:pt idx="13">
                  <c:v>241975.727648</c:v>
                </c:pt>
                <c:pt idx="14">
                  <c:v>539197.51185999997</c:v>
                </c:pt>
                <c:pt idx="15">
                  <c:v>799279.26178999979</c:v>
                </c:pt>
                <c:pt idx="16">
                  <c:v>533714.15941799991</c:v>
                </c:pt>
                <c:pt idx="17">
                  <c:v>592804.79121399997</c:v>
                </c:pt>
                <c:pt idx="18">
                  <c:v>871498.37543500017</c:v>
                </c:pt>
                <c:pt idx="19">
                  <c:v>882133.03526300029</c:v>
                </c:pt>
                <c:pt idx="20">
                  <c:v>509996.82425700017</c:v>
                </c:pt>
                <c:pt idx="21">
                  <c:v>304320.52490200003</c:v>
                </c:pt>
                <c:pt idx="22">
                  <c:v>196798.99033700005</c:v>
                </c:pt>
                <c:pt idx="23">
                  <c:v>66846.313137000005</c:v>
                </c:pt>
              </c:numCache>
            </c:numRef>
          </c:val>
          <c:smooth val="0"/>
          <c:extLst xmlns:c16r2="http://schemas.microsoft.com/office/drawing/2015/06/chart">
            <c:ext xmlns:c16="http://schemas.microsoft.com/office/drawing/2014/chart" uri="{C3380CC4-5D6E-409C-BE32-E72D297353CC}">
              <c16:uniqueId val="{00000000-6EF3-4892-A744-1C5FAB9F0BA6}"/>
            </c:ext>
          </c:extLst>
        </c:ser>
        <c:ser>
          <c:idx val="1"/>
          <c:order val="1"/>
          <c:tx>
            <c:strRef>
              <c:f>'Graficos Pernoctaciones'!$D$4</c:f>
              <c:strCache>
                <c:ptCount val="1"/>
                <c:pt idx="0">
                  <c:v>HOS</c:v>
                </c:pt>
              </c:strCache>
            </c:strRef>
          </c:tx>
          <c:spPr>
            <a:ln w="28575" cap="rnd">
              <a:solidFill>
                <a:schemeClr val="accent2"/>
              </a:solidFill>
              <a:round/>
            </a:ln>
            <a:effectLst/>
          </c:spPr>
          <c:marker>
            <c:symbol val="none"/>
          </c:marker>
          <c:cat>
            <c:multiLvlStrRef>
              <c:f>'Graficos Pernoctaciones'!$A$5:$B$28</c:f>
              <c:multiLvlStrCache>
                <c:ptCount val="24"/>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lvl>
                <c:lvl>
                  <c:pt idx="0">
                    <c:v>2016</c:v>
                  </c:pt>
                  <c:pt idx="12">
                    <c:v>2017</c:v>
                  </c:pt>
                </c:lvl>
              </c:multiLvlStrCache>
            </c:multiLvlStrRef>
          </c:cat>
          <c:val>
            <c:numRef>
              <c:f>'Graficos Pernoctaciones'!$D$5:$D$28</c:f>
              <c:numCache>
                <c:formatCode>General</c:formatCode>
                <c:ptCount val="24"/>
                <c:pt idx="0">
                  <c:v>60159</c:v>
                </c:pt>
                <c:pt idx="1">
                  <c:v>138866</c:v>
                </c:pt>
                <c:pt idx="2">
                  <c:v>318946</c:v>
                </c:pt>
                <c:pt idx="3">
                  <c:v>358636</c:v>
                </c:pt>
                <c:pt idx="4">
                  <c:v>437315</c:v>
                </c:pt>
                <c:pt idx="5">
                  <c:v>608546</c:v>
                </c:pt>
                <c:pt idx="6">
                  <c:v>741548</c:v>
                </c:pt>
                <c:pt idx="7">
                  <c:v>818549</c:v>
                </c:pt>
                <c:pt idx="8">
                  <c:v>521822</c:v>
                </c:pt>
                <c:pt idx="9">
                  <c:v>453456</c:v>
                </c:pt>
                <c:pt idx="10">
                  <c:v>118733</c:v>
                </c:pt>
                <c:pt idx="11">
                  <c:v>59824</c:v>
                </c:pt>
                <c:pt idx="12">
                  <c:v>55492</c:v>
                </c:pt>
                <c:pt idx="13">
                  <c:v>167520</c:v>
                </c:pt>
                <c:pt idx="14">
                  <c:v>319038</c:v>
                </c:pt>
                <c:pt idx="15">
                  <c:v>391566</c:v>
                </c:pt>
                <c:pt idx="16">
                  <c:v>502711</c:v>
                </c:pt>
                <c:pt idx="17">
                  <c:v>695372</c:v>
                </c:pt>
                <c:pt idx="18">
                  <c:v>779208</c:v>
                </c:pt>
                <c:pt idx="19">
                  <c:v>918931</c:v>
                </c:pt>
                <c:pt idx="20">
                  <c:v>620985</c:v>
                </c:pt>
                <c:pt idx="21">
                  <c:v>407793</c:v>
                </c:pt>
                <c:pt idx="22">
                  <c:v>160497</c:v>
                </c:pt>
                <c:pt idx="23">
                  <c:v>90217</c:v>
                </c:pt>
              </c:numCache>
            </c:numRef>
          </c:val>
          <c:smooth val="0"/>
          <c:extLst xmlns:c16r2="http://schemas.microsoft.com/office/drawing/2015/06/chart">
            <c:ext xmlns:c16="http://schemas.microsoft.com/office/drawing/2014/chart" uri="{C3380CC4-5D6E-409C-BE32-E72D297353CC}">
              <c16:uniqueId val="{00000001-6EF3-4892-A744-1C5FAB9F0BA6}"/>
            </c:ext>
          </c:extLst>
        </c:ser>
        <c:ser>
          <c:idx val="2"/>
          <c:order val="2"/>
          <c:tx>
            <c:strRef>
              <c:f>'Graficos Pernoctaciones'!$E$4</c:f>
              <c:strCache>
                <c:ptCount val="1"/>
                <c:pt idx="0">
                  <c:v>RTS calibrated to SD</c:v>
                </c:pt>
              </c:strCache>
            </c:strRef>
          </c:tx>
          <c:spPr>
            <a:ln w="28575" cap="rnd">
              <a:solidFill>
                <a:schemeClr val="accent3"/>
              </a:solidFill>
              <a:round/>
            </a:ln>
            <a:effectLst/>
          </c:spPr>
          <c:marker>
            <c:symbol val="none"/>
          </c:marker>
          <c:cat>
            <c:multiLvlStrRef>
              <c:f>'Graficos Pernoctaciones'!$A$5:$B$28</c:f>
              <c:multiLvlStrCache>
                <c:ptCount val="24"/>
                <c:lvl>
                  <c:pt idx="0">
                    <c:v>1</c:v>
                  </c:pt>
                  <c:pt idx="1">
                    <c:v>2</c:v>
                  </c:pt>
                  <c:pt idx="2">
                    <c:v>3</c:v>
                  </c:pt>
                  <c:pt idx="3">
                    <c:v>4</c:v>
                  </c:pt>
                  <c:pt idx="4">
                    <c:v>5</c:v>
                  </c:pt>
                  <c:pt idx="5">
                    <c:v>6</c:v>
                  </c:pt>
                  <c:pt idx="6">
                    <c:v>7</c:v>
                  </c:pt>
                  <c:pt idx="7">
                    <c:v>8</c:v>
                  </c:pt>
                  <c:pt idx="8">
                    <c:v>9</c:v>
                  </c:pt>
                  <c:pt idx="9">
                    <c:v>10</c:v>
                  </c:pt>
                  <c:pt idx="10">
                    <c:v>11</c:v>
                  </c:pt>
                  <c:pt idx="11">
                    <c:v>12</c:v>
                  </c:pt>
                  <c:pt idx="12">
                    <c:v>1</c:v>
                  </c:pt>
                  <c:pt idx="13">
                    <c:v>2</c:v>
                  </c:pt>
                  <c:pt idx="14">
                    <c:v>3</c:v>
                  </c:pt>
                  <c:pt idx="15">
                    <c:v>4</c:v>
                  </c:pt>
                  <c:pt idx="16">
                    <c:v>5</c:v>
                  </c:pt>
                  <c:pt idx="17">
                    <c:v>6</c:v>
                  </c:pt>
                  <c:pt idx="18">
                    <c:v>7</c:v>
                  </c:pt>
                  <c:pt idx="19">
                    <c:v>8</c:v>
                  </c:pt>
                  <c:pt idx="20">
                    <c:v>9</c:v>
                  </c:pt>
                  <c:pt idx="21">
                    <c:v>10</c:v>
                  </c:pt>
                  <c:pt idx="22">
                    <c:v>11</c:v>
                  </c:pt>
                  <c:pt idx="23">
                    <c:v>12</c:v>
                  </c:pt>
                </c:lvl>
                <c:lvl>
                  <c:pt idx="0">
                    <c:v>2016</c:v>
                  </c:pt>
                  <c:pt idx="12">
                    <c:v>2017</c:v>
                  </c:pt>
                </c:lvl>
              </c:multiLvlStrCache>
            </c:multiLvlStrRef>
          </c:cat>
          <c:val>
            <c:numRef>
              <c:f>'Graficos Pernoctaciones'!$E$5:$E$28</c:f>
              <c:numCache>
                <c:formatCode>General</c:formatCode>
                <c:ptCount val="24"/>
                <c:pt idx="0">
                  <c:v>38444.43948188395</c:v>
                </c:pt>
                <c:pt idx="1">
                  <c:v>141274.88622228074</c:v>
                </c:pt>
                <c:pt idx="2">
                  <c:v>389903.86945570359</c:v>
                </c:pt>
                <c:pt idx="3">
                  <c:v>352508.58472073934</c:v>
                </c:pt>
                <c:pt idx="4">
                  <c:v>438455.30304911541</c:v>
                </c:pt>
                <c:pt idx="5">
                  <c:v>981447.817660567</c:v>
                </c:pt>
                <c:pt idx="6">
                  <c:v>934156.96210328396</c:v>
                </c:pt>
                <c:pt idx="7">
                  <c:v>1295990.2037490685</c:v>
                </c:pt>
                <c:pt idx="8">
                  <c:v>716252.41014863935</c:v>
                </c:pt>
                <c:pt idx="9">
                  <c:v>189874.39551152184</c:v>
                </c:pt>
                <c:pt idx="10">
                  <c:v>175016.02739655194</c:v>
                </c:pt>
                <c:pt idx="11">
                  <c:v>84263.022159442902</c:v>
                </c:pt>
                <c:pt idx="12">
                  <c:v>28638.777557458608</c:v>
                </c:pt>
                <c:pt idx="13">
                  <c:v>224709.40658369177</c:v>
                </c:pt>
                <c:pt idx="14">
                  <c:v>447091.38368159399</c:v>
                </c:pt>
                <c:pt idx="15">
                  <c:v>727784.10318675719</c:v>
                </c:pt>
                <c:pt idx="16">
                  <c:v>395205.37108690856</c:v>
                </c:pt>
                <c:pt idx="17">
                  <c:v>485156.73947446846</c:v>
                </c:pt>
                <c:pt idx="18">
                  <c:v>781463.43129844009</c:v>
                </c:pt>
                <c:pt idx="19">
                  <c:v>1216789.0753853573</c:v>
                </c:pt>
                <c:pt idx="20">
                  <c:v>528874.41303148656</c:v>
                </c:pt>
                <c:pt idx="21">
                  <c:v>259803.05491854867</c:v>
                </c:pt>
                <c:pt idx="22">
                  <c:v>165818.89281667868</c:v>
                </c:pt>
                <c:pt idx="23">
                  <c:v>61255.878679155634</c:v>
                </c:pt>
              </c:numCache>
            </c:numRef>
          </c:val>
          <c:smooth val="0"/>
          <c:extLst xmlns:c16r2="http://schemas.microsoft.com/office/drawing/2015/06/chart">
            <c:ext xmlns:c16="http://schemas.microsoft.com/office/drawing/2014/chart" uri="{C3380CC4-5D6E-409C-BE32-E72D297353CC}">
              <c16:uniqueId val="{00000002-6EF3-4892-A744-1C5FAB9F0BA6}"/>
            </c:ext>
          </c:extLst>
        </c:ser>
        <c:dLbls>
          <c:showLegendKey val="0"/>
          <c:showVal val="0"/>
          <c:showCatName val="0"/>
          <c:showSerName val="0"/>
          <c:showPercent val="0"/>
          <c:showBubbleSize val="0"/>
        </c:dLbls>
        <c:smooth val="0"/>
        <c:axId val="254558376"/>
        <c:axId val="254554848"/>
      </c:lineChart>
      <c:catAx>
        <c:axId val="254558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554848"/>
        <c:crosses val="autoZero"/>
        <c:auto val="1"/>
        <c:lblAlgn val="ctr"/>
        <c:lblOffset val="100"/>
        <c:noMultiLvlLbl val="0"/>
      </c:catAx>
      <c:valAx>
        <c:axId val="254554848"/>
        <c:scaling>
          <c:orientation val="minMax"/>
          <c:max val="1400000"/>
        </c:scaling>
        <c:delete val="0"/>
        <c:axPos val="l"/>
        <c:majorGridlines>
          <c:spPr>
            <a:ln w="9525" cap="flat" cmpd="sng" algn="ctr">
              <a:solidFill>
                <a:schemeClr val="tx1">
                  <a:lumMod val="15000"/>
                  <a:lumOff val="85000"/>
                </a:schemeClr>
              </a:solidFill>
              <a:round/>
            </a:ln>
            <a:effectLst/>
          </c:spPr>
        </c:majorGridlines>
        <c:numFmt formatCode="0.0E+00" sourceLinked="0"/>
        <c:majorTickMark val="none"/>
        <c:minorTickMark val="none"/>
        <c:tickLblPos val="nextTo"/>
        <c:spPr>
          <a:noFill/>
          <a:ln>
            <a:solidFill>
              <a:schemeClr val="bg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5583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[Informe_comparativo_con_EOH_TRIMESTRAL_20180511.xlsx]Graficos Pernoctacines!Tabla dinámica1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Balearic</a:t>
            </a:r>
            <a:r>
              <a:rPr lang="es-ES" baseline="0"/>
              <a:t> Islands</a:t>
            </a:r>
            <a:r>
              <a:rPr lang="es-ES"/>
              <a:t> </a:t>
            </a:r>
            <a:r>
              <a:rPr lang="es-ES" baseline="0"/>
              <a:t>hotel overnight stays</a:t>
            </a:r>
            <a:endParaRPr lang="es-E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ivotFmts>
      <c:pivotFmt>
        <c:idx val="0"/>
        <c:spPr>
          <a:solidFill>
            <a:schemeClr val="accent1"/>
          </a:solidFill>
          <a:ln w="28575" cap="rnd">
            <a:solidFill>
              <a:schemeClr val="accent1"/>
            </a:solidFill>
            <a:round/>
          </a:ln>
          <a:effectLst/>
        </c:spPr>
        <c:marker>
          <c:symbol val="none"/>
        </c:marker>
      </c:pivotFmt>
      <c:pivotFmt>
        <c:idx val="1"/>
        <c:spPr>
          <a:solidFill>
            <a:schemeClr val="accent1"/>
          </a:solidFill>
          <a:ln w="28575" cap="rnd">
            <a:solidFill>
              <a:schemeClr val="accent1"/>
            </a:solidFill>
            <a:round/>
          </a:ln>
          <a:effectLst/>
        </c:spPr>
        <c:marker>
          <c:symbol val="none"/>
        </c:marker>
      </c:pivotFmt>
      <c:pivotFmt>
        <c:idx val="2"/>
        <c:spPr>
          <a:solidFill>
            <a:schemeClr val="accent1"/>
          </a:solidFill>
          <a:ln w="28575" cap="rnd">
            <a:solidFill>
              <a:schemeClr val="accent1"/>
            </a:solidFill>
            <a:round/>
          </a:ln>
          <a:effectLst/>
        </c:spPr>
        <c:marker>
          <c:symbol val="none"/>
        </c:marker>
      </c:pivotFmt>
      <c:pivotFmt>
        <c:idx val="3"/>
        <c:spPr>
          <a:solidFill>
            <a:schemeClr val="accent1"/>
          </a:solidFill>
          <a:ln w="28575" cap="rnd">
            <a:solidFill>
              <a:schemeClr val="accent1"/>
            </a:solidFill>
            <a:round/>
          </a:ln>
          <a:effectLst/>
        </c:spPr>
        <c:marker>
          <c:symbol val="none"/>
        </c:marker>
      </c:pivotFmt>
      <c:pivotFmt>
        <c:idx val="4"/>
        <c:spPr>
          <a:solidFill>
            <a:schemeClr val="accent1"/>
          </a:solidFill>
          <a:ln w="28575" cap="rnd">
            <a:solidFill>
              <a:schemeClr val="accent1"/>
            </a:solidFill>
            <a:round/>
          </a:ln>
          <a:effectLst/>
        </c:spPr>
        <c:marker>
          <c:symbol val="none"/>
        </c:marker>
      </c:pivotFmt>
      <c:pivotFmt>
        <c:idx val="5"/>
        <c:spPr>
          <a:solidFill>
            <a:schemeClr val="accent1"/>
          </a:solidFill>
          <a:ln w="28575" cap="rnd">
            <a:solidFill>
              <a:schemeClr val="accent1"/>
            </a:solidFill>
            <a:round/>
          </a:ln>
          <a:effectLst/>
        </c:spPr>
        <c:marker>
          <c:symbol val="none"/>
        </c:marker>
      </c:pivotFmt>
      <c:pivotFmt>
        <c:idx val="6"/>
        <c:spPr>
          <a:solidFill>
            <a:schemeClr val="accent1"/>
          </a:solidFill>
          <a:ln w="28575" cap="rnd">
            <a:solidFill>
              <a:schemeClr val="accent1"/>
            </a:solidFill>
            <a:round/>
          </a:ln>
          <a:effectLst/>
        </c:spPr>
        <c:marker>
          <c:symbol val="none"/>
        </c:marker>
      </c:pivotFmt>
      <c:pivotFmt>
        <c:idx val="7"/>
        <c:spPr>
          <a:solidFill>
            <a:schemeClr val="accent1"/>
          </a:solidFill>
          <a:ln w="28575" cap="rnd">
            <a:solidFill>
              <a:schemeClr val="accent1"/>
            </a:solidFill>
            <a:round/>
          </a:ln>
          <a:effectLst/>
        </c:spPr>
        <c:marker>
          <c:symbol val="none"/>
        </c:marker>
      </c:pivotFmt>
      <c:pivotFmt>
        <c:idx val="8"/>
        <c:spPr>
          <a:solidFill>
            <a:schemeClr val="accent1"/>
          </a:solidFill>
          <a:ln w="28575" cap="rnd">
            <a:solidFill>
              <a:schemeClr val="accent1"/>
            </a:solidFill>
            <a:round/>
          </a:ln>
          <a:effectLst/>
        </c:spPr>
        <c:marker>
          <c:symbol val="none"/>
        </c:marker>
      </c:pivotFmt>
      <c:pivotFmt>
        <c:idx val="9"/>
        <c:spPr>
          <a:solidFill>
            <a:schemeClr val="accent1"/>
          </a:solidFill>
          <a:ln w="28575" cap="rnd">
            <a:solidFill>
              <a:schemeClr val="accent1"/>
            </a:solidFill>
            <a:round/>
          </a:ln>
          <a:effectLst/>
        </c:spPr>
        <c:marker>
          <c:symbol val="none"/>
        </c:marker>
      </c:pivotFmt>
      <c:pivotFmt>
        <c:idx val="10"/>
        <c:spPr>
          <a:solidFill>
            <a:schemeClr val="accent1"/>
          </a:solidFill>
          <a:ln w="28575" cap="rnd">
            <a:solidFill>
              <a:schemeClr val="accent1"/>
            </a:solidFill>
            <a:round/>
          </a:ln>
          <a:effectLst/>
        </c:spPr>
        <c:marker>
          <c:symbol val="none"/>
        </c:marker>
      </c:pivotFmt>
      <c:pivotFmt>
        <c:idx val="11"/>
        <c:spPr>
          <a:solidFill>
            <a:schemeClr val="accent1"/>
          </a:solidFill>
          <a:ln w="28575" cap="rnd">
            <a:solidFill>
              <a:schemeClr val="accent1"/>
            </a:solidFill>
            <a:round/>
          </a:ln>
          <a:effectLst/>
        </c:spPr>
        <c:marker>
          <c:symbol val="none"/>
        </c:marker>
      </c:pivotFmt>
      <c:pivotFmt>
        <c:idx val="12"/>
        <c:spPr>
          <a:solidFill>
            <a:schemeClr val="accent1"/>
          </a:solidFill>
          <a:ln w="28575" cap="rnd">
            <a:solidFill>
              <a:schemeClr val="accent1"/>
            </a:solidFill>
            <a:round/>
          </a:ln>
          <a:effectLst/>
        </c:spPr>
        <c:marker>
          <c:symbol val="none"/>
        </c:marker>
      </c:pivotFmt>
      <c:pivotFmt>
        <c:idx val="13"/>
        <c:spPr>
          <a:solidFill>
            <a:schemeClr val="accent1"/>
          </a:solidFill>
          <a:ln w="28575" cap="rnd">
            <a:solidFill>
              <a:schemeClr val="accent1"/>
            </a:solidFill>
            <a:round/>
          </a:ln>
          <a:effectLst/>
        </c:spPr>
        <c:marker>
          <c:symbol val="none"/>
        </c:marker>
      </c:pivotFmt>
      <c:pivotFmt>
        <c:idx val="14"/>
        <c:spPr>
          <a:solidFill>
            <a:schemeClr val="accent1"/>
          </a:solidFill>
          <a:ln w="28575" cap="rnd">
            <a:solidFill>
              <a:schemeClr val="accent1"/>
            </a:solidFill>
            <a:round/>
          </a:ln>
          <a:effectLst/>
        </c:spPr>
        <c:marker>
          <c:symbol val="none"/>
        </c:marker>
      </c:pivotFmt>
      <c:pivotFmt>
        <c:idx val="15"/>
        <c:spPr>
          <a:solidFill>
            <a:schemeClr val="accent1"/>
          </a:solidFill>
          <a:ln w="28575" cap="rnd">
            <a:solidFill>
              <a:schemeClr val="accent1"/>
            </a:solidFill>
            <a:round/>
          </a:ln>
          <a:effectLst/>
        </c:spPr>
        <c:marker>
          <c:symbol val="none"/>
        </c:marker>
      </c:pivotFmt>
      <c:pivotFmt>
        <c:idx val="16"/>
        <c:spPr>
          <a:solidFill>
            <a:schemeClr val="accent1"/>
          </a:solidFill>
          <a:ln w="28575" cap="rnd">
            <a:solidFill>
              <a:schemeClr val="accent1"/>
            </a:solidFill>
            <a:round/>
          </a:ln>
          <a:effectLst/>
        </c:spPr>
        <c:marker>
          <c:symbol val="none"/>
        </c:marker>
      </c:pivotFmt>
      <c:pivotFmt>
        <c:idx val="17"/>
        <c:spPr>
          <a:solidFill>
            <a:schemeClr val="accent1"/>
          </a:solidFill>
          <a:ln w="28575" cap="rnd">
            <a:solidFill>
              <a:schemeClr val="accent1"/>
            </a:solidFill>
            <a:round/>
          </a:ln>
          <a:effectLst/>
        </c:spPr>
        <c:marker>
          <c:symbol val="none"/>
        </c:marker>
      </c:pivotFmt>
      <c:pivotFmt>
        <c:idx val="18"/>
        <c:spPr>
          <a:solidFill>
            <a:schemeClr val="accent1"/>
          </a:solidFill>
          <a:ln w="28575" cap="rnd">
            <a:solidFill>
              <a:schemeClr val="accent1"/>
            </a:solidFill>
            <a:round/>
          </a:ln>
          <a:effectLst/>
        </c:spPr>
        <c:marker>
          <c:symbol val="none"/>
        </c:marker>
      </c:pivotFmt>
      <c:pivotFmt>
        <c:idx val="19"/>
        <c:spPr>
          <a:solidFill>
            <a:schemeClr val="accent1"/>
          </a:solidFill>
          <a:ln w="28575" cap="rnd">
            <a:solidFill>
              <a:srgbClr val="9BBB59"/>
            </a:solidFill>
            <a:round/>
          </a:ln>
          <a:effectLst/>
        </c:spPr>
        <c:marker>
          <c:symbol val="none"/>
        </c:marker>
      </c:pivotFmt>
      <c:pivotFmt>
        <c:idx val="20"/>
        <c:spPr>
          <a:solidFill>
            <a:schemeClr val="accent1"/>
          </a:solidFill>
          <a:ln w="28575" cap="rnd">
            <a:solidFill>
              <a:schemeClr val="accent1"/>
            </a:solidFill>
            <a:round/>
          </a:ln>
          <a:effectLst/>
        </c:spPr>
        <c:marker>
          <c:symbol val="none"/>
        </c:marker>
      </c:pivotFmt>
      <c:pivotFmt>
        <c:idx val="21"/>
        <c:spPr>
          <a:solidFill>
            <a:schemeClr val="accent1"/>
          </a:solidFill>
          <a:ln w="28575" cap="rnd">
            <a:solidFill>
              <a:schemeClr val="accent1"/>
            </a:solidFill>
            <a:round/>
          </a:ln>
          <a:effectLst/>
        </c:spPr>
        <c:marker>
          <c:symbol val="none"/>
        </c:marker>
      </c:pivotFmt>
      <c:pivotFmt>
        <c:idx val="22"/>
        <c:spPr>
          <a:solidFill>
            <a:schemeClr val="accent1"/>
          </a:solidFill>
          <a:ln w="28575" cap="rnd">
            <a:solidFill>
              <a:srgbClr val="9BBB59"/>
            </a:solidFill>
            <a:round/>
          </a:ln>
          <a:effectLst/>
        </c:spPr>
        <c:marker>
          <c:symbol val="none"/>
        </c:marker>
      </c:pivotFmt>
      <c:pivotFmt>
        <c:idx val="23"/>
        <c:spPr>
          <a:solidFill>
            <a:schemeClr val="accent1"/>
          </a:solidFill>
          <a:ln w="28575" cap="rnd">
            <a:solidFill>
              <a:schemeClr val="accent1"/>
            </a:solidFill>
            <a:round/>
          </a:ln>
          <a:effectLst/>
        </c:spPr>
        <c:marker>
          <c:symbol val="none"/>
        </c:marker>
      </c:pivotFmt>
      <c:pivotFmt>
        <c:idx val="24"/>
        <c:spPr>
          <a:solidFill>
            <a:schemeClr val="accent1"/>
          </a:solidFill>
          <a:ln w="28575" cap="rnd">
            <a:solidFill>
              <a:schemeClr val="accent1"/>
            </a:solidFill>
            <a:round/>
          </a:ln>
          <a:effectLst/>
        </c:spPr>
        <c:marker>
          <c:symbol val="none"/>
        </c:marker>
      </c:pivotFmt>
      <c:pivotFmt>
        <c:idx val="25"/>
        <c:spPr>
          <a:solidFill>
            <a:schemeClr val="accent1"/>
          </a:solidFill>
          <a:ln w="28575" cap="rnd">
            <a:solidFill>
              <a:srgbClr val="9BBB59"/>
            </a:solidFill>
            <a:round/>
          </a:ln>
          <a:effectLst/>
        </c:spPr>
        <c:marker>
          <c:symbol val="none"/>
        </c:marker>
      </c:pivotFmt>
    </c:pivotFmts>
    <c:plotArea>
      <c:layout/>
      <c:lineChart>
        <c:grouping val="standard"/>
        <c:varyColors val="0"/>
        <c:ser>
          <c:idx val="0"/>
          <c:order val="0"/>
          <c:tx>
            <c:strRef>
              <c:f>'Graficos Pernoctacines'!$C$5</c:f>
              <c:strCache>
                <c:ptCount val="1"/>
                <c:pt idx="0">
                  <c:v>RTS monthly calibrated</c:v>
                </c:pt>
              </c:strCache>
            </c:strRef>
          </c:tx>
          <c:spPr>
            <a:ln w="28575" cap="rnd">
              <a:solidFill>
                <a:schemeClr val="accent1"/>
              </a:solidFill>
              <a:round/>
            </a:ln>
            <a:effectLst/>
          </c:spPr>
          <c:marker>
            <c:symbol val="none"/>
          </c:marker>
          <c:cat>
            <c:multiLvlStrRef>
              <c:f>'Graficos Pernoctacines'!$A$6:$B$16</c:f>
              <c:multiLvlStrCache>
                <c:ptCount val="10"/>
                <c:lvl>
                  <c:pt idx="0">
                    <c:v>T1</c:v>
                  </c:pt>
                  <c:pt idx="1">
                    <c:v>T2</c:v>
                  </c:pt>
                  <c:pt idx="2">
                    <c:v>T3</c:v>
                  </c:pt>
                  <c:pt idx="3">
                    <c:v>T4</c:v>
                  </c:pt>
                  <c:pt idx="4">
                    <c:v>T1</c:v>
                  </c:pt>
                  <c:pt idx="5">
                    <c:v>T2</c:v>
                  </c:pt>
                  <c:pt idx="6">
                    <c:v>T3</c:v>
                  </c:pt>
                  <c:pt idx="7">
                    <c:v>T4</c:v>
                  </c:pt>
                  <c:pt idx="8">
                    <c:v>T1</c:v>
                  </c:pt>
                  <c:pt idx="9">
                    <c:v>T2</c:v>
                  </c:pt>
                </c:lvl>
                <c:lvl>
                  <c:pt idx="0">
                    <c:v>2015</c:v>
                  </c:pt>
                  <c:pt idx="4">
                    <c:v>2016</c:v>
                  </c:pt>
                  <c:pt idx="8">
                    <c:v>2017</c:v>
                  </c:pt>
                </c:lvl>
              </c:multiLvlStrCache>
            </c:multiLvlStrRef>
          </c:cat>
          <c:val>
            <c:numRef>
              <c:f>'Graficos Pernoctacines'!$C$6:$C$16</c:f>
              <c:numCache>
                <c:formatCode>General</c:formatCode>
                <c:ptCount val="10"/>
                <c:pt idx="0">
                  <c:v>687835.90708199993</c:v>
                </c:pt>
                <c:pt idx="1">
                  <c:v>1717599.9573020008</c:v>
                </c:pt>
                <c:pt idx="2">
                  <c:v>2349410.2647569999</c:v>
                </c:pt>
                <c:pt idx="3">
                  <c:v>598999.94134699996</c:v>
                </c:pt>
                <c:pt idx="4">
                  <c:v>649153.97450599994</c:v>
                </c:pt>
                <c:pt idx="5">
                  <c:v>2182924.0361679997</c:v>
                </c:pt>
                <c:pt idx="6">
                  <c:v>2470122.3020400004</c:v>
                </c:pt>
                <c:pt idx="7">
                  <c:v>639574.13226300001</c:v>
                </c:pt>
                <c:pt idx="8">
                  <c:v>815953.375994</c:v>
                </c:pt>
                <c:pt idx="9">
                  <c:v>1925798.2124219998</c:v>
                </c:pt>
              </c:numCache>
            </c:numRef>
          </c:val>
          <c:smooth val="0"/>
          <c:extLst xmlns:c16r2="http://schemas.microsoft.com/office/drawing/2015/06/chart">
            <c:ext xmlns:c16="http://schemas.microsoft.com/office/drawing/2014/chart" uri="{C3380CC4-5D6E-409C-BE32-E72D297353CC}">
              <c16:uniqueId val="{00000000-41C2-4149-A1AF-C6B15B5E5D7A}"/>
            </c:ext>
          </c:extLst>
        </c:ser>
        <c:ser>
          <c:idx val="1"/>
          <c:order val="1"/>
          <c:tx>
            <c:strRef>
              <c:f>'Graficos Pernoctacines'!$D$5</c:f>
              <c:strCache>
                <c:ptCount val="1"/>
                <c:pt idx="0">
                  <c:v>HOS</c:v>
                </c:pt>
              </c:strCache>
            </c:strRef>
          </c:tx>
          <c:spPr>
            <a:ln w="28575" cap="rnd">
              <a:solidFill>
                <a:schemeClr val="accent2"/>
              </a:solidFill>
              <a:round/>
            </a:ln>
            <a:effectLst/>
          </c:spPr>
          <c:marker>
            <c:symbol val="none"/>
          </c:marker>
          <c:cat>
            <c:multiLvlStrRef>
              <c:f>'Graficos Pernoctacines'!$A$6:$B$16</c:f>
              <c:multiLvlStrCache>
                <c:ptCount val="10"/>
                <c:lvl>
                  <c:pt idx="0">
                    <c:v>T1</c:v>
                  </c:pt>
                  <c:pt idx="1">
                    <c:v>T2</c:v>
                  </c:pt>
                  <c:pt idx="2">
                    <c:v>T3</c:v>
                  </c:pt>
                  <c:pt idx="3">
                    <c:v>T4</c:v>
                  </c:pt>
                  <c:pt idx="4">
                    <c:v>T1</c:v>
                  </c:pt>
                  <c:pt idx="5">
                    <c:v>T2</c:v>
                  </c:pt>
                  <c:pt idx="6">
                    <c:v>T3</c:v>
                  </c:pt>
                  <c:pt idx="7">
                    <c:v>T4</c:v>
                  </c:pt>
                  <c:pt idx="8">
                    <c:v>T1</c:v>
                  </c:pt>
                  <c:pt idx="9">
                    <c:v>T2</c:v>
                  </c:pt>
                </c:lvl>
                <c:lvl>
                  <c:pt idx="0">
                    <c:v>2015</c:v>
                  </c:pt>
                  <c:pt idx="4">
                    <c:v>2016</c:v>
                  </c:pt>
                  <c:pt idx="8">
                    <c:v>2017</c:v>
                  </c:pt>
                </c:lvl>
              </c:multiLvlStrCache>
            </c:multiLvlStrRef>
          </c:cat>
          <c:val>
            <c:numRef>
              <c:f>'Graficos Pernoctacines'!$D$6:$D$16</c:f>
              <c:numCache>
                <c:formatCode>General</c:formatCode>
                <c:ptCount val="10"/>
                <c:pt idx="0">
                  <c:v>539865</c:v>
                </c:pt>
                <c:pt idx="1">
                  <c:v>1615540</c:v>
                </c:pt>
                <c:pt idx="2">
                  <c:v>2190953</c:v>
                </c:pt>
                <c:pt idx="3">
                  <c:v>425708</c:v>
                </c:pt>
                <c:pt idx="4">
                  <c:v>517971</c:v>
                </c:pt>
                <c:pt idx="5">
                  <c:v>1404497</c:v>
                </c:pt>
                <c:pt idx="6">
                  <c:v>2081919</c:v>
                </c:pt>
                <c:pt idx="7">
                  <c:v>632013</c:v>
                </c:pt>
                <c:pt idx="8">
                  <c:v>542050</c:v>
                </c:pt>
                <c:pt idx="9">
                  <c:v>1589649</c:v>
                </c:pt>
              </c:numCache>
            </c:numRef>
          </c:val>
          <c:smooth val="0"/>
          <c:extLst xmlns:c16r2="http://schemas.microsoft.com/office/drawing/2015/06/chart">
            <c:ext xmlns:c16="http://schemas.microsoft.com/office/drawing/2014/chart" uri="{C3380CC4-5D6E-409C-BE32-E72D297353CC}">
              <c16:uniqueId val="{00000001-41C2-4149-A1AF-C6B15B5E5D7A}"/>
            </c:ext>
          </c:extLst>
        </c:ser>
        <c:ser>
          <c:idx val="2"/>
          <c:order val="2"/>
          <c:tx>
            <c:strRef>
              <c:f>'Graficos Pernoctacines'!$E$5</c:f>
              <c:strCache>
                <c:ptCount val="1"/>
                <c:pt idx="0">
                  <c:v>RTS quarterly calibrated</c:v>
                </c:pt>
              </c:strCache>
            </c:strRef>
          </c:tx>
          <c:spPr>
            <a:ln w="28575" cap="rnd">
              <a:solidFill>
                <a:srgbClr val="9BBB59"/>
              </a:solidFill>
              <a:round/>
            </a:ln>
            <a:effectLst/>
          </c:spPr>
          <c:marker>
            <c:symbol val="none"/>
          </c:marker>
          <c:cat>
            <c:multiLvlStrRef>
              <c:f>'Graficos Pernoctacines'!$A$6:$B$16</c:f>
              <c:multiLvlStrCache>
                <c:ptCount val="10"/>
                <c:lvl>
                  <c:pt idx="0">
                    <c:v>T1</c:v>
                  </c:pt>
                  <c:pt idx="1">
                    <c:v>T2</c:v>
                  </c:pt>
                  <c:pt idx="2">
                    <c:v>T3</c:v>
                  </c:pt>
                  <c:pt idx="3">
                    <c:v>T4</c:v>
                  </c:pt>
                  <c:pt idx="4">
                    <c:v>T1</c:v>
                  </c:pt>
                  <c:pt idx="5">
                    <c:v>T2</c:v>
                  </c:pt>
                  <c:pt idx="6">
                    <c:v>T3</c:v>
                  </c:pt>
                  <c:pt idx="7">
                    <c:v>T4</c:v>
                  </c:pt>
                  <c:pt idx="8">
                    <c:v>T1</c:v>
                  </c:pt>
                  <c:pt idx="9">
                    <c:v>T2</c:v>
                  </c:pt>
                </c:lvl>
                <c:lvl>
                  <c:pt idx="0">
                    <c:v>2015</c:v>
                  </c:pt>
                  <c:pt idx="4">
                    <c:v>2016</c:v>
                  </c:pt>
                  <c:pt idx="8">
                    <c:v>2017</c:v>
                  </c:pt>
                </c:lvl>
              </c:multiLvlStrCache>
            </c:multiLvlStrRef>
          </c:cat>
          <c:val>
            <c:numRef>
              <c:f>'Graficos Pernoctacines'!$E$6:$E$16</c:f>
              <c:numCache>
                <c:formatCode>General</c:formatCode>
                <c:ptCount val="10"/>
                <c:pt idx="0">
                  <c:v>507403.90626847954</c:v>
                </c:pt>
                <c:pt idx="1">
                  <c:v>1608009.5395091404</c:v>
                </c:pt>
                <c:pt idx="2">
                  <c:v>2111591.7947478052</c:v>
                </c:pt>
                <c:pt idx="3">
                  <c:v>404446.81715737388</c:v>
                </c:pt>
                <c:pt idx="4">
                  <c:v>488076.60992338881</c:v>
                </c:pt>
                <c:pt idx="5">
                  <c:v>1423903.5577072646</c:v>
                </c:pt>
                <c:pt idx="6">
                  <c:v>1980487.0546214024</c:v>
                </c:pt>
                <c:pt idx="7">
                  <c:v>594952.66185644013</c:v>
                </c:pt>
                <c:pt idx="8">
                  <c:v>505808.40597872564</c:v>
                </c:pt>
                <c:pt idx="9">
                  <c:v>1499812.5686453267</c:v>
                </c:pt>
              </c:numCache>
            </c:numRef>
          </c:val>
          <c:smooth val="0"/>
          <c:extLst xmlns:c16r2="http://schemas.microsoft.com/office/drawing/2015/06/chart">
            <c:ext xmlns:c16="http://schemas.microsoft.com/office/drawing/2014/chart" uri="{C3380CC4-5D6E-409C-BE32-E72D297353CC}">
              <c16:uniqueId val="{00000002-41C2-4149-A1AF-C6B15B5E5D7A}"/>
            </c:ext>
          </c:extLst>
        </c:ser>
        <c:dLbls>
          <c:showLegendKey val="0"/>
          <c:showVal val="0"/>
          <c:showCatName val="0"/>
          <c:showSerName val="0"/>
          <c:showPercent val="0"/>
          <c:showBubbleSize val="0"/>
        </c:dLbls>
        <c:smooth val="0"/>
        <c:axId val="254554456"/>
        <c:axId val="254555240"/>
      </c:lineChart>
      <c:catAx>
        <c:axId val="254554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555240"/>
        <c:crosses val="autoZero"/>
        <c:auto val="1"/>
        <c:lblAlgn val="ctr"/>
        <c:lblOffset val="100"/>
        <c:noMultiLvlLbl val="0"/>
      </c:catAx>
      <c:valAx>
        <c:axId val="254555240"/>
        <c:scaling>
          <c:orientation val="minMax"/>
        </c:scaling>
        <c:delete val="0"/>
        <c:axPos val="l"/>
        <c:majorGridlines>
          <c:spPr>
            <a:ln w="9525" cap="flat" cmpd="sng" algn="ctr">
              <a:solidFill>
                <a:schemeClr val="tx1">
                  <a:lumMod val="15000"/>
                  <a:lumOff val="85000"/>
                </a:schemeClr>
              </a:solidFill>
              <a:round/>
            </a:ln>
            <a:effectLst/>
          </c:spPr>
        </c:majorGridlines>
        <c:numFmt formatCode="0.0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5544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[Informe_comparativo_con_EOH_TRIMESTRAL_20180511.xlsx]Tasa Variacion Pernoctaciones!Tabla dinámica1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400" b="0" i="0" baseline="0">
                <a:effectLst/>
              </a:rPr>
              <a:t>Balearic Islands hotel overnight stays variation rate</a:t>
            </a:r>
            <a:endParaRPr lang="es-ES" sz="1100">
              <a:effectLst/>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ivotFmts>
      <c:pivotFmt>
        <c:idx val="0"/>
        <c:spPr>
          <a:solidFill>
            <a:schemeClr val="accent1"/>
          </a:solidFill>
          <a:ln w="28575" cap="rnd">
            <a:solidFill>
              <a:schemeClr val="accent1"/>
            </a:solidFill>
            <a:round/>
          </a:ln>
          <a:effectLst/>
        </c:spPr>
        <c:marker>
          <c:symbol val="none"/>
        </c:marker>
      </c:pivotFmt>
      <c:pivotFmt>
        <c:idx val="1"/>
        <c:spPr>
          <a:solidFill>
            <a:schemeClr val="accent1"/>
          </a:solidFill>
          <a:ln w="28575" cap="rnd">
            <a:solidFill>
              <a:schemeClr val="accent1"/>
            </a:solidFill>
            <a:round/>
          </a:ln>
          <a:effectLst/>
        </c:spPr>
        <c:marker>
          <c:symbol val="none"/>
        </c:marker>
      </c:pivotFmt>
      <c:pivotFmt>
        <c:idx val="2"/>
        <c:spPr>
          <a:solidFill>
            <a:schemeClr val="accent1"/>
          </a:solidFill>
          <a:ln w="28575" cap="rnd">
            <a:solidFill>
              <a:schemeClr val="accent1"/>
            </a:solidFill>
            <a:round/>
          </a:ln>
          <a:effectLst/>
        </c:spPr>
        <c:marker>
          <c:symbol val="none"/>
        </c:marker>
      </c:pivotFmt>
      <c:pivotFmt>
        <c:idx val="3"/>
        <c:spPr>
          <a:solidFill>
            <a:schemeClr val="accent1"/>
          </a:solidFill>
          <a:ln w="28575" cap="rnd">
            <a:solidFill>
              <a:schemeClr val="accent1"/>
            </a:solidFill>
            <a:round/>
          </a:ln>
          <a:effectLst/>
        </c:spPr>
        <c:marker>
          <c:symbol val="none"/>
        </c:marker>
      </c:pivotFmt>
      <c:pivotFmt>
        <c:idx val="4"/>
        <c:spPr>
          <a:solidFill>
            <a:schemeClr val="accent1"/>
          </a:solidFill>
          <a:ln w="28575" cap="rnd">
            <a:solidFill>
              <a:schemeClr val="accent1"/>
            </a:solidFill>
            <a:round/>
          </a:ln>
          <a:effectLst/>
        </c:spPr>
        <c:marker>
          <c:symbol val="none"/>
        </c:marker>
      </c:pivotFmt>
      <c:pivotFmt>
        <c:idx val="5"/>
        <c:spPr>
          <a:solidFill>
            <a:schemeClr val="accent1"/>
          </a:solidFill>
          <a:ln w="28575" cap="rnd">
            <a:solidFill>
              <a:schemeClr val="accent1"/>
            </a:solidFill>
            <a:round/>
          </a:ln>
          <a:effectLst/>
        </c:spPr>
        <c:marker>
          <c:symbol val="none"/>
        </c:marker>
      </c:pivotFmt>
      <c:pivotFmt>
        <c:idx val="6"/>
        <c:spPr>
          <a:solidFill>
            <a:schemeClr val="accent1"/>
          </a:solidFill>
          <a:ln w="28575" cap="rnd">
            <a:solidFill>
              <a:schemeClr val="accent1"/>
            </a:solidFill>
            <a:round/>
          </a:ln>
          <a:effectLst/>
        </c:spPr>
        <c:marker>
          <c:symbol val="none"/>
        </c:marker>
      </c:pivotFmt>
      <c:pivotFmt>
        <c:idx val="7"/>
        <c:spPr>
          <a:solidFill>
            <a:schemeClr val="accent1"/>
          </a:solidFill>
          <a:ln w="28575" cap="rnd">
            <a:solidFill>
              <a:schemeClr val="accent1"/>
            </a:solidFill>
            <a:round/>
          </a:ln>
          <a:effectLst/>
        </c:spPr>
        <c:marker>
          <c:symbol val="none"/>
        </c:marker>
      </c:pivotFmt>
      <c:pivotFmt>
        <c:idx val="8"/>
        <c:spPr>
          <a:solidFill>
            <a:schemeClr val="accent1"/>
          </a:solidFill>
          <a:ln w="28575" cap="rnd">
            <a:solidFill>
              <a:schemeClr val="accent1"/>
            </a:solidFill>
            <a:round/>
          </a:ln>
          <a:effectLst/>
        </c:spPr>
        <c:marker>
          <c:symbol val="none"/>
        </c:marker>
      </c:pivotFmt>
      <c:pivotFmt>
        <c:idx val="9"/>
        <c:spPr>
          <a:solidFill>
            <a:schemeClr val="accent1"/>
          </a:solidFill>
          <a:ln w="28575" cap="rnd">
            <a:solidFill>
              <a:schemeClr val="accent1"/>
            </a:solidFill>
            <a:round/>
          </a:ln>
          <a:effectLst/>
        </c:spPr>
        <c:marker>
          <c:symbol val="none"/>
        </c:marker>
      </c:pivotFmt>
      <c:pivotFmt>
        <c:idx val="10"/>
        <c:spPr>
          <a:solidFill>
            <a:schemeClr val="accent1"/>
          </a:solidFill>
          <a:ln w="28575" cap="rnd">
            <a:solidFill>
              <a:schemeClr val="accent1"/>
            </a:solidFill>
            <a:round/>
          </a:ln>
          <a:effectLst/>
        </c:spPr>
        <c:marker>
          <c:symbol val="none"/>
        </c:marker>
      </c:pivotFmt>
      <c:pivotFmt>
        <c:idx val="11"/>
        <c:spPr>
          <a:solidFill>
            <a:schemeClr val="accent1"/>
          </a:solidFill>
          <a:ln w="28575" cap="rnd">
            <a:solidFill>
              <a:schemeClr val="accent1"/>
            </a:solidFill>
            <a:round/>
          </a:ln>
          <a:effectLst/>
        </c:spPr>
        <c:marker>
          <c:symbol val="none"/>
        </c:marker>
      </c:pivotFmt>
      <c:pivotFmt>
        <c:idx val="12"/>
        <c:spPr>
          <a:solidFill>
            <a:schemeClr val="accent1"/>
          </a:solidFill>
          <a:ln w="28575" cap="rnd">
            <a:solidFill>
              <a:schemeClr val="accent1"/>
            </a:solidFill>
            <a:round/>
          </a:ln>
          <a:effectLst/>
        </c:spPr>
        <c:marker>
          <c:symbol val="none"/>
        </c:marker>
      </c:pivotFmt>
      <c:pivotFmt>
        <c:idx val="13"/>
        <c:spPr>
          <a:solidFill>
            <a:schemeClr val="accent1"/>
          </a:solidFill>
          <a:ln w="28575" cap="rnd">
            <a:solidFill>
              <a:schemeClr val="accent1"/>
            </a:solidFill>
            <a:round/>
          </a:ln>
          <a:effectLst/>
        </c:spPr>
        <c:marker>
          <c:symbol val="none"/>
        </c:marker>
      </c:pivotFmt>
      <c:pivotFmt>
        <c:idx val="14"/>
        <c:spPr>
          <a:solidFill>
            <a:schemeClr val="accent1"/>
          </a:solidFill>
          <a:ln w="28575" cap="rnd">
            <a:solidFill>
              <a:schemeClr val="accent1"/>
            </a:solidFill>
            <a:round/>
          </a:ln>
          <a:effectLst/>
        </c:spPr>
        <c:marker>
          <c:symbol val="none"/>
        </c:marker>
      </c:pivotFmt>
      <c:pivotFmt>
        <c:idx val="15"/>
        <c:spPr>
          <a:solidFill>
            <a:schemeClr val="accent1"/>
          </a:solidFill>
          <a:ln w="28575" cap="rnd">
            <a:solidFill>
              <a:schemeClr val="accent1"/>
            </a:solidFill>
            <a:round/>
          </a:ln>
          <a:effectLst/>
        </c:spPr>
        <c:marker>
          <c:symbol val="none"/>
        </c:marker>
      </c:pivotFmt>
      <c:pivotFmt>
        <c:idx val="16"/>
        <c:spPr>
          <a:solidFill>
            <a:schemeClr val="accent1"/>
          </a:solidFill>
          <a:ln w="28575" cap="rnd">
            <a:solidFill>
              <a:schemeClr val="accent1"/>
            </a:solidFill>
            <a:round/>
          </a:ln>
          <a:effectLst/>
        </c:spPr>
        <c:marker>
          <c:symbol val="none"/>
        </c:marker>
      </c:pivotFmt>
      <c:pivotFmt>
        <c:idx val="17"/>
        <c:spPr>
          <a:solidFill>
            <a:schemeClr val="accent1"/>
          </a:solidFill>
          <a:ln w="28575" cap="rnd">
            <a:solidFill>
              <a:schemeClr val="accent1"/>
            </a:solidFill>
            <a:round/>
          </a:ln>
          <a:effectLst/>
        </c:spPr>
        <c:marker>
          <c:symbol val="none"/>
        </c:marker>
      </c:pivotFmt>
      <c:pivotFmt>
        <c:idx val="18"/>
        <c:spPr>
          <a:solidFill>
            <a:schemeClr val="accent1"/>
          </a:solidFill>
          <a:ln w="28575" cap="rnd">
            <a:solidFill>
              <a:schemeClr val="accent1"/>
            </a:solidFill>
            <a:round/>
          </a:ln>
          <a:effectLst/>
        </c:spPr>
        <c:marker>
          <c:symbol val="none"/>
        </c:marker>
      </c:pivotFmt>
      <c:pivotFmt>
        <c:idx val="19"/>
        <c:spPr>
          <a:solidFill>
            <a:schemeClr val="accent1"/>
          </a:solidFill>
          <a:ln w="28575" cap="rnd">
            <a:solidFill>
              <a:schemeClr val="accent1"/>
            </a:solidFill>
            <a:round/>
          </a:ln>
          <a:effectLst/>
        </c:spPr>
        <c:marker>
          <c:symbol val="none"/>
        </c:marker>
      </c:pivotFmt>
      <c:pivotFmt>
        <c:idx val="20"/>
        <c:spPr>
          <a:solidFill>
            <a:schemeClr val="accent1"/>
          </a:solidFill>
          <a:ln w="28575" cap="rnd">
            <a:solidFill>
              <a:schemeClr val="accent1"/>
            </a:solidFill>
            <a:round/>
          </a:ln>
          <a:effectLst/>
        </c:spPr>
        <c:marker>
          <c:symbol val="none"/>
        </c:marker>
      </c:pivotFmt>
      <c:pivotFmt>
        <c:idx val="21"/>
        <c:spPr>
          <a:solidFill>
            <a:schemeClr val="accent1"/>
          </a:solidFill>
          <a:ln w="28575" cap="rnd">
            <a:solidFill>
              <a:schemeClr val="accent1"/>
            </a:solidFill>
            <a:round/>
          </a:ln>
          <a:effectLst/>
        </c:spPr>
        <c:marker>
          <c:symbol val="none"/>
        </c:marker>
      </c:pivotFmt>
      <c:pivotFmt>
        <c:idx val="22"/>
        <c:spPr>
          <a:solidFill>
            <a:schemeClr val="accent1"/>
          </a:solidFill>
          <a:ln w="28575" cap="rnd">
            <a:solidFill>
              <a:schemeClr val="accent1"/>
            </a:solidFill>
            <a:round/>
          </a:ln>
          <a:effectLst/>
        </c:spPr>
        <c:marker>
          <c:symbol val="none"/>
        </c:marker>
      </c:pivotFmt>
      <c:pivotFmt>
        <c:idx val="23"/>
        <c:spPr>
          <a:solidFill>
            <a:schemeClr val="accent1"/>
          </a:solidFill>
          <a:ln w="28575" cap="rnd">
            <a:solidFill>
              <a:schemeClr val="accent1"/>
            </a:solidFill>
            <a:round/>
          </a:ln>
          <a:effectLst/>
        </c:spPr>
        <c:marker>
          <c:symbol val="none"/>
        </c:marker>
      </c:pivotFmt>
      <c:pivotFmt>
        <c:idx val="24"/>
        <c:spPr>
          <a:solidFill>
            <a:schemeClr val="accent1"/>
          </a:solidFill>
          <a:ln w="28575" cap="rnd">
            <a:solidFill>
              <a:schemeClr val="accent1"/>
            </a:solidFill>
            <a:round/>
          </a:ln>
          <a:effectLst/>
        </c:spPr>
        <c:marker>
          <c:symbol val="none"/>
        </c:marker>
      </c:pivotFmt>
      <c:pivotFmt>
        <c:idx val="25"/>
        <c:spPr>
          <a:solidFill>
            <a:schemeClr val="accent1"/>
          </a:solidFill>
          <a:ln w="28575" cap="rnd">
            <a:solidFill>
              <a:schemeClr val="accent1"/>
            </a:solidFill>
            <a:round/>
          </a:ln>
          <a:effectLst/>
        </c:spPr>
        <c:marker>
          <c:symbol val="none"/>
        </c:marker>
      </c:pivotFmt>
      <c:pivotFmt>
        <c:idx val="26"/>
        <c:spPr>
          <a:solidFill>
            <a:schemeClr val="accent1"/>
          </a:solidFill>
          <a:ln w="28575" cap="rnd">
            <a:solidFill>
              <a:schemeClr val="accent1"/>
            </a:solidFill>
            <a:round/>
          </a:ln>
          <a:effectLst/>
        </c:spPr>
        <c:marker>
          <c:symbol val="none"/>
        </c:marker>
      </c:pivotFmt>
      <c:pivotFmt>
        <c:idx val="27"/>
        <c:spPr>
          <a:solidFill>
            <a:schemeClr val="accent1"/>
          </a:solidFill>
          <a:ln w="28575" cap="rnd">
            <a:solidFill>
              <a:schemeClr val="accent1"/>
            </a:solidFill>
            <a:round/>
          </a:ln>
          <a:effectLst/>
        </c:spPr>
        <c:marker>
          <c:symbol val="none"/>
        </c:marker>
      </c:pivotFmt>
      <c:pivotFmt>
        <c:idx val="28"/>
        <c:spPr>
          <a:solidFill>
            <a:schemeClr val="accent1"/>
          </a:solidFill>
          <a:ln w="28575" cap="rnd">
            <a:solidFill>
              <a:schemeClr val="accent1"/>
            </a:solidFill>
            <a:round/>
          </a:ln>
          <a:effectLst/>
        </c:spPr>
        <c:marker>
          <c:symbol val="none"/>
        </c:marker>
      </c:pivotFmt>
      <c:pivotFmt>
        <c:idx val="29"/>
        <c:spPr>
          <a:solidFill>
            <a:schemeClr val="accent1"/>
          </a:solidFill>
          <a:ln w="28575" cap="rnd">
            <a:solidFill>
              <a:schemeClr val="accent1"/>
            </a:solidFill>
            <a:round/>
          </a:ln>
          <a:effectLst/>
        </c:spPr>
        <c:marker>
          <c:symbol val="none"/>
        </c:marker>
      </c:pivotFmt>
      <c:pivotFmt>
        <c:idx val="30"/>
        <c:spPr>
          <a:solidFill>
            <a:schemeClr val="accent1"/>
          </a:solidFill>
          <a:ln w="28575" cap="rnd">
            <a:solidFill>
              <a:schemeClr val="accent1"/>
            </a:solidFill>
            <a:round/>
          </a:ln>
          <a:effectLst/>
        </c:spPr>
        <c:marker>
          <c:symbol val="none"/>
        </c:marker>
      </c:pivotFmt>
      <c:pivotFmt>
        <c:idx val="31"/>
        <c:spPr>
          <a:solidFill>
            <a:schemeClr val="accent1"/>
          </a:solidFill>
          <a:ln w="28575" cap="rnd">
            <a:solidFill>
              <a:schemeClr val="accent1"/>
            </a:solidFill>
            <a:round/>
          </a:ln>
          <a:effectLst/>
        </c:spPr>
        <c:marker>
          <c:symbol val="none"/>
        </c:marker>
      </c:pivotFmt>
      <c:pivotFmt>
        <c:idx val="32"/>
        <c:spPr>
          <a:solidFill>
            <a:schemeClr val="accent1"/>
          </a:solidFill>
          <a:ln w="28575" cap="rnd">
            <a:solidFill>
              <a:schemeClr val="accent1"/>
            </a:solidFill>
            <a:round/>
          </a:ln>
          <a:effectLst/>
        </c:spPr>
        <c:marker>
          <c:symbol val="none"/>
        </c:marker>
      </c:pivotFmt>
      <c:pivotFmt>
        <c:idx val="33"/>
        <c:spPr>
          <a:solidFill>
            <a:schemeClr val="accent1"/>
          </a:solidFill>
          <a:ln w="28575" cap="rnd">
            <a:solidFill>
              <a:schemeClr val="accent1"/>
            </a:solidFill>
            <a:round/>
          </a:ln>
          <a:effectLst/>
        </c:spPr>
        <c:marker>
          <c:symbol val="none"/>
        </c:marker>
      </c:pivotFmt>
      <c:pivotFmt>
        <c:idx val="34"/>
        <c:spPr>
          <a:solidFill>
            <a:schemeClr val="accent1"/>
          </a:solidFill>
          <a:ln w="28575" cap="rnd">
            <a:solidFill>
              <a:schemeClr val="accent1"/>
            </a:solidFill>
            <a:round/>
          </a:ln>
          <a:effectLst/>
        </c:spPr>
        <c:marker>
          <c:symbol val="none"/>
        </c:marker>
      </c:pivotFmt>
      <c:pivotFmt>
        <c:idx val="35"/>
        <c:spPr>
          <a:solidFill>
            <a:schemeClr val="accent1"/>
          </a:solidFill>
          <a:ln w="28575" cap="rnd">
            <a:solidFill>
              <a:schemeClr val="accent1"/>
            </a:solidFill>
            <a:round/>
          </a:ln>
          <a:effectLst/>
        </c:spPr>
        <c:marker>
          <c:symbol val="none"/>
        </c:marker>
      </c:pivotFmt>
      <c:pivotFmt>
        <c:idx val="36"/>
        <c:spPr>
          <a:solidFill>
            <a:schemeClr val="accent1"/>
          </a:solidFill>
          <a:ln w="28575" cap="rnd">
            <a:solidFill>
              <a:schemeClr val="accent1"/>
            </a:solidFill>
            <a:round/>
          </a:ln>
          <a:effectLst/>
        </c:spPr>
        <c:marker>
          <c:symbol val="none"/>
        </c:marker>
      </c:pivotFmt>
      <c:pivotFmt>
        <c:idx val="37"/>
        <c:spPr>
          <a:solidFill>
            <a:schemeClr val="accent1"/>
          </a:solidFill>
          <a:ln w="28575" cap="rnd">
            <a:solidFill>
              <a:schemeClr val="accent1"/>
            </a:solidFill>
            <a:round/>
          </a:ln>
          <a:effectLst/>
        </c:spPr>
        <c:marker>
          <c:symbol val="none"/>
        </c:marker>
      </c:pivotFmt>
      <c:pivotFmt>
        <c:idx val="38"/>
        <c:spPr>
          <a:solidFill>
            <a:schemeClr val="accent1"/>
          </a:solidFill>
          <a:ln w="28575" cap="rnd">
            <a:solidFill>
              <a:schemeClr val="accent1"/>
            </a:solidFill>
            <a:round/>
          </a:ln>
          <a:effectLst/>
        </c:spPr>
        <c:marker>
          <c:symbol val="none"/>
        </c:marker>
      </c:pivotFmt>
      <c:pivotFmt>
        <c:idx val="39"/>
        <c:spPr>
          <a:solidFill>
            <a:schemeClr val="accent1"/>
          </a:solidFill>
          <a:ln w="28575" cap="rnd">
            <a:solidFill>
              <a:schemeClr val="accent1"/>
            </a:solidFill>
            <a:round/>
          </a:ln>
          <a:effectLst/>
        </c:spPr>
        <c:marker>
          <c:symbol val="none"/>
        </c:marker>
      </c:pivotFmt>
      <c:pivotFmt>
        <c:idx val="40"/>
        <c:spPr>
          <a:solidFill>
            <a:schemeClr val="accent1"/>
          </a:solidFill>
          <a:ln w="28575" cap="rnd">
            <a:solidFill>
              <a:schemeClr val="accent1"/>
            </a:solidFill>
            <a:round/>
          </a:ln>
          <a:effectLst/>
        </c:spPr>
        <c:marker>
          <c:symbol val="none"/>
        </c:marker>
      </c:pivotFmt>
      <c:pivotFmt>
        <c:idx val="41"/>
        <c:spPr>
          <a:solidFill>
            <a:schemeClr val="accent1"/>
          </a:solidFill>
          <a:ln w="28575" cap="rnd">
            <a:solidFill>
              <a:schemeClr val="accent1"/>
            </a:solidFill>
            <a:round/>
          </a:ln>
          <a:effectLst/>
        </c:spPr>
        <c:marker>
          <c:symbol val="none"/>
        </c:marker>
      </c:pivotFmt>
      <c:pivotFmt>
        <c:idx val="42"/>
        <c:spPr>
          <a:solidFill>
            <a:schemeClr val="accent1"/>
          </a:solidFill>
          <a:ln w="28575" cap="rnd">
            <a:solidFill>
              <a:schemeClr val="accent1"/>
            </a:solidFill>
            <a:round/>
          </a:ln>
          <a:effectLst/>
        </c:spPr>
        <c:marker>
          <c:symbol val="none"/>
        </c:marker>
      </c:pivotFmt>
      <c:pivotFmt>
        <c:idx val="43"/>
        <c:spPr>
          <a:solidFill>
            <a:schemeClr val="accent1"/>
          </a:solidFill>
          <a:ln w="28575" cap="rnd">
            <a:solidFill>
              <a:schemeClr val="accent1"/>
            </a:solidFill>
            <a:round/>
          </a:ln>
          <a:effectLst/>
        </c:spPr>
        <c:marker>
          <c:symbol val="none"/>
        </c:marker>
      </c:pivotFmt>
      <c:pivotFmt>
        <c:idx val="44"/>
        <c:spPr>
          <a:solidFill>
            <a:schemeClr val="accent1"/>
          </a:solidFill>
          <a:ln w="28575" cap="rnd">
            <a:solidFill>
              <a:schemeClr val="accent1"/>
            </a:solidFill>
            <a:round/>
          </a:ln>
          <a:effectLst/>
        </c:spPr>
        <c:marker>
          <c:symbol val="none"/>
        </c:marker>
      </c:pivotFmt>
      <c:pivotFmt>
        <c:idx val="45"/>
        <c:spPr>
          <a:solidFill>
            <a:schemeClr val="accent1"/>
          </a:solidFill>
          <a:ln w="28575" cap="rnd">
            <a:solidFill>
              <a:schemeClr val="accent1"/>
            </a:solidFill>
            <a:round/>
          </a:ln>
          <a:effectLst/>
        </c:spPr>
        <c:marker>
          <c:symbol val="none"/>
        </c:marker>
      </c:pivotFmt>
      <c:pivotFmt>
        <c:idx val="46"/>
        <c:spPr>
          <a:solidFill>
            <a:schemeClr val="accent1"/>
          </a:solidFill>
          <a:ln w="28575" cap="rnd">
            <a:solidFill>
              <a:schemeClr val="accent1"/>
            </a:solidFill>
            <a:round/>
          </a:ln>
          <a:effectLst/>
        </c:spPr>
        <c:marker>
          <c:symbol val="none"/>
        </c:marker>
      </c:pivotFmt>
      <c:pivotFmt>
        <c:idx val="47"/>
        <c:spPr>
          <a:solidFill>
            <a:schemeClr val="accent1"/>
          </a:solidFill>
          <a:ln w="28575" cap="rnd">
            <a:solidFill>
              <a:schemeClr val="accent1"/>
            </a:solidFill>
            <a:round/>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solidFill>
              <a:schemeClr val="accent2"/>
            </a:solidFill>
          </a:ln>
          <a:effectLst/>
        </c:spPr>
        <c:marker>
          <c:symbol val="none"/>
        </c:marker>
      </c:pivotFmt>
      <c:pivotFmt>
        <c:idx val="52"/>
        <c:spPr>
          <a:solidFill>
            <a:srgbClr val="9BBB59"/>
          </a:solidFill>
          <a:ln>
            <a:solidFill>
              <a:srgbClr val="9BBB59"/>
            </a:solid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solidFill>
              <a:schemeClr val="accent2"/>
            </a:solidFill>
          </a:ln>
          <a:effectLst/>
        </c:spPr>
        <c:marker>
          <c:symbol val="none"/>
        </c:marker>
      </c:pivotFmt>
      <c:pivotFmt>
        <c:idx val="55"/>
        <c:spPr>
          <a:solidFill>
            <a:srgbClr val="9BBB59"/>
          </a:solidFill>
          <a:ln>
            <a:solidFill>
              <a:srgbClr val="9BBB59"/>
            </a:solid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solidFill>
              <a:schemeClr val="accent2"/>
            </a:solidFill>
          </a:ln>
          <a:effectLst/>
        </c:spPr>
        <c:marker>
          <c:symbol val="none"/>
        </c:marker>
      </c:pivotFmt>
      <c:pivotFmt>
        <c:idx val="58"/>
        <c:spPr>
          <a:solidFill>
            <a:srgbClr val="9BBB59"/>
          </a:solidFill>
          <a:ln>
            <a:solidFill>
              <a:srgbClr val="9BBB59"/>
            </a:solidFill>
          </a:ln>
          <a:effectLst/>
        </c:spPr>
        <c:marker>
          <c:symbol val="none"/>
        </c:marker>
      </c:pivotFmt>
    </c:pivotFmts>
    <c:plotArea>
      <c:layout/>
      <c:barChart>
        <c:barDir val="col"/>
        <c:grouping val="clustered"/>
        <c:varyColors val="0"/>
        <c:ser>
          <c:idx val="0"/>
          <c:order val="0"/>
          <c:tx>
            <c:strRef>
              <c:f>'Tasa Variacion Pernoctaciones'!$C$4</c:f>
              <c:strCache>
                <c:ptCount val="1"/>
                <c:pt idx="0">
                  <c:v>RTS monthly calibrated</c:v>
                </c:pt>
              </c:strCache>
            </c:strRef>
          </c:tx>
          <c:spPr>
            <a:solidFill>
              <a:schemeClr val="accent1"/>
            </a:solidFill>
            <a:ln>
              <a:noFill/>
            </a:ln>
            <a:effectLst/>
          </c:spPr>
          <c:invertIfNegative val="0"/>
          <c:cat>
            <c:multiLvlStrRef>
              <c:f>'Tasa Variacion Pernoctaciones'!$A$5:$B$11</c:f>
              <c:multiLvlStrCache>
                <c:ptCount val="6"/>
                <c:lvl>
                  <c:pt idx="0">
                    <c:v>T1</c:v>
                  </c:pt>
                  <c:pt idx="1">
                    <c:v>T2</c:v>
                  </c:pt>
                  <c:pt idx="2">
                    <c:v>T3</c:v>
                  </c:pt>
                  <c:pt idx="3">
                    <c:v>T4</c:v>
                  </c:pt>
                  <c:pt idx="4">
                    <c:v>T1</c:v>
                  </c:pt>
                  <c:pt idx="5">
                    <c:v>T2</c:v>
                  </c:pt>
                </c:lvl>
                <c:lvl>
                  <c:pt idx="0">
                    <c:v>2016</c:v>
                  </c:pt>
                  <c:pt idx="4">
                    <c:v>2017</c:v>
                  </c:pt>
                </c:lvl>
              </c:multiLvlStrCache>
            </c:multiLvlStrRef>
          </c:cat>
          <c:val>
            <c:numRef>
              <c:f>'Tasa Variacion Pernoctaciones'!$C$5:$C$11</c:f>
              <c:numCache>
                <c:formatCode>General</c:formatCode>
                <c:ptCount val="6"/>
                <c:pt idx="0">
                  <c:v>-5.6237152172092912</c:v>
                </c:pt>
                <c:pt idx="1">
                  <c:v>27.09152832053676</c:v>
                </c:pt>
                <c:pt idx="2">
                  <c:v>5.1379718175993334</c:v>
                </c:pt>
                <c:pt idx="3">
                  <c:v>6.7736552402257191</c:v>
                </c:pt>
                <c:pt idx="4">
                  <c:v>25.694890278524881</c:v>
                </c:pt>
                <c:pt idx="5">
                  <c:v>-11.778963421804171</c:v>
                </c:pt>
              </c:numCache>
            </c:numRef>
          </c:val>
          <c:extLst xmlns:c16r2="http://schemas.microsoft.com/office/drawing/2015/06/chart">
            <c:ext xmlns:c16="http://schemas.microsoft.com/office/drawing/2014/chart" uri="{C3380CC4-5D6E-409C-BE32-E72D297353CC}">
              <c16:uniqueId val="{00000000-3018-4117-A764-4EC86A08DAEF}"/>
            </c:ext>
          </c:extLst>
        </c:ser>
        <c:ser>
          <c:idx val="1"/>
          <c:order val="1"/>
          <c:tx>
            <c:strRef>
              <c:f>'Tasa Variacion Pernoctaciones'!$D$4</c:f>
              <c:strCache>
                <c:ptCount val="1"/>
                <c:pt idx="0">
                  <c:v>HOS</c:v>
                </c:pt>
              </c:strCache>
            </c:strRef>
          </c:tx>
          <c:spPr>
            <a:solidFill>
              <a:schemeClr val="accent2"/>
            </a:solidFill>
            <a:ln>
              <a:solidFill>
                <a:schemeClr val="accent2"/>
              </a:solidFill>
            </a:ln>
            <a:effectLst/>
          </c:spPr>
          <c:invertIfNegative val="0"/>
          <c:cat>
            <c:multiLvlStrRef>
              <c:f>'Tasa Variacion Pernoctaciones'!$A$5:$B$11</c:f>
              <c:multiLvlStrCache>
                <c:ptCount val="6"/>
                <c:lvl>
                  <c:pt idx="0">
                    <c:v>T1</c:v>
                  </c:pt>
                  <c:pt idx="1">
                    <c:v>T2</c:v>
                  </c:pt>
                  <c:pt idx="2">
                    <c:v>T3</c:v>
                  </c:pt>
                  <c:pt idx="3">
                    <c:v>T4</c:v>
                  </c:pt>
                  <c:pt idx="4">
                    <c:v>T1</c:v>
                  </c:pt>
                  <c:pt idx="5">
                    <c:v>T2</c:v>
                  </c:pt>
                </c:lvl>
                <c:lvl>
                  <c:pt idx="0">
                    <c:v>2016</c:v>
                  </c:pt>
                  <c:pt idx="4">
                    <c:v>2017</c:v>
                  </c:pt>
                </c:lvl>
              </c:multiLvlStrCache>
            </c:multiLvlStrRef>
          </c:cat>
          <c:val>
            <c:numRef>
              <c:f>'Tasa Variacion Pernoctaciones'!$D$5:$D$11</c:f>
              <c:numCache>
                <c:formatCode>General</c:formatCode>
                <c:ptCount val="6"/>
                <c:pt idx="0">
                  <c:v>-4.0554583090216996</c:v>
                </c:pt>
                <c:pt idx="1">
                  <c:v>-13.063310100647463</c:v>
                </c:pt>
                <c:pt idx="2">
                  <c:v>-4.9765558640463761</c:v>
                </c:pt>
                <c:pt idx="3">
                  <c:v>48.461621580989785</c:v>
                </c:pt>
                <c:pt idx="4">
                  <c:v>4.6487158547486249</c:v>
                </c:pt>
                <c:pt idx="5">
                  <c:v>13.182797827264849</c:v>
                </c:pt>
              </c:numCache>
            </c:numRef>
          </c:val>
          <c:extLst xmlns:c16r2="http://schemas.microsoft.com/office/drawing/2015/06/chart">
            <c:ext xmlns:c16="http://schemas.microsoft.com/office/drawing/2014/chart" uri="{C3380CC4-5D6E-409C-BE32-E72D297353CC}">
              <c16:uniqueId val="{00000001-3018-4117-A764-4EC86A08DAEF}"/>
            </c:ext>
          </c:extLst>
        </c:ser>
        <c:ser>
          <c:idx val="2"/>
          <c:order val="2"/>
          <c:tx>
            <c:strRef>
              <c:f>'Tasa Variacion Pernoctaciones'!$E$4</c:f>
              <c:strCache>
                <c:ptCount val="1"/>
                <c:pt idx="0">
                  <c:v>RTS quarterly calibrated</c:v>
                </c:pt>
              </c:strCache>
            </c:strRef>
          </c:tx>
          <c:spPr>
            <a:solidFill>
              <a:srgbClr val="9BBB59"/>
            </a:solidFill>
            <a:ln>
              <a:solidFill>
                <a:srgbClr val="9BBB59"/>
              </a:solidFill>
            </a:ln>
            <a:effectLst/>
          </c:spPr>
          <c:invertIfNegative val="0"/>
          <c:cat>
            <c:multiLvlStrRef>
              <c:f>'Tasa Variacion Pernoctaciones'!$A$5:$B$11</c:f>
              <c:multiLvlStrCache>
                <c:ptCount val="6"/>
                <c:lvl>
                  <c:pt idx="0">
                    <c:v>T1</c:v>
                  </c:pt>
                  <c:pt idx="1">
                    <c:v>T2</c:v>
                  </c:pt>
                  <c:pt idx="2">
                    <c:v>T3</c:v>
                  </c:pt>
                  <c:pt idx="3">
                    <c:v>T4</c:v>
                  </c:pt>
                  <c:pt idx="4">
                    <c:v>T1</c:v>
                  </c:pt>
                  <c:pt idx="5">
                    <c:v>T2</c:v>
                  </c:pt>
                </c:lvl>
                <c:lvl>
                  <c:pt idx="0">
                    <c:v>2016</c:v>
                  </c:pt>
                  <c:pt idx="4">
                    <c:v>2017</c:v>
                  </c:pt>
                </c:lvl>
              </c:multiLvlStrCache>
            </c:multiLvlStrRef>
          </c:cat>
          <c:val>
            <c:numRef>
              <c:f>'Tasa Variacion Pernoctaciones'!$E$5:$E$11</c:f>
              <c:numCache>
                <c:formatCode>General</c:formatCode>
                <c:ptCount val="6"/>
                <c:pt idx="0">
                  <c:v>-3.809055489388407</c:v>
                </c:pt>
                <c:pt idx="1">
                  <c:v>-11.449309054352744</c:v>
                </c:pt>
                <c:pt idx="2">
                  <c:v>-6.2088108342010822</c:v>
                </c:pt>
                <c:pt idx="3">
                  <c:v>47.102817136261137</c:v>
                </c:pt>
                <c:pt idx="4">
                  <c:v>3.6329944305505872</c:v>
                </c:pt>
                <c:pt idx="5">
                  <c:v>5.3310500228181867</c:v>
                </c:pt>
              </c:numCache>
            </c:numRef>
          </c:val>
          <c:extLst xmlns:c16r2="http://schemas.microsoft.com/office/drawing/2015/06/chart">
            <c:ext xmlns:c16="http://schemas.microsoft.com/office/drawing/2014/chart" uri="{C3380CC4-5D6E-409C-BE32-E72D297353CC}">
              <c16:uniqueId val="{00000002-3018-4117-A764-4EC86A08DAEF}"/>
            </c:ext>
          </c:extLst>
        </c:ser>
        <c:dLbls>
          <c:showLegendKey val="0"/>
          <c:showVal val="0"/>
          <c:showCatName val="0"/>
          <c:showSerName val="0"/>
          <c:showPercent val="0"/>
          <c:showBubbleSize val="0"/>
        </c:dLbls>
        <c:gapWidth val="150"/>
        <c:axId val="254561120"/>
        <c:axId val="254561904"/>
      </c:barChart>
      <c:catAx>
        <c:axId val="254561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561904"/>
        <c:crosses val="autoZero"/>
        <c:auto val="1"/>
        <c:lblAlgn val="ctr"/>
        <c:lblOffset val="100"/>
        <c:noMultiLvlLbl val="0"/>
      </c:catAx>
      <c:valAx>
        <c:axId val="254561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5611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pivotOptions>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F8423E-1C73-42D7-A563-C78A664692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2869</Words>
  <Characters>17219</Characters>
  <Application>Microsoft Office Word</Application>
  <DocSecurity>4</DocSecurity>
  <Lines>143</Lines>
  <Paragraphs>40</Paragraphs>
  <ScaleCrop>false</ScaleCrop>
  <HeadingPairs>
    <vt:vector size="4" baseType="variant">
      <vt:variant>
        <vt:lpstr>Tytuł</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20048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Gawlik Ryszard</dc:creator>
  <cp:keywords/>
  <dc:description/>
  <cp:lastModifiedBy>Kowacka Anna</cp:lastModifiedBy>
  <cp:revision>2</cp:revision>
  <cp:lastPrinted>2018-05-19T15:51:00Z</cp:lastPrinted>
  <dcterms:created xsi:type="dcterms:W3CDTF">2018-05-21T05:40:00Z</dcterms:created>
  <dcterms:modified xsi:type="dcterms:W3CDTF">2018-05-21T05:40:00Z</dcterms:modified>
</cp:coreProperties>
</file>