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EC5F5A" w:rsidRDefault="00CC4EE3" w:rsidP="00D0270E">
      <w:pPr>
        <w:spacing w:before="480" w:after="480" w:line="360" w:lineRule="auto"/>
        <w:jc w:val="center"/>
        <w:rPr>
          <w:rFonts w:ascii="Arial" w:hAnsi="Arial" w:cs="Arial"/>
          <w:b/>
          <w:sz w:val="48"/>
          <w:szCs w:val="48"/>
          <w:lang w:val="en-GB"/>
        </w:rPr>
      </w:pPr>
      <w:bookmarkStart w:id="0" w:name="_GoBack"/>
      <w:bookmarkEnd w:id="0"/>
      <w:r w:rsidRPr="00CC4EE3">
        <w:rPr>
          <w:rFonts w:ascii="Arial" w:hAnsi="Arial" w:cs="Arial"/>
          <w:b/>
          <w:sz w:val="48"/>
          <w:szCs w:val="48"/>
          <w:lang w:val="en-US"/>
        </w:rPr>
        <w:t>Do declining response rates negatively affect sample composition?</w:t>
      </w:r>
      <w:r>
        <w:rPr>
          <w:rFonts w:ascii="Arial" w:hAnsi="Arial" w:cs="Arial"/>
          <w:b/>
          <w:sz w:val="48"/>
          <w:szCs w:val="48"/>
          <w:lang w:val="en-US"/>
        </w:rPr>
        <w:br/>
      </w:r>
      <w:r w:rsidRPr="00CC4EE3">
        <w:rPr>
          <w:rFonts w:ascii="Arial" w:hAnsi="Arial" w:cs="Arial"/>
          <w:b/>
          <w:sz w:val="48"/>
          <w:szCs w:val="48"/>
          <w:lang w:val="en-US"/>
        </w:rPr>
        <w:t>A longitudinal analysis using data from the German General Social Survey (ALLBUS)</w:t>
      </w:r>
    </w:p>
    <w:p w:rsidR="00D0270E" w:rsidRPr="00A23E4E" w:rsidRDefault="00CC4EE3" w:rsidP="00C726EA">
      <w:pPr>
        <w:spacing w:after="0" w:line="360" w:lineRule="auto"/>
        <w:jc w:val="both"/>
        <w:rPr>
          <w:rFonts w:ascii="Arial" w:hAnsi="Arial" w:cs="Arial"/>
          <w:lang w:val="en-GB"/>
        </w:rPr>
      </w:pPr>
      <w:r w:rsidRPr="00A23E4E">
        <w:rPr>
          <w:rFonts w:ascii="Arial" w:hAnsi="Arial" w:cs="Arial"/>
          <w:lang w:val="en-GB"/>
        </w:rPr>
        <w:t>Michael Blohm, GESIS – Leibniz Institute for the Social Sciences, michael.blohm@gesis.org</w:t>
      </w:r>
    </w:p>
    <w:p w:rsidR="000D705A" w:rsidRPr="00A221F8" w:rsidRDefault="00CC4EE3" w:rsidP="00C726EA">
      <w:pPr>
        <w:spacing w:after="0" w:line="360" w:lineRule="auto"/>
        <w:jc w:val="both"/>
        <w:rPr>
          <w:rFonts w:ascii="Arial" w:hAnsi="Arial" w:cs="Arial"/>
          <w:lang w:val="en-GB"/>
        </w:rPr>
      </w:pPr>
      <w:r w:rsidRPr="00A221F8">
        <w:rPr>
          <w:rFonts w:ascii="Arial" w:hAnsi="Arial" w:cs="Arial"/>
          <w:lang w:val="en-GB"/>
        </w:rPr>
        <w:t xml:space="preserve">Achim Koch, GESIS – Leibniz Institute for the Social Sciences, </w:t>
      </w:r>
      <w:r w:rsidR="00E05697">
        <w:rPr>
          <w:rFonts w:ascii="Arial" w:hAnsi="Arial" w:cs="Arial"/>
          <w:lang w:val="en-GB"/>
        </w:rPr>
        <w:t>achim.koch</w:t>
      </w:r>
      <w:r w:rsidRPr="00A221F8">
        <w:rPr>
          <w:rFonts w:ascii="Arial" w:hAnsi="Arial" w:cs="Arial"/>
          <w:lang w:val="en-GB"/>
        </w:rPr>
        <w:t>@gesis.org</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0D705A" w:rsidRPr="00EC5F5A" w:rsidRDefault="00CC4EE3" w:rsidP="00C726EA">
      <w:pPr>
        <w:spacing w:after="0" w:line="240" w:lineRule="auto"/>
        <w:jc w:val="both"/>
        <w:rPr>
          <w:rFonts w:ascii="Arial" w:hAnsi="Arial" w:cs="Arial"/>
          <w:i/>
          <w:sz w:val="20"/>
          <w:szCs w:val="20"/>
          <w:lang w:val="en-GB"/>
        </w:rPr>
      </w:pPr>
      <w:r w:rsidRPr="00CC4EE3">
        <w:rPr>
          <w:rFonts w:ascii="Arial" w:hAnsi="Arial" w:cs="Arial"/>
          <w:i/>
          <w:sz w:val="20"/>
          <w:szCs w:val="20"/>
          <w:lang w:val="en-US"/>
        </w:rPr>
        <w:t xml:space="preserve">The German General Social Survey (ALLBUS) is a repeated cross-sectional multi–thematic survey conducted every other year since 1980. Like many other surveys ALLBUS has been facing the problem of declining response rates. Since 1994 ALLBUS response rates decreased steadily from 54% to 35% at present – despite exerting higher fieldwork efforts. Declining response rates give rise to the question whether this affects survey quality. Selective participation might threaten the representativeness of a survey in general or with regard to specific </w:t>
      </w:r>
      <w:r w:rsidR="00644BF1">
        <w:rPr>
          <w:rFonts w:ascii="Arial" w:hAnsi="Arial" w:cs="Arial"/>
          <w:i/>
          <w:sz w:val="20"/>
          <w:szCs w:val="20"/>
          <w:lang w:val="en-US"/>
        </w:rPr>
        <w:t xml:space="preserve">characteristics and </w:t>
      </w:r>
      <w:r w:rsidRPr="00CC4EE3">
        <w:rPr>
          <w:rFonts w:ascii="Arial" w:hAnsi="Arial" w:cs="Arial"/>
          <w:i/>
          <w:sz w:val="20"/>
          <w:szCs w:val="20"/>
          <w:lang w:val="en-US"/>
        </w:rPr>
        <w:t xml:space="preserve">questions. In our presentation we use ALLBUS data to analyze the relationship between the response rate and indicators of nonresponse bias over time. The ALLBUS provides a good basis to analyze this relationship, since it has used an almost identical study design since 1994. To investigate nonresponse bias </w:t>
      </w:r>
      <w:r w:rsidRPr="00CC4EE3">
        <w:rPr>
          <w:rFonts w:ascii="Arial" w:hAnsi="Arial" w:cs="Arial"/>
          <w:i/>
          <w:sz w:val="20"/>
          <w:szCs w:val="20"/>
          <w:lang w:val="en"/>
        </w:rPr>
        <w:t>we analyse a) survey participation in ALLBUS with sample frame information from the population registers and b) deviations of the net sample from external benchmark data (namely the German (micro-) census from official statistics)</w:t>
      </w:r>
      <w:r w:rsidRPr="00CC4EE3">
        <w:rPr>
          <w:rFonts w:ascii="Arial" w:hAnsi="Arial" w:cs="Arial"/>
          <w:i/>
          <w:sz w:val="20"/>
          <w:szCs w:val="20"/>
          <w:lang w:val="en-US"/>
        </w:rPr>
        <w:t>.</w:t>
      </w:r>
      <w:r w:rsidR="00622551">
        <w:rPr>
          <w:rFonts w:ascii="Arial" w:hAnsi="Arial" w:cs="Arial"/>
          <w:i/>
          <w:sz w:val="20"/>
          <w:szCs w:val="20"/>
          <w:lang w:val="en-US"/>
        </w:rPr>
        <w:t xml:space="preserve"> Our</w:t>
      </w:r>
      <w:r w:rsidRPr="00CC4EE3">
        <w:rPr>
          <w:rFonts w:ascii="Arial" w:hAnsi="Arial" w:cs="Arial"/>
          <w:i/>
          <w:sz w:val="20"/>
          <w:szCs w:val="20"/>
          <w:lang w:val="en-US"/>
        </w:rPr>
        <w:t xml:space="preserve"> results indicate that decreasing response rates a</w:t>
      </w:r>
      <w:r w:rsidRPr="00CC4EE3">
        <w:rPr>
          <w:rFonts w:ascii="Arial" w:hAnsi="Arial" w:cs="Arial"/>
          <w:i/>
          <w:color w:val="222222"/>
          <w:sz w:val="20"/>
          <w:szCs w:val="20"/>
          <w:lang w:val="en"/>
        </w:rPr>
        <w:t xml:space="preserve">re not systematically associated </w:t>
      </w:r>
      <w:r w:rsidRPr="00CC4EE3">
        <w:rPr>
          <w:rFonts w:ascii="Arial" w:hAnsi="Arial" w:cs="Arial"/>
          <w:i/>
          <w:sz w:val="20"/>
          <w:szCs w:val="20"/>
          <w:lang w:val="en-US"/>
        </w:rPr>
        <w:t>with deterioration in demographic sample composition</w:t>
      </w:r>
      <w:r w:rsidRPr="00CC4EE3">
        <w:rPr>
          <w:rFonts w:ascii="Arial" w:hAnsi="Arial" w:cs="Arial"/>
          <w:i/>
          <w:color w:val="222222"/>
          <w:sz w:val="20"/>
          <w:szCs w:val="20"/>
          <w:lang w:val="en"/>
        </w:rPr>
        <w:t xml:space="preserve">. </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CC4EE3">
        <w:rPr>
          <w:rFonts w:ascii="Arial" w:hAnsi="Arial" w:cs="Arial"/>
          <w:sz w:val="20"/>
          <w:szCs w:val="20"/>
          <w:lang w:val="en-GB"/>
        </w:rPr>
        <w:t>Response Rate, Nonresponse Bias</w:t>
      </w:r>
      <w:r w:rsidRPr="00EC5F5A">
        <w:rPr>
          <w:rFonts w:ascii="Arial" w:hAnsi="Arial" w:cs="Arial"/>
          <w:sz w:val="20"/>
          <w:szCs w:val="20"/>
          <w:lang w:val="en-GB"/>
        </w:rPr>
        <w:t xml:space="preserve">, </w:t>
      </w:r>
      <w:r w:rsidR="00CC4EE3">
        <w:rPr>
          <w:rFonts w:ascii="Arial" w:hAnsi="Arial" w:cs="Arial"/>
          <w:sz w:val="20"/>
          <w:szCs w:val="20"/>
          <w:lang w:val="en-GB"/>
        </w:rPr>
        <w:t>F2F Survey, ALLBUS</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CC4EE3">
        <w:rPr>
          <w:rFonts w:ascii="Arial" w:hAnsi="Arial" w:cs="Arial"/>
          <w:b/>
          <w:sz w:val="24"/>
          <w:szCs w:val="24"/>
          <w:lang w:val="en-GB"/>
        </w:rPr>
        <w:t>Introduction</w:t>
      </w:r>
    </w:p>
    <w:p w:rsidR="004B1091" w:rsidRPr="004B1091" w:rsidRDefault="004B1091" w:rsidP="004B1091">
      <w:pPr>
        <w:spacing w:after="120" w:line="360" w:lineRule="auto"/>
        <w:rPr>
          <w:rFonts w:ascii="Arial" w:hAnsi="Arial" w:cs="Arial"/>
          <w:b/>
          <w:sz w:val="24"/>
          <w:szCs w:val="24"/>
          <w:lang w:val="en-US"/>
        </w:rPr>
      </w:pPr>
      <w:r w:rsidRPr="004B1091">
        <w:rPr>
          <w:rFonts w:ascii="Arial" w:hAnsi="Arial" w:cs="Arial"/>
          <w:sz w:val="24"/>
          <w:szCs w:val="24"/>
          <w:lang w:val="en-US"/>
        </w:rPr>
        <w:t>Declining response rates are a continuing problem for household surveys in many Western countries (Atrostic et al. 2001;</w:t>
      </w:r>
      <w:r w:rsidR="00321FD1">
        <w:rPr>
          <w:rFonts w:ascii="Arial" w:hAnsi="Arial" w:cs="Arial"/>
          <w:sz w:val="24"/>
          <w:szCs w:val="24"/>
          <w:lang w:val="en-US"/>
        </w:rPr>
        <w:t xml:space="preserve"> Beullens et al. 2018;</w:t>
      </w:r>
      <w:r w:rsidRPr="004B1091">
        <w:rPr>
          <w:rFonts w:ascii="Arial" w:hAnsi="Arial" w:cs="Arial"/>
          <w:sz w:val="24"/>
          <w:szCs w:val="24"/>
          <w:lang w:val="en-US"/>
        </w:rPr>
        <w:t xml:space="preserve"> de Leeuw and de Heer 2002; Dixon and Tucker 2010). The German General Social Survey (ALLBUS) – which has been conducted every other year since 1980 – also has been facing an increase in nonresponse in the past decades. Between 1994 and </w:t>
      </w:r>
      <w:r w:rsidR="001C74DB" w:rsidRPr="004B1091">
        <w:rPr>
          <w:rFonts w:ascii="Arial" w:hAnsi="Arial" w:cs="Arial"/>
          <w:sz w:val="24"/>
          <w:szCs w:val="24"/>
          <w:lang w:val="en-US"/>
        </w:rPr>
        <w:t>201</w:t>
      </w:r>
      <w:r w:rsidR="001C74DB">
        <w:rPr>
          <w:rFonts w:ascii="Arial" w:hAnsi="Arial" w:cs="Arial"/>
          <w:sz w:val="24"/>
          <w:szCs w:val="24"/>
          <w:lang w:val="en-US"/>
        </w:rPr>
        <w:t>6</w:t>
      </w:r>
      <w:r w:rsidRPr="004B1091">
        <w:rPr>
          <w:rFonts w:ascii="Arial" w:hAnsi="Arial" w:cs="Arial"/>
          <w:sz w:val="24"/>
          <w:szCs w:val="24"/>
          <w:lang w:val="en-US"/>
        </w:rPr>
        <w:t xml:space="preserve"> the response rate of ALLBUS decreased from 54% to 35%. The main reason for this decline was a rise in the number of refusals. </w:t>
      </w:r>
      <w:r w:rsidR="00624F33" w:rsidRPr="004B1091">
        <w:rPr>
          <w:rFonts w:ascii="Arial" w:hAnsi="Arial" w:cs="Arial"/>
          <w:sz w:val="24"/>
          <w:szCs w:val="24"/>
          <w:lang w:val="en-US"/>
        </w:rPr>
        <w:t>T</w:t>
      </w:r>
      <w:r w:rsidR="00624F33" w:rsidRPr="004B1091">
        <w:rPr>
          <w:rFonts w:ascii="Arial" w:hAnsi="Arial" w:cs="Arial"/>
          <w:sz w:val="24"/>
          <w:szCs w:val="24"/>
          <w:lang w:val="en"/>
        </w:rPr>
        <w:t>he</w:t>
      </w:r>
      <w:r w:rsidRPr="004B1091">
        <w:rPr>
          <w:rFonts w:ascii="Arial" w:hAnsi="Arial" w:cs="Arial"/>
          <w:sz w:val="24"/>
          <w:szCs w:val="24"/>
          <w:lang w:val="en"/>
        </w:rPr>
        <w:t xml:space="preserve"> decrease in </w:t>
      </w:r>
      <w:r w:rsidR="00612EB8">
        <w:rPr>
          <w:rFonts w:ascii="Arial" w:hAnsi="Arial" w:cs="Arial"/>
          <w:sz w:val="24"/>
          <w:szCs w:val="24"/>
          <w:lang w:val="en"/>
        </w:rPr>
        <w:t xml:space="preserve">the </w:t>
      </w:r>
      <w:r w:rsidRPr="004B1091">
        <w:rPr>
          <w:rFonts w:ascii="Arial" w:hAnsi="Arial" w:cs="Arial"/>
          <w:sz w:val="24"/>
          <w:szCs w:val="24"/>
          <w:lang w:val="en"/>
        </w:rPr>
        <w:t xml:space="preserve">response rate raised concerns whether </w:t>
      </w:r>
      <w:r w:rsidR="00612EB8">
        <w:rPr>
          <w:rFonts w:ascii="Arial" w:hAnsi="Arial" w:cs="Arial"/>
          <w:sz w:val="24"/>
          <w:szCs w:val="24"/>
          <w:lang w:val="en"/>
        </w:rPr>
        <w:t xml:space="preserve">it </w:t>
      </w:r>
      <w:r w:rsidRPr="004B1091">
        <w:rPr>
          <w:rFonts w:ascii="Arial" w:hAnsi="Arial" w:cs="Arial"/>
          <w:sz w:val="24"/>
          <w:szCs w:val="24"/>
          <w:lang w:val="en"/>
        </w:rPr>
        <w:t>would be accompanied by an increase in nonresponse bias.</w:t>
      </w:r>
      <w:r w:rsidR="00BE4C3B">
        <w:rPr>
          <w:rFonts w:ascii="Arial" w:hAnsi="Arial" w:cs="Arial"/>
          <w:sz w:val="24"/>
          <w:szCs w:val="24"/>
          <w:lang w:val="en"/>
        </w:rPr>
        <w:t xml:space="preserve"> In the </w:t>
      </w:r>
      <w:r w:rsidR="00BE4C3B">
        <w:rPr>
          <w:rFonts w:ascii="Arial" w:hAnsi="Arial" w:cs="Arial"/>
          <w:sz w:val="24"/>
          <w:szCs w:val="24"/>
          <w:lang w:val="en"/>
        </w:rPr>
        <w:lastRenderedPageBreak/>
        <w:t>following we investigate whether the decline in ALLBUS response rates comes along with an increase in nonresponse bias over time.</w:t>
      </w:r>
    </w:p>
    <w:p w:rsidR="00D0258C"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CC4EE3">
        <w:rPr>
          <w:rFonts w:ascii="Arial" w:hAnsi="Arial" w:cs="Arial"/>
          <w:b/>
          <w:sz w:val="24"/>
          <w:szCs w:val="24"/>
          <w:lang w:val="en-GB"/>
        </w:rPr>
        <w:t>Data and Methods</w:t>
      </w:r>
    </w:p>
    <w:p w:rsidR="0088367C" w:rsidRDefault="007C2D7C" w:rsidP="004F37BE">
      <w:pPr>
        <w:spacing w:after="120" w:line="360" w:lineRule="auto"/>
        <w:rPr>
          <w:rFonts w:ascii="Arial" w:hAnsi="Arial" w:cs="Arial"/>
          <w:sz w:val="24"/>
          <w:szCs w:val="24"/>
        </w:rPr>
      </w:pPr>
      <w:r w:rsidRPr="007C2D7C">
        <w:rPr>
          <w:rFonts w:ascii="Arial" w:hAnsi="Arial" w:cs="Arial"/>
          <w:sz w:val="24"/>
          <w:szCs w:val="24"/>
          <w:lang w:val="en-US"/>
        </w:rPr>
        <w:t xml:space="preserve">ALLBUS is a face-to-face survey of the adult population in Germany, covering a wide range of topics and aiming at charting the long-term trends in attitudes and behaviour (http://www.gesis.org/en/allbus). ALLBUS provides a good opportunity to analyze </w:t>
      </w:r>
      <w:r w:rsidR="00612EB8">
        <w:rPr>
          <w:rFonts w:ascii="Arial" w:hAnsi="Arial" w:cs="Arial"/>
          <w:sz w:val="24"/>
          <w:szCs w:val="24"/>
          <w:lang w:val="en-US"/>
        </w:rPr>
        <w:t>the relationship between declining response rates and nonresponse bias</w:t>
      </w:r>
      <w:r w:rsidRPr="007C2D7C">
        <w:rPr>
          <w:rFonts w:ascii="Arial" w:hAnsi="Arial" w:cs="Arial"/>
          <w:sz w:val="24"/>
          <w:szCs w:val="24"/>
          <w:lang w:val="en-US"/>
        </w:rPr>
        <w:t xml:space="preserve">, as ALLBUS has used </w:t>
      </w:r>
      <w:r w:rsidR="00612EB8">
        <w:rPr>
          <w:rFonts w:ascii="Arial" w:hAnsi="Arial" w:cs="Arial"/>
          <w:sz w:val="24"/>
          <w:szCs w:val="24"/>
          <w:lang w:val="en-US"/>
        </w:rPr>
        <w:t xml:space="preserve">the same basic survey design </w:t>
      </w:r>
      <w:r w:rsidRPr="007C2D7C">
        <w:rPr>
          <w:rFonts w:ascii="Arial" w:hAnsi="Arial" w:cs="Arial"/>
          <w:sz w:val="24"/>
          <w:szCs w:val="24"/>
          <w:lang w:val="en-US"/>
        </w:rPr>
        <w:t xml:space="preserve">since 1994 (target population </w:t>
      </w:r>
      <w:r w:rsidR="004C3374">
        <w:rPr>
          <w:rFonts w:ascii="Arial" w:hAnsi="Arial" w:cs="Arial"/>
          <w:sz w:val="24"/>
          <w:szCs w:val="24"/>
          <w:lang w:val="en-US"/>
        </w:rPr>
        <w:t>covering</w:t>
      </w:r>
      <w:r w:rsidRPr="007C2D7C">
        <w:rPr>
          <w:rFonts w:ascii="Arial" w:hAnsi="Arial" w:cs="Arial"/>
          <w:sz w:val="24"/>
          <w:szCs w:val="24"/>
          <w:lang w:val="en-US"/>
        </w:rPr>
        <w:t xml:space="preserve"> adults living in private households; samples of named individuals</w:t>
      </w:r>
      <w:r w:rsidR="0088367C">
        <w:rPr>
          <w:rFonts w:ascii="Arial" w:hAnsi="Arial" w:cs="Arial"/>
          <w:sz w:val="24"/>
          <w:szCs w:val="24"/>
          <w:lang w:val="en-US"/>
        </w:rPr>
        <w:t xml:space="preserve"> from a register</w:t>
      </w:r>
      <w:r w:rsidRPr="007C2D7C">
        <w:rPr>
          <w:rFonts w:ascii="Arial" w:hAnsi="Arial" w:cs="Arial"/>
          <w:sz w:val="24"/>
          <w:szCs w:val="24"/>
          <w:lang w:val="en-US"/>
        </w:rPr>
        <w:t>; 3.500 completed interviews</w:t>
      </w:r>
      <w:r w:rsidR="004C3374">
        <w:rPr>
          <w:rFonts w:ascii="Arial" w:hAnsi="Arial" w:cs="Arial"/>
          <w:sz w:val="24"/>
          <w:szCs w:val="24"/>
          <w:lang w:val="en-US"/>
        </w:rPr>
        <w:t xml:space="preserve"> per round</w:t>
      </w:r>
      <w:r w:rsidRPr="007C2D7C">
        <w:rPr>
          <w:rFonts w:ascii="Arial" w:hAnsi="Arial" w:cs="Arial"/>
          <w:sz w:val="24"/>
          <w:szCs w:val="24"/>
          <w:lang w:val="en-US"/>
        </w:rPr>
        <w:t>; interview duration around 70 minutes; consistent calculation of response rates).</w:t>
      </w:r>
      <w:r w:rsidR="00DD7441">
        <w:rPr>
          <w:rFonts w:ascii="Arial" w:hAnsi="Arial" w:cs="Arial"/>
          <w:sz w:val="24"/>
          <w:szCs w:val="24"/>
          <w:lang w:val="en-US"/>
        </w:rPr>
        <w:t xml:space="preserve"> </w:t>
      </w:r>
      <w:r w:rsidR="0088367C">
        <w:rPr>
          <w:rFonts w:ascii="Arial" w:hAnsi="Arial" w:cs="Arial"/>
          <w:sz w:val="24"/>
          <w:szCs w:val="24"/>
        </w:rPr>
        <w:t xml:space="preserve">In order to analyse nonresponse bias we rely on two different sets of indicators. On the one hand, we use micro level data </w:t>
      </w:r>
      <w:r w:rsidR="00ED2FA0">
        <w:rPr>
          <w:rFonts w:ascii="Arial" w:hAnsi="Arial" w:cs="Arial"/>
          <w:sz w:val="24"/>
          <w:szCs w:val="24"/>
        </w:rPr>
        <w:t xml:space="preserve">for respondents and nonrespondents </w:t>
      </w:r>
      <w:r w:rsidR="0088367C">
        <w:rPr>
          <w:rFonts w:ascii="Arial" w:hAnsi="Arial" w:cs="Arial"/>
          <w:sz w:val="24"/>
          <w:szCs w:val="24"/>
        </w:rPr>
        <w:t xml:space="preserve">from the ALLBUS sampling frame to calculate R </w:t>
      </w:r>
      <w:r w:rsidR="00624F33">
        <w:rPr>
          <w:rFonts w:ascii="Arial" w:hAnsi="Arial" w:cs="Arial"/>
          <w:sz w:val="24"/>
          <w:szCs w:val="24"/>
        </w:rPr>
        <w:t>-i</w:t>
      </w:r>
      <w:r w:rsidR="0088367C">
        <w:rPr>
          <w:rFonts w:ascii="Arial" w:hAnsi="Arial" w:cs="Arial"/>
          <w:sz w:val="24"/>
          <w:szCs w:val="24"/>
        </w:rPr>
        <w:t xml:space="preserve">ndicators </w:t>
      </w:r>
      <w:r w:rsidR="00624F33">
        <w:rPr>
          <w:rFonts w:ascii="Arial" w:hAnsi="Arial" w:cs="Arial"/>
          <w:sz w:val="24"/>
          <w:szCs w:val="24"/>
        </w:rPr>
        <w:t xml:space="preserve">(Schouten et al. 2011). </w:t>
      </w:r>
      <w:r w:rsidR="00ED2FA0">
        <w:rPr>
          <w:rFonts w:ascii="Arial" w:hAnsi="Arial" w:cs="Arial"/>
          <w:sz w:val="24"/>
          <w:szCs w:val="24"/>
        </w:rPr>
        <w:t xml:space="preserve">On the other hand, we use aggregate level data from official statistics and analyse </w:t>
      </w:r>
      <w:r w:rsidR="00434705">
        <w:rPr>
          <w:rFonts w:ascii="Arial" w:hAnsi="Arial" w:cs="Arial"/>
          <w:sz w:val="24"/>
          <w:szCs w:val="24"/>
        </w:rPr>
        <w:t>the deviations of the ALLBUS net sample from th</w:t>
      </w:r>
      <w:r w:rsidR="00AE7199">
        <w:rPr>
          <w:rFonts w:ascii="Arial" w:hAnsi="Arial" w:cs="Arial"/>
          <w:sz w:val="24"/>
          <w:szCs w:val="24"/>
        </w:rPr>
        <w:t>ese</w:t>
      </w:r>
      <w:r w:rsidR="00434705">
        <w:rPr>
          <w:rFonts w:ascii="Arial" w:hAnsi="Arial" w:cs="Arial"/>
          <w:sz w:val="24"/>
          <w:szCs w:val="24"/>
        </w:rPr>
        <w:t xml:space="preserve"> external benchmark data.</w:t>
      </w:r>
    </w:p>
    <w:p w:rsidR="00F47D33" w:rsidRPr="00A23E4E" w:rsidRDefault="00F47D33" w:rsidP="00A23E4E">
      <w:pPr>
        <w:spacing w:line="360" w:lineRule="auto"/>
        <w:rPr>
          <w:rFonts w:ascii="Arial" w:hAnsi="Arial" w:cs="Arial"/>
          <w:sz w:val="24"/>
          <w:szCs w:val="24"/>
        </w:rPr>
      </w:pPr>
    </w:p>
    <w:p w:rsidR="00F47D33" w:rsidRPr="00A23E4E" w:rsidRDefault="00F47D33" w:rsidP="00A23E4E">
      <w:pPr>
        <w:spacing w:line="360" w:lineRule="auto"/>
        <w:rPr>
          <w:rFonts w:ascii="Arial" w:hAnsi="Arial" w:cs="Arial"/>
          <w:sz w:val="24"/>
          <w:szCs w:val="24"/>
        </w:rPr>
      </w:pPr>
      <w:r w:rsidRPr="00A23E4E">
        <w:rPr>
          <w:rFonts w:ascii="Arial" w:hAnsi="Arial" w:cs="Arial"/>
          <w:sz w:val="24"/>
          <w:szCs w:val="24"/>
        </w:rPr>
        <w:t>2.1 R</w:t>
      </w:r>
      <w:r w:rsidR="00624F33">
        <w:rPr>
          <w:rFonts w:ascii="Arial" w:hAnsi="Arial" w:cs="Arial"/>
          <w:sz w:val="24"/>
          <w:szCs w:val="24"/>
        </w:rPr>
        <w:t>-</w:t>
      </w:r>
      <w:r w:rsidRPr="00A23E4E">
        <w:rPr>
          <w:rFonts w:ascii="Arial" w:hAnsi="Arial" w:cs="Arial"/>
          <w:sz w:val="24"/>
          <w:szCs w:val="24"/>
        </w:rPr>
        <w:t>indicators</w:t>
      </w:r>
    </w:p>
    <w:p w:rsidR="00F47D33" w:rsidRDefault="00307119" w:rsidP="00DD7441">
      <w:pPr>
        <w:spacing w:line="360" w:lineRule="auto"/>
        <w:rPr>
          <w:rFonts w:ascii="Arial" w:hAnsi="Arial" w:cs="Arial"/>
          <w:sz w:val="24"/>
          <w:szCs w:val="24"/>
        </w:rPr>
      </w:pPr>
      <w:r>
        <w:rPr>
          <w:rFonts w:ascii="Arial" w:hAnsi="Arial" w:cs="Arial"/>
          <w:sz w:val="24"/>
          <w:szCs w:val="24"/>
        </w:rPr>
        <w:t>R</w:t>
      </w:r>
      <w:r w:rsidR="00624F33">
        <w:rPr>
          <w:rFonts w:ascii="Arial" w:hAnsi="Arial" w:cs="Arial"/>
          <w:sz w:val="24"/>
          <w:szCs w:val="24"/>
        </w:rPr>
        <w:t>-</w:t>
      </w:r>
      <w:r>
        <w:rPr>
          <w:rFonts w:ascii="Arial" w:hAnsi="Arial" w:cs="Arial"/>
          <w:sz w:val="24"/>
          <w:szCs w:val="24"/>
        </w:rPr>
        <w:t>indicators use frame information available both for respondents and nonrespondents of a survey to calculate response propensities. R</w:t>
      </w:r>
      <w:r w:rsidR="00624F33">
        <w:rPr>
          <w:rFonts w:ascii="Arial" w:hAnsi="Arial" w:cs="Arial"/>
          <w:sz w:val="24"/>
          <w:szCs w:val="24"/>
        </w:rPr>
        <w:t>-</w:t>
      </w:r>
      <w:r>
        <w:rPr>
          <w:rFonts w:ascii="Arial" w:hAnsi="Arial" w:cs="Arial"/>
          <w:sz w:val="24"/>
          <w:szCs w:val="24"/>
        </w:rPr>
        <w:t>indicators reflect the variability of the estimated response propensities</w:t>
      </w:r>
      <w:r w:rsidR="001334EE">
        <w:rPr>
          <w:rFonts w:ascii="Arial" w:hAnsi="Arial" w:cs="Arial"/>
          <w:sz w:val="24"/>
          <w:szCs w:val="24"/>
        </w:rPr>
        <w:t xml:space="preserve"> and are defined by</w:t>
      </w:r>
      <w:r w:rsidR="001334EE">
        <w:rPr>
          <w:rFonts w:ascii="Arial" w:hAnsi="Arial" w:cs="Arial"/>
          <w:sz w:val="24"/>
          <w:szCs w:val="24"/>
        </w:rPr>
        <w:br/>
      </w:r>
      <m:oMath>
        <m:r>
          <w:rPr>
            <w:rFonts w:ascii="Cambria Math" w:hAnsi="Cambria Math" w:cs="Arial"/>
            <w:sz w:val="24"/>
            <w:szCs w:val="24"/>
          </w:rPr>
          <m:t>R=1-2S(p)</m:t>
        </m:r>
      </m:oMath>
      <w:r w:rsidR="001334EE">
        <w:rPr>
          <w:rFonts w:ascii="Arial" w:hAnsi="Arial" w:cs="Arial"/>
          <w:sz w:val="24"/>
          <w:szCs w:val="24"/>
        </w:rPr>
        <w:t xml:space="preserve">. </w:t>
      </w:r>
      <w:r w:rsidR="006F1169">
        <w:rPr>
          <w:rFonts w:ascii="Arial" w:hAnsi="Arial" w:cs="Arial"/>
          <w:sz w:val="24"/>
          <w:szCs w:val="24"/>
        </w:rPr>
        <w:t>Conditional p</w:t>
      </w:r>
      <w:r>
        <w:rPr>
          <w:rFonts w:ascii="Arial" w:hAnsi="Arial" w:cs="Arial"/>
          <w:sz w:val="24"/>
          <w:szCs w:val="24"/>
        </w:rPr>
        <w:t xml:space="preserve">artial </w:t>
      </w:r>
      <w:r w:rsidR="00624F33">
        <w:rPr>
          <w:rFonts w:ascii="Arial" w:hAnsi="Arial" w:cs="Arial"/>
          <w:sz w:val="24"/>
          <w:szCs w:val="24"/>
        </w:rPr>
        <w:t>R-</w:t>
      </w:r>
      <w:r>
        <w:rPr>
          <w:rFonts w:ascii="Arial" w:hAnsi="Arial" w:cs="Arial"/>
          <w:sz w:val="24"/>
          <w:szCs w:val="24"/>
        </w:rPr>
        <w:t xml:space="preserve">indicators allow to </w:t>
      </w:r>
      <w:r w:rsidR="006221B3">
        <w:rPr>
          <w:rFonts w:ascii="Arial" w:hAnsi="Arial" w:cs="Arial"/>
          <w:sz w:val="24"/>
          <w:szCs w:val="24"/>
        </w:rPr>
        <w:t>sing</w:t>
      </w:r>
      <w:r w:rsidR="006F1169">
        <w:rPr>
          <w:rFonts w:ascii="Arial" w:hAnsi="Arial" w:cs="Arial"/>
          <w:sz w:val="24"/>
          <w:szCs w:val="24"/>
        </w:rPr>
        <w:t>l</w:t>
      </w:r>
      <w:r w:rsidR="006221B3">
        <w:rPr>
          <w:rFonts w:ascii="Arial" w:hAnsi="Arial" w:cs="Arial"/>
          <w:sz w:val="24"/>
          <w:szCs w:val="24"/>
        </w:rPr>
        <w:t>e out</w:t>
      </w:r>
      <w:r>
        <w:rPr>
          <w:rFonts w:ascii="Arial" w:hAnsi="Arial" w:cs="Arial"/>
          <w:sz w:val="24"/>
          <w:szCs w:val="24"/>
        </w:rPr>
        <w:t xml:space="preserve"> the </w:t>
      </w:r>
      <w:r w:rsidR="006221B3">
        <w:rPr>
          <w:rFonts w:ascii="Arial" w:hAnsi="Arial" w:cs="Arial"/>
          <w:sz w:val="24"/>
          <w:szCs w:val="24"/>
        </w:rPr>
        <w:t>effect</w:t>
      </w:r>
      <w:r>
        <w:rPr>
          <w:rFonts w:ascii="Arial" w:hAnsi="Arial" w:cs="Arial"/>
          <w:sz w:val="24"/>
          <w:szCs w:val="24"/>
        </w:rPr>
        <w:t xml:space="preserve"> of individual variables, controlling for the influence of the other variables included in the model. The frame information available for the ALLBUS gross sample stem from the community lists of residents. </w:t>
      </w:r>
      <w:r w:rsidR="000070CF">
        <w:rPr>
          <w:rFonts w:ascii="Arial" w:hAnsi="Arial" w:cs="Arial"/>
          <w:sz w:val="24"/>
          <w:szCs w:val="24"/>
        </w:rPr>
        <w:t>F</w:t>
      </w:r>
      <w:r w:rsidR="006221B3">
        <w:rPr>
          <w:rFonts w:ascii="Arial" w:hAnsi="Arial" w:cs="Arial"/>
          <w:sz w:val="24"/>
          <w:szCs w:val="24"/>
        </w:rPr>
        <w:t>ive variables</w:t>
      </w:r>
      <w:r w:rsidR="000070CF">
        <w:rPr>
          <w:rFonts w:ascii="Arial" w:hAnsi="Arial" w:cs="Arial"/>
          <w:sz w:val="24"/>
          <w:szCs w:val="24"/>
        </w:rPr>
        <w:t>, measured in the same way over time,</w:t>
      </w:r>
      <w:r w:rsidR="006221B3">
        <w:rPr>
          <w:rFonts w:ascii="Arial" w:hAnsi="Arial" w:cs="Arial"/>
          <w:sz w:val="24"/>
          <w:szCs w:val="24"/>
        </w:rPr>
        <w:t xml:space="preserve"> </w:t>
      </w:r>
      <w:r w:rsidR="000070CF">
        <w:rPr>
          <w:rFonts w:ascii="Arial" w:hAnsi="Arial" w:cs="Arial"/>
          <w:sz w:val="24"/>
          <w:szCs w:val="24"/>
        </w:rPr>
        <w:t xml:space="preserve">are available </w:t>
      </w:r>
      <w:r w:rsidR="006221B3">
        <w:rPr>
          <w:rFonts w:ascii="Arial" w:hAnsi="Arial" w:cs="Arial"/>
          <w:sz w:val="24"/>
          <w:szCs w:val="24"/>
        </w:rPr>
        <w:t>to estimate response propensities: Gender</w:t>
      </w:r>
      <w:r w:rsidR="004219DD">
        <w:rPr>
          <w:rFonts w:ascii="Arial" w:hAnsi="Arial" w:cs="Arial"/>
          <w:sz w:val="24"/>
          <w:szCs w:val="24"/>
        </w:rPr>
        <w:t xml:space="preserve"> (male vs. female)</w:t>
      </w:r>
      <w:r w:rsidR="006221B3">
        <w:rPr>
          <w:rFonts w:ascii="Arial" w:hAnsi="Arial" w:cs="Arial"/>
          <w:sz w:val="24"/>
          <w:szCs w:val="24"/>
        </w:rPr>
        <w:t xml:space="preserve">, age (6 age groups), nationality (German vs. Non-German), region (Western vs. Eastern Germany) and urbanicity (7 categories). </w:t>
      </w:r>
      <w:r w:rsidR="000070CF">
        <w:rPr>
          <w:rFonts w:ascii="Arial" w:hAnsi="Arial" w:cs="Arial"/>
          <w:sz w:val="24"/>
          <w:szCs w:val="24"/>
        </w:rPr>
        <w:t xml:space="preserve">Using these variables as independent variables, we estimate logistic regression models with response (y/n) as dependent variable. </w:t>
      </w:r>
    </w:p>
    <w:p w:rsidR="00624F33" w:rsidRDefault="00624F33">
      <w:pPr>
        <w:rPr>
          <w:rFonts w:ascii="Arial" w:hAnsi="Arial" w:cs="Arial"/>
          <w:sz w:val="24"/>
          <w:szCs w:val="24"/>
        </w:rPr>
      </w:pPr>
      <w:r>
        <w:rPr>
          <w:rFonts w:ascii="Arial" w:hAnsi="Arial" w:cs="Arial"/>
          <w:sz w:val="24"/>
          <w:szCs w:val="24"/>
        </w:rPr>
        <w:br w:type="page"/>
      </w:r>
    </w:p>
    <w:p w:rsidR="00DD7441" w:rsidRPr="00A23E4E" w:rsidRDefault="00DD7441" w:rsidP="00DD7441">
      <w:pPr>
        <w:spacing w:line="360" w:lineRule="auto"/>
        <w:rPr>
          <w:rFonts w:ascii="Arial" w:hAnsi="Arial" w:cs="Arial"/>
          <w:sz w:val="24"/>
          <w:szCs w:val="24"/>
        </w:rPr>
      </w:pPr>
    </w:p>
    <w:p w:rsidR="007C2D7C" w:rsidRDefault="008F2D3D" w:rsidP="00F47D33">
      <w:pPr>
        <w:spacing w:line="360" w:lineRule="auto"/>
        <w:rPr>
          <w:rFonts w:ascii="Arial" w:hAnsi="Arial" w:cs="Arial"/>
          <w:sz w:val="24"/>
          <w:szCs w:val="24"/>
        </w:rPr>
      </w:pPr>
      <w:r>
        <w:rPr>
          <w:rFonts w:ascii="Arial" w:hAnsi="Arial" w:cs="Arial"/>
          <w:sz w:val="24"/>
          <w:szCs w:val="24"/>
        </w:rPr>
        <w:t>2.2 Deviation from ext</w:t>
      </w:r>
      <w:r w:rsidR="00D875A0">
        <w:rPr>
          <w:rFonts w:ascii="Arial" w:hAnsi="Arial" w:cs="Arial"/>
          <w:sz w:val="24"/>
          <w:szCs w:val="24"/>
        </w:rPr>
        <w:t>e</w:t>
      </w:r>
      <w:r>
        <w:rPr>
          <w:rFonts w:ascii="Arial" w:hAnsi="Arial" w:cs="Arial"/>
          <w:sz w:val="24"/>
          <w:szCs w:val="24"/>
        </w:rPr>
        <w:t xml:space="preserve">rnal </w:t>
      </w:r>
      <w:r w:rsidR="000070CF">
        <w:rPr>
          <w:rFonts w:ascii="Arial" w:hAnsi="Arial" w:cs="Arial"/>
          <w:sz w:val="24"/>
          <w:szCs w:val="24"/>
        </w:rPr>
        <w:t>benchmark data</w:t>
      </w:r>
    </w:p>
    <w:p w:rsidR="008F2D3D" w:rsidRDefault="003F2B3D" w:rsidP="00DD7441">
      <w:pPr>
        <w:spacing w:line="360" w:lineRule="auto"/>
        <w:rPr>
          <w:rFonts w:ascii="Arial" w:hAnsi="Arial" w:cs="Arial"/>
          <w:sz w:val="24"/>
          <w:szCs w:val="24"/>
          <w:lang w:val="en-US"/>
        </w:rPr>
      </w:pPr>
      <w:r>
        <w:rPr>
          <w:rFonts w:ascii="Arial" w:hAnsi="Arial" w:cs="Arial"/>
          <w:sz w:val="24"/>
          <w:szCs w:val="24"/>
        </w:rPr>
        <w:t>In our second approach, we compare the distributions of several socio-demographic variables with the respective (aggregate) data from official statistics.</w:t>
      </w:r>
      <w:r w:rsidRPr="003F2B3D">
        <w:rPr>
          <w:rFonts w:ascii="Arial" w:hAnsi="Arial" w:cs="Arial"/>
          <w:sz w:val="24"/>
          <w:szCs w:val="24"/>
          <w:lang w:val="en-US"/>
        </w:rPr>
        <w:t xml:space="preserve"> </w:t>
      </w:r>
      <w:r w:rsidRPr="00A23E4E">
        <w:rPr>
          <w:rFonts w:ascii="Arial" w:hAnsi="Arial" w:cs="Arial"/>
          <w:sz w:val="24"/>
          <w:szCs w:val="24"/>
          <w:lang w:val="en-US"/>
        </w:rPr>
        <w:t xml:space="preserve">This is a straightforward and frequently used method for analyzing nonresponse bias (see Hartmann 1990, Hartmann &amp; Schimpl-Neimanns 1992, Koch 1998). </w:t>
      </w:r>
      <w:r w:rsidR="0078039A">
        <w:rPr>
          <w:rFonts w:ascii="Arial" w:hAnsi="Arial" w:cs="Arial"/>
          <w:sz w:val="24"/>
          <w:szCs w:val="24"/>
          <w:lang w:val="en-US"/>
        </w:rPr>
        <w:t>D</w:t>
      </w:r>
      <w:r w:rsidRPr="00A23E4E">
        <w:rPr>
          <w:rFonts w:ascii="Arial" w:hAnsi="Arial" w:cs="Arial"/>
          <w:sz w:val="24"/>
          <w:szCs w:val="24"/>
          <w:lang w:val="en-US"/>
        </w:rPr>
        <w:t xml:space="preserve">ata from the German microcensus survey can be used as a valid external </w:t>
      </w:r>
      <w:r>
        <w:rPr>
          <w:rFonts w:ascii="Arial" w:hAnsi="Arial" w:cs="Arial"/>
          <w:sz w:val="24"/>
          <w:szCs w:val="24"/>
          <w:lang w:val="en-US"/>
        </w:rPr>
        <w:t>benchmark</w:t>
      </w:r>
      <w:r w:rsidRPr="00A23E4E">
        <w:rPr>
          <w:rFonts w:ascii="Arial" w:hAnsi="Arial" w:cs="Arial"/>
          <w:sz w:val="24"/>
          <w:szCs w:val="24"/>
          <w:lang w:val="en-US"/>
        </w:rPr>
        <w:t xml:space="preserve"> to evaluate the net samples from ALLBUS</w:t>
      </w:r>
      <w:r>
        <w:rPr>
          <w:rFonts w:ascii="Arial" w:hAnsi="Arial" w:cs="Arial"/>
          <w:sz w:val="24"/>
          <w:szCs w:val="24"/>
          <w:lang w:val="en-US"/>
        </w:rPr>
        <w:t>.</w:t>
      </w:r>
      <w:r w:rsidR="0078039A" w:rsidRPr="0078039A">
        <w:rPr>
          <w:rFonts w:ascii="Arial" w:hAnsi="Arial" w:cs="Arial"/>
          <w:sz w:val="24"/>
          <w:szCs w:val="24"/>
        </w:rPr>
        <w:t xml:space="preserve"> </w:t>
      </w:r>
      <w:r w:rsidR="0078039A">
        <w:rPr>
          <w:rFonts w:ascii="Arial" w:hAnsi="Arial" w:cs="Arial"/>
          <w:sz w:val="24"/>
          <w:szCs w:val="24"/>
        </w:rPr>
        <w:t>The microcensus is a yearly survey of a 1% sample of the population in Germany.</w:t>
      </w:r>
      <w:r>
        <w:rPr>
          <w:rFonts w:ascii="Arial" w:hAnsi="Arial" w:cs="Arial"/>
          <w:sz w:val="24"/>
          <w:szCs w:val="24"/>
          <w:lang w:val="en-US"/>
        </w:rPr>
        <w:t xml:space="preserve"> P</w:t>
      </w:r>
      <w:r w:rsidRPr="00A23E4E">
        <w:rPr>
          <w:rFonts w:ascii="Arial" w:hAnsi="Arial" w:cs="Arial"/>
          <w:sz w:val="24"/>
          <w:szCs w:val="24"/>
          <w:lang w:val="en-US"/>
        </w:rPr>
        <w:t>articipation in the microcensus is</w:t>
      </w:r>
      <w:r w:rsidRPr="00A23E4E">
        <w:rPr>
          <w:rFonts w:ascii="Arial" w:hAnsi="Arial" w:cs="Arial"/>
          <w:sz w:val="24"/>
          <w:szCs w:val="24"/>
          <w:lang w:val="en-GB"/>
        </w:rPr>
        <w:t xml:space="preserve"> mandatory</w:t>
      </w:r>
      <w:r w:rsidRPr="00A23E4E">
        <w:rPr>
          <w:rFonts w:ascii="Arial" w:hAnsi="Arial" w:cs="Arial"/>
          <w:sz w:val="24"/>
          <w:szCs w:val="24"/>
          <w:lang w:val="en-US"/>
        </w:rPr>
        <w:t xml:space="preserve"> and its unit nonresponse rate is only about three percent. Comparisons of microcensus data with data from other official sources (like Census data, and data on educational achievement) confirm the good quality of the microcensus data (Hartmann, 1990). </w:t>
      </w:r>
      <w:r w:rsidRPr="003F2B3D">
        <w:rPr>
          <w:rFonts w:ascii="Arial" w:hAnsi="Arial" w:cs="Arial"/>
          <w:sz w:val="24"/>
          <w:szCs w:val="24"/>
          <w:lang w:val="en-US"/>
        </w:rPr>
        <w:t>The ad</w:t>
      </w:r>
      <w:r w:rsidRPr="00DD7441">
        <w:rPr>
          <w:rFonts w:ascii="Arial" w:hAnsi="Arial" w:cs="Arial"/>
          <w:sz w:val="24"/>
          <w:szCs w:val="24"/>
          <w:lang w:val="en-US"/>
        </w:rPr>
        <w:t xml:space="preserve">vantage of this method is, compared </w:t>
      </w:r>
      <w:r w:rsidR="00855F8C">
        <w:rPr>
          <w:rFonts w:ascii="Arial" w:hAnsi="Arial" w:cs="Arial"/>
          <w:sz w:val="24"/>
          <w:szCs w:val="24"/>
          <w:lang w:val="en-US"/>
        </w:rPr>
        <w:t xml:space="preserve">to relying on </w:t>
      </w:r>
      <w:r w:rsidRPr="00DD7441">
        <w:rPr>
          <w:rFonts w:ascii="Arial" w:hAnsi="Arial" w:cs="Arial"/>
          <w:sz w:val="24"/>
          <w:szCs w:val="24"/>
          <w:lang w:val="en-US"/>
        </w:rPr>
        <w:t xml:space="preserve">frame information, a </w:t>
      </w:r>
      <w:r>
        <w:rPr>
          <w:rFonts w:ascii="Arial" w:hAnsi="Arial" w:cs="Arial"/>
          <w:sz w:val="24"/>
          <w:szCs w:val="24"/>
          <w:lang w:val="en-US"/>
        </w:rPr>
        <w:t xml:space="preserve">slightly </w:t>
      </w:r>
      <w:r w:rsidRPr="00DD7441">
        <w:rPr>
          <w:rFonts w:ascii="Arial" w:hAnsi="Arial" w:cs="Arial"/>
          <w:sz w:val="24"/>
          <w:szCs w:val="24"/>
          <w:lang w:val="en-US"/>
        </w:rPr>
        <w:t>wider range of variables can be analysed</w:t>
      </w:r>
      <w:r w:rsidR="00624F33">
        <w:rPr>
          <w:rFonts w:ascii="Arial" w:hAnsi="Arial" w:cs="Arial"/>
          <w:sz w:val="24"/>
          <w:szCs w:val="24"/>
          <w:lang w:val="en-US"/>
        </w:rPr>
        <w:t>.</w:t>
      </w:r>
    </w:p>
    <w:p w:rsidR="00AE1A25" w:rsidRPr="00AE1A25" w:rsidRDefault="0078039A" w:rsidP="00AE1A25">
      <w:pPr>
        <w:spacing w:after="120" w:line="360" w:lineRule="auto"/>
        <w:rPr>
          <w:rFonts w:ascii="Arial" w:hAnsi="Arial" w:cs="Arial"/>
          <w:sz w:val="24"/>
          <w:szCs w:val="24"/>
          <w:lang w:val="en-GB"/>
        </w:rPr>
      </w:pPr>
      <w:r>
        <w:rPr>
          <w:rFonts w:ascii="Arial" w:hAnsi="Arial" w:cs="Arial"/>
          <w:sz w:val="24"/>
          <w:szCs w:val="24"/>
          <w:lang w:val="en-US"/>
        </w:rPr>
        <w:t>Seven variables are measured in a comparable way in ALLBUS and the microcensus</w:t>
      </w:r>
      <w:r w:rsidR="00593AC9">
        <w:rPr>
          <w:rFonts w:ascii="Arial" w:hAnsi="Arial" w:cs="Arial"/>
          <w:sz w:val="24"/>
          <w:szCs w:val="24"/>
          <w:lang w:val="en-US"/>
        </w:rPr>
        <w:t xml:space="preserve">. These are gender (male vs. female), age (10-year age categories), education (low – medium – high), marital status (married: Y vs. N), household size (1/2/3/4/5+ persons), </w:t>
      </w:r>
      <w:r w:rsidR="00E658A0">
        <w:rPr>
          <w:rFonts w:ascii="Arial" w:hAnsi="Arial" w:cs="Arial"/>
          <w:sz w:val="24"/>
          <w:szCs w:val="24"/>
          <w:lang w:val="en-US"/>
        </w:rPr>
        <w:t>work status (</w:t>
      </w:r>
      <w:r w:rsidR="00593AC9">
        <w:rPr>
          <w:rFonts w:ascii="Arial" w:hAnsi="Arial" w:cs="Arial"/>
          <w:sz w:val="24"/>
          <w:szCs w:val="24"/>
          <w:lang w:val="en-US"/>
        </w:rPr>
        <w:t>in paid work 17 hours per week or more</w:t>
      </w:r>
      <w:r w:rsidR="00E658A0">
        <w:rPr>
          <w:rFonts w:ascii="Arial" w:hAnsi="Arial" w:cs="Arial"/>
          <w:sz w:val="24"/>
          <w:szCs w:val="24"/>
          <w:lang w:val="en-US"/>
        </w:rPr>
        <w:t xml:space="preserve">: </w:t>
      </w:r>
      <w:r w:rsidR="00593AC9">
        <w:rPr>
          <w:rFonts w:ascii="Arial" w:hAnsi="Arial" w:cs="Arial"/>
          <w:sz w:val="24"/>
          <w:szCs w:val="24"/>
          <w:lang w:val="en-US"/>
        </w:rPr>
        <w:t xml:space="preserve">Y vs. N) and occupational status (5 categories). </w:t>
      </w:r>
      <w:r w:rsidR="006E17AD">
        <w:rPr>
          <w:rFonts w:ascii="Arial" w:hAnsi="Arial" w:cs="Arial"/>
          <w:sz w:val="24"/>
          <w:szCs w:val="24"/>
          <w:lang w:val="en-US"/>
        </w:rPr>
        <w:t xml:space="preserve">As </w:t>
      </w:r>
      <w:r w:rsidR="00AE1A25" w:rsidRPr="00AE1A25">
        <w:rPr>
          <w:rFonts w:ascii="Arial" w:hAnsi="Arial" w:cs="Arial"/>
          <w:sz w:val="24"/>
          <w:szCs w:val="24"/>
          <w:lang w:val="en-GB"/>
        </w:rPr>
        <w:t xml:space="preserve">a summary measure for the consistency of </w:t>
      </w:r>
      <w:r w:rsidR="00AE1A25">
        <w:rPr>
          <w:rFonts w:ascii="Arial" w:hAnsi="Arial" w:cs="Arial"/>
          <w:sz w:val="24"/>
          <w:szCs w:val="24"/>
          <w:lang w:val="en-GB"/>
        </w:rPr>
        <w:t>ALLBUS a</w:t>
      </w:r>
      <w:r w:rsidR="00AE1A25" w:rsidRPr="00AE1A25">
        <w:rPr>
          <w:rFonts w:ascii="Arial" w:hAnsi="Arial" w:cs="Arial"/>
          <w:sz w:val="24"/>
          <w:szCs w:val="24"/>
          <w:lang w:val="en-GB"/>
        </w:rPr>
        <w:t xml:space="preserve">nd </w:t>
      </w:r>
      <w:r w:rsidR="00AE1A25">
        <w:rPr>
          <w:rFonts w:ascii="Arial" w:hAnsi="Arial" w:cs="Arial"/>
          <w:sz w:val="24"/>
          <w:szCs w:val="24"/>
          <w:lang w:val="en-GB"/>
        </w:rPr>
        <w:t>microcensus</w:t>
      </w:r>
      <w:r w:rsidR="00AE1A25" w:rsidRPr="00AE1A25">
        <w:rPr>
          <w:rFonts w:ascii="Arial" w:hAnsi="Arial" w:cs="Arial"/>
          <w:sz w:val="24"/>
          <w:szCs w:val="24"/>
          <w:lang w:val="en-GB"/>
        </w:rPr>
        <w:t xml:space="preserve"> variable distributions we </w:t>
      </w:r>
      <w:r w:rsidR="006E17AD">
        <w:rPr>
          <w:rFonts w:ascii="Arial" w:hAnsi="Arial" w:cs="Arial"/>
          <w:sz w:val="24"/>
          <w:szCs w:val="24"/>
          <w:lang w:val="en-GB"/>
        </w:rPr>
        <w:t xml:space="preserve">rely on </w:t>
      </w:r>
      <w:r w:rsidR="00AE1A25" w:rsidRPr="00AE1A25">
        <w:rPr>
          <w:rFonts w:ascii="Arial" w:hAnsi="Arial" w:cs="Arial"/>
          <w:sz w:val="24"/>
          <w:szCs w:val="24"/>
          <w:lang w:val="en-GB"/>
        </w:rPr>
        <w:t>the index of dissimilarity (Duncan &amp; Duncan,</w:t>
      </w:r>
      <w:r w:rsidR="006E17AD">
        <w:rPr>
          <w:rFonts w:ascii="Arial" w:hAnsi="Arial" w:cs="Arial"/>
          <w:sz w:val="24"/>
          <w:szCs w:val="24"/>
          <w:lang w:val="en-GB"/>
        </w:rPr>
        <w:t xml:space="preserve"> 1955). We calculate this index both </w:t>
      </w:r>
      <w:r w:rsidR="00DD7441">
        <w:rPr>
          <w:rFonts w:ascii="Arial" w:hAnsi="Arial" w:cs="Arial"/>
          <w:sz w:val="24"/>
          <w:szCs w:val="24"/>
          <w:lang w:val="en-GB"/>
        </w:rPr>
        <w:t xml:space="preserve">a) </w:t>
      </w:r>
      <w:r w:rsidR="006E17AD">
        <w:rPr>
          <w:rFonts w:ascii="Arial" w:hAnsi="Arial" w:cs="Arial"/>
          <w:sz w:val="24"/>
          <w:szCs w:val="24"/>
          <w:lang w:val="en-GB"/>
        </w:rPr>
        <w:t xml:space="preserve">for each variable separately and </w:t>
      </w:r>
      <w:r w:rsidR="00DD7441">
        <w:rPr>
          <w:rFonts w:ascii="Arial" w:hAnsi="Arial" w:cs="Arial"/>
          <w:sz w:val="24"/>
          <w:szCs w:val="24"/>
          <w:lang w:val="en-GB"/>
        </w:rPr>
        <w:t xml:space="preserve">b) </w:t>
      </w:r>
      <w:r w:rsidR="006E17AD">
        <w:rPr>
          <w:rFonts w:ascii="Arial" w:hAnsi="Arial" w:cs="Arial"/>
          <w:sz w:val="24"/>
          <w:szCs w:val="24"/>
          <w:lang w:val="en-GB"/>
        </w:rPr>
        <w:t>as a mean index across all seven variables:</w:t>
      </w:r>
    </w:p>
    <w:p w:rsidR="008F2D3D" w:rsidRPr="008A1B77" w:rsidRDefault="00D55903" w:rsidP="00A23E4E">
      <w:pPr>
        <w:spacing w:line="360" w:lineRule="auto"/>
        <w:rPr>
          <w:rFonts w:ascii="Arial" w:hAnsi="Arial" w:cs="Arial"/>
          <w:sz w:val="20"/>
          <w:szCs w:val="20"/>
          <w:lang w:val="en-US"/>
        </w:rPr>
      </w:pPr>
      <w:r>
        <w:rPr>
          <w:rFonts w:ascii="Arial" w:hAnsi="Arial" w:cs="Arial"/>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 2" o:spid="_x0000_s1026" type="#_x0000_t75" style="position:absolute;margin-left:326.85pt;margin-top:16.55pt;width:92pt;height:34pt;z-index:251663360;visibility:visible;mso-position-horizontal-relative:text;mso-position-vertical-relative:text" fillcolor="#4f81bd">
            <v:imagedata r:id="rId8" o:title=""/>
            <v:shadow color="#eeece1"/>
          </v:shape>
          <o:OLEObject Type="Embed" ProgID="Equation.3" ShapeID="Objekt 2" DrawAspect="Content" ObjectID="_1588397309" r:id="rId9"/>
        </w:object>
      </w:r>
    </w:p>
    <w:p w:rsidR="008F2D3D" w:rsidRPr="00A23E4E" w:rsidRDefault="008F2D3D" w:rsidP="008F2D3D">
      <w:pPr>
        <w:rPr>
          <w:rFonts w:ascii="Arial" w:hAnsi="Arial" w:cs="Arial"/>
          <w:sz w:val="24"/>
          <w:szCs w:val="24"/>
          <w:lang w:val="en-US"/>
        </w:rPr>
      </w:pPr>
      <w:r w:rsidRPr="00A23E4E">
        <w:rPr>
          <w:rFonts w:ascii="Arial" w:hAnsi="Arial" w:cs="Arial"/>
          <w:sz w:val="24"/>
          <w:szCs w:val="24"/>
          <w:lang w:val="en-US"/>
        </w:rPr>
        <w:t xml:space="preserve">a) </w:t>
      </w:r>
      <w:r w:rsidRPr="00A23E4E">
        <w:rPr>
          <w:rFonts w:ascii="Arial" w:hAnsi="Arial" w:cs="Arial"/>
          <w:color w:val="000000" w:themeColor="text1"/>
          <w:kern w:val="24"/>
          <w:sz w:val="24"/>
          <w:szCs w:val="24"/>
          <w:lang w:val="en-US"/>
        </w:rPr>
        <w:t>Index of dissimilarity for variable j with i categories</w:t>
      </w:r>
      <w:r w:rsidR="00A23E4E">
        <w:rPr>
          <w:rFonts w:ascii="Arial" w:hAnsi="Arial" w:cs="Arial"/>
          <w:color w:val="000000" w:themeColor="text1"/>
          <w:kern w:val="24"/>
          <w:sz w:val="24"/>
          <w:szCs w:val="24"/>
          <w:lang w:val="en-US"/>
        </w:rPr>
        <w:t>:</w:t>
      </w:r>
      <w:r>
        <w:rPr>
          <w:rFonts w:ascii="Arial" w:hAnsi="Arial" w:cs="Arial"/>
          <w:color w:val="000000" w:themeColor="text1"/>
          <w:kern w:val="24"/>
          <w:sz w:val="24"/>
          <w:szCs w:val="24"/>
          <w:lang w:val="en-US"/>
        </w:rPr>
        <w:tab/>
      </w:r>
      <w:r>
        <w:rPr>
          <w:rFonts w:ascii="Arial" w:hAnsi="Arial" w:cs="Arial"/>
          <w:color w:val="000000" w:themeColor="text1"/>
          <w:kern w:val="24"/>
          <w:sz w:val="24"/>
          <w:szCs w:val="24"/>
          <w:lang w:val="en-US"/>
        </w:rPr>
        <w:tab/>
      </w:r>
      <w:r>
        <w:rPr>
          <w:rFonts w:ascii="Arial" w:hAnsi="Arial" w:cs="Arial"/>
          <w:color w:val="000000" w:themeColor="text1"/>
          <w:kern w:val="24"/>
          <w:sz w:val="24"/>
          <w:szCs w:val="24"/>
          <w:lang w:val="en-US"/>
        </w:rPr>
        <w:tab/>
      </w:r>
      <w:r>
        <w:rPr>
          <w:rFonts w:ascii="Arial" w:hAnsi="Arial" w:cs="Arial"/>
          <w:color w:val="000000" w:themeColor="text1"/>
          <w:kern w:val="24"/>
          <w:sz w:val="24"/>
          <w:szCs w:val="24"/>
          <w:lang w:val="en-US"/>
        </w:rPr>
        <w:tab/>
      </w:r>
    </w:p>
    <w:p w:rsidR="00A23E4E" w:rsidRDefault="00D55903" w:rsidP="00A23E4E">
      <w:pPr>
        <w:spacing w:before="240"/>
        <w:rPr>
          <w:rFonts w:ascii="Arial" w:hAnsi="Arial" w:cs="Arial"/>
          <w:color w:val="000000" w:themeColor="text1"/>
          <w:kern w:val="24"/>
          <w:sz w:val="24"/>
          <w:szCs w:val="24"/>
          <w:lang w:val="en-US"/>
        </w:rPr>
      </w:pPr>
      <w:r>
        <w:rPr>
          <w:rFonts w:ascii="Arial" w:hAnsi="Arial" w:cs="Arial"/>
          <w:noProof/>
          <w:sz w:val="24"/>
          <w:szCs w:val="24"/>
        </w:rPr>
        <w:object w:dxaOrig="1440" w:dyaOrig="1440">
          <v:shape id="Objekt 6" o:spid="_x0000_s1027" type="#_x0000_t75" style="position:absolute;margin-left:294.45pt;margin-top:20.5pt;width:129pt;height:38pt;z-index:251664384;visibility:visible">
            <v:imagedata r:id="rId10" o:title=""/>
          </v:shape>
          <o:OLEObject Type="Embed" ProgID="Equation.3" ShapeID="Objekt 6" DrawAspect="Content" ObjectID="_1588397310" r:id="rId11"/>
        </w:object>
      </w:r>
      <w:r w:rsidR="008F2D3D" w:rsidRPr="00A23E4E">
        <w:rPr>
          <w:rFonts w:ascii="Arial" w:hAnsi="Arial" w:cs="Arial"/>
          <w:sz w:val="24"/>
          <w:szCs w:val="24"/>
          <w:lang w:val="en-US"/>
        </w:rPr>
        <w:t xml:space="preserve">b) </w:t>
      </w:r>
      <w:r w:rsidR="008F2D3D" w:rsidRPr="00A23E4E">
        <w:rPr>
          <w:rFonts w:ascii="Arial" w:hAnsi="Arial" w:cs="Arial"/>
          <w:color w:val="000000" w:themeColor="text1"/>
          <w:kern w:val="24"/>
          <w:sz w:val="24"/>
          <w:szCs w:val="24"/>
          <w:lang w:val="en-US"/>
        </w:rPr>
        <w:t>Mean index of dissimilarity for v variables with i categories</w:t>
      </w:r>
      <w:r w:rsidR="00A23E4E">
        <w:rPr>
          <w:rFonts w:ascii="Arial" w:hAnsi="Arial" w:cs="Arial"/>
          <w:color w:val="000000" w:themeColor="text1"/>
          <w:kern w:val="24"/>
          <w:sz w:val="24"/>
          <w:szCs w:val="24"/>
          <w:lang w:val="en-US"/>
        </w:rPr>
        <w:t>:</w:t>
      </w:r>
    </w:p>
    <w:p w:rsidR="008F2D3D" w:rsidRPr="00A23E4E" w:rsidRDefault="00A23E4E" w:rsidP="00A23E4E">
      <w:pPr>
        <w:spacing w:before="240"/>
        <w:rPr>
          <w:rFonts w:ascii="Arial" w:hAnsi="Arial" w:cs="Arial"/>
          <w:sz w:val="24"/>
          <w:szCs w:val="24"/>
          <w:lang w:val="en-US"/>
        </w:rPr>
      </w:pPr>
      <w:r>
        <w:rPr>
          <w:rFonts w:ascii="Arial" w:hAnsi="Arial" w:cs="Arial"/>
          <w:color w:val="000000" w:themeColor="text1"/>
          <w:kern w:val="24"/>
          <w:sz w:val="24"/>
          <w:szCs w:val="24"/>
          <w:lang w:val="en-US"/>
        </w:rPr>
        <w:tab/>
      </w:r>
      <w:r>
        <w:rPr>
          <w:rFonts w:ascii="Arial" w:hAnsi="Arial" w:cs="Arial"/>
          <w:color w:val="000000" w:themeColor="text1"/>
          <w:kern w:val="24"/>
          <w:sz w:val="24"/>
          <w:szCs w:val="24"/>
          <w:lang w:val="en-US"/>
        </w:rPr>
        <w:tab/>
      </w:r>
      <w:r>
        <w:rPr>
          <w:rFonts w:ascii="Arial" w:hAnsi="Arial" w:cs="Arial"/>
          <w:color w:val="000000" w:themeColor="text1"/>
          <w:kern w:val="24"/>
          <w:sz w:val="24"/>
          <w:szCs w:val="24"/>
          <w:lang w:val="en-US"/>
        </w:rPr>
        <w:tab/>
      </w:r>
      <w:r>
        <w:rPr>
          <w:rFonts w:ascii="Arial" w:hAnsi="Arial" w:cs="Arial"/>
          <w:color w:val="000000" w:themeColor="text1"/>
          <w:kern w:val="24"/>
          <w:sz w:val="24"/>
          <w:szCs w:val="24"/>
          <w:lang w:val="en-US"/>
        </w:rPr>
        <w:tab/>
      </w:r>
      <w:r>
        <w:rPr>
          <w:rFonts w:ascii="Arial" w:hAnsi="Arial" w:cs="Arial"/>
          <w:color w:val="000000" w:themeColor="text1"/>
          <w:kern w:val="24"/>
          <w:sz w:val="24"/>
          <w:szCs w:val="24"/>
          <w:lang w:val="en-US"/>
        </w:rPr>
        <w:tab/>
      </w:r>
      <w:r w:rsidR="001C74DB">
        <w:rPr>
          <w:rFonts w:ascii="Arial" w:hAnsi="Arial" w:cs="Arial"/>
          <w:color w:val="000000" w:themeColor="text1"/>
          <w:kern w:val="24"/>
          <w:sz w:val="24"/>
          <w:szCs w:val="24"/>
          <w:lang w:val="en-US"/>
        </w:rPr>
        <w:tab/>
      </w:r>
      <w:r>
        <w:rPr>
          <w:rFonts w:ascii="Arial" w:hAnsi="Arial" w:cs="Arial"/>
          <w:color w:val="000000" w:themeColor="text1"/>
          <w:kern w:val="24"/>
          <w:sz w:val="24"/>
          <w:szCs w:val="24"/>
          <w:lang w:val="en-US"/>
        </w:rPr>
        <w:tab/>
      </w:r>
      <w:r>
        <w:rPr>
          <w:rFonts w:ascii="Arial" w:hAnsi="Arial" w:cs="Arial"/>
          <w:color w:val="000000" w:themeColor="text1"/>
          <w:kern w:val="24"/>
          <w:sz w:val="24"/>
          <w:szCs w:val="24"/>
          <w:lang w:val="en-US"/>
        </w:rPr>
        <w:tab/>
      </w:r>
      <w:r>
        <w:rPr>
          <w:rFonts w:ascii="Arial" w:hAnsi="Arial" w:cs="Arial"/>
          <w:color w:val="000000" w:themeColor="text1"/>
          <w:kern w:val="24"/>
          <w:sz w:val="24"/>
          <w:szCs w:val="24"/>
          <w:lang w:val="en-US"/>
        </w:rPr>
        <w:tab/>
      </w:r>
      <w:r w:rsidR="008F2D3D">
        <w:rPr>
          <w:rFonts w:ascii="Arial" w:hAnsi="Arial" w:cs="Arial"/>
          <w:color w:val="000000" w:themeColor="text1"/>
          <w:kern w:val="24"/>
          <w:sz w:val="24"/>
          <w:szCs w:val="24"/>
          <w:lang w:val="en-US"/>
        </w:rPr>
        <w:tab/>
      </w:r>
      <w:r w:rsidR="008F2D3D">
        <w:rPr>
          <w:rFonts w:ascii="Arial" w:hAnsi="Arial" w:cs="Arial"/>
          <w:color w:val="000000" w:themeColor="text1"/>
          <w:kern w:val="24"/>
          <w:sz w:val="24"/>
          <w:szCs w:val="24"/>
          <w:lang w:val="en-US"/>
        </w:rPr>
        <w:tab/>
      </w:r>
      <w:r w:rsidR="008F2D3D">
        <w:rPr>
          <w:rFonts w:ascii="Arial" w:hAnsi="Arial" w:cs="Arial"/>
          <w:color w:val="000000" w:themeColor="text1"/>
          <w:kern w:val="24"/>
          <w:sz w:val="24"/>
          <w:szCs w:val="24"/>
          <w:lang w:val="en-US"/>
        </w:rPr>
        <w:tab/>
      </w:r>
    </w:p>
    <w:p w:rsidR="008F2D3D" w:rsidRPr="008A1B77" w:rsidRDefault="008F2D3D" w:rsidP="008F2D3D">
      <w:pPr>
        <w:rPr>
          <w:rFonts w:ascii="Arial" w:hAnsi="Arial" w:cs="Arial"/>
          <w:sz w:val="20"/>
          <w:szCs w:val="20"/>
          <w:lang w:val="en-US"/>
        </w:rPr>
      </w:pPr>
    </w:p>
    <w:p w:rsidR="00274605" w:rsidRDefault="00274605">
      <w:pPr>
        <w:rPr>
          <w:rFonts w:ascii="Arial" w:hAnsi="Arial" w:cs="Arial"/>
          <w:b/>
          <w:sz w:val="24"/>
          <w:szCs w:val="24"/>
          <w:lang w:val="en-US"/>
        </w:rPr>
      </w:pPr>
      <w:r>
        <w:rPr>
          <w:rFonts w:ascii="Arial" w:hAnsi="Arial" w:cs="Arial"/>
          <w:b/>
          <w:sz w:val="24"/>
          <w:szCs w:val="24"/>
          <w:lang w:val="en-US"/>
        </w:rPr>
        <w:br w:type="page"/>
      </w:r>
    </w:p>
    <w:p w:rsidR="00274605" w:rsidRDefault="00274605" w:rsidP="00CC4EE3">
      <w:pPr>
        <w:spacing w:before="360" w:after="0" w:line="360" w:lineRule="auto"/>
        <w:jc w:val="both"/>
        <w:rPr>
          <w:rFonts w:ascii="Arial" w:hAnsi="Arial" w:cs="Arial"/>
          <w:b/>
          <w:sz w:val="24"/>
          <w:szCs w:val="24"/>
          <w:lang w:val="en-US"/>
        </w:rPr>
      </w:pPr>
    </w:p>
    <w:p w:rsidR="00CC4EE3" w:rsidRDefault="00CC4EE3" w:rsidP="00CC4EE3">
      <w:pPr>
        <w:spacing w:before="360" w:after="0" w:line="360" w:lineRule="auto"/>
        <w:jc w:val="both"/>
        <w:rPr>
          <w:rFonts w:ascii="Arial" w:hAnsi="Arial" w:cs="Arial"/>
          <w:b/>
          <w:sz w:val="24"/>
          <w:szCs w:val="24"/>
          <w:lang w:val="en-US"/>
        </w:rPr>
      </w:pPr>
      <w:r w:rsidRPr="00DD7441">
        <w:rPr>
          <w:rFonts w:ascii="Arial" w:hAnsi="Arial" w:cs="Arial"/>
          <w:b/>
          <w:sz w:val="24"/>
          <w:szCs w:val="24"/>
          <w:lang w:val="en-US"/>
        </w:rPr>
        <w:t>3. Results</w:t>
      </w:r>
    </w:p>
    <w:p w:rsidR="00DD7441" w:rsidRDefault="00DD7441" w:rsidP="00A23E4E">
      <w:pPr>
        <w:spacing w:after="0" w:line="360" w:lineRule="auto"/>
        <w:jc w:val="both"/>
        <w:rPr>
          <w:rFonts w:ascii="Arial" w:hAnsi="Arial" w:cs="Arial"/>
          <w:sz w:val="24"/>
          <w:szCs w:val="24"/>
          <w:lang w:val="en-US"/>
        </w:rPr>
      </w:pPr>
    </w:p>
    <w:p w:rsidR="00DD7441" w:rsidRDefault="00B14CFE" w:rsidP="00DD7441">
      <w:pPr>
        <w:spacing w:line="360" w:lineRule="auto"/>
        <w:rPr>
          <w:rFonts w:ascii="Arial" w:hAnsi="Arial" w:cs="Arial"/>
          <w:sz w:val="24"/>
          <w:szCs w:val="24"/>
        </w:rPr>
      </w:pPr>
      <w:r w:rsidRPr="00DD7441">
        <w:rPr>
          <w:rFonts w:ascii="Arial" w:hAnsi="Arial" w:cs="Arial"/>
          <w:sz w:val="24"/>
          <w:szCs w:val="24"/>
          <w:lang w:val="en-US"/>
        </w:rPr>
        <w:t xml:space="preserve">3.1 </w:t>
      </w:r>
      <w:r w:rsidR="00624F33">
        <w:rPr>
          <w:rFonts w:ascii="Arial" w:hAnsi="Arial" w:cs="Arial"/>
          <w:sz w:val="24"/>
          <w:szCs w:val="24"/>
          <w:lang w:val="en-US"/>
        </w:rPr>
        <w:t>R-</w:t>
      </w:r>
      <w:r w:rsidR="002940A7">
        <w:rPr>
          <w:rFonts w:ascii="Arial" w:hAnsi="Arial" w:cs="Arial"/>
          <w:sz w:val="24"/>
          <w:szCs w:val="24"/>
          <w:lang w:val="en-US"/>
        </w:rPr>
        <w:t xml:space="preserve">indicators and </w:t>
      </w:r>
      <w:r w:rsidRPr="00DD7441">
        <w:rPr>
          <w:rFonts w:ascii="Arial" w:hAnsi="Arial" w:cs="Arial"/>
          <w:sz w:val="24"/>
          <w:szCs w:val="24"/>
          <w:lang w:val="en-US"/>
        </w:rPr>
        <w:t>frame information</w:t>
      </w:r>
    </w:p>
    <w:p w:rsidR="00C02F42" w:rsidRPr="00DD7441" w:rsidRDefault="00C02F42" w:rsidP="00A23E4E">
      <w:pPr>
        <w:spacing w:after="0" w:line="360" w:lineRule="auto"/>
        <w:jc w:val="both"/>
        <w:rPr>
          <w:rFonts w:ascii="Arial" w:hAnsi="Arial" w:cs="Arial"/>
          <w:b/>
          <w:sz w:val="24"/>
          <w:szCs w:val="24"/>
          <w:lang w:val="en-US"/>
        </w:rPr>
      </w:pPr>
      <w:r w:rsidRPr="00DD7441">
        <w:rPr>
          <w:rFonts w:ascii="Arial" w:hAnsi="Arial" w:cs="Arial"/>
          <w:sz w:val="24"/>
          <w:szCs w:val="24"/>
          <w:lang w:val="en-US"/>
        </w:rPr>
        <w:t xml:space="preserve">Using the available information from the sampling frames, </w:t>
      </w:r>
      <w:r w:rsidR="00E427FF">
        <w:rPr>
          <w:rFonts w:ascii="Arial" w:hAnsi="Arial" w:cs="Arial"/>
          <w:sz w:val="24"/>
          <w:szCs w:val="24"/>
          <w:lang w:val="en-US"/>
        </w:rPr>
        <w:t>R-</w:t>
      </w:r>
      <w:r w:rsidRPr="00DD7441">
        <w:rPr>
          <w:rFonts w:ascii="Arial" w:hAnsi="Arial" w:cs="Arial"/>
          <w:sz w:val="24"/>
          <w:szCs w:val="24"/>
          <w:lang w:val="en-US"/>
        </w:rPr>
        <w:t xml:space="preserve">indicators and conditional partial </w:t>
      </w:r>
      <w:r w:rsidR="00E427FF">
        <w:rPr>
          <w:rFonts w:ascii="Arial" w:hAnsi="Arial" w:cs="Arial"/>
          <w:sz w:val="24"/>
          <w:szCs w:val="24"/>
          <w:lang w:val="en-US"/>
        </w:rPr>
        <w:t>R-</w:t>
      </w:r>
      <w:r w:rsidRPr="00DD7441">
        <w:rPr>
          <w:rFonts w:ascii="Arial" w:hAnsi="Arial" w:cs="Arial"/>
          <w:sz w:val="24"/>
          <w:szCs w:val="24"/>
          <w:lang w:val="en-US"/>
        </w:rPr>
        <w:t>indicators were estimated for</w:t>
      </w:r>
      <w:r>
        <w:rPr>
          <w:rFonts w:ascii="Arial" w:hAnsi="Arial" w:cs="Arial"/>
          <w:sz w:val="24"/>
          <w:szCs w:val="24"/>
          <w:lang w:val="en-US"/>
        </w:rPr>
        <w:t xml:space="preserve"> eleven ALLBUS surveys conducted between 1994 and 2016</w:t>
      </w:r>
      <w:r w:rsidR="00A71675">
        <w:rPr>
          <w:rFonts w:ascii="Arial" w:hAnsi="Arial" w:cs="Arial"/>
          <w:sz w:val="24"/>
          <w:szCs w:val="24"/>
          <w:lang w:val="en-US"/>
        </w:rPr>
        <w:t xml:space="preserve"> (Figure 1)</w:t>
      </w:r>
      <w:r>
        <w:rPr>
          <w:rFonts w:ascii="Arial" w:hAnsi="Arial" w:cs="Arial"/>
          <w:sz w:val="24"/>
          <w:szCs w:val="24"/>
          <w:lang w:val="en-US"/>
        </w:rPr>
        <w:t xml:space="preserve">. For the analyses we used the scripts provided by </w:t>
      </w:r>
      <w:r w:rsidR="00E427FF">
        <w:rPr>
          <w:rFonts w:ascii="Arial" w:hAnsi="Arial" w:cs="Arial"/>
          <w:sz w:val="24"/>
          <w:szCs w:val="24"/>
          <w:lang w:val="en-US"/>
        </w:rPr>
        <w:t>the RISQ-Project</w:t>
      </w:r>
      <w:r>
        <w:rPr>
          <w:rFonts w:ascii="Arial" w:hAnsi="Arial" w:cs="Arial"/>
          <w:sz w:val="24"/>
          <w:szCs w:val="24"/>
          <w:lang w:val="en-US"/>
        </w:rPr>
        <w:t xml:space="preserve">. Generally, </w:t>
      </w:r>
      <w:r w:rsidR="00D13AFA">
        <w:rPr>
          <w:rFonts w:ascii="Arial" w:hAnsi="Arial" w:cs="Arial"/>
          <w:sz w:val="24"/>
          <w:szCs w:val="24"/>
          <w:lang w:val="en-US"/>
        </w:rPr>
        <w:t>R-</w:t>
      </w:r>
      <w:r>
        <w:rPr>
          <w:rFonts w:ascii="Arial" w:hAnsi="Arial" w:cs="Arial"/>
          <w:sz w:val="24"/>
          <w:szCs w:val="24"/>
          <w:lang w:val="en-US"/>
        </w:rPr>
        <w:t xml:space="preserve">indicators can vary between 0 and 1. A value of 1 indicates that response propensities do not vary. The lower the value of the </w:t>
      </w:r>
      <w:r w:rsidR="00E427FF">
        <w:rPr>
          <w:rFonts w:ascii="Arial" w:hAnsi="Arial" w:cs="Arial"/>
          <w:sz w:val="24"/>
          <w:szCs w:val="24"/>
          <w:lang w:val="en-US"/>
        </w:rPr>
        <w:t>R-</w:t>
      </w:r>
      <w:r>
        <w:rPr>
          <w:rFonts w:ascii="Arial" w:hAnsi="Arial" w:cs="Arial"/>
          <w:sz w:val="24"/>
          <w:szCs w:val="24"/>
          <w:lang w:val="en-US"/>
        </w:rPr>
        <w:t>indicator, the larger is the variation in response propensity (and as a consequence, also the degree of nonresponse bias).</w:t>
      </w:r>
    </w:p>
    <w:p w:rsidR="00274605" w:rsidRPr="00AF6907" w:rsidRDefault="00274605" w:rsidP="00274605">
      <w:pPr>
        <w:spacing w:after="0"/>
        <w:rPr>
          <w:rFonts w:ascii="Arial" w:hAnsi="Arial" w:cs="Arial"/>
          <w:sz w:val="24"/>
          <w:szCs w:val="24"/>
        </w:rPr>
      </w:pPr>
    </w:p>
    <w:p w:rsidR="008F2D3D" w:rsidRDefault="008F2D3D" w:rsidP="00F47D33">
      <w:pPr>
        <w:rPr>
          <w:rFonts w:ascii="Arial" w:hAnsi="Arial" w:cs="Arial"/>
          <w:sz w:val="20"/>
          <w:szCs w:val="20"/>
        </w:rPr>
      </w:pPr>
      <w:r w:rsidRPr="00A23E4E">
        <w:rPr>
          <w:rFonts w:ascii="Arial" w:hAnsi="Arial" w:cs="Arial"/>
          <w:sz w:val="20"/>
          <w:szCs w:val="20"/>
        </w:rPr>
        <w:t xml:space="preserve">Figure 1: </w:t>
      </w:r>
    </w:p>
    <w:p w:rsidR="00DD7441" w:rsidRPr="00A23E4E" w:rsidRDefault="00DD7441" w:rsidP="00F47D33">
      <w:pPr>
        <w:rPr>
          <w:rFonts w:ascii="Arial" w:hAnsi="Arial" w:cs="Arial"/>
          <w:sz w:val="20"/>
          <w:szCs w:val="20"/>
        </w:rPr>
      </w:pPr>
      <w:r>
        <w:rPr>
          <w:noProof/>
          <w:lang w:eastAsia="pl-PL"/>
        </w:rPr>
        <w:drawing>
          <wp:inline distT="0" distB="0" distL="0" distR="0" wp14:anchorId="6667D950" wp14:editId="3908D064">
            <wp:extent cx="3997569" cy="3071446"/>
            <wp:effectExtent l="0" t="0" r="22225" b="1524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2D3D" w:rsidRPr="00A221F8" w:rsidRDefault="008F2D3D" w:rsidP="008F2D3D">
      <w:pPr>
        <w:rPr>
          <w:rFonts w:ascii="Arial" w:hAnsi="Arial" w:cs="Arial"/>
          <w:sz w:val="20"/>
          <w:szCs w:val="20"/>
        </w:rPr>
      </w:pPr>
      <w:r w:rsidRPr="00A221F8">
        <w:rPr>
          <w:rFonts w:ascii="Arial" w:hAnsi="Arial" w:cs="Arial"/>
          <w:sz w:val="20"/>
          <w:szCs w:val="20"/>
        </w:rPr>
        <w:t>Source:</w:t>
      </w:r>
      <w:r w:rsidR="00A23E4E" w:rsidRPr="00A221F8">
        <w:rPr>
          <w:rFonts w:ascii="Arial" w:hAnsi="Arial" w:cs="Arial"/>
          <w:sz w:val="20"/>
          <w:szCs w:val="20"/>
        </w:rPr>
        <w:t xml:space="preserve"> ALLBUS 1994</w:t>
      </w:r>
      <w:r w:rsidR="00A221F8">
        <w:rPr>
          <w:rFonts w:ascii="Arial" w:hAnsi="Arial" w:cs="Arial"/>
          <w:sz w:val="20"/>
          <w:szCs w:val="20"/>
        </w:rPr>
        <w:t xml:space="preserve"> -2016, own cal</w:t>
      </w:r>
      <w:r w:rsidR="00DD7441">
        <w:rPr>
          <w:rFonts w:ascii="Arial" w:hAnsi="Arial" w:cs="Arial"/>
          <w:sz w:val="20"/>
          <w:szCs w:val="20"/>
        </w:rPr>
        <w:t>c</w:t>
      </w:r>
      <w:r w:rsidR="00A221F8">
        <w:rPr>
          <w:rFonts w:ascii="Arial" w:hAnsi="Arial" w:cs="Arial"/>
          <w:sz w:val="20"/>
          <w:szCs w:val="20"/>
        </w:rPr>
        <w:t>ulations</w:t>
      </w:r>
    </w:p>
    <w:p w:rsidR="00274605" w:rsidRDefault="00274605" w:rsidP="00274605">
      <w:pPr>
        <w:spacing w:after="0" w:line="360" w:lineRule="auto"/>
        <w:rPr>
          <w:rFonts w:ascii="Arial" w:hAnsi="Arial" w:cs="Arial"/>
          <w:sz w:val="24"/>
          <w:szCs w:val="24"/>
        </w:rPr>
      </w:pPr>
    </w:p>
    <w:p w:rsidR="00F47D33" w:rsidRPr="00A221F8" w:rsidRDefault="00BA6E3D" w:rsidP="00DD7441">
      <w:pPr>
        <w:spacing w:line="360" w:lineRule="auto"/>
        <w:rPr>
          <w:rFonts w:ascii="Arial" w:hAnsi="Arial" w:cs="Arial"/>
          <w:sz w:val="24"/>
          <w:szCs w:val="24"/>
        </w:rPr>
      </w:pPr>
      <w:r>
        <w:rPr>
          <w:rFonts w:ascii="Arial" w:hAnsi="Arial" w:cs="Arial"/>
          <w:sz w:val="24"/>
          <w:szCs w:val="24"/>
        </w:rPr>
        <w:t xml:space="preserve">The </w:t>
      </w:r>
      <w:r w:rsidR="00274605">
        <w:rPr>
          <w:rFonts w:ascii="Arial" w:hAnsi="Arial" w:cs="Arial"/>
          <w:sz w:val="24"/>
          <w:szCs w:val="24"/>
        </w:rPr>
        <w:t>R-</w:t>
      </w:r>
      <w:r>
        <w:rPr>
          <w:rFonts w:ascii="Arial" w:hAnsi="Arial" w:cs="Arial"/>
          <w:sz w:val="24"/>
          <w:szCs w:val="24"/>
        </w:rPr>
        <w:t xml:space="preserve">indicators for the ALLBUS surveys are </w:t>
      </w:r>
      <w:r w:rsidR="00A71675">
        <w:rPr>
          <w:rFonts w:ascii="Arial" w:hAnsi="Arial" w:cs="Arial"/>
          <w:sz w:val="24"/>
          <w:szCs w:val="24"/>
        </w:rPr>
        <w:t xml:space="preserve">quite </w:t>
      </w:r>
      <w:r>
        <w:rPr>
          <w:rFonts w:ascii="Arial" w:hAnsi="Arial" w:cs="Arial"/>
          <w:sz w:val="24"/>
          <w:szCs w:val="24"/>
        </w:rPr>
        <w:t xml:space="preserve">high; they vary between .82 and .91. </w:t>
      </w:r>
      <w:r w:rsidR="00A71675">
        <w:rPr>
          <w:rFonts w:ascii="Arial" w:hAnsi="Arial" w:cs="Arial"/>
          <w:sz w:val="24"/>
          <w:szCs w:val="24"/>
        </w:rPr>
        <w:t xml:space="preserve">This indicates a high level of representativity of the ALLBUS samples. Over time </w:t>
      </w:r>
      <w:r w:rsidR="00274605">
        <w:rPr>
          <w:rFonts w:ascii="Arial" w:hAnsi="Arial" w:cs="Arial"/>
          <w:sz w:val="24"/>
          <w:szCs w:val="24"/>
        </w:rPr>
        <w:t>R-</w:t>
      </w:r>
      <w:r w:rsidR="00A71675">
        <w:rPr>
          <w:rFonts w:ascii="Arial" w:hAnsi="Arial" w:cs="Arial"/>
          <w:sz w:val="24"/>
          <w:szCs w:val="24"/>
        </w:rPr>
        <w:t>indicators tend to become larger</w:t>
      </w:r>
      <w:r w:rsidR="00144F96">
        <w:rPr>
          <w:rFonts w:ascii="Arial" w:hAnsi="Arial" w:cs="Arial"/>
          <w:sz w:val="24"/>
          <w:szCs w:val="24"/>
        </w:rPr>
        <w:t xml:space="preserve">, what indicates an increase in sample quality over time. </w:t>
      </w:r>
      <w:r w:rsidR="00A71675">
        <w:rPr>
          <w:rFonts w:ascii="Arial" w:hAnsi="Arial" w:cs="Arial"/>
          <w:sz w:val="24"/>
          <w:szCs w:val="24"/>
        </w:rPr>
        <w:t>Given the fact, that ALLBUS response rates decrease over the years, this result contradicts the usual expectation.</w:t>
      </w:r>
      <w:r w:rsidR="00144F96">
        <w:rPr>
          <w:rFonts w:ascii="Arial" w:hAnsi="Arial" w:cs="Arial"/>
          <w:sz w:val="24"/>
          <w:szCs w:val="24"/>
        </w:rPr>
        <w:t xml:space="preserve"> </w:t>
      </w:r>
    </w:p>
    <w:p w:rsidR="00DD7441" w:rsidRPr="00A221F8" w:rsidRDefault="00E402B3" w:rsidP="00DD7441">
      <w:pPr>
        <w:spacing w:line="360" w:lineRule="auto"/>
        <w:rPr>
          <w:rFonts w:ascii="Arial" w:hAnsi="Arial" w:cs="Arial"/>
          <w:sz w:val="24"/>
          <w:szCs w:val="24"/>
        </w:rPr>
      </w:pPr>
      <w:r>
        <w:rPr>
          <w:rFonts w:ascii="Arial" w:hAnsi="Arial" w:cs="Arial"/>
          <w:sz w:val="24"/>
          <w:szCs w:val="24"/>
        </w:rPr>
        <w:lastRenderedPageBreak/>
        <w:t>Figure 2 provides further details of this trend</w:t>
      </w:r>
      <w:r w:rsidR="00274605">
        <w:rPr>
          <w:rFonts w:ascii="Arial" w:hAnsi="Arial" w:cs="Arial"/>
          <w:sz w:val="24"/>
          <w:szCs w:val="24"/>
        </w:rPr>
        <w:t xml:space="preserve"> and</w:t>
      </w:r>
      <w:r>
        <w:rPr>
          <w:rFonts w:ascii="Arial" w:hAnsi="Arial" w:cs="Arial"/>
          <w:sz w:val="24"/>
          <w:szCs w:val="24"/>
        </w:rPr>
        <w:t xml:space="preserve"> depicts the results for the individual variables, i.e. the conditional partial </w:t>
      </w:r>
      <w:r w:rsidR="00274605">
        <w:rPr>
          <w:rFonts w:ascii="Arial" w:hAnsi="Arial" w:cs="Arial"/>
          <w:sz w:val="24"/>
          <w:szCs w:val="24"/>
        </w:rPr>
        <w:t>R-</w:t>
      </w:r>
      <w:r>
        <w:rPr>
          <w:rFonts w:ascii="Arial" w:hAnsi="Arial" w:cs="Arial"/>
          <w:sz w:val="24"/>
          <w:szCs w:val="24"/>
        </w:rPr>
        <w:t>indicators. For the sake of simplicity, only the linear trends for the five variables are shown in the figure.</w:t>
      </w:r>
      <w:r w:rsidR="00DD7441" w:rsidRPr="00DD7441">
        <w:rPr>
          <w:rFonts w:ascii="Arial" w:hAnsi="Arial" w:cs="Arial"/>
          <w:sz w:val="24"/>
          <w:szCs w:val="24"/>
        </w:rPr>
        <w:t xml:space="preserve"> </w:t>
      </w:r>
    </w:p>
    <w:p w:rsidR="00AF6907" w:rsidRPr="00AF6907" w:rsidRDefault="00AF6907" w:rsidP="00AF6907">
      <w:pPr>
        <w:spacing w:after="0"/>
        <w:rPr>
          <w:rFonts w:ascii="Arial" w:hAnsi="Arial" w:cs="Arial"/>
          <w:sz w:val="24"/>
          <w:szCs w:val="24"/>
        </w:rPr>
      </w:pPr>
    </w:p>
    <w:p w:rsidR="00DD7441" w:rsidRDefault="00DD7441" w:rsidP="00DD7441">
      <w:pPr>
        <w:rPr>
          <w:rFonts w:ascii="Arial" w:hAnsi="Arial" w:cs="Arial"/>
          <w:sz w:val="20"/>
          <w:szCs w:val="20"/>
        </w:rPr>
      </w:pPr>
      <w:r w:rsidRPr="00A23E4E">
        <w:rPr>
          <w:rFonts w:ascii="Arial" w:hAnsi="Arial" w:cs="Arial"/>
          <w:sz w:val="20"/>
          <w:szCs w:val="20"/>
        </w:rPr>
        <w:t xml:space="preserve">Figure </w:t>
      </w:r>
      <w:r>
        <w:rPr>
          <w:rFonts w:ascii="Arial" w:hAnsi="Arial" w:cs="Arial"/>
          <w:sz w:val="20"/>
          <w:szCs w:val="20"/>
        </w:rPr>
        <w:t>2</w:t>
      </w:r>
      <w:r w:rsidRPr="00A23E4E">
        <w:rPr>
          <w:rFonts w:ascii="Arial" w:hAnsi="Arial" w:cs="Arial"/>
          <w:sz w:val="20"/>
          <w:szCs w:val="20"/>
        </w:rPr>
        <w:t xml:space="preserve">: </w:t>
      </w:r>
    </w:p>
    <w:p w:rsidR="00720A81" w:rsidRDefault="00720A81" w:rsidP="00A221F8">
      <w:pPr>
        <w:rPr>
          <w:rFonts w:ascii="Arial" w:hAnsi="Arial" w:cs="Arial"/>
          <w:sz w:val="20"/>
          <w:szCs w:val="20"/>
        </w:rPr>
      </w:pPr>
      <w:r>
        <w:rPr>
          <w:noProof/>
          <w:lang w:eastAsia="pl-PL"/>
        </w:rPr>
        <w:drawing>
          <wp:inline distT="0" distB="0" distL="0" distR="0" wp14:anchorId="7E5CEE6F" wp14:editId="4E34275D">
            <wp:extent cx="3979985" cy="3346939"/>
            <wp:effectExtent l="0" t="0" r="1905" b="635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21F8" w:rsidRPr="00A221F8" w:rsidRDefault="00A221F8" w:rsidP="00A221F8">
      <w:pPr>
        <w:rPr>
          <w:rFonts w:ascii="Arial" w:hAnsi="Arial" w:cs="Arial"/>
          <w:sz w:val="20"/>
          <w:szCs w:val="20"/>
        </w:rPr>
      </w:pPr>
      <w:r w:rsidRPr="00A221F8">
        <w:rPr>
          <w:rFonts w:ascii="Arial" w:hAnsi="Arial" w:cs="Arial"/>
          <w:sz w:val="20"/>
          <w:szCs w:val="20"/>
        </w:rPr>
        <w:t>Source: ALLBUS 1994</w:t>
      </w:r>
      <w:r>
        <w:rPr>
          <w:rFonts w:ascii="Arial" w:hAnsi="Arial" w:cs="Arial"/>
          <w:sz w:val="20"/>
          <w:szCs w:val="20"/>
        </w:rPr>
        <w:t xml:space="preserve"> -2016, own cal</w:t>
      </w:r>
      <w:r w:rsidR="001C74DB">
        <w:rPr>
          <w:rFonts w:ascii="Arial" w:hAnsi="Arial" w:cs="Arial"/>
          <w:sz w:val="20"/>
          <w:szCs w:val="20"/>
        </w:rPr>
        <w:t>c</w:t>
      </w:r>
      <w:r>
        <w:rPr>
          <w:rFonts w:ascii="Arial" w:hAnsi="Arial" w:cs="Arial"/>
          <w:sz w:val="20"/>
          <w:szCs w:val="20"/>
        </w:rPr>
        <w:t>ulations</w:t>
      </w:r>
    </w:p>
    <w:p w:rsidR="00AF6907" w:rsidRPr="00AF6907" w:rsidRDefault="00AF6907" w:rsidP="00AF6907">
      <w:pPr>
        <w:spacing w:after="0"/>
        <w:rPr>
          <w:rFonts w:ascii="Arial" w:hAnsi="Arial" w:cs="Arial"/>
          <w:sz w:val="24"/>
          <w:szCs w:val="24"/>
        </w:rPr>
      </w:pPr>
    </w:p>
    <w:p w:rsidR="00E402B3" w:rsidRDefault="00E402B3" w:rsidP="00A221F8">
      <w:pPr>
        <w:spacing w:line="360" w:lineRule="auto"/>
        <w:rPr>
          <w:rFonts w:ascii="Arial" w:hAnsi="Arial" w:cs="Arial"/>
          <w:sz w:val="24"/>
          <w:szCs w:val="24"/>
        </w:rPr>
      </w:pPr>
      <w:r>
        <w:rPr>
          <w:rFonts w:ascii="Arial" w:hAnsi="Arial" w:cs="Arial"/>
          <w:sz w:val="24"/>
          <w:szCs w:val="24"/>
        </w:rPr>
        <w:t xml:space="preserve">Figure 2 shows that the relevance of four variables for the variability of response propensities has declined. The variables ‘urbanicity’ and ‘age’ have the largest effect on response propensities. Although their effect </w:t>
      </w:r>
      <w:r w:rsidR="00AA2E25">
        <w:rPr>
          <w:rFonts w:ascii="Arial" w:hAnsi="Arial" w:cs="Arial"/>
          <w:sz w:val="24"/>
          <w:szCs w:val="24"/>
        </w:rPr>
        <w:t>has been</w:t>
      </w:r>
      <w:r>
        <w:rPr>
          <w:rFonts w:ascii="Arial" w:hAnsi="Arial" w:cs="Arial"/>
          <w:sz w:val="24"/>
          <w:szCs w:val="24"/>
        </w:rPr>
        <w:t xml:space="preserve"> decreasing over time, their effect is still largest in 2016. In addition, the effect of ‘region’ and ‘gender’ on response propensit</w:t>
      </w:r>
      <w:r w:rsidR="00AA2E25">
        <w:rPr>
          <w:rFonts w:ascii="Arial" w:hAnsi="Arial" w:cs="Arial"/>
          <w:sz w:val="24"/>
          <w:szCs w:val="24"/>
        </w:rPr>
        <w:t>ies</w:t>
      </w:r>
      <w:r>
        <w:rPr>
          <w:rFonts w:ascii="Arial" w:hAnsi="Arial" w:cs="Arial"/>
          <w:sz w:val="24"/>
          <w:szCs w:val="24"/>
        </w:rPr>
        <w:t xml:space="preserve"> has diminished.</w:t>
      </w:r>
      <w:r w:rsidR="00AA2E25">
        <w:rPr>
          <w:rFonts w:ascii="Arial" w:hAnsi="Arial" w:cs="Arial"/>
          <w:sz w:val="24"/>
          <w:szCs w:val="24"/>
        </w:rPr>
        <w:t xml:space="preserve"> Solely the effect of ‘nationality’ became larger over time. </w:t>
      </w:r>
    </w:p>
    <w:p w:rsidR="00B14CFE" w:rsidRPr="002940A7" w:rsidRDefault="00B14CFE" w:rsidP="00A221F8">
      <w:pPr>
        <w:spacing w:after="0" w:line="360" w:lineRule="auto"/>
        <w:jc w:val="both"/>
        <w:rPr>
          <w:rFonts w:ascii="Arial" w:hAnsi="Arial" w:cs="Arial"/>
          <w:sz w:val="24"/>
          <w:szCs w:val="24"/>
          <w:lang w:val="en-GB"/>
        </w:rPr>
      </w:pPr>
      <w:r w:rsidRPr="002940A7">
        <w:rPr>
          <w:rFonts w:ascii="Arial" w:hAnsi="Arial" w:cs="Arial"/>
          <w:sz w:val="24"/>
          <w:szCs w:val="24"/>
          <w:lang w:val="en-GB"/>
        </w:rPr>
        <w:t xml:space="preserve">3.2 </w:t>
      </w:r>
      <w:r w:rsidR="00AF6907">
        <w:rPr>
          <w:rFonts w:ascii="Arial" w:hAnsi="Arial" w:cs="Arial"/>
          <w:sz w:val="24"/>
          <w:szCs w:val="24"/>
          <w:lang w:val="en-GB"/>
        </w:rPr>
        <w:t xml:space="preserve">Deviations from </w:t>
      </w:r>
      <w:r w:rsidR="000115F3">
        <w:rPr>
          <w:rFonts w:ascii="Arial" w:hAnsi="Arial" w:cs="Arial"/>
          <w:sz w:val="24"/>
          <w:szCs w:val="24"/>
          <w:lang w:val="en-GB"/>
        </w:rPr>
        <w:t xml:space="preserve">the </w:t>
      </w:r>
      <w:r w:rsidR="000115F3" w:rsidRPr="00A23E4E">
        <w:rPr>
          <w:rFonts w:ascii="Arial" w:hAnsi="Arial" w:cs="Arial"/>
          <w:sz w:val="24"/>
          <w:szCs w:val="24"/>
          <w:lang w:val="en-US"/>
        </w:rPr>
        <w:t xml:space="preserve">German microcensus </w:t>
      </w:r>
      <w:r w:rsidR="000115F3">
        <w:rPr>
          <w:rFonts w:ascii="Arial" w:hAnsi="Arial" w:cs="Arial"/>
          <w:sz w:val="24"/>
          <w:szCs w:val="24"/>
          <w:lang w:val="en-US"/>
        </w:rPr>
        <w:t>(</w:t>
      </w:r>
      <w:r w:rsidR="00AF6907">
        <w:rPr>
          <w:rFonts w:ascii="Arial" w:hAnsi="Arial" w:cs="Arial"/>
          <w:sz w:val="24"/>
          <w:szCs w:val="24"/>
          <w:lang w:val="en-GB"/>
        </w:rPr>
        <w:t>e</w:t>
      </w:r>
      <w:r w:rsidR="002940A7" w:rsidRPr="002940A7">
        <w:rPr>
          <w:rFonts w:ascii="Arial" w:hAnsi="Arial" w:cs="Arial"/>
          <w:sz w:val="24"/>
          <w:szCs w:val="24"/>
          <w:lang w:val="en-GB"/>
        </w:rPr>
        <w:t>xternal benchmark</w:t>
      </w:r>
      <w:r w:rsidR="000115F3">
        <w:rPr>
          <w:rFonts w:ascii="Arial" w:hAnsi="Arial" w:cs="Arial"/>
          <w:sz w:val="24"/>
          <w:szCs w:val="24"/>
          <w:lang w:val="en-GB"/>
        </w:rPr>
        <w:t>)</w:t>
      </w:r>
    </w:p>
    <w:p w:rsidR="009D518A" w:rsidRDefault="009D518A" w:rsidP="00A23E4E">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Figure 3 shows the mean index of dissimilarity (D) between ALLBUS and microcencus variable distributions across the seven characteristics included in our analysis. </w:t>
      </w:r>
      <w:r w:rsidR="000D2055" w:rsidRPr="004D270E">
        <w:rPr>
          <w:rFonts w:ascii="Arial" w:eastAsia="Times New Roman" w:hAnsi="Arial" w:cs="Arial"/>
          <w:sz w:val="24"/>
          <w:szCs w:val="24"/>
          <w:lang w:eastAsia="de-DE"/>
        </w:rPr>
        <w:t xml:space="preserve">The index of dissimilarity </w:t>
      </w:r>
      <w:r>
        <w:rPr>
          <w:rFonts w:ascii="Arial" w:eastAsia="Times New Roman" w:hAnsi="Arial" w:cs="Arial"/>
          <w:sz w:val="24"/>
          <w:szCs w:val="24"/>
          <w:lang w:eastAsia="de-DE"/>
        </w:rPr>
        <w:t xml:space="preserve">has a rather streightforward interpretation: it </w:t>
      </w:r>
      <w:r w:rsidR="000D2055" w:rsidRPr="004D270E">
        <w:rPr>
          <w:rFonts w:ascii="Arial" w:eastAsia="Times New Roman" w:hAnsi="Arial" w:cs="Arial"/>
          <w:sz w:val="24"/>
          <w:szCs w:val="24"/>
          <w:lang w:eastAsia="de-DE"/>
        </w:rPr>
        <w:t>measures the percentage of respondents that would need to move between the categories of a variable to produce exactly the same distribution for the two surveys.</w:t>
      </w:r>
      <w:r>
        <w:rPr>
          <w:rFonts w:ascii="Arial" w:eastAsia="Times New Roman" w:hAnsi="Arial" w:cs="Arial"/>
          <w:sz w:val="24"/>
          <w:szCs w:val="24"/>
          <w:lang w:eastAsia="de-DE"/>
        </w:rPr>
        <w:t xml:space="preserve"> The larger the discrepancy between the ALLBUS and microcensus variable distribution, the larger the value of D. The average values of D for the ALLBUS surveys </w:t>
      </w:r>
      <w:r w:rsidR="003745E1">
        <w:rPr>
          <w:rFonts w:ascii="Arial" w:eastAsia="Times New Roman" w:hAnsi="Arial" w:cs="Arial"/>
          <w:sz w:val="24"/>
          <w:szCs w:val="24"/>
          <w:lang w:eastAsia="de-DE"/>
        </w:rPr>
        <w:t xml:space="preserve">between </w:t>
      </w:r>
      <w:r>
        <w:rPr>
          <w:rFonts w:ascii="Arial" w:eastAsia="Times New Roman" w:hAnsi="Arial" w:cs="Arial"/>
          <w:sz w:val="24"/>
          <w:szCs w:val="24"/>
          <w:lang w:eastAsia="de-DE"/>
        </w:rPr>
        <w:t xml:space="preserve">1994 </w:t>
      </w:r>
      <w:r w:rsidR="003745E1">
        <w:rPr>
          <w:rFonts w:ascii="Arial" w:eastAsia="Times New Roman" w:hAnsi="Arial" w:cs="Arial"/>
          <w:sz w:val="24"/>
          <w:szCs w:val="24"/>
          <w:lang w:eastAsia="de-DE"/>
        </w:rPr>
        <w:t xml:space="preserve">and </w:t>
      </w:r>
      <w:r>
        <w:rPr>
          <w:rFonts w:ascii="Arial" w:eastAsia="Times New Roman" w:hAnsi="Arial" w:cs="Arial"/>
          <w:sz w:val="24"/>
          <w:szCs w:val="24"/>
          <w:lang w:eastAsia="de-DE"/>
        </w:rPr>
        <w:t xml:space="preserve">2016 are </w:t>
      </w:r>
      <w:r w:rsidR="00927E7B">
        <w:rPr>
          <w:rFonts w:ascii="Arial" w:eastAsia="Times New Roman" w:hAnsi="Arial" w:cs="Arial"/>
          <w:sz w:val="24"/>
          <w:szCs w:val="24"/>
          <w:lang w:eastAsia="de-DE"/>
        </w:rPr>
        <w:t xml:space="preserve">on a rather low level. (For surveys using a different survey design like random route, much higher values can be observed, see Blohm 2006). Over time, no clear-cut trend in the </w:t>
      </w:r>
      <w:r w:rsidR="003745E1">
        <w:rPr>
          <w:rFonts w:ascii="Arial" w:eastAsia="Times New Roman" w:hAnsi="Arial" w:cs="Arial"/>
          <w:sz w:val="24"/>
          <w:szCs w:val="24"/>
          <w:lang w:eastAsia="de-DE"/>
        </w:rPr>
        <w:t xml:space="preserve">average </w:t>
      </w:r>
      <w:r w:rsidR="00927E7B">
        <w:rPr>
          <w:rFonts w:ascii="Arial" w:eastAsia="Times New Roman" w:hAnsi="Arial" w:cs="Arial"/>
          <w:sz w:val="24"/>
          <w:szCs w:val="24"/>
          <w:lang w:eastAsia="de-DE"/>
        </w:rPr>
        <w:t xml:space="preserve">value of D can be observed. Thus, with this approach too, we do not find that a decrease in the response rate over time </w:t>
      </w:r>
      <w:r w:rsidR="003745E1">
        <w:rPr>
          <w:rFonts w:ascii="Arial" w:eastAsia="Times New Roman" w:hAnsi="Arial" w:cs="Arial"/>
          <w:sz w:val="24"/>
          <w:szCs w:val="24"/>
          <w:lang w:eastAsia="de-DE"/>
        </w:rPr>
        <w:t>comes along with</w:t>
      </w:r>
      <w:r w:rsidR="00927E7B">
        <w:rPr>
          <w:rFonts w:ascii="Arial" w:eastAsia="Times New Roman" w:hAnsi="Arial" w:cs="Arial"/>
          <w:sz w:val="24"/>
          <w:szCs w:val="24"/>
          <w:lang w:eastAsia="de-DE"/>
        </w:rPr>
        <w:t xml:space="preserve"> a decrease in quality of </w:t>
      </w:r>
      <w:r w:rsidR="003745E1">
        <w:rPr>
          <w:rFonts w:ascii="Arial" w:eastAsia="Times New Roman" w:hAnsi="Arial" w:cs="Arial"/>
          <w:sz w:val="24"/>
          <w:szCs w:val="24"/>
          <w:lang w:eastAsia="de-DE"/>
        </w:rPr>
        <w:t xml:space="preserve">the </w:t>
      </w:r>
      <w:r w:rsidR="00927E7B">
        <w:rPr>
          <w:rFonts w:ascii="Arial" w:eastAsia="Times New Roman" w:hAnsi="Arial" w:cs="Arial"/>
          <w:sz w:val="24"/>
          <w:szCs w:val="24"/>
          <w:lang w:eastAsia="de-DE"/>
        </w:rPr>
        <w:t>demographic sample composition.</w:t>
      </w:r>
    </w:p>
    <w:p w:rsidR="00AF6907" w:rsidRPr="00AF6907" w:rsidRDefault="00AF6907" w:rsidP="00AF6907">
      <w:pPr>
        <w:spacing w:after="0"/>
        <w:rPr>
          <w:rFonts w:ascii="Arial" w:hAnsi="Arial" w:cs="Arial"/>
          <w:sz w:val="24"/>
          <w:szCs w:val="24"/>
        </w:rPr>
      </w:pPr>
    </w:p>
    <w:p w:rsidR="00A23E4E" w:rsidRPr="004D270E" w:rsidRDefault="00A23E4E" w:rsidP="00A221F8">
      <w:pPr>
        <w:spacing w:after="0" w:line="360" w:lineRule="auto"/>
        <w:jc w:val="both"/>
        <w:rPr>
          <w:rFonts w:ascii="Arial" w:hAnsi="Arial" w:cs="Arial"/>
          <w:sz w:val="20"/>
          <w:szCs w:val="20"/>
          <w:lang w:val="de-DE"/>
        </w:rPr>
      </w:pPr>
      <w:r w:rsidRPr="004D270E">
        <w:rPr>
          <w:rFonts w:ascii="Arial" w:hAnsi="Arial" w:cs="Arial"/>
          <w:sz w:val="20"/>
          <w:szCs w:val="20"/>
          <w:lang w:val="de-DE"/>
        </w:rPr>
        <w:t>Figure 3:</w:t>
      </w:r>
    </w:p>
    <w:p w:rsidR="00A23E4E" w:rsidRPr="00A221F8" w:rsidRDefault="00A23E4E" w:rsidP="00A23E4E">
      <w:pPr>
        <w:rPr>
          <w:rFonts w:ascii="Arial" w:hAnsi="Arial" w:cs="Arial"/>
          <w:sz w:val="20"/>
          <w:szCs w:val="20"/>
        </w:rPr>
      </w:pPr>
      <w:r w:rsidRPr="00A221F8">
        <w:rPr>
          <w:rFonts w:ascii="Arial" w:hAnsi="Arial" w:cs="Arial"/>
          <w:noProof/>
          <w:sz w:val="20"/>
          <w:szCs w:val="20"/>
          <w:lang w:eastAsia="pl-PL"/>
        </w:rPr>
        <w:drawing>
          <wp:inline distT="0" distB="0" distL="0" distR="0" wp14:anchorId="78303802" wp14:editId="6CE18DB3">
            <wp:extent cx="3944815" cy="2836984"/>
            <wp:effectExtent l="0" t="0" r="17780" b="20955"/>
            <wp:docPr id="11" name="Diagram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21F8" w:rsidRPr="00A221F8" w:rsidRDefault="00A221F8" w:rsidP="00A221F8">
      <w:pPr>
        <w:rPr>
          <w:rFonts w:ascii="Arial" w:hAnsi="Arial" w:cs="Arial"/>
          <w:sz w:val="20"/>
          <w:szCs w:val="20"/>
        </w:rPr>
      </w:pPr>
      <w:r w:rsidRPr="00A221F8">
        <w:rPr>
          <w:rFonts w:ascii="Arial" w:hAnsi="Arial" w:cs="Arial"/>
          <w:sz w:val="20"/>
          <w:szCs w:val="20"/>
        </w:rPr>
        <w:t>Source: ALLBUS 1994</w:t>
      </w:r>
      <w:r>
        <w:rPr>
          <w:rFonts w:ascii="Arial" w:hAnsi="Arial" w:cs="Arial"/>
          <w:sz w:val="20"/>
          <w:szCs w:val="20"/>
        </w:rPr>
        <w:t xml:space="preserve"> -2016, german microcensus 1993 – 2015, own cal</w:t>
      </w:r>
      <w:r w:rsidR="00720A81">
        <w:rPr>
          <w:rFonts w:ascii="Arial" w:hAnsi="Arial" w:cs="Arial"/>
          <w:sz w:val="20"/>
          <w:szCs w:val="20"/>
        </w:rPr>
        <w:t>c</w:t>
      </w:r>
      <w:r>
        <w:rPr>
          <w:rFonts w:ascii="Arial" w:hAnsi="Arial" w:cs="Arial"/>
          <w:sz w:val="20"/>
          <w:szCs w:val="20"/>
        </w:rPr>
        <w:t>ulations</w:t>
      </w:r>
    </w:p>
    <w:p w:rsidR="00AF6907" w:rsidRPr="00AF6907" w:rsidRDefault="00AF6907" w:rsidP="00AF6907">
      <w:pPr>
        <w:spacing w:after="0"/>
        <w:rPr>
          <w:rFonts w:ascii="Arial" w:hAnsi="Arial" w:cs="Arial"/>
          <w:sz w:val="24"/>
          <w:szCs w:val="24"/>
        </w:rPr>
      </w:pPr>
    </w:p>
    <w:p w:rsidR="002B3409" w:rsidRDefault="002B3409" w:rsidP="004D270E">
      <w:pPr>
        <w:spacing w:line="360" w:lineRule="auto"/>
        <w:rPr>
          <w:rFonts w:ascii="Arial" w:hAnsi="Arial" w:cs="Arial"/>
          <w:sz w:val="24"/>
          <w:szCs w:val="24"/>
        </w:rPr>
      </w:pPr>
      <w:r>
        <w:rPr>
          <w:rFonts w:ascii="Arial" w:hAnsi="Arial" w:cs="Arial"/>
          <w:sz w:val="24"/>
          <w:szCs w:val="24"/>
        </w:rPr>
        <w:t xml:space="preserve">Figure 4 shows the indices of dissimilarity separately for the seven sociodemographic variables. For the sake of simplicity, only the linear trend for each variable is presented. </w:t>
      </w:r>
      <w:r w:rsidR="0043272A">
        <w:rPr>
          <w:rFonts w:ascii="Arial" w:hAnsi="Arial" w:cs="Arial"/>
          <w:sz w:val="24"/>
          <w:szCs w:val="24"/>
        </w:rPr>
        <w:t>The t</w:t>
      </w:r>
      <w:r>
        <w:rPr>
          <w:rFonts w:ascii="Arial" w:hAnsi="Arial" w:cs="Arial"/>
          <w:sz w:val="24"/>
          <w:szCs w:val="24"/>
        </w:rPr>
        <w:t>rend differ</w:t>
      </w:r>
      <w:r w:rsidR="0043272A">
        <w:rPr>
          <w:rFonts w:ascii="Arial" w:hAnsi="Arial" w:cs="Arial"/>
          <w:sz w:val="24"/>
          <w:szCs w:val="24"/>
        </w:rPr>
        <w:t>s</w:t>
      </w:r>
      <w:r>
        <w:rPr>
          <w:rFonts w:ascii="Arial" w:hAnsi="Arial" w:cs="Arial"/>
          <w:sz w:val="24"/>
          <w:szCs w:val="24"/>
        </w:rPr>
        <w:t xml:space="preserve"> between the variables. The indices of D for ‘occupational status’ and ‘gender’</w:t>
      </w:r>
      <w:r w:rsidR="002B510C">
        <w:rPr>
          <w:rFonts w:ascii="Arial" w:hAnsi="Arial" w:cs="Arial"/>
          <w:sz w:val="24"/>
          <w:szCs w:val="24"/>
        </w:rPr>
        <w:t xml:space="preserve"> became smaller over time.</w:t>
      </w:r>
      <w:r w:rsidR="008270A2">
        <w:rPr>
          <w:rFonts w:ascii="Arial" w:hAnsi="Arial" w:cs="Arial"/>
          <w:sz w:val="24"/>
          <w:szCs w:val="24"/>
        </w:rPr>
        <w:t xml:space="preserve"> The values for ‘work status’ and ‘marital status’ </w:t>
      </w:r>
      <w:r w:rsidR="00F20595">
        <w:rPr>
          <w:rFonts w:ascii="Arial" w:hAnsi="Arial" w:cs="Arial"/>
          <w:sz w:val="24"/>
          <w:szCs w:val="24"/>
        </w:rPr>
        <w:t>we</w:t>
      </w:r>
      <w:r w:rsidR="008270A2">
        <w:rPr>
          <w:rFonts w:ascii="Arial" w:hAnsi="Arial" w:cs="Arial"/>
          <w:sz w:val="24"/>
          <w:szCs w:val="24"/>
        </w:rPr>
        <w:t xml:space="preserve">re </w:t>
      </w:r>
      <w:r w:rsidR="0043272A">
        <w:rPr>
          <w:rFonts w:ascii="Arial" w:hAnsi="Arial" w:cs="Arial"/>
          <w:sz w:val="24"/>
          <w:szCs w:val="24"/>
        </w:rPr>
        <w:t>quite</w:t>
      </w:r>
      <w:r w:rsidR="008270A2">
        <w:rPr>
          <w:rFonts w:ascii="Arial" w:hAnsi="Arial" w:cs="Arial"/>
          <w:sz w:val="24"/>
          <w:szCs w:val="24"/>
        </w:rPr>
        <w:t xml:space="preserve"> stable over the years. </w:t>
      </w:r>
      <w:r w:rsidR="00CE64AA">
        <w:rPr>
          <w:rFonts w:ascii="Arial" w:hAnsi="Arial" w:cs="Arial"/>
          <w:sz w:val="24"/>
          <w:szCs w:val="24"/>
        </w:rPr>
        <w:t>The discrepancies between the ALLBUS and the microcensus of th</w:t>
      </w:r>
      <w:r w:rsidR="008270A2">
        <w:rPr>
          <w:rFonts w:ascii="Arial" w:hAnsi="Arial" w:cs="Arial"/>
          <w:sz w:val="24"/>
          <w:szCs w:val="24"/>
        </w:rPr>
        <w:t>e remaining variables ‘age’, ‘education’ and ‘household size</w:t>
      </w:r>
      <w:r w:rsidR="00CE64AA">
        <w:rPr>
          <w:rFonts w:ascii="Arial" w:hAnsi="Arial" w:cs="Arial"/>
          <w:sz w:val="24"/>
          <w:szCs w:val="24"/>
        </w:rPr>
        <w:t>’, however, increased over time.</w:t>
      </w:r>
      <w:r w:rsidR="003C5E71">
        <w:rPr>
          <w:rFonts w:ascii="Arial" w:hAnsi="Arial" w:cs="Arial"/>
          <w:sz w:val="24"/>
          <w:szCs w:val="24"/>
        </w:rPr>
        <w:t xml:space="preserve"> As regards the variable ‘age’, this result seems to contradict the </w:t>
      </w:r>
      <w:r w:rsidR="0043272A">
        <w:rPr>
          <w:rFonts w:ascii="Arial" w:hAnsi="Arial" w:cs="Arial"/>
          <w:sz w:val="24"/>
          <w:szCs w:val="24"/>
        </w:rPr>
        <w:t xml:space="preserve">results </w:t>
      </w:r>
      <w:r w:rsidR="003C5E71">
        <w:rPr>
          <w:rFonts w:ascii="Arial" w:hAnsi="Arial" w:cs="Arial"/>
          <w:sz w:val="24"/>
          <w:szCs w:val="24"/>
        </w:rPr>
        <w:t>in section 3.1</w:t>
      </w:r>
      <w:r w:rsidR="0043272A">
        <w:rPr>
          <w:rFonts w:ascii="Arial" w:hAnsi="Arial" w:cs="Arial"/>
          <w:sz w:val="24"/>
          <w:szCs w:val="24"/>
        </w:rPr>
        <w:t xml:space="preserve"> using the </w:t>
      </w:r>
      <w:r w:rsidR="00AF6907">
        <w:rPr>
          <w:rFonts w:ascii="Arial" w:hAnsi="Arial" w:cs="Arial"/>
          <w:sz w:val="24"/>
          <w:szCs w:val="24"/>
        </w:rPr>
        <w:t>R-</w:t>
      </w:r>
      <w:r w:rsidR="000115F3">
        <w:rPr>
          <w:rFonts w:ascii="Arial" w:hAnsi="Arial" w:cs="Arial"/>
          <w:sz w:val="24"/>
          <w:szCs w:val="24"/>
        </w:rPr>
        <w:t>i</w:t>
      </w:r>
      <w:r w:rsidR="0043272A">
        <w:rPr>
          <w:rFonts w:ascii="Arial" w:hAnsi="Arial" w:cs="Arial"/>
          <w:sz w:val="24"/>
          <w:szCs w:val="24"/>
        </w:rPr>
        <w:t>ndicators</w:t>
      </w:r>
      <w:r w:rsidR="003C5E71">
        <w:rPr>
          <w:rFonts w:ascii="Arial" w:hAnsi="Arial" w:cs="Arial"/>
          <w:sz w:val="24"/>
          <w:szCs w:val="24"/>
        </w:rPr>
        <w:t xml:space="preserve">. </w:t>
      </w:r>
      <w:r w:rsidR="0043272A">
        <w:rPr>
          <w:rFonts w:ascii="Arial" w:hAnsi="Arial" w:cs="Arial"/>
          <w:sz w:val="24"/>
          <w:szCs w:val="24"/>
        </w:rPr>
        <w:t>There we found a declining effect for the variable ‘age’. However, one has to take into account that in 3.1 the results refer to the effects of the variables in a multivariate model, whereas in section 3.2 we only analyse the univariate distributions</w:t>
      </w:r>
      <w:r w:rsidR="00B42E1B">
        <w:rPr>
          <w:rFonts w:ascii="Arial" w:hAnsi="Arial" w:cs="Arial"/>
          <w:sz w:val="24"/>
          <w:szCs w:val="24"/>
        </w:rPr>
        <w:t xml:space="preserve"> of the variables</w:t>
      </w:r>
      <w:r w:rsidR="0043272A">
        <w:rPr>
          <w:rFonts w:ascii="Arial" w:hAnsi="Arial" w:cs="Arial"/>
          <w:sz w:val="24"/>
          <w:szCs w:val="24"/>
        </w:rPr>
        <w:t>.</w:t>
      </w:r>
      <w:r w:rsidR="00B42E1B">
        <w:rPr>
          <w:rFonts w:ascii="Arial" w:hAnsi="Arial" w:cs="Arial"/>
          <w:sz w:val="24"/>
          <w:szCs w:val="24"/>
        </w:rPr>
        <w:t xml:space="preserve"> The largest increase pertains to the variable ‘education’. A closer look reveals, that in particular the underrepresentation of persons with a low school-leaving certificate became </w:t>
      </w:r>
      <w:r w:rsidR="00F20595">
        <w:rPr>
          <w:rFonts w:ascii="Arial" w:hAnsi="Arial" w:cs="Arial"/>
          <w:sz w:val="24"/>
          <w:szCs w:val="24"/>
        </w:rPr>
        <w:t>stronger</w:t>
      </w:r>
      <w:r w:rsidR="00B42E1B">
        <w:rPr>
          <w:rFonts w:ascii="Arial" w:hAnsi="Arial" w:cs="Arial"/>
          <w:sz w:val="24"/>
          <w:szCs w:val="24"/>
        </w:rPr>
        <w:t xml:space="preserve"> over the years.</w:t>
      </w:r>
      <w:r w:rsidR="00F20595">
        <w:rPr>
          <w:rFonts w:ascii="Arial" w:hAnsi="Arial" w:cs="Arial"/>
          <w:sz w:val="24"/>
          <w:szCs w:val="24"/>
        </w:rPr>
        <w:t xml:space="preserve"> That the variable ‘education’ is prone to be biased in sample surveys in Germany has already been discussed in the past (Hartmann &amp; Schimp-Neimanns 1992).</w:t>
      </w:r>
    </w:p>
    <w:p w:rsidR="00AF6907" w:rsidRPr="004D270E" w:rsidRDefault="004D270E" w:rsidP="00AF6907">
      <w:pPr>
        <w:spacing w:after="0" w:line="360" w:lineRule="auto"/>
        <w:jc w:val="both"/>
        <w:rPr>
          <w:rFonts w:ascii="Arial" w:hAnsi="Arial" w:cs="Arial"/>
          <w:sz w:val="20"/>
          <w:szCs w:val="20"/>
          <w:lang w:val="de-DE"/>
        </w:rPr>
      </w:pPr>
      <w:r w:rsidRPr="00A221F8">
        <w:rPr>
          <w:rFonts w:ascii="Arial" w:hAnsi="Arial" w:cs="Arial"/>
          <w:sz w:val="20"/>
          <w:szCs w:val="20"/>
        </w:rPr>
        <w:t xml:space="preserve">Figure 4: </w:t>
      </w:r>
    </w:p>
    <w:p w:rsidR="00720A81" w:rsidRDefault="00720A81" w:rsidP="00AF6907">
      <w:pPr>
        <w:spacing w:line="360" w:lineRule="auto"/>
        <w:rPr>
          <w:rFonts w:ascii="Arial" w:hAnsi="Arial" w:cs="Arial"/>
          <w:sz w:val="20"/>
          <w:szCs w:val="20"/>
        </w:rPr>
      </w:pPr>
      <w:r>
        <w:rPr>
          <w:noProof/>
          <w:lang w:eastAsia="pl-PL"/>
        </w:rPr>
        <w:drawing>
          <wp:inline distT="0" distB="0" distL="0" distR="0" wp14:anchorId="04B36D02" wp14:editId="72699082">
            <wp:extent cx="4572000" cy="3915508"/>
            <wp:effectExtent l="0" t="0" r="19050" b="2794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D270E" w:rsidRPr="00A221F8" w:rsidRDefault="004D270E" w:rsidP="004D270E">
      <w:pPr>
        <w:rPr>
          <w:rFonts w:ascii="Arial" w:hAnsi="Arial" w:cs="Arial"/>
          <w:sz w:val="20"/>
          <w:szCs w:val="20"/>
        </w:rPr>
      </w:pPr>
      <w:r w:rsidRPr="00A221F8">
        <w:rPr>
          <w:rFonts w:ascii="Arial" w:hAnsi="Arial" w:cs="Arial"/>
          <w:sz w:val="20"/>
          <w:szCs w:val="20"/>
        </w:rPr>
        <w:t>Source: ALLBUS 1994</w:t>
      </w:r>
      <w:r>
        <w:rPr>
          <w:rFonts w:ascii="Arial" w:hAnsi="Arial" w:cs="Arial"/>
          <w:sz w:val="20"/>
          <w:szCs w:val="20"/>
        </w:rPr>
        <w:t xml:space="preserve"> -2016, german microcensus 1993 – 2015, own calculations</w:t>
      </w:r>
    </w:p>
    <w:p w:rsidR="00B8130B" w:rsidRPr="002940A7" w:rsidRDefault="00CC4EE3" w:rsidP="00CC1C1D">
      <w:pPr>
        <w:spacing w:before="360" w:after="0" w:line="360" w:lineRule="auto"/>
        <w:jc w:val="both"/>
        <w:rPr>
          <w:rFonts w:ascii="Arial" w:hAnsi="Arial" w:cs="Arial"/>
          <w:b/>
          <w:sz w:val="24"/>
          <w:szCs w:val="24"/>
          <w:lang w:val="en-US"/>
        </w:rPr>
      </w:pPr>
      <w:r w:rsidRPr="002940A7">
        <w:rPr>
          <w:rFonts w:ascii="Arial" w:hAnsi="Arial" w:cs="Arial"/>
          <w:b/>
          <w:sz w:val="24"/>
          <w:szCs w:val="24"/>
          <w:lang w:val="en-US"/>
        </w:rPr>
        <w:t>4. Discussion</w:t>
      </w:r>
    </w:p>
    <w:p w:rsidR="00615D59" w:rsidRPr="005F3DFE" w:rsidRDefault="00615D59" w:rsidP="00A66BC6">
      <w:pPr>
        <w:spacing w:line="360" w:lineRule="auto"/>
        <w:rPr>
          <w:rFonts w:ascii="Arial" w:hAnsi="Arial" w:cs="Arial"/>
          <w:sz w:val="24"/>
          <w:szCs w:val="24"/>
          <w:lang w:val="en-US"/>
        </w:rPr>
      </w:pPr>
      <w:r w:rsidRPr="00A66BC6">
        <w:rPr>
          <w:rFonts w:ascii="Arial" w:hAnsi="Arial" w:cs="Arial"/>
          <w:sz w:val="24"/>
          <w:szCs w:val="24"/>
          <w:lang w:val="en-US"/>
        </w:rPr>
        <w:t xml:space="preserve">The present paper investigated whether the decline in response in the German ALLBUS survey which could be observed in the past 20 years comes along with an increase in bias in terms of </w:t>
      </w:r>
      <w:r w:rsidR="00F57BE5">
        <w:rPr>
          <w:rFonts w:ascii="Arial" w:hAnsi="Arial" w:cs="Arial"/>
          <w:sz w:val="24"/>
          <w:szCs w:val="24"/>
          <w:lang w:val="en-US"/>
        </w:rPr>
        <w:t>socio</w:t>
      </w:r>
      <w:r w:rsidRPr="00A66BC6">
        <w:rPr>
          <w:rFonts w:ascii="Arial" w:hAnsi="Arial" w:cs="Arial"/>
          <w:sz w:val="24"/>
          <w:szCs w:val="24"/>
          <w:lang w:val="en-US"/>
        </w:rPr>
        <w:t xml:space="preserve">demographic sample composition. Using both information available from the ALLBUS sampling frame and external benchmark data, we could show that this is </w:t>
      </w:r>
      <w:r w:rsidR="00F57BE5">
        <w:rPr>
          <w:rFonts w:ascii="Arial" w:hAnsi="Arial" w:cs="Arial"/>
          <w:sz w:val="24"/>
          <w:szCs w:val="24"/>
          <w:lang w:val="en-US"/>
        </w:rPr>
        <w:t xml:space="preserve">– in general - </w:t>
      </w:r>
      <w:r w:rsidRPr="00A66BC6">
        <w:rPr>
          <w:rFonts w:ascii="Arial" w:hAnsi="Arial" w:cs="Arial"/>
          <w:sz w:val="24"/>
          <w:szCs w:val="24"/>
          <w:lang w:val="en-US"/>
        </w:rPr>
        <w:t xml:space="preserve">not the case. Despite facing a decrease in the response rate of twenty percentage points, the current ALLBUS surveys exhibit </w:t>
      </w:r>
      <w:r w:rsidR="00F57BE5">
        <w:rPr>
          <w:rFonts w:ascii="Arial" w:hAnsi="Arial" w:cs="Arial"/>
          <w:sz w:val="24"/>
          <w:szCs w:val="24"/>
          <w:lang w:val="en-US"/>
        </w:rPr>
        <w:t xml:space="preserve">– on average – either </w:t>
      </w:r>
      <w:r w:rsidRPr="00A66BC6">
        <w:rPr>
          <w:rFonts w:ascii="Arial" w:hAnsi="Arial" w:cs="Arial"/>
          <w:sz w:val="24"/>
          <w:szCs w:val="24"/>
          <w:lang w:val="en-US"/>
        </w:rPr>
        <w:t xml:space="preserve">a better balanced sample composition </w:t>
      </w:r>
      <w:r w:rsidR="00F57BE5">
        <w:rPr>
          <w:rFonts w:ascii="Arial" w:hAnsi="Arial" w:cs="Arial"/>
          <w:sz w:val="24"/>
          <w:szCs w:val="24"/>
          <w:lang w:val="en-US"/>
        </w:rPr>
        <w:t xml:space="preserve">(according to the sample frame information and the respective </w:t>
      </w:r>
      <w:r w:rsidR="007139DF">
        <w:rPr>
          <w:rFonts w:ascii="Arial" w:hAnsi="Arial" w:cs="Arial"/>
          <w:sz w:val="24"/>
          <w:szCs w:val="24"/>
          <w:lang w:val="en-US"/>
        </w:rPr>
        <w:t>R-</w:t>
      </w:r>
      <w:r w:rsidR="00F57BE5">
        <w:rPr>
          <w:rFonts w:ascii="Arial" w:hAnsi="Arial" w:cs="Arial"/>
          <w:sz w:val="24"/>
          <w:szCs w:val="24"/>
          <w:lang w:val="en-US"/>
        </w:rPr>
        <w:t xml:space="preserve">indicator) or an equally well balanced sample (according to the external benchmark data and the average value of D) </w:t>
      </w:r>
      <w:r w:rsidRPr="00A66BC6">
        <w:rPr>
          <w:rFonts w:ascii="Arial" w:hAnsi="Arial" w:cs="Arial"/>
          <w:sz w:val="24"/>
          <w:szCs w:val="24"/>
          <w:lang w:val="en-US"/>
        </w:rPr>
        <w:t xml:space="preserve">than the ALLBUS surveys in the second half of the 1990s. Thus, these results are another example that response rates alone are an imperfect indicator of nonresponse bias. Various factors might have contributed to this result. First and foremost, one has to take into account that ALLBUS has implemented various measures to improve fieldwork and sample composition in the past 20 years. This includes more general measures like an increase in the number of contact attempts, and more specific </w:t>
      </w:r>
      <w:r w:rsidR="007C291E">
        <w:rPr>
          <w:rFonts w:ascii="Arial" w:hAnsi="Arial" w:cs="Arial"/>
          <w:sz w:val="24"/>
          <w:szCs w:val="24"/>
          <w:lang w:val="en-US"/>
        </w:rPr>
        <w:t>procedures</w:t>
      </w:r>
      <w:r w:rsidRPr="00A66BC6">
        <w:rPr>
          <w:rFonts w:ascii="Arial" w:hAnsi="Arial" w:cs="Arial"/>
          <w:sz w:val="24"/>
          <w:szCs w:val="24"/>
          <w:lang w:val="en-US"/>
        </w:rPr>
        <w:t xml:space="preserve"> like the tracing of target persons who moved shortly before or during the ALLBUS fieldwork period.</w:t>
      </w:r>
      <w:r w:rsidR="00A66BC6">
        <w:rPr>
          <w:rFonts w:ascii="Arial" w:hAnsi="Arial" w:cs="Arial"/>
          <w:sz w:val="24"/>
          <w:szCs w:val="24"/>
          <w:lang w:val="en-US"/>
        </w:rPr>
        <w:t xml:space="preserve"> </w:t>
      </w:r>
    </w:p>
    <w:p w:rsidR="00F57BE5" w:rsidRDefault="00F57BE5" w:rsidP="00615D59">
      <w:pPr>
        <w:spacing w:line="360" w:lineRule="auto"/>
        <w:rPr>
          <w:rFonts w:ascii="Arial" w:hAnsi="Arial" w:cs="Arial"/>
          <w:sz w:val="24"/>
          <w:szCs w:val="24"/>
        </w:rPr>
      </w:pPr>
      <w:r>
        <w:rPr>
          <w:rFonts w:ascii="Arial" w:hAnsi="Arial" w:cs="Arial"/>
          <w:sz w:val="24"/>
          <w:szCs w:val="24"/>
        </w:rPr>
        <w:t>The analyses also show, that response rates are an imperfect indicator of nonresponse bias, since nonresponse bias is a</w:t>
      </w:r>
      <w:r w:rsidR="003015FE">
        <w:rPr>
          <w:rFonts w:ascii="Arial" w:hAnsi="Arial" w:cs="Arial"/>
          <w:sz w:val="24"/>
          <w:szCs w:val="24"/>
        </w:rPr>
        <w:t xml:space="preserve"> variable-specific phenomenon. Accordingly, we found in our analyses both examples of variables, the bias of which became smaller over time (despite a decline in the response rate) and examples of variables, the bias of which increase</w:t>
      </w:r>
      <w:r w:rsidR="006E2E09">
        <w:rPr>
          <w:rFonts w:ascii="Arial" w:hAnsi="Arial" w:cs="Arial"/>
          <w:sz w:val="24"/>
          <w:szCs w:val="24"/>
        </w:rPr>
        <w:t>d</w:t>
      </w:r>
      <w:r w:rsidR="003015FE">
        <w:rPr>
          <w:rFonts w:ascii="Arial" w:hAnsi="Arial" w:cs="Arial"/>
          <w:sz w:val="24"/>
          <w:szCs w:val="24"/>
        </w:rPr>
        <w:t xml:space="preserve"> (as one usually expects, when the response rate decreases).</w:t>
      </w:r>
    </w:p>
    <w:p w:rsidR="005F3DFE" w:rsidRPr="00CC384C" w:rsidRDefault="007C291E" w:rsidP="005F3DFE">
      <w:pPr>
        <w:spacing w:after="0" w:line="360" w:lineRule="auto"/>
        <w:jc w:val="both"/>
        <w:rPr>
          <w:rFonts w:ascii="Arial" w:hAnsi="Arial" w:cs="Arial"/>
          <w:sz w:val="24"/>
          <w:szCs w:val="24"/>
          <w:lang w:val="en-US"/>
        </w:rPr>
      </w:pPr>
      <w:r>
        <w:rPr>
          <w:rFonts w:ascii="Arial" w:hAnsi="Arial" w:cs="Arial"/>
          <w:sz w:val="24"/>
          <w:szCs w:val="24"/>
        </w:rPr>
        <w:t>The ALLBUS surveys between 1994 and 2016 us</w:t>
      </w:r>
      <w:r w:rsidR="00C51A86">
        <w:rPr>
          <w:rFonts w:ascii="Arial" w:hAnsi="Arial" w:cs="Arial"/>
          <w:sz w:val="24"/>
          <w:szCs w:val="24"/>
        </w:rPr>
        <w:t>ed</w:t>
      </w:r>
      <w:r>
        <w:rPr>
          <w:rFonts w:ascii="Arial" w:hAnsi="Arial" w:cs="Arial"/>
          <w:sz w:val="24"/>
          <w:szCs w:val="24"/>
        </w:rPr>
        <w:t xml:space="preserve"> a sample of named individuals from a register; interviewers were not involved in the selection of the sample.</w:t>
      </w:r>
      <w:r w:rsidR="00F109F7">
        <w:rPr>
          <w:rFonts w:ascii="Arial" w:hAnsi="Arial" w:cs="Arial"/>
          <w:sz w:val="24"/>
          <w:szCs w:val="24"/>
        </w:rPr>
        <w:t xml:space="preserve"> Comparison with </w:t>
      </w:r>
      <w:r w:rsidR="005F3DFE">
        <w:rPr>
          <w:rFonts w:ascii="Arial" w:hAnsi="Arial" w:cs="Arial"/>
          <w:sz w:val="24"/>
          <w:szCs w:val="24"/>
        </w:rPr>
        <w:t xml:space="preserve">surveys using </w:t>
      </w:r>
      <w:r w:rsidR="00F109F7">
        <w:rPr>
          <w:rFonts w:ascii="Arial" w:hAnsi="Arial" w:cs="Arial"/>
          <w:sz w:val="24"/>
          <w:szCs w:val="24"/>
        </w:rPr>
        <w:t>other types of sample selection show, that t</w:t>
      </w:r>
      <w:r>
        <w:rPr>
          <w:rFonts w:ascii="Arial" w:hAnsi="Arial" w:cs="Arial"/>
          <w:sz w:val="24"/>
          <w:szCs w:val="24"/>
        </w:rPr>
        <w:t>his is an important pre</w:t>
      </w:r>
      <w:r w:rsidR="00866E1E">
        <w:rPr>
          <w:rFonts w:ascii="Arial" w:hAnsi="Arial" w:cs="Arial"/>
          <w:sz w:val="24"/>
          <w:szCs w:val="24"/>
        </w:rPr>
        <w:t>condition</w:t>
      </w:r>
      <w:r>
        <w:rPr>
          <w:rFonts w:ascii="Arial" w:hAnsi="Arial" w:cs="Arial"/>
          <w:sz w:val="24"/>
          <w:szCs w:val="24"/>
        </w:rPr>
        <w:t xml:space="preserve"> for achieving high quality of the demographic sample composition</w:t>
      </w:r>
      <w:r w:rsidR="00F109F7">
        <w:rPr>
          <w:rFonts w:ascii="Arial" w:hAnsi="Arial" w:cs="Arial"/>
          <w:sz w:val="24"/>
          <w:szCs w:val="24"/>
        </w:rPr>
        <w:t xml:space="preserve"> (Koch 1998; Blohm 2006). </w:t>
      </w:r>
      <w:r w:rsidR="00C51A86">
        <w:rPr>
          <w:rFonts w:ascii="Arial" w:hAnsi="Arial" w:cs="Arial"/>
          <w:sz w:val="24"/>
          <w:szCs w:val="24"/>
        </w:rPr>
        <w:t xml:space="preserve">One has to be aware, that a similar analysis of surveys using a different, less strict and transparent sampling design might </w:t>
      </w:r>
      <w:r w:rsidR="005F3DFE">
        <w:rPr>
          <w:rFonts w:ascii="Arial" w:hAnsi="Arial" w:cs="Arial"/>
          <w:sz w:val="24"/>
          <w:szCs w:val="24"/>
        </w:rPr>
        <w:t xml:space="preserve">lead to  </w:t>
      </w:r>
      <w:r w:rsidR="00C51A86">
        <w:rPr>
          <w:rFonts w:ascii="Arial" w:hAnsi="Arial" w:cs="Arial"/>
          <w:sz w:val="24"/>
          <w:szCs w:val="24"/>
        </w:rPr>
        <w:t>different results.</w:t>
      </w:r>
      <w:r w:rsidR="005F3DFE" w:rsidRPr="005F3DFE">
        <w:rPr>
          <w:rFonts w:ascii="Arial" w:hAnsi="Arial" w:cs="Arial"/>
          <w:sz w:val="24"/>
          <w:szCs w:val="24"/>
          <w:lang w:val="en-US"/>
        </w:rPr>
        <w:t xml:space="preserve"> </w:t>
      </w:r>
      <w:r w:rsidR="005F3DFE" w:rsidRPr="00CC384C">
        <w:rPr>
          <w:rFonts w:ascii="Arial" w:hAnsi="Arial" w:cs="Arial"/>
          <w:sz w:val="24"/>
          <w:szCs w:val="24"/>
          <w:lang w:val="en-US"/>
        </w:rPr>
        <w:t xml:space="preserve">Furthermore, the broad </w:t>
      </w:r>
      <w:r w:rsidR="005F3DFE">
        <w:rPr>
          <w:rFonts w:ascii="Arial" w:hAnsi="Arial" w:cs="Arial"/>
          <w:sz w:val="24"/>
          <w:szCs w:val="24"/>
          <w:lang w:val="en-US"/>
        </w:rPr>
        <w:t>range</w:t>
      </w:r>
      <w:r w:rsidR="005F3DFE" w:rsidRPr="00CC384C">
        <w:rPr>
          <w:rFonts w:ascii="Arial" w:hAnsi="Arial" w:cs="Arial"/>
          <w:sz w:val="24"/>
          <w:szCs w:val="24"/>
          <w:lang w:val="en-US"/>
        </w:rPr>
        <w:t xml:space="preserve"> of </w:t>
      </w:r>
      <w:r w:rsidR="005F3DFE">
        <w:rPr>
          <w:rFonts w:ascii="Arial" w:hAnsi="Arial" w:cs="Arial"/>
          <w:sz w:val="24"/>
          <w:szCs w:val="24"/>
          <w:lang w:val="en-US"/>
        </w:rPr>
        <w:t xml:space="preserve">topics included in the </w:t>
      </w:r>
      <w:r w:rsidR="005F3DFE" w:rsidRPr="00CC384C">
        <w:rPr>
          <w:rFonts w:ascii="Arial" w:hAnsi="Arial" w:cs="Arial"/>
          <w:sz w:val="24"/>
          <w:szCs w:val="24"/>
          <w:lang w:val="en-US"/>
        </w:rPr>
        <w:t xml:space="preserve">ALLBUS </w:t>
      </w:r>
      <w:r w:rsidR="005F3DFE">
        <w:rPr>
          <w:rFonts w:ascii="Arial" w:hAnsi="Arial" w:cs="Arial"/>
          <w:sz w:val="24"/>
          <w:szCs w:val="24"/>
          <w:lang w:val="en-US"/>
        </w:rPr>
        <w:t xml:space="preserve">questionnaire </w:t>
      </w:r>
      <w:r w:rsidR="005F3DFE" w:rsidRPr="00CC384C">
        <w:rPr>
          <w:rFonts w:ascii="Arial" w:hAnsi="Arial" w:cs="Arial"/>
          <w:sz w:val="24"/>
          <w:szCs w:val="24"/>
          <w:lang w:val="en-US"/>
        </w:rPr>
        <w:t>has</w:t>
      </w:r>
      <w:r w:rsidR="005F3DFE">
        <w:rPr>
          <w:rFonts w:ascii="Arial" w:hAnsi="Arial" w:cs="Arial"/>
          <w:sz w:val="24"/>
          <w:szCs w:val="24"/>
          <w:lang w:val="en-US"/>
        </w:rPr>
        <w:t xml:space="preserve"> to be taken into account when evaluating the present results. This broad range of topics probably prevents that ALLBUS is relevant only for persons with specific characteristics and interests.</w:t>
      </w:r>
    </w:p>
    <w:p w:rsidR="00F30C27" w:rsidRPr="00EC5F5A"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5. References</w:t>
      </w:r>
    </w:p>
    <w:p w:rsidR="006F1AB5" w:rsidRPr="001D1605" w:rsidRDefault="006F1AB5" w:rsidP="001D1605">
      <w:pPr>
        <w:autoSpaceDE w:val="0"/>
        <w:autoSpaceDN w:val="0"/>
        <w:adjustRightInd w:val="0"/>
        <w:spacing w:after="0" w:line="360" w:lineRule="auto"/>
        <w:ind w:left="284" w:hanging="284"/>
        <w:rPr>
          <w:rFonts w:ascii="Arial" w:hAnsi="Arial" w:cs="Arial"/>
          <w:sz w:val="24"/>
          <w:szCs w:val="24"/>
          <w:lang w:val="en-US"/>
        </w:rPr>
      </w:pPr>
      <w:r w:rsidRPr="001D1605">
        <w:rPr>
          <w:rFonts w:ascii="Arial" w:hAnsi="Arial" w:cs="Arial"/>
          <w:sz w:val="24"/>
          <w:szCs w:val="24"/>
          <w:lang w:val="en-US"/>
        </w:rPr>
        <w:t>Atrostic, B. K., Bates, N., Burt, G., &amp; Silberstein, A. (2001)</w:t>
      </w:r>
      <w:r w:rsidR="001D1605" w:rsidRPr="001D1605">
        <w:rPr>
          <w:rFonts w:ascii="Arial" w:hAnsi="Arial" w:cs="Arial"/>
          <w:sz w:val="24"/>
          <w:szCs w:val="24"/>
          <w:lang w:val="en-US"/>
        </w:rPr>
        <w:t>,</w:t>
      </w:r>
      <w:r w:rsidRPr="001D1605">
        <w:rPr>
          <w:rFonts w:ascii="Arial" w:hAnsi="Arial" w:cs="Arial"/>
          <w:sz w:val="24"/>
          <w:szCs w:val="24"/>
          <w:lang w:val="en-US"/>
        </w:rPr>
        <w:t xml:space="preserve"> Nonresponse in U.S. Government</w:t>
      </w:r>
      <w:r w:rsidR="001D1605">
        <w:rPr>
          <w:rFonts w:ascii="Arial" w:hAnsi="Arial" w:cs="Arial"/>
          <w:sz w:val="24"/>
          <w:szCs w:val="24"/>
          <w:lang w:val="en-US"/>
        </w:rPr>
        <w:t xml:space="preserve"> </w:t>
      </w:r>
      <w:r w:rsidRPr="001D1605">
        <w:rPr>
          <w:rFonts w:ascii="Arial" w:hAnsi="Arial" w:cs="Arial"/>
          <w:sz w:val="24"/>
          <w:szCs w:val="24"/>
          <w:lang w:val="en-US"/>
        </w:rPr>
        <w:t xml:space="preserve">Household Surveys: Consistent Measures, Recent Trends, and New Insights. </w:t>
      </w:r>
      <w:r w:rsidRPr="001D1605">
        <w:rPr>
          <w:rFonts w:ascii="Arial" w:hAnsi="Arial" w:cs="Arial"/>
          <w:i/>
          <w:iCs/>
          <w:sz w:val="24"/>
          <w:szCs w:val="24"/>
          <w:lang w:val="en-US"/>
        </w:rPr>
        <w:t>Journal ofOfficial Statistics</w:t>
      </w:r>
      <w:r w:rsidRPr="001D1605">
        <w:rPr>
          <w:rFonts w:ascii="Arial" w:hAnsi="Arial" w:cs="Arial"/>
          <w:sz w:val="24"/>
          <w:szCs w:val="24"/>
          <w:lang w:val="en-US"/>
        </w:rPr>
        <w:t xml:space="preserve">, 17(2), </w:t>
      </w:r>
      <w:r w:rsidR="001D1605">
        <w:rPr>
          <w:rFonts w:ascii="Arial" w:hAnsi="Arial" w:cs="Arial"/>
          <w:sz w:val="24"/>
          <w:szCs w:val="24"/>
          <w:lang w:val="en-US"/>
        </w:rPr>
        <w:t xml:space="preserve">pp. </w:t>
      </w:r>
      <w:r w:rsidRPr="001D1605">
        <w:rPr>
          <w:rFonts w:ascii="Arial" w:hAnsi="Arial" w:cs="Arial"/>
          <w:sz w:val="24"/>
          <w:szCs w:val="24"/>
          <w:lang w:val="en-US"/>
        </w:rPr>
        <w:t>209-226.</w:t>
      </w:r>
    </w:p>
    <w:p w:rsidR="00C11526" w:rsidRPr="00C11526" w:rsidRDefault="00C11526" w:rsidP="001D1605">
      <w:pPr>
        <w:spacing w:before="240" w:after="0" w:line="360" w:lineRule="auto"/>
        <w:ind w:left="284" w:hanging="284"/>
        <w:rPr>
          <w:rFonts w:ascii="Arial" w:hAnsi="Arial" w:cs="Arial"/>
          <w:sz w:val="24"/>
          <w:szCs w:val="24"/>
          <w:lang w:val="en-US"/>
        </w:rPr>
      </w:pPr>
      <w:r w:rsidRPr="00C11526">
        <w:rPr>
          <w:rFonts w:ascii="Arial" w:hAnsi="Arial" w:cs="Arial"/>
          <w:sz w:val="24"/>
          <w:szCs w:val="24"/>
          <w:lang w:val="en-US"/>
        </w:rPr>
        <w:t>Beullens, K., Loosveldt G., Vandenplas C. &amp; Stoop I. (2018</w:t>
      </w:r>
      <w:r w:rsidR="001D1605" w:rsidRPr="00C11526">
        <w:rPr>
          <w:rFonts w:ascii="Arial" w:hAnsi="Arial" w:cs="Arial"/>
          <w:sz w:val="24"/>
          <w:szCs w:val="24"/>
          <w:lang w:val="en-US"/>
        </w:rPr>
        <w:t>)</w:t>
      </w:r>
      <w:r w:rsidR="001D1605">
        <w:rPr>
          <w:rFonts w:ascii="Arial" w:hAnsi="Arial" w:cs="Arial"/>
          <w:sz w:val="24"/>
          <w:szCs w:val="24"/>
          <w:lang w:val="en-US"/>
        </w:rPr>
        <w:t>,</w:t>
      </w:r>
      <w:r w:rsidR="001D1605" w:rsidRPr="00C11526">
        <w:rPr>
          <w:rFonts w:ascii="Arial" w:hAnsi="Arial" w:cs="Arial"/>
          <w:sz w:val="24"/>
          <w:szCs w:val="24"/>
          <w:lang w:val="en-US"/>
        </w:rPr>
        <w:t xml:space="preserve"> </w:t>
      </w:r>
      <w:r w:rsidRPr="00C11526">
        <w:rPr>
          <w:rFonts w:ascii="Arial" w:hAnsi="Arial" w:cs="Arial"/>
          <w:sz w:val="24"/>
          <w:szCs w:val="24"/>
          <w:lang w:val="en-US"/>
        </w:rPr>
        <w:t xml:space="preserve">Response Rates in the European Social Survey: Increasing, Decreasing, or a Matter of Fieldwork Efforts? Survey Methods: Insights from the Field. Retrieved from </w:t>
      </w:r>
      <w:hyperlink r:id="rId16" w:history="1">
        <w:r w:rsidRPr="00C11526">
          <w:rPr>
            <w:rStyle w:val="Hipercze"/>
            <w:rFonts w:ascii="Arial" w:hAnsi="Arial" w:cs="Arial"/>
            <w:sz w:val="24"/>
            <w:szCs w:val="24"/>
            <w:lang w:val="en-US"/>
          </w:rPr>
          <w:t>https://surveyinsights.org/?p=9673</w:t>
        </w:r>
      </w:hyperlink>
    </w:p>
    <w:p w:rsidR="00C11526" w:rsidRPr="00C11526" w:rsidRDefault="00C11526" w:rsidP="002940A7">
      <w:pPr>
        <w:spacing w:before="240" w:after="0" w:line="360" w:lineRule="auto"/>
        <w:ind w:left="284" w:hanging="284"/>
        <w:rPr>
          <w:rFonts w:ascii="Arial" w:eastAsia="Times New Roman" w:hAnsi="Arial" w:cs="Arial"/>
          <w:sz w:val="24"/>
          <w:szCs w:val="24"/>
          <w:lang w:val="de-DE" w:eastAsia="de-DE"/>
        </w:rPr>
      </w:pPr>
      <w:r w:rsidRPr="00C11526">
        <w:rPr>
          <w:rFonts w:ascii="Arial" w:eastAsia="Times New Roman" w:hAnsi="Arial" w:cs="Arial"/>
          <w:sz w:val="24"/>
          <w:szCs w:val="24"/>
          <w:lang w:val="de-DE" w:eastAsia="de-DE"/>
        </w:rPr>
        <w:t>Blohm, Michael (2006</w:t>
      </w:r>
      <w:r w:rsidR="001D1605" w:rsidRPr="00C11526">
        <w:rPr>
          <w:rFonts w:ascii="Arial" w:eastAsia="Times New Roman" w:hAnsi="Arial" w:cs="Arial"/>
          <w:sz w:val="24"/>
          <w:szCs w:val="24"/>
          <w:lang w:val="de-DE" w:eastAsia="de-DE"/>
        </w:rPr>
        <w:t>)</w:t>
      </w:r>
      <w:r w:rsidR="001D1605">
        <w:rPr>
          <w:rFonts w:ascii="Arial" w:eastAsia="Times New Roman" w:hAnsi="Arial" w:cs="Arial"/>
          <w:sz w:val="24"/>
          <w:szCs w:val="24"/>
          <w:lang w:val="de-DE" w:eastAsia="de-DE"/>
        </w:rPr>
        <w:t>,</w:t>
      </w:r>
      <w:r w:rsidR="001D1605" w:rsidRPr="00C11526">
        <w:rPr>
          <w:rFonts w:ascii="Arial" w:eastAsia="Times New Roman" w:hAnsi="Arial" w:cs="Arial"/>
          <w:sz w:val="24"/>
          <w:szCs w:val="24"/>
          <w:lang w:val="de-DE" w:eastAsia="de-DE"/>
        </w:rPr>
        <w:t xml:space="preserve"> </w:t>
      </w:r>
      <w:r w:rsidRPr="00C11526">
        <w:rPr>
          <w:rFonts w:ascii="Arial" w:eastAsia="Times New Roman" w:hAnsi="Arial" w:cs="Arial"/>
          <w:sz w:val="24"/>
          <w:szCs w:val="24"/>
          <w:lang w:val="de-DE" w:eastAsia="de-DE"/>
        </w:rPr>
        <w:t>Datenqualität durch Stichprobenverfahren bei der Allgemeinen Bevölkerungsumfrage der Sozialwissenschaften - ALLBUS, in: Frank Faulbaum und Christof Wolf (</w:t>
      </w:r>
      <w:r w:rsidR="000F64FA">
        <w:rPr>
          <w:rFonts w:ascii="Arial" w:eastAsia="Times New Roman" w:hAnsi="Arial" w:cs="Arial"/>
          <w:sz w:val="24"/>
          <w:szCs w:val="24"/>
          <w:lang w:val="de-DE" w:eastAsia="de-DE"/>
        </w:rPr>
        <w:t>Ed</w:t>
      </w:r>
      <w:r w:rsidRPr="00C11526">
        <w:rPr>
          <w:rFonts w:ascii="Arial" w:eastAsia="Times New Roman" w:hAnsi="Arial" w:cs="Arial"/>
          <w:sz w:val="24"/>
          <w:szCs w:val="24"/>
          <w:lang w:val="de-DE" w:eastAsia="de-DE"/>
        </w:rPr>
        <w:t xml:space="preserve">.), Stichprobenqualität in Bevölkerungsumfragen, Bonn: Informationszentrum Sozialwissenschaften: pp37 - 54. </w:t>
      </w:r>
    </w:p>
    <w:p w:rsidR="001D1605" w:rsidRPr="001D1605" w:rsidRDefault="001D1605" w:rsidP="001D1605">
      <w:pPr>
        <w:spacing w:before="240" w:after="0" w:line="360" w:lineRule="auto"/>
        <w:ind w:left="284" w:hanging="284"/>
        <w:jc w:val="both"/>
        <w:rPr>
          <w:rFonts w:ascii="Arial" w:hAnsi="Arial" w:cs="Arial"/>
          <w:sz w:val="24"/>
          <w:szCs w:val="24"/>
        </w:rPr>
      </w:pPr>
      <w:r w:rsidRPr="001D1605">
        <w:rPr>
          <w:rFonts w:ascii="Arial" w:hAnsi="Arial" w:cs="Arial"/>
          <w:sz w:val="24"/>
          <w:szCs w:val="24"/>
          <w:lang w:val="en-US"/>
        </w:rPr>
        <w:t xml:space="preserve">de Leeuw, E., &amp; de Heer, W. (2002). Trends in Household Survey Nonresponse. A Longitudinal and International Comparison. In R. M. Groves, D. A. Dillman, J. L. Eltinge, &amp; R. J. A. Little (Eds.), </w:t>
      </w:r>
      <w:r w:rsidRPr="001D1605">
        <w:rPr>
          <w:rFonts w:ascii="Arial" w:hAnsi="Arial" w:cs="Arial"/>
          <w:i/>
          <w:iCs/>
          <w:sz w:val="24"/>
          <w:szCs w:val="24"/>
          <w:lang w:val="en-US"/>
        </w:rPr>
        <w:t xml:space="preserve">Survey Nonresponse </w:t>
      </w:r>
      <w:r w:rsidRPr="001D1605">
        <w:rPr>
          <w:rFonts w:ascii="Arial" w:hAnsi="Arial" w:cs="Arial"/>
          <w:sz w:val="24"/>
          <w:szCs w:val="24"/>
          <w:lang w:val="en-US"/>
        </w:rPr>
        <w:t>(pp. 41-54). New York: John Wiley &amp; Sons.</w:t>
      </w:r>
      <w:r w:rsidRPr="001D1605">
        <w:rPr>
          <w:rFonts w:ascii="Arial" w:hAnsi="Arial" w:cs="Arial"/>
          <w:sz w:val="24"/>
          <w:szCs w:val="24"/>
        </w:rPr>
        <w:t xml:space="preserve"> </w:t>
      </w:r>
    </w:p>
    <w:p w:rsidR="001D1605" w:rsidRPr="001D1605" w:rsidRDefault="001D1605" w:rsidP="001D1605">
      <w:pPr>
        <w:spacing w:before="240" w:after="0" w:line="360" w:lineRule="auto"/>
        <w:ind w:left="284" w:hanging="284"/>
        <w:jc w:val="both"/>
        <w:rPr>
          <w:rFonts w:ascii="Arial" w:hAnsi="Arial" w:cs="Arial"/>
          <w:sz w:val="24"/>
          <w:szCs w:val="24"/>
        </w:rPr>
      </w:pPr>
      <w:r w:rsidRPr="001D1605">
        <w:rPr>
          <w:rFonts w:ascii="Arial" w:hAnsi="Arial" w:cs="Arial"/>
          <w:sz w:val="24"/>
          <w:szCs w:val="24"/>
          <w:lang w:val="en-US"/>
        </w:rPr>
        <w:t xml:space="preserve">Dixon, J., &amp; Tucker, C. (2010). Survey Nonresponse. In P. V. Marsden &amp; J. D. Wright (Eds.), </w:t>
      </w:r>
      <w:r w:rsidRPr="001D1605">
        <w:rPr>
          <w:rFonts w:ascii="Arial" w:hAnsi="Arial" w:cs="Arial"/>
          <w:i/>
          <w:iCs/>
          <w:sz w:val="24"/>
          <w:szCs w:val="24"/>
          <w:lang w:val="en-US"/>
        </w:rPr>
        <w:t xml:space="preserve">Handbook of Survey Research. </w:t>
      </w:r>
      <w:r w:rsidRPr="001D1605">
        <w:rPr>
          <w:rFonts w:ascii="Arial" w:hAnsi="Arial" w:cs="Arial"/>
          <w:sz w:val="24"/>
          <w:szCs w:val="24"/>
          <w:lang w:val="en-US"/>
        </w:rPr>
        <w:t>Second Edition (pp. 593-630). Bingley: Emerald.</w:t>
      </w:r>
      <w:r w:rsidRPr="001D1605">
        <w:rPr>
          <w:rFonts w:ascii="Arial" w:hAnsi="Arial" w:cs="Arial"/>
          <w:sz w:val="24"/>
          <w:szCs w:val="24"/>
        </w:rPr>
        <w:t xml:space="preserve"> </w:t>
      </w:r>
    </w:p>
    <w:p w:rsidR="00C11526" w:rsidRPr="000F64FA" w:rsidRDefault="00C11526" w:rsidP="002940A7">
      <w:pPr>
        <w:autoSpaceDE w:val="0"/>
        <w:autoSpaceDN w:val="0"/>
        <w:adjustRightInd w:val="0"/>
        <w:spacing w:before="240" w:after="0" w:line="360" w:lineRule="auto"/>
        <w:ind w:left="284" w:hanging="284"/>
        <w:jc w:val="both"/>
        <w:rPr>
          <w:rFonts w:ascii="Arial" w:hAnsi="Arial" w:cs="Arial"/>
          <w:sz w:val="24"/>
          <w:szCs w:val="24"/>
          <w:lang w:val="de-DE"/>
        </w:rPr>
      </w:pPr>
      <w:r w:rsidRPr="00C11526">
        <w:rPr>
          <w:rFonts w:ascii="Arial" w:hAnsi="Arial" w:cs="Arial"/>
          <w:sz w:val="24"/>
          <w:szCs w:val="24"/>
        </w:rPr>
        <w:t xml:space="preserve">Duncan, O. D. &amp; Duncan, B. (1955). A Methodological Analysis of Segregation Indexes. </w:t>
      </w:r>
      <w:r w:rsidRPr="000F64FA">
        <w:rPr>
          <w:rFonts w:ascii="Arial" w:hAnsi="Arial" w:cs="Arial"/>
          <w:sz w:val="24"/>
          <w:szCs w:val="24"/>
          <w:lang w:val="de-DE"/>
        </w:rPr>
        <w:t>American Sociological Review, 20, 210-217</w:t>
      </w:r>
    </w:p>
    <w:p w:rsidR="002940A7" w:rsidRPr="000F64FA" w:rsidRDefault="00C11526" w:rsidP="002940A7">
      <w:pPr>
        <w:autoSpaceDE w:val="0"/>
        <w:autoSpaceDN w:val="0"/>
        <w:adjustRightInd w:val="0"/>
        <w:spacing w:before="240" w:after="0" w:line="360" w:lineRule="auto"/>
        <w:ind w:left="284" w:hanging="284"/>
        <w:jc w:val="both"/>
        <w:rPr>
          <w:rFonts w:ascii="Arial" w:hAnsi="Arial" w:cs="Arial"/>
          <w:sz w:val="24"/>
          <w:szCs w:val="24"/>
          <w:lang w:val="de-DE"/>
        </w:rPr>
      </w:pPr>
      <w:r w:rsidRPr="00C11526">
        <w:rPr>
          <w:rFonts w:ascii="Arial" w:hAnsi="Arial" w:cs="Arial"/>
          <w:sz w:val="24"/>
          <w:szCs w:val="24"/>
        </w:rPr>
        <w:t>Hartmann, Peter, (1990)</w:t>
      </w:r>
      <w:r w:rsidR="001D1605">
        <w:rPr>
          <w:rFonts w:ascii="Arial" w:hAnsi="Arial" w:cs="Arial"/>
          <w:sz w:val="24"/>
          <w:szCs w:val="24"/>
        </w:rPr>
        <w:t>,</w:t>
      </w:r>
      <w:r w:rsidRPr="00C11526">
        <w:rPr>
          <w:rFonts w:ascii="Arial" w:hAnsi="Arial" w:cs="Arial"/>
          <w:sz w:val="24"/>
          <w:szCs w:val="24"/>
        </w:rPr>
        <w:t xml:space="preserve"> „Wie repräsentativ sind Bevölkerungsumfragen? Ein Vergleich das ALLBUS und des Mikrozensus“. </w:t>
      </w:r>
      <w:r w:rsidRPr="00C11526">
        <w:rPr>
          <w:rFonts w:ascii="Arial" w:hAnsi="Arial" w:cs="Arial"/>
          <w:i/>
          <w:iCs/>
          <w:sz w:val="24"/>
          <w:szCs w:val="24"/>
        </w:rPr>
        <w:t>ZUMA-Nachrichten</w:t>
      </w:r>
      <w:r w:rsidRPr="00C11526">
        <w:rPr>
          <w:rFonts w:ascii="Arial" w:hAnsi="Arial" w:cs="Arial"/>
          <w:sz w:val="24"/>
          <w:szCs w:val="24"/>
        </w:rPr>
        <w:t>, 26, pp. 7- 30.</w:t>
      </w:r>
      <w:r w:rsidR="002940A7" w:rsidRPr="002940A7">
        <w:rPr>
          <w:rFonts w:ascii="Arial" w:hAnsi="Arial" w:cs="Arial"/>
          <w:sz w:val="24"/>
          <w:szCs w:val="24"/>
          <w:lang w:val="de-DE"/>
        </w:rPr>
        <w:t xml:space="preserve"> </w:t>
      </w:r>
    </w:p>
    <w:p w:rsidR="00C11526" w:rsidRPr="00C11526" w:rsidRDefault="00C11526" w:rsidP="002940A7">
      <w:pPr>
        <w:spacing w:before="240" w:after="0" w:line="360" w:lineRule="auto"/>
        <w:ind w:left="284" w:hanging="284"/>
        <w:jc w:val="both"/>
        <w:rPr>
          <w:rFonts w:ascii="Arial" w:eastAsia="Times New Roman" w:hAnsi="Arial" w:cs="Arial"/>
          <w:sz w:val="24"/>
          <w:szCs w:val="24"/>
          <w:lang w:val="de-DE" w:eastAsia="de-DE"/>
        </w:rPr>
      </w:pPr>
      <w:r w:rsidRPr="00C11526">
        <w:rPr>
          <w:rFonts w:ascii="Arial" w:eastAsia="Times New Roman" w:hAnsi="Arial" w:cs="Arial"/>
          <w:sz w:val="24"/>
          <w:szCs w:val="24"/>
          <w:lang w:val="de-DE" w:eastAsia="de-DE"/>
        </w:rPr>
        <w:t>Hartmann, Peter H.; Schimpl-Neimanns, Bernhard  (1992</w:t>
      </w:r>
      <w:r w:rsidR="001D1605" w:rsidRPr="00C11526">
        <w:rPr>
          <w:rFonts w:ascii="Arial" w:eastAsia="Times New Roman" w:hAnsi="Arial" w:cs="Arial"/>
          <w:sz w:val="24"/>
          <w:szCs w:val="24"/>
          <w:lang w:val="de-DE" w:eastAsia="de-DE"/>
        </w:rPr>
        <w:t>)</w:t>
      </w:r>
      <w:r w:rsidR="001D1605">
        <w:rPr>
          <w:rFonts w:ascii="Arial" w:eastAsia="Times New Roman" w:hAnsi="Arial" w:cs="Arial"/>
          <w:sz w:val="24"/>
          <w:szCs w:val="24"/>
          <w:lang w:val="de-DE" w:eastAsia="de-DE"/>
        </w:rPr>
        <w:t>,</w:t>
      </w:r>
      <w:r w:rsidR="001D1605" w:rsidRPr="00C11526">
        <w:rPr>
          <w:rFonts w:ascii="Arial" w:eastAsia="Times New Roman" w:hAnsi="Arial" w:cs="Arial"/>
          <w:sz w:val="24"/>
          <w:szCs w:val="24"/>
          <w:lang w:val="de-DE" w:eastAsia="de-DE"/>
        </w:rPr>
        <w:t xml:space="preserve"> </w:t>
      </w:r>
      <w:r w:rsidRPr="000F64FA">
        <w:rPr>
          <w:rFonts w:ascii="Arial" w:hAnsi="Arial" w:cs="Arial"/>
          <w:sz w:val="24"/>
          <w:szCs w:val="24"/>
        </w:rPr>
        <w:t>Sind Sozialstruktur</w:t>
      </w:r>
      <w:r w:rsidR="000F64FA">
        <w:rPr>
          <w:rFonts w:ascii="Arial" w:hAnsi="Arial" w:cs="Arial"/>
          <w:sz w:val="24"/>
          <w:szCs w:val="24"/>
        </w:rPr>
        <w:t>-</w:t>
      </w:r>
      <w:r w:rsidRPr="000F64FA">
        <w:rPr>
          <w:rFonts w:ascii="Arial" w:hAnsi="Arial" w:cs="Arial"/>
          <w:sz w:val="24"/>
          <w:szCs w:val="24"/>
        </w:rPr>
        <w:t xml:space="preserve">analysen mit Umfragedaten möglich? Analysen zur Repräsentativität einer Sozialforschungsumfrage. </w:t>
      </w:r>
      <w:r w:rsidRPr="00C11526">
        <w:rPr>
          <w:rFonts w:ascii="Arial" w:eastAsia="Times New Roman" w:hAnsi="Arial" w:cs="Arial"/>
          <w:sz w:val="24"/>
          <w:szCs w:val="24"/>
          <w:lang w:val="de-DE" w:eastAsia="de-DE"/>
        </w:rPr>
        <w:t xml:space="preserve">Kölner Zeitschrift für Soziologie und Sozialpsychologie, 44, pp.315-340 </w:t>
      </w:r>
    </w:p>
    <w:p w:rsidR="000F64FA" w:rsidRPr="00624F33" w:rsidRDefault="000F64FA" w:rsidP="002940A7">
      <w:pPr>
        <w:spacing w:before="240" w:after="0" w:line="360" w:lineRule="auto"/>
        <w:ind w:left="284" w:hanging="284"/>
        <w:jc w:val="both"/>
        <w:rPr>
          <w:rFonts w:ascii="Arial" w:hAnsi="Arial" w:cs="Arial"/>
          <w:sz w:val="24"/>
          <w:szCs w:val="24"/>
        </w:rPr>
      </w:pPr>
      <w:r w:rsidRPr="00624F33">
        <w:rPr>
          <w:rFonts w:ascii="Arial" w:hAnsi="Arial" w:cs="Arial"/>
          <w:sz w:val="24"/>
          <w:szCs w:val="24"/>
        </w:rPr>
        <w:t xml:space="preserve">Koch, Achim, (1998). „Wenn "Mehr" nicht gleichbedeutend mit "Besser" ist: Ausschöpfungsquoten und Stichprobenverzerrungen in Allgemeinen Bevölkerungsumfragen“. </w:t>
      </w:r>
      <w:r w:rsidRPr="00624F33">
        <w:rPr>
          <w:rFonts w:ascii="Arial" w:hAnsi="Arial" w:cs="Arial"/>
          <w:i/>
          <w:iCs/>
          <w:sz w:val="24"/>
          <w:szCs w:val="24"/>
        </w:rPr>
        <w:t>ZUMA-Nachrichten</w:t>
      </w:r>
      <w:r w:rsidRPr="00624F33">
        <w:rPr>
          <w:rFonts w:ascii="Arial" w:hAnsi="Arial" w:cs="Arial"/>
          <w:sz w:val="24"/>
          <w:szCs w:val="24"/>
        </w:rPr>
        <w:t>, 42, pp. 66-90.</w:t>
      </w:r>
    </w:p>
    <w:p w:rsidR="00624F33" w:rsidRPr="00624F33" w:rsidRDefault="00D55903" w:rsidP="00624F33">
      <w:pPr>
        <w:spacing w:before="240" w:after="0" w:line="360" w:lineRule="auto"/>
        <w:ind w:left="284" w:hanging="284"/>
        <w:jc w:val="both"/>
        <w:rPr>
          <w:rFonts w:ascii="Arial" w:hAnsi="Arial" w:cs="Arial"/>
          <w:sz w:val="24"/>
          <w:szCs w:val="24"/>
        </w:rPr>
      </w:pPr>
      <w:hyperlink r:id="rId17" w:history="1">
        <w:r w:rsidR="00624F33" w:rsidRPr="00624F33">
          <w:rPr>
            <w:rStyle w:val="Hipercze"/>
            <w:rFonts w:ascii="Arial" w:hAnsi="Arial" w:cs="Arial"/>
            <w:color w:val="auto"/>
            <w:sz w:val="24"/>
            <w:szCs w:val="24"/>
            <w:u w:val="none"/>
          </w:rPr>
          <w:t>Schouten, B., Shlomo, N. &amp; Skinner, C. (2011), Indicators for Monitoring and Improving Representativeness of Response. Journal of Official Statistics 27, pp. 1-24</w:t>
        </w:r>
      </w:hyperlink>
    </w:p>
    <w:p w:rsidR="004740F1" w:rsidRPr="00624F33" w:rsidRDefault="004740F1" w:rsidP="00624F33">
      <w:pPr>
        <w:autoSpaceDE w:val="0"/>
        <w:autoSpaceDN w:val="0"/>
        <w:adjustRightInd w:val="0"/>
        <w:spacing w:after="0" w:line="360" w:lineRule="auto"/>
        <w:rPr>
          <w:rFonts w:ascii="Arial" w:hAnsi="Arial" w:cs="Arial"/>
          <w:sz w:val="24"/>
          <w:szCs w:val="24"/>
          <w:lang w:val="en-GB"/>
        </w:rPr>
      </w:pPr>
    </w:p>
    <w:sectPr w:rsidR="004740F1" w:rsidRPr="00624F33" w:rsidSect="0023623C">
      <w:headerReference w:type="even" r:id="rId18"/>
      <w:headerReference w:type="default" r:id="rId19"/>
      <w:footerReference w:type="default" r:id="rId20"/>
      <w:headerReference w:type="first" r:id="rId21"/>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D6E" w:rsidRDefault="00CB0D6E" w:rsidP="00E82B25">
      <w:pPr>
        <w:spacing w:after="0" w:line="240" w:lineRule="auto"/>
      </w:pPr>
      <w:r>
        <w:separator/>
      </w:r>
    </w:p>
  </w:endnote>
  <w:endnote w:type="continuationSeparator" w:id="0">
    <w:p w:rsidR="00CB0D6E" w:rsidRDefault="00CB0D6E"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A66BC6" w:rsidRPr="009378F5" w:rsidRDefault="00A66BC6"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D55903">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D6E" w:rsidRDefault="00CB0D6E" w:rsidP="00E82B25">
      <w:pPr>
        <w:spacing w:after="0" w:line="240" w:lineRule="auto"/>
      </w:pPr>
      <w:r>
        <w:separator/>
      </w:r>
    </w:p>
  </w:footnote>
  <w:footnote w:type="continuationSeparator" w:id="0">
    <w:p w:rsidR="00CB0D6E" w:rsidRDefault="00CB0D6E"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C6" w:rsidRDefault="00D55903">
    <w:pPr>
      <w:pStyle w:val="Nagwek"/>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C6" w:rsidRDefault="00D55903">
    <w:pPr>
      <w:pStyle w:val="Nagwek"/>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C6" w:rsidRDefault="00D55903">
    <w:pPr>
      <w:pStyle w:val="Nagwek"/>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15DBD"/>
    <w:multiLevelType w:val="hybridMultilevel"/>
    <w:tmpl w:val="520C072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80F798C"/>
    <w:multiLevelType w:val="hybridMultilevel"/>
    <w:tmpl w:val="EF9A70A6"/>
    <w:lvl w:ilvl="0" w:tplc="729EB2A4">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070CF"/>
    <w:rsid w:val="000115F3"/>
    <w:rsid w:val="00024CE9"/>
    <w:rsid w:val="00026CD3"/>
    <w:rsid w:val="00047C24"/>
    <w:rsid w:val="00070925"/>
    <w:rsid w:val="0007704A"/>
    <w:rsid w:val="000957CC"/>
    <w:rsid w:val="000A56C1"/>
    <w:rsid w:val="000C6472"/>
    <w:rsid w:val="000D2055"/>
    <w:rsid w:val="000D705A"/>
    <w:rsid w:val="000F0A43"/>
    <w:rsid w:val="000F337F"/>
    <w:rsid w:val="000F64FA"/>
    <w:rsid w:val="001334EE"/>
    <w:rsid w:val="00133E07"/>
    <w:rsid w:val="00142A8D"/>
    <w:rsid w:val="00144F96"/>
    <w:rsid w:val="00146A13"/>
    <w:rsid w:val="00157DAD"/>
    <w:rsid w:val="00160406"/>
    <w:rsid w:val="0016743D"/>
    <w:rsid w:val="00182357"/>
    <w:rsid w:val="001C06C6"/>
    <w:rsid w:val="001C74DB"/>
    <w:rsid w:val="001D1605"/>
    <w:rsid w:val="001D46E3"/>
    <w:rsid w:val="001E43DC"/>
    <w:rsid w:val="00221F17"/>
    <w:rsid w:val="00234927"/>
    <w:rsid w:val="0023623C"/>
    <w:rsid w:val="00242620"/>
    <w:rsid w:val="00246A4A"/>
    <w:rsid w:val="0025630F"/>
    <w:rsid w:val="00274605"/>
    <w:rsid w:val="0028150C"/>
    <w:rsid w:val="0028289E"/>
    <w:rsid w:val="00282B53"/>
    <w:rsid w:val="00293580"/>
    <w:rsid w:val="002940A7"/>
    <w:rsid w:val="002B3409"/>
    <w:rsid w:val="002B510C"/>
    <w:rsid w:val="002B6D33"/>
    <w:rsid w:val="002C750A"/>
    <w:rsid w:val="003015FE"/>
    <w:rsid w:val="00307119"/>
    <w:rsid w:val="003144EF"/>
    <w:rsid w:val="00321FD1"/>
    <w:rsid w:val="00336E21"/>
    <w:rsid w:val="0035694D"/>
    <w:rsid w:val="00362815"/>
    <w:rsid w:val="003745E1"/>
    <w:rsid w:val="003A1D16"/>
    <w:rsid w:val="003A3ACA"/>
    <w:rsid w:val="003C5E71"/>
    <w:rsid w:val="003C6D9D"/>
    <w:rsid w:val="003F2B3D"/>
    <w:rsid w:val="004150F5"/>
    <w:rsid w:val="004219DD"/>
    <w:rsid w:val="0043272A"/>
    <w:rsid w:val="00434705"/>
    <w:rsid w:val="004740F1"/>
    <w:rsid w:val="00475789"/>
    <w:rsid w:val="00493026"/>
    <w:rsid w:val="004A12A7"/>
    <w:rsid w:val="004A1A99"/>
    <w:rsid w:val="004B1091"/>
    <w:rsid w:val="004B39C1"/>
    <w:rsid w:val="004B6729"/>
    <w:rsid w:val="004C3374"/>
    <w:rsid w:val="004C5048"/>
    <w:rsid w:val="004D270E"/>
    <w:rsid w:val="004D3D86"/>
    <w:rsid w:val="004F04B4"/>
    <w:rsid w:val="004F37BE"/>
    <w:rsid w:val="005215E8"/>
    <w:rsid w:val="00530FD6"/>
    <w:rsid w:val="00542948"/>
    <w:rsid w:val="005812C5"/>
    <w:rsid w:val="00593AC9"/>
    <w:rsid w:val="005A1F57"/>
    <w:rsid w:val="005B6971"/>
    <w:rsid w:val="005F3DFE"/>
    <w:rsid w:val="006052BF"/>
    <w:rsid w:val="00612EB8"/>
    <w:rsid w:val="00615D59"/>
    <w:rsid w:val="006221B3"/>
    <w:rsid w:val="00622551"/>
    <w:rsid w:val="00624F33"/>
    <w:rsid w:val="00644BF1"/>
    <w:rsid w:val="00653D6C"/>
    <w:rsid w:val="00667788"/>
    <w:rsid w:val="0069009D"/>
    <w:rsid w:val="00695937"/>
    <w:rsid w:val="00697934"/>
    <w:rsid w:val="006B5A4A"/>
    <w:rsid w:val="006C1B9B"/>
    <w:rsid w:val="006C5879"/>
    <w:rsid w:val="006D5726"/>
    <w:rsid w:val="006E17AD"/>
    <w:rsid w:val="006E2E09"/>
    <w:rsid w:val="006F1169"/>
    <w:rsid w:val="006F1AB5"/>
    <w:rsid w:val="007139DF"/>
    <w:rsid w:val="00720A81"/>
    <w:rsid w:val="007730C4"/>
    <w:rsid w:val="00776C97"/>
    <w:rsid w:val="0078039A"/>
    <w:rsid w:val="00780C2D"/>
    <w:rsid w:val="007834F2"/>
    <w:rsid w:val="007B6F7F"/>
    <w:rsid w:val="007C1FAF"/>
    <w:rsid w:val="007C291E"/>
    <w:rsid w:val="007C2D7C"/>
    <w:rsid w:val="007E6D8C"/>
    <w:rsid w:val="007F6538"/>
    <w:rsid w:val="0082373C"/>
    <w:rsid w:val="008270A2"/>
    <w:rsid w:val="00855F8C"/>
    <w:rsid w:val="00861A2F"/>
    <w:rsid w:val="00866E1E"/>
    <w:rsid w:val="00867B2C"/>
    <w:rsid w:val="00873330"/>
    <w:rsid w:val="00883326"/>
    <w:rsid w:val="0088367C"/>
    <w:rsid w:val="008A71D2"/>
    <w:rsid w:val="008B0935"/>
    <w:rsid w:val="008D56E1"/>
    <w:rsid w:val="008D6094"/>
    <w:rsid w:val="008F2D3D"/>
    <w:rsid w:val="00902A7F"/>
    <w:rsid w:val="00927E7B"/>
    <w:rsid w:val="009378F5"/>
    <w:rsid w:val="00973412"/>
    <w:rsid w:val="00973B8D"/>
    <w:rsid w:val="009C16CA"/>
    <w:rsid w:val="009D518A"/>
    <w:rsid w:val="00A109F2"/>
    <w:rsid w:val="00A11923"/>
    <w:rsid w:val="00A221F8"/>
    <w:rsid w:val="00A23816"/>
    <w:rsid w:val="00A23E4E"/>
    <w:rsid w:val="00A454B6"/>
    <w:rsid w:val="00A531F2"/>
    <w:rsid w:val="00A6013E"/>
    <w:rsid w:val="00A66BC6"/>
    <w:rsid w:val="00A71675"/>
    <w:rsid w:val="00AA2E25"/>
    <w:rsid w:val="00AD1423"/>
    <w:rsid w:val="00AD4AEE"/>
    <w:rsid w:val="00AE1A25"/>
    <w:rsid w:val="00AE7199"/>
    <w:rsid w:val="00AF6907"/>
    <w:rsid w:val="00B03152"/>
    <w:rsid w:val="00B14CFE"/>
    <w:rsid w:val="00B42E1B"/>
    <w:rsid w:val="00B47197"/>
    <w:rsid w:val="00B72169"/>
    <w:rsid w:val="00B7235A"/>
    <w:rsid w:val="00B74218"/>
    <w:rsid w:val="00B77A7F"/>
    <w:rsid w:val="00B8130B"/>
    <w:rsid w:val="00B84E98"/>
    <w:rsid w:val="00B86FC7"/>
    <w:rsid w:val="00B912C3"/>
    <w:rsid w:val="00BA6E3D"/>
    <w:rsid w:val="00BB19AC"/>
    <w:rsid w:val="00BC0524"/>
    <w:rsid w:val="00BC26CE"/>
    <w:rsid w:val="00BE3B6A"/>
    <w:rsid w:val="00BE4C3B"/>
    <w:rsid w:val="00BE5E56"/>
    <w:rsid w:val="00BF6DBC"/>
    <w:rsid w:val="00C02F42"/>
    <w:rsid w:val="00C11526"/>
    <w:rsid w:val="00C16E8E"/>
    <w:rsid w:val="00C261EA"/>
    <w:rsid w:val="00C40213"/>
    <w:rsid w:val="00C444A7"/>
    <w:rsid w:val="00C51A86"/>
    <w:rsid w:val="00C55909"/>
    <w:rsid w:val="00C60417"/>
    <w:rsid w:val="00C726EA"/>
    <w:rsid w:val="00C74A1D"/>
    <w:rsid w:val="00C80A8F"/>
    <w:rsid w:val="00C92923"/>
    <w:rsid w:val="00C939F7"/>
    <w:rsid w:val="00CB0D6E"/>
    <w:rsid w:val="00CB2B44"/>
    <w:rsid w:val="00CB4074"/>
    <w:rsid w:val="00CB4AC9"/>
    <w:rsid w:val="00CC1C1D"/>
    <w:rsid w:val="00CC4EE3"/>
    <w:rsid w:val="00CE64AA"/>
    <w:rsid w:val="00CF33AD"/>
    <w:rsid w:val="00CF656A"/>
    <w:rsid w:val="00D0258C"/>
    <w:rsid w:val="00D0270E"/>
    <w:rsid w:val="00D13AFA"/>
    <w:rsid w:val="00D20550"/>
    <w:rsid w:val="00D35A29"/>
    <w:rsid w:val="00D3638C"/>
    <w:rsid w:val="00D52194"/>
    <w:rsid w:val="00D55903"/>
    <w:rsid w:val="00D65C24"/>
    <w:rsid w:val="00D86B66"/>
    <w:rsid w:val="00D875A0"/>
    <w:rsid w:val="00DA74F6"/>
    <w:rsid w:val="00DD4526"/>
    <w:rsid w:val="00DD4977"/>
    <w:rsid w:val="00DD7441"/>
    <w:rsid w:val="00DE01B4"/>
    <w:rsid w:val="00DE0565"/>
    <w:rsid w:val="00DE55A1"/>
    <w:rsid w:val="00DF27A8"/>
    <w:rsid w:val="00E05697"/>
    <w:rsid w:val="00E14636"/>
    <w:rsid w:val="00E261EB"/>
    <w:rsid w:val="00E271D0"/>
    <w:rsid w:val="00E402B3"/>
    <w:rsid w:val="00E427FF"/>
    <w:rsid w:val="00E658A0"/>
    <w:rsid w:val="00E7228E"/>
    <w:rsid w:val="00E82B25"/>
    <w:rsid w:val="00E92831"/>
    <w:rsid w:val="00E9313B"/>
    <w:rsid w:val="00EB7A63"/>
    <w:rsid w:val="00EC5F5A"/>
    <w:rsid w:val="00ED2FA0"/>
    <w:rsid w:val="00EE4A70"/>
    <w:rsid w:val="00F109F7"/>
    <w:rsid w:val="00F20595"/>
    <w:rsid w:val="00F30C27"/>
    <w:rsid w:val="00F47D33"/>
    <w:rsid w:val="00F5144F"/>
    <w:rsid w:val="00F51570"/>
    <w:rsid w:val="00F57BE5"/>
    <w:rsid w:val="00F74EA2"/>
    <w:rsid w:val="00F86A84"/>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5F29371A-7350-4390-8B47-E1ADEEBD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C11526"/>
    <w:pPr>
      <w:spacing w:before="100" w:beforeAutospacing="1" w:after="100" w:afterAutospacing="1" w:line="240" w:lineRule="auto"/>
      <w:outlineLvl w:val="3"/>
    </w:pPr>
    <w:rPr>
      <w:rFonts w:ascii="Times New Roman" w:eastAsia="Times New Roman" w:hAnsi="Times New Roman" w:cs="Times New Roman"/>
      <w:b/>
      <w:bCs/>
      <w:sz w:val="24"/>
      <w:szCs w:val="24"/>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styleId="Akapitzlist">
    <w:name w:val="List Paragraph"/>
    <w:basedOn w:val="Normalny"/>
    <w:uiPriority w:val="34"/>
    <w:qFormat/>
    <w:rsid w:val="004B1091"/>
    <w:pPr>
      <w:spacing w:after="200" w:line="276" w:lineRule="auto"/>
      <w:ind w:left="720"/>
      <w:contextualSpacing/>
    </w:pPr>
    <w:rPr>
      <w:lang w:val="de-DE"/>
    </w:rPr>
  </w:style>
  <w:style w:type="paragraph" w:styleId="NormalnyWeb">
    <w:name w:val="Normal (Web)"/>
    <w:basedOn w:val="Normalny"/>
    <w:uiPriority w:val="99"/>
    <w:semiHidden/>
    <w:unhideWhenUsed/>
    <w:rsid w:val="008F2D3D"/>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paragraph" w:styleId="Poprawka">
    <w:name w:val="Revision"/>
    <w:hidden/>
    <w:uiPriority w:val="99"/>
    <w:semiHidden/>
    <w:rsid w:val="001C74DB"/>
    <w:pPr>
      <w:spacing w:after="0" w:line="240" w:lineRule="auto"/>
    </w:pPr>
  </w:style>
  <w:style w:type="character" w:customStyle="1" w:styleId="journal">
    <w:name w:val="journal"/>
    <w:basedOn w:val="Domylnaczcionkaakapitu"/>
    <w:rsid w:val="00C11526"/>
  </w:style>
  <w:style w:type="character" w:customStyle="1" w:styleId="volume">
    <w:name w:val="volume"/>
    <w:basedOn w:val="Domylnaczcionkaakapitu"/>
    <w:rsid w:val="00C11526"/>
  </w:style>
  <w:style w:type="character" w:customStyle="1" w:styleId="Datum1">
    <w:name w:val="Datum1"/>
    <w:basedOn w:val="Domylnaczcionkaakapitu"/>
    <w:rsid w:val="00C11526"/>
  </w:style>
  <w:style w:type="character" w:customStyle="1" w:styleId="issue">
    <w:name w:val="issue"/>
    <w:basedOn w:val="Domylnaczcionkaakapitu"/>
    <w:rsid w:val="00C11526"/>
  </w:style>
  <w:style w:type="character" w:customStyle="1" w:styleId="pageinfo">
    <w:name w:val="pageinfo"/>
    <w:basedOn w:val="Domylnaczcionkaakapitu"/>
    <w:rsid w:val="00C11526"/>
  </w:style>
  <w:style w:type="character" w:customStyle="1" w:styleId="Nagwek4Znak">
    <w:name w:val="Nagłówek 4 Znak"/>
    <w:basedOn w:val="Domylnaczcionkaakapitu"/>
    <w:link w:val="Nagwek4"/>
    <w:uiPriority w:val="9"/>
    <w:rsid w:val="00C11526"/>
    <w:rPr>
      <w:rFonts w:ascii="Times New Roman" w:eastAsia="Times New Roman" w:hAnsi="Times New Roman" w:cs="Times New Roman"/>
      <w:b/>
      <w:bCs/>
      <w:sz w:val="24"/>
      <w:szCs w:val="24"/>
      <w:lang w:val="de-DE" w:eastAsia="de-DE"/>
    </w:rPr>
  </w:style>
  <w:style w:type="character" w:styleId="Tekstzastpczy">
    <w:name w:val="Placeholder Text"/>
    <w:basedOn w:val="Domylnaczcionkaakapitu"/>
    <w:uiPriority w:val="99"/>
    <w:semiHidden/>
    <w:rsid w:val="001334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954771">
      <w:bodyDiv w:val="1"/>
      <w:marLeft w:val="0"/>
      <w:marRight w:val="0"/>
      <w:marTop w:val="0"/>
      <w:marBottom w:val="0"/>
      <w:divBdr>
        <w:top w:val="none" w:sz="0" w:space="0" w:color="auto"/>
        <w:left w:val="none" w:sz="0" w:space="0" w:color="auto"/>
        <w:bottom w:val="none" w:sz="0" w:space="0" w:color="auto"/>
        <w:right w:val="none" w:sz="0" w:space="0" w:color="auto"/>
      </w:divBdr>
      <w:divsChild>
        <w:div w:id="1926113063">
          <w:marLeft w:val="0"/>
          <w:marRight w:val="0"/>
          <w:marTop w:val="0"/>
          <w:marBottom w:val="0"/>
          <w:divBdr>
            <w:top w:val="none" w:sz="0" w:space="0" w:color="auto"/>
            <w:left w:val="none" w:sz="0" w:space="0" w:color="auto"/>
            <w:bottom w:val="none" w:sz="0" w:space="0" w:color="auto"/>
            <w:right w:val="none" w:sz="0" w:space="0" w:color="auto"/>
          </w:divBdr>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1332823">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666400637">
      <w:bodyDiv w:val="1"/>
      <w:marLeft w:val="0"/>
      <w:marRight w:val="0"/>
      <w:marTop w:val="0"/>
      <w:marBottom w:val="0"/>
      <w:divBdr>
        <w:top w:val="none" w:sz="0" w:space="0" w:color="auto"/>
        <w:left w:val="none" w:sz="0" w:space="0" w:color="auto"/>
        <w:bottom w:val="none" w:sz="0" w:space="0" w:color="auto"/>
        <w:right w:val="none" w:sz="0" w:space="0" w:color="auto"/>
      </w:divBdr>
      <w:divsChild>
        <w:div w:id="705839503">
          <w:marLeft w:val="0"/>
          <w:marRight w:val="0"/>
          <w:marTop w:val="0"/>
          <w:marBottom w:val="0"/>
          <w:divBdr>
            <w:top w:val="none" w:sz="0" w:space="0" w:color="auto"/>
            <w:left w:val="none" w:sz="0" w:space="0" w:color="auto"/>
            <w:bottom w:val="none" w:sz="0" w:space="0" w:color="auto"/>
            <w:right w:val="none" w:sz="0" w:space="0" w:color="auto"/>
          </w:divBdr>
        </w:div>
        <w:div w:id="481893376">
          <w:marLeft w:val="0"/>
          <w:marRight w:val="0"/>
          <w:marTop w:val="0"/>
          <w:marBottom w:val="0"/>
          <w:divBdr>
            <w:top w:val="none" w:sz="0" w:space="0" w:color="auto"/>
            <w:left w:val="none" w:sz="0" w:space="0" w:color="auto"/>
            <w:bottom w:val="none" w:sz="0" w:space="0" w:color="auto"/>
            <w:right w:val="none" w:sz="0" w:space="0" w:color="auto"/>
          </w:divBdr>
        </w:div>
        <w:div w:id="776026182">
          <w:marLeft w:val="0"/>
          <w:marRight w:val="0"/>
          <w:marTop w:val="0"/>
          <w:marBottom w:val="0"/>
          <w:divBdr>
            <w:top w:val="none" w:sz="0" w:space="0" w:color="auto"/>
            <w:left w:val="none" w:sz="0" w:space="0" w:color="auto"/>
            <w:bottom w:val="none" w:sz="0" w:space="0" w:color="auto"/>
            <w:right w:val="none" w:sz="0" w:space="0" w:color="auto"/>
          </w:divBdr>
        </w:div>
        <w:div w:id="1796369663">
          <w:marLeft w:val="0"/>
          <w:marRight w:val="0"/>
          <w:marTop w:val="0"/>
          <w:marBottom w:val="0"/>
          <w:divBdr>
            <w:top w:val="none" w:sz="0" w:space="0" w:color="auto"/>
            <w:left w:val="none" w:sz="0" w:space="0" w:color="auto"/>
            <w:bottom w:val="none" w:sz="0" w:space="0" w:color="auto"/>
            <w:right w:val="none" w:sz="0" w:space="0" w:color="auto"/>
          </w:divBdr>
        </w:div>
        <w:div w:id="531261893">
          <w:marLeft w:val="0"/>
          <w:marRight w:val="0"/>
          <w:marTop w:val="0"/>
          <w:marBottom w:val="0"/>
          <w:divBdr>
            <w:top w:val="none" w:sz="0" w:space="0" w:color="auto"/>
            <w:left w:val="none" w:sz="0" w:space="0" w:color="auto"/>
            <w:bottom w:val="none" w:sz="0" w:space="0" w:color="auto"/>
            <w:right w:val="none" w:sz="0" w:space="0" w:color="auto"/>
          </w:divBdr>
        </w:div>
      </w:divsChild>
    </w:div>
    <w:div w:id="194152118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hummedia.manchester.ac.uk/institutes/cmist/risq/schouten-shlomo-skinner-2011.pdf" TargetMode="External"/><Relationship Id="rId2" Type="http://schemas.openxmlformats.org/officeDocument/2006/relationships/numbering" Target="numbering.xml"/><Relationship Id="rId16" Type="http://schemas.openxmlformats.org/officeDocument/2006/relationships/hyperlink" Target="https://surveyinsights.org/?p=967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svmafile01\J_Laufwerk\Work\ALLBUS-FDZ\Bruttob&#228;nder%20mit%20Kontakt%20und%20Stichprobenzugeh&#246;rigkeit\ErgParticipation%20over%20time_v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lohm\Dropbox\1_Arbeit\Q2018\ErgParticipation%20over%20time_v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lohm\AppData\Roaming\Microsoft\Excel\Kopie%20von%20NRW_Dissimilarit&#228;tsindizes%2094-16%20(version%20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lohm\Dropbox\1_Arbeit\Q2018\Kopie%20von%20NRW_Dissimilarit&#228;tsindizes%2094-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R-indicators, by year; ALLBUS 1994-2016 </a:t>
            </a:r>
          </a:p>
        </c:rich>
      </c:tx>
      <c:layout>
        <c:manualLayout>
          <c:xMode val="edge"/>
          <c:yMode val="edge"/>
          <c:x val="0.1626656100244924"/>
          <c:y val="2.4813895781637719E-2"/>
        </c:manualLayout>
      </c:layout>
      <c:overlay val="0"/>
    </c:title>
    <c:autoTitleDeleted val="0"/>
    <c:plotArea>
      <c:layout/>
      <c:lineChart>
        <c:grouping val="standard"/>
        <c:varyColors val="0"/>
        <c:ser>
          <c:idx val="0"/>
          <c:order val="0"/>
          <c:tx>
            <c:strRef>
              <c:f>Tabelle1!$B$344</c:f>
              <c:strCache>
                <c:ptCount val="1"/>
                <c:pt idx="0">
                  <c:v>r indicator</c:v>
                </c:pt>
              </c:strCache>
            </c:strRef>
          </c:tx>
          <c:spPr>
            <a:ln>
              <a:noFill/>
            </a:ln>
          </c:spPr>
          <c:marker>
            <c:symbol val="circle"/>
            <c:size val="5"/>
          </c:marker>
          <c:trendline>
            <c:spPr>
              <a:ln w="19050">
                <a:solidFill>
                  <a:schemeClr val="tx1">
                    <a:shade val="95000"/>
                    <a:satMod val="105000"/>
                  </a:schemeClr>
                </a:solidFill>
              </a:ln>
            </c:spPr>
            <c:trendlineType val="linear"/>
            <c:dispRSqr val="0"/>
            <c:dispEq val="0"/>
          </c:trendline>
          <c:cat>
            <c:numRef>
              <c:f>Tabelle1!$A$345:$A$355</c:f>
              <c:numCache>
                <c:formatCode>General</c:formatCode>
                <c:ptCount val="11"/>
                <c:pt idx="0">
                  <c:v>1994</c:v>
                </c:pt>
                <c:pt idx="1">
                  <c:v>1996</c:v>
                </c:pt>
                <c:pt idx="2">
                  <c:v>2000</c:v>
                </c:pt>
                <c:pt idx="3">
                  <c:v>2002</c:v>
                </c:pt>
                <c:pt idx="4">
                  <c:v>2004</c:v>
                </c:pt>
                <c:pt idx="5">
                  <c:v>2006</c:v>
                </c:pt>
                <c:pt idx="6">
                  <c:v>2008</c:v>
                </c:pt>
                <c:pt idx="7">
                  <c:v>2010</c:v>
                </c:pt>
                <c:pt idx="8">
                  <c:v>2012</c:v>
                </c:pt>
                <c:pt idx="9">
                  <c:v>2014</c:v>
                </c:pt>
                <c:pt idx="10">
                  <c:v>2016</c:v>
                </c:pt>
              </c:numCache>
            </c:numRef>
          </c:cat>
          <c:val>
            <c:numRef>
              <c:f>Tabelle1!$B$345:$B$355</c:f>
              <c:numCache>
                <c:formatCode>General</c:formatCode>
                <c:ptCount val="11"/>
                <c:pt idx="0">
                  <c:v>0.82891314000000005</c:v>
                </c:pt>
                <c:pt idx="1">
                  <c:v>0.86855424000000003</c:v>
                </c:pt>
                <c:pt idx="2">
                  <c:v>0.85556171000000003</c:v>
                </c:pt>
                <c:pt idx="3">
                  <c:v>0.85534511999999996</c:v>
                </c:pt>
                <c:pt idx="4">
                  <c:v>0.88286222000000003</c:v>
                </c:pt>
                <c:pt idx="5">
                  <c:v>0.88154195999999996</c:v>
                </c:pt>
                <c:pt idx="6">
                  <c:v>0.90802552999999997</c:v>
                </c:pt>
                <c:pt idx="7">
                  <c:v>0.88426223999999998</c:v>
                </c:pt>
                <c:pt idx="8">
                  <c:v>0.88213357999999997</c:v>
                </c:pt>
                <c:pt idx="9">
                  <c:v>0.89169571000000003</c:v>
                </c:pt>
                <c:pt idx="10">
                  <c:v>0.8862949</c:v>
                </c:pt>
              </c:numCache>
            </c:numRef>
          </c:val>
          <c:smooth val="0"/>
          <c:extLst xmlns:c16r2="http://schemas.microsoft.com/office/drawing/2015/06/chart">
            <c:ext xmlns:c16="http://schemas.microsoft.com/office/drawing/2014/chart" uri="{C3380CC4-5D6E-409C-BE32-E72D297353CC}">
              <c16:uniqueId val="{00000001-650F-4415-85B1-3CC0528C1C0C}"/>
            </c:ext>
          </c:extLst>
        </c:ser>
        <c:dLbls>
          <c:showLegendKey val="0"/>
          <c:showVal val="0"/>
          <c:showCatName val="0"/>
          <c:showSerName val="0"/>
          <c:showPercent val="0"/>
          <c:showBubbleSize val="0"/>
        </c:dLbls>
        <c:marker val="1"/>
        <c:smooth val="0"/>
        <c:axId val="149071520"/>
        <c:axId val="149067992"/>
      </c:lineChart>
      <c:catAx>
        <c:axId val="149071520"/>
        <c:scaling>
          <c:orientation val="minMax"/>
        </c:scaling>
        <c:delete val="0"/>
        <c:axPos val="b"/>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pl-PL"/>
          </a:p>
        </c:txPr>
        <c:crossAx val="149067992"/>
        <c:crosses val="autoZero"/>
        <c:auto val="1"/>
        <c:lblAlgn val="ctr"/>
        <c:lblOffset val="100"/>
        <c:noMultiLvlLbl val="0"/>
      </c:catAx>
      <c:valAx>
        <c:axId val="149067992"/>
        <c:scaling>
          <c:orientation val="minMax"/>
          <c:max val="1"/>
          <c:min val="0.75000000000000011"/>
        </c:scaling>
        <c:delete val="0"/>
        <c:axPos val="l"/>
        <c:majorGridlines/>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pl-PL"/>
          </a:p>
        </c:txPr>
        <c:crossAx val="149071520"/>
        <c:crosses val="autoZero"/>
        <c:crossBetween val="between"/>
      </c:valAx>
    </c:plotArea>
    <c:legend>
      <c:legendPos val="b"/>
      <c:layout/>
      <c:overlay val="0"/>
      <c:txPr>
        <a:bodyPr/>
        <a:lstStyle/>
        <a:p>
          <a:pPr>
            <a:defRPr sz="800">
              <a:latin typeface="Arial" panose="020B0604020202020204" pitchFamily="34" charset="0"/>
              <a:cs typeface="Arial" panose="020B0604020202020204" pitchFamily="34" charset="0"/>
            </a:defRPr>
          </a:pPr>
          <a:endParaRPr lang="pl-PL"/>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DE" sz="1400"/>
              <a:t>Conditional</a:t>
            </a:r>
            <a:r>
              <a:rPr lang="de-DE" sz="1400" baseline="0"/>
              <a:t> partial R-indicators</a:t>
            </a:r>
            <a:br>
              <a:rPr lang="de-DE" sz="1400" baseline="0"/>
            </a:br>
            <a:r>
              <a:rPr lang="de-DE" sz="1400" baseline="0"/>
              <a:t> (linear trends, ALLBUS 1994-2016)</a:t>
            </a:r>
            <a:endParaRPr lang="de-DE" sz="1400"/>
          </a:p>
        </c:rich>
      </c:tx>
      <c:layout/>
      <c:overlay val="0"/>
    </c:title>
    <c:autoTitleDeleted val="0"/>
    <c:plotArea>
      <c:layout/>
      <c:scatterChart>
        <c:scatterStyle val="lineMarker"/>
        <c:varyColors val="0"/>
        <c:ser>
          <c:idx val="0"/>
          <c:order val="0"/>
          <c:tx>
            <c:strRef>
              <c:f>Tabelle1!$B$558</c:f>
              <c:strCache>
                <c:ptCount val="1"/>
                <c:pt idx="0">
                  <c:v>gender</c:v>
                </c:pt>
              </c:strCache>
            </c:strRef>
          </c:tx>
          <c:spPr>
            <a:ln w="28575">
              <a:noFill/>
            </a:ln>
          </c:spPr>
          <c:marker>
            <c:symbol val="none"/>
          </c:marker>
          <c:trendline>
            <c:spPr>
              <a:ln w="19050">
                <a:solidFill>
                  <a:srgbClr val="FFC000"/>
                </a:solidFill>
              </a:ln>
            </c:spPr>
            <c:trendlineType val="linear"/>
            <c:dispRSqr val="0"/>
            <c:dispEq val="0"/>
          </c:trendline>
          <c:xVal>
            <c:numRef>
              <c:f>Tabelle1!$C$557:$O$557</c:f>
              <c:numCache>
                <c:formatCode>General</c:formatCode>
                <c:ptCount val="13"/>
                <c:pt idx="0">
                  <c:v>1994</c:v>
                </c:pt>
                <c:pt idx="1">
                  <c:v>1996</c:v>
                </c:pt>
                <c:pt idx="2">
                  <c:v>2000</c:v>
                </c:pt>
                <c:pt idx="3">
                  <c:v>2002</c:v>
                </c:pt>
                <c:pt idx="4">
                  <c:v>2004</c:v>
                </c:pt>
                <c:pt idx="5">
                  <c:v>2006</c:v>
                </c:pt>
                <c:pt idx="6">
                  <c:v>2008</c:v>
                </c:pt>
                <c:pt idx="7">
                  <c:v>2010</c:v>
                </c:pt>
                <c:pt idx="8">
                  <c:v>2012</c:v>
                </c:pt>
                <c:pt idx="9">
                  <c:v>2014</c:v>
                </c:pt>
                <c:pt idx="10">
                  <c:v>2016</c:v>
                </c:pt>
              </c:numCache>
            </c:numRef>
          </c:xVal>
          <c:yVal>
            <c:numRef>
              <c:f>Tabelle1!$C$558:$O$558</c:f>
              <c:numCache>
                <c:formatCode>General</c:formatCode>
                <c:ptCount val="13"/>
                <c:pt idx="0">
                  <c:v>3.2362560999999998E-2</c:v>
                </c:pt>
                <c:pt idx="1">
                  <c:v>7.8033909999999998E-3</c:v>
                </c:pt>
                <c:pt idx="2">
                  <c:v>1.2540900000000001E-2</c:v>
                </c:pt>
                <c:pt idx="3">
                  <c:v>1.6456189999999999E-2</c:v>
                </c:pt>
                <c:pt idx="4">
                  <c:v>1.0491630300000001E-2</c:v>
                </c:pt>
                <c:pt idx="5">
                  <c:v>3.757109E-4</c:v>
                </c:pt>
                <c:pt idx="6">
                  <c:v>1.4541399999999999E-2</c:v>
                </c:pt>
                <c:pt idx="7">
                  <c:v>4.3890519999999997E-4</c:v>
                </c:pt>
                <c:pt idx="8">
                  <c:v>4.783514E-3</c:v>
                </c:pt>
                <c:pt idx="9">
                  <c:v>1.1001469999999999E-2</c:v>
                </c:pt>
                <c:pt idx="10">
                  <c:v>1.4975122E-2</c:v>
                </c:pt>
              </c:numCache>
            </c:numRef>
          </c:yVal>
          <c:smooth val="0"/>
          <c:extLst xmlns:c16r2="http://schemas.microsoft.com/office/drawing/2015/06/chart">
            <c:ext xmlns:c16="http://schemas.microsoft.com/office/drawing/2014/chart" uri="{C3380CC4-5D6E-409C-BE32-E72D297353CC}">
              <c16:uniqueId val="{00000001-D515-4030-AAD0-029263719BF8}"/>
            </c:ext>
          </c:extLst>
        </c:ser>
        <c:ser>
          <c:idx val="1"/>
          <c:order val="1"/>
          <c:tx>
            <c:strRef>
              <c:f>Tabelle1!$B$559</c:f>
              <c:strCache>
                <c:ptCount val="1"/>
                <c:pt idx="0">
                  <c:v>age</c:v>
                </c:pt>
              </c:strCache>
            </c:strRef>
          </c:tx>
          <c:spPr>
            <a:ln w="28575">
              <a:noFill/>
            </a:ln>
          </c:spPr>
          <c:marker>
            <c:symbol val="none"/>
          </c:marker>
          <c:trendline>
            <c:spPr>
              <a:ln w="19050">
                <a:solidFill>
                  <a:srgbClr val="C00000"/>
                </a:solidFill>
              </a:ln>
            </c:spPr>
            <c:trendlineType val="linear"/>
            <c:dispRSqr val="0"/>
            <c:dispEq val="0"/>
          </c:trendline>
          <c:xVal>
            <c:numRef>
              <c:f>Tabelle1!$C$557:$O$557</c:f>
              <c:numCache>
                <c:formatCode>General</c:formatCode>
                <c:ptCount val="13"/>
                <c:pt idx="0">
                  <c:v>1994</c:v>
                </c:pt>
                <c:pt idx="1">
                  <c:v>1996</c:v>
                </c:pt>
                <c:pt idx="2">
                  <c:v>2000</c:v>
                </c:pt>
                <c:pt idx="3">
                  <c:v>2002</c:v>
                </c:pt>
                <c:pt idx="4">
                  <c:v>2004</c:v>
                </c:pt>
                <c:pt idx="5">
                  <c:v>2006</c:v>
                </c:pt>
                <c:pt idx="6">
                  <c:v>2008</c:v>
                </c:pt>
                <c:pt idx="7">
                  <c:v>2010</c:v>
                </c:pt>
                <c:pt idx="8">
                  <c:v>2012</c:v>
                </c:pt>
                <c:pt idx="9">
                  <c:v>2014</c:v>
                </c:pt>
                <c:pt idx="10">
                  <c:v>2016</c:v>
                </c:pt>
              </c:numCache>
            </c:numRef>
          </c:xVal>
          <c:yVal>
            <c:numRef>
              <c:f>Tabelle1!$C$559:$O$559</c:f>
              <c:numCache>
                <c:formatCode>General</c:formatCode>
                <c:ptCount val="13"/>
                <c:pt idx="0">
                  <c:v>4.4795764699999997E-2</c:v>
                </c:pt>
                <c:pt idx="1">
                  <c:v>4.7390222000000003E-2</c:v>
                </c:pt>
                <c:pt idx="2">
                  <c:v>3.5899110999999997E-2</c:v>
                </c:pt>
                <c:pt idx="3">
                  <c:v>4.9401639999999997E-2</c:v>
                </c:pt>
                <c:pt idx="4">
                  <c:v>3.40724024E-2</c:v>
                </c:pt>
                <c:pt idx="5">
                  <c:v>2.9328779999999999E-2</c:v>
                </c:pt>
                <c:pt idx="6">
                  <c:v>1.256085E-2</c:v>
                </c:pt>
                <c:pt idx="7">
                  <c:v>2.7917979400000001E-2</c:v>
                </c:pt>
                <c:pt idx="8">
                  <c:v>3.4818437000000001E-2</c:v>
                </c:pt>
                <c:pt idx="9">
                  <c:v>3.5200269999999999E-2</c:v>
                </c:pt>
                <c:pt idx="10">
                  <c:v>3.0519260999999999E-2</c:v>
                </c:pt>
              </c:numCache>
            </c:numRef>
          </c:yVal>
          <c:smooth val="0"/>
          <c:extLst xmlns:c16r2="http://schemas.microsoft.com/office/drawing/2015/06/chart">
            <c:ext xmlns:c16="http://schemas.microsoft.com/office/drawing/2014/chart" uri="{C3380CC4-5D6E-409C-BE32-E72D297353CC}">
              <c16:uniqueId val="{00000003-D515-4030-AAD0-029263719BF8}"/>
            </c:ext>
          </c:extLst>
        </c:ser>
        <c:ser>
          <c:idx val="2"/>
          <c:order val="2"/>
          <c:tx>
            <c:strRef>
              <c:f>Tabelle1!$B$560</c:f>
              <c:strCache>
                <c:ptCount val="1"/>
                <c:pt idx="0">
                  <c:v>urbanicity</c:v>
                </c:pt>
              </c:strCache>
            </c:strRef>
          </c:tx>
          <c:spPr>
            <a:ln w="28575">
              <a:noFill/>
            </a:ln>
          </c:spPr>
          <c:marker>
            <c:symbol val="none"/>
          </c:marker>
          <c:trendline>
            <c:spPr>
              <a:ln w="19050"/>
            </c:spPr>
            <c:trendlineType val="linear"/>
            <c:dispRSqr val="0"/>
            <c:dispEq val="0"/>
          </c:trendline>
          <c:xVal>
            <c:numRef>
              <c:f>Tabelle1!$C$557:$O$557</c:f>
              <c:numCache>
                <c:formatCode>General</c:formatCode>
                <c:ptCount val="13"/>
                <c:pt idx="0">
                  <c:v>1994</c:v>
                </c:pt>
                <c:pt idx="1">
                  <c:v>1996</c:v>
                </c:pt>
                <c:pt idx="2">
                  <c:v>2000</c:v>
                </c:pt>
                <c:pt idx="3">
                  <c:v>2002</c:v>
                </c:pt>
                <c:pt idx="4">
                  <c:v>2004</c:v>
                </c:pt>
                <c:pt idx="5">
                  <c:v>2006</c:v>
                </c:pt>
                <c:pt idx="6">
                  <c:v>2008</c:v>
                </c:pt>
                <c:pt idx="7">
                  <c:v>2010</c:v>
                </c:pt>
                <c:pt idx="8">
                  <c:v>2012</c:v>
                </c:pt>
                <c:pt idx="9">
                  <c:v>2014</c:v>
                </c:pt>
                <c:pt idx="10">
                  <c:v>2016</c:v>
                </c:pt>
              </c:numCache>
            </c:numRef>
          </c:xVal>
          <c:yVal>
            <c:numRef>
              <c:f>Tabelle1!$C$560:$O$560</c:f>
              <c:numCache>
                <c:formatCode>General</c:formatCode>
                <c:ptCount val="13"/>
                <c:pt idx="0">
                  <c:v>5.68442246E-2</c:v>
                </c:pt>
                <c:pt idx="1">
                  <c:v>4.0093016000000002E-2</c:v>
                </c:pt>
                <c:pt idx="2">
                  <c:v>4.8564837999999999E-2</c:v>
                </c:pt>
                <c:pt idx="3">
                  <c:v>3.9638079999999999E-2</c:v>
                </c:pt>
                <c:pt idx="4">
                  <c:v>4.2864007099999997E-2</c:v>
                </c:pt>
                <c:pt idx="5">
                  <c:v>5.0869155499999999E-2</c:v>
                </c:pt>
                <c:pt idx="6">
                  <c:v>4.1628993000000003E-2</c:v>
                </c:pt>
                <c:pt idx="7">
                  <c:v>4.9054989899999998E-2</c:v>
                </c:pt>
                <c:pt idx="8">
                  <c:v>4.2457113999999997E-2</c:v>
                </c:pt>
                <c:pt idx="9">
                  <c:v>3.4676709999999999E-2</c:v>
                </c:pt>
                <c:pt idx="10">
                  <c:v>2.7610511000000001E-2</c:v>
                </c:pt>
              </c:numCache>
            </c:numRef>
          </c:yVal>
          <c:smooth val="0"/>
          <c:extLst xmlns:c16r2="http://schemas.microsoft.com/office/drawing/2015/06/chart">
            <c:ext xmlns:c16="http://schemas.microsoft.com/office/drawing/2014/chart" uri="{C3380CC4-5D6E-409C-BE32-E72D297353CC}">
              <c16:uniqueId val="{00000005-D515-4030-AAD0-029263719BF8}"/>
            </c:ext>
          </c:extLst>
        </c:ser>
        <c:ser>
          <c:idx val="3"/>
          <c:order val="3"/>
          <c:tx>
            <c:strRef>
              <c:f>Tabelle1!$B$561</c:f>
              <c:strCache>
                <c:ptCount val="1"/>
                <c:pt idx="0">
                  <c:v>nationality</c:v>
                </c:pt>
              </c:strCache>
            </c:strRef>
          </c:tx>
          <c:spPr>
            <a:ln w="28575">
              <a:noFill/>
            </a:ln>
          </c:spPr>
          <c:marker>
            <c:symbol val="none"/>
          </c:marker>
          <c:trendline>
            <c:spPr>
              <a:ln w="19050">
                <a:solidFill>
                  <a:srgbClr val="00B050"/>
                </a:solidFill>
              </a:ln>
            </c:spPr>
            <c:trendlineType val="linear"/>
            <c:dispRSqr val="0"/>
            <c:dispEq val="0"/>
          </c:trendline>
          <c:xVal>
            <c:numRef>
              <c:f>Tabelle1!$C$557:$O$557</c:f>
              <c:numCache>
                <c:formatCode>General</c:formatCode>
                <c:ptCount val="13"/>
                <c:pt idx="0">
                  <c:v>1994</c:v>
                </c:pt>
                <c:pt idx="1">
                  <c:v>1996</c:v>
                </c:pt>
                <c:pt idx="2">
                  <c:v>2000</c:v>
                </c:pt>
                <c:pt idx="3">
                  <c:v>2002</c:v>
                </c:pt>
                <c:pt idx="4">
                  <c:v>2004</c:v>
                </c:pt>
                <c:pt idx="5">
                  <c:v>2006</c:v>
                </c:pt>
                <c:pt idx="6">
                  <c:v>2008</c:v>
                </c:pt>
                <c:pt idx="7">
                  <c:v>2010</c:v>
                </c:pt>
                <c:pt idx="8">
                  <c:v>2012</c:v>
                </c:pt>
                <c:pt idx="9">
                  <c:v>2014</c:v>
                </c:pt>
                <c:pt idx="10">
                  <c:v>2016</c:v>
                </c:pt>
              </c:numCache>
            </c:numRef>
          </c:xVal>
          <c:yVal>
            <c:numRef>
              <c:f>Tabelle1!$C$561:$O$561</c:f>
              <c:numCache>
                <c:formatCode>General</c:formatCode>
                <c:ptCount val="13"/>
                <c:pt idx="0">
                  <c:v>1.01042258E-2</c:v>
                </c:pt>
                <c:pt idx="1">
                  <c:v>1.3576018E-2</c:v>
                </c:pt>
                <c:pt idx="2">
                  <c:v>7.5900070000000002E-3</c:v>
                </c:pt>
                <c:pt idx="3">
                  <c:v>2.4731300000000001E-2</c:v>
                </c:pt>
                <c:pt idx="4">
                  <c:v>6.4504658000000001E-3</c:v>
                </c:pt>
                <c:pt idx="5">
                  <c:v>2.9083595999999999E-3</c:v>
                </c:pt>
                <c:pt idx="6">
                  <c:v>8.7968860000000003E-3</c:v>
                </c:pt>
                <c:pt idx="7">
                  <c:v>7.3518654000000001E-3</c:v>
                </c:pt>
                <c:pt idx="8">
                  <c:v>1.7711434000000002E-2</c:v>
                </c:pt>
                <c:pt idx="9">
                  <c:v>1.698684E-2</c:v>
                </c:pt>
                <c:pt idx="10">
                  <c:v>3.0792429999999999E-2</c:v>
                </c:pt>
              </c:numCache>
            </c:numRef>
          </c:yVal>
          <c:smooth val="0"/>
          <c:extLst xmlns:c16r2="http://schemas.microsoft.com/office/drawing/2015/06/chart">
            <c:ext xmlns:c16="http://schemas.microsoft.com/office/drawing/2014/chart" uri="{C3380CC4-5D6E-409C-BE32-E72D297353CC}">
              <c16:uniqueId val="{00000007-D515-4030-AAD0-029263719BF8}"/>
            </c:ext>
          </c:extLst>
        </c:ser>
        <c:ser>
          <c:idx val="4"/>
          <c:order val="4"/>
          <c:tx>
            <c:strRef>
              <c:f>Tabelle1!$B$562</c:f>
              <c:strCache>
                <c:ptCount val="1"/>
                <c:pt idx="0">
                  <c:v>region</c:v>
                </c:pt>
              </c:strCache>
            </c:strRef>
          </c:tx>
          <c:spPr>
            <a:ln w="28575">
              <a:noFill/>
            </a:ln>
          </c:spPr>
          <c:marker>
            <c:symbol val="none"/>
          </c:marker>
          <c:trendline>
            <c:spPr>
              <a:ln w="19050">
                <a:solidFill>
                  <a:srgbClr val="66FFFF"/>
                </a:solidFill>
              </a:ln>
            </c:spPr>
            <c:trendlineType val="linear"/>
            <c:dispRSqr val="0"/>
            <c:dispEq val="0"/>
          </c:trendline>
          <c:xVal>
            <c:numRef>
              <c:f>Tabelle1!$C$557:$O$557</c:f>
              <c:numCache>
                <c:formatCode>General</c:formatCode>
                <c:ptCount val="13"/>
                <c:pt idx="0">
                  <c:v>1994</c:v>
                </c:pt>
                <c:pt idx="1">
                  <c:v>1996</c:v>
                </c:pt>
                <c:pt idx="2">
                  <c:v>2000</c:v>
                </c:pt>
                <c:pt idx="3">
                  <c:v>2002</c:v>
                </c:pt>
                <c:pt idx="4">
                  <c:v>2004</c:v>
                </c:pt>
                <c:pt idx="5">
                  <c:v>2006</c:v>
                </c:pt>
                <c:pt idx="6">
                  <c:v>2008</c:v>
                </c:pt>
                <c:pt idx="7">
                  <c:v>2010</c:v>
                </c:pt>
                <c:pt idx="8">
                  <c:v>2012</c:v>
                </c:pt>
                <c:pt idx="9">
                  <c:v>2014</c:v>
                </c:pt>
                <c:pt idx="10">
                  <c:v>2016</c:v>
                </c:pt>
              </c:numCache>
            </c:numRef>
          </c:xVal>
          <c:yVal>
            <c:numRef>
              <c:f>Tabelle1!$C$562:$O$562</c:f>
              <c:numCache>
                <c:formatCode>General</c:formatCode>
                <c:ptCount val="13"/>
                <c:pt idx="0">
                  <c:v>3.049258E-4</c:v>
                </c:pt>
                <c:pt idx="1">
                  <c:v>3.2693290000000001E-3</c:v>
                </c:pt>
                <c:pt idx="2">
                  <c:v>2.9061388E-2</c:v>
                </c:pt>
                <c:pt idx="3">
                  <c:v>1.7481460000000001E-2</c:v>
                </c:pt>
                <c:pt idx="4">
                  <c:v>5.2155560000000003E-4</c:v>
                </c:pt>
                <c:pt idx="5">
                  <c:v>6.2269548999999997E-3</c:v>
                </c:pt>
                <c:pt idx="6">
                  <c:v>7.2535259999999997E-3</c:v>
                </c:pt>
                <c:pt idx="7">
                  <c:v>1.30972672E-2</c:v>
                </c:pt>
                <c:pt idx="8">
                  <c:v>3.7776379999999998E-3</c:v>
                </c:pt>
                <c:pt idx="9">
                  <c:v>3.3871999999999999E-3</c:v>
                </c:pt>
                <c:pt idx="10">
                  <c:v>2.9842430000000001E-3</c:v>
                </c:pt>
              </c:numCache>
            </c:numRef>
          </c:yVal>
          <c:smooth val="0"/>
          <c:extLst xmlns:c16r2="http://schemas.microsoft.com/office/drawing/2015/06/chart">
            <c:ext xmlns:c16="http://schemas.microsoft.com/office/drawing/2014/chart" uri="{C3380CC4-5D6E-409C-BE32-E72D297353CC}">
              <c16:uniqueId val="{00000009-D515-4030-AAD0-029263719BF8}"/>
            </c:ext>
          </c:extLst>
        </c:ser>
        <c:dLbls>
          <c:showLegendKey val="0"/>
          <c:showVal val="0"/>
          <c:showCatName val="0"/>
          <c:showSerName val="0"/>
          <c:showPercent val="0"/>
          <c:showBubbleSize val="0"/>
        </c:dLbls>
        <c:axId val="149072304"/>
        <c:axId val="149071912"/>
      </c:scatterChart>
      <c:valAx>
        <c:axId val="149072304"/>
        <c:scaling>
          <c:orientation val="minMax"/>
        </c:scaling>
        <c:delete val="0"/>
        <c:axPos val="b"/>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pl-PL"/>
          </a:p>
        </c:txPr>
        <c:crossAx val="149071912"/>
        <c:crosses val="autoZero"/>
        <c:crossBetween val="midCat"/>
      </c:valAx>
      <c:valAx>
        <c:axId val="149071912"/>
        <c:scaling>
          <c:orientation val="minMax"/>
        </c:scaling>
        <c:delete val="0"/>
        <c:axPos val="l"/>
        <c:majorGridlines/>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pl-PL"/>
          </a:p>
        </c:txPr>
        <c:crossAx val="149072304"/>
        <c:crosses val="autoZero"/>
        <c:crossBetween val="midCat"/>
      </c:valAx>
    </c:plotArea>
    <c:legend>
      <c:legendPos val="b"/>
      <c:legendEntry>
        <c:idx val="0"/>
        <c:delete val="1"/>
      </c:legendEntry>
      <c:legendEntry>
        <c:idx val="1"/>
        <c:delete val="1"/>
      </c:legendEntry>
      <c:legendEntry>
        <c:idx val="2"/>
        <c:delete val="1"/>
      </c:legendEntry>
      <c:legendEntry>
        <c:idx val="3"/>
        <c:delete val="1"/>
      </c:legendEntry>
      <c:legendEntry>
        <c:idx val="4"/>
        <c:delete val="1"/>
      </c:legendEntry>
      <c:layout/>
      <c:overlay val="0"/>
      <c:txPr>
        <a:bodyPr/>
        <a:lstStyle/>
        <a:p>
          <a:pPr>
            <a:defRPr sz="800">
              <a:latin typeface="Arial" panose="020B0604020202020204" pitchFamily="34" charset="0"/>
              <a:cs typeface="Arial" panose="020B0604020202020204" pitchFamily="34" charset="0"/>
            </a:defRPr>
          </a:pPr>
          <a:endParaRPr lang="pl-PL"/>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de-DE" sz="1200"/>
              <a:t>Mean</a:t>
            </a:r>
            <a:r>
              <a:rPr lang="de-DE"/>
              <a:t> Index of Dissimilarity, by year</a:t>
            </a:r>
            <a:br>
              <a:rPr lang="de-DE"/>
            </a:br>
            <a:r>
              <a:rPr lang="de-DE"/>
              <a:t> ALLBUS</a:t>
            </a:r>
            <a:r>
              <a:rPr lang="de-DE" baseline="0"/>
              <a:t> 1994-2016</a:t>
            </a:r>
            <a:endParaRPr lang="de-DE"/>
          </a:p>
        </c:rich>
      </c:tx>
      <c:layout/>
      <c:overlay val="0"/>
    </c:title>
    <c:autoTitleDeleted val="0"/>
    <c:plotArea>
      <c:layout/>
      <c:scatterChart>
        <c:scatterStyle val="lineMarker"/>
        <c:varyColors val="0"/>
        <c:ser>
          <c:idx val="0"/>
          <c:order val="0"/>
          <c:tx>
            <c:strRef>
              <c:f>'Diss.-Indizes'!$AB$415</c:f>
              <c:strCache>
                <c:ptCount val="1"/>
                <c:pt idx="0">
                  <c:v>mean index of dissimilarity</c:v>
                </c:pt>
              </c:strCache>
            </c:strRef>
          </c:tx>
          <c:spPr>
            <a:ln w="28575">
              <a:noFill/>
            </a:ln>
          </c:spPr>
          <c:marker>
            <c:symbol val="circle"/>
            <c:size val="5"/>
          </c:marker>
          <c:trendline>
            <c:spPr>
              <a:ln w="19050"/>
            </c:spPr>
            <c:trendlineType val="linear"/>
            <c:dispRSqr val="0"/>
            <c:dispEq val="0"/>
          </c:trendline>
          <c:xVal>
            <c:numRef>
              <c:f>'Diss.-Indizes'!$AA$416:$AA$426</c:f>
              <c:numCache>
                <c:formatCode>General</c:formatCode>
                <c:ptCount val="11"/>
                <c:pt idx="0">
                  <c:v>1994</c:v>
                </c:pt>
                <c:pt idx="1">
                  <c:v>1996</c:v>
                </c:pt>
                <c:pt idx="2">
                  <c:v>2000</c:v>
                </c:pt>
                <c:pt idx="3">
                  <c:v>2002</c:v>
                </c:pt>
                <c:pt idx="4">
                  <c:v>2004</c:v>
                </c:pt>
                <c:pt idx="5">
                  <c:v>2006</c:v>
                </c:pt>
                <c:pt idx="6">
                  <c:v>2008</c:v>
                </c:pt>
                <c:pt idx="7">
                  <c:v>2010</c:v>
                </c:pt>
                <c:pt idx="8">
                  <c:v>2012</c:v>
                </c:pt>
                <c:pt idx="9">
                  <c:v>2014</c:v>
                </c:pt>
                <c:pt idx="10">
                  <c:v>2016</c:v>
                </c:pt>
              </c:numCache>
            </c:numRef>
          </c:xVal>
          <c:yVal>
            <c:numRef>
              <c:f>'Diss.-Indizes'!$AB$416:$AB$426</c:f>
              <c:numCache>
                <c:formatCode>General</c:formatCode>
                <c:ptCount val="11"/>
                <c:pt idx="0">
                  <c:v>3.8579728245789537</c:v>
                </c:pt>
                <c:pt idx="1">
                  <c:v>4.4203614724854932</c:v>
                </c:pt>
                <c:pt idx="2">
                  <c:v>2.609258020939409</c:v>
                </c:pt>
                <c:pt idx="3">
                  <c:v>3.7435030932577842</c:v>
                </c:pt>
                <c:pt idx="4">
                  <c:v>3.4181082393121627</c:v>
                </c:pt>
                <c:pt idx="5">
                  <c:v>3.4181082393121627</c:v>
                </c:pt>
                <c:pt idx="6">
                  <c:v>3.6778092355901002</c:v>
                </c:pt>
                <c:pt idx="7">
                  <c:v>2.7463691774947372</c:v>
                </c:pt>
                <c:pt idx="8">
                  <c:v>3.0142857142857142</c:v>
                </c:pt>
                <c:pt idx="9">
                  <c:v>3.8910873042009748</c:v>
                </c:pt>
                <c:pt idx="10">
                  <c:v>4.482659790551625</c:v>
                </c:pt>
              </c:numCache>
            </c:numRef>
          </c:yVal>
          <c:smooth val="0"/>
          <c:extLst xmlns:c16r2="http://schemas.microsoft.com/office/drawing/2015/06/chart">
            <c:ext xmlns:c16="http://schemas.microsoft.com/office/drawing/2014/chart" uri="{C3380CC4-5D6E-409C-BE32-E72D297353CC}">
              <c16:uniqueId val="{00000001-D8FE-44A3-9EFD-1F11870B625F}"/>
            </c:ext>
          </c:extLst>
        </c:ser>
        <c:dLbls>
          <c:showLegendKey val="0"/>
          <c:showVal val="0"/>
          <c:showCatName val="0"/>
          <c:showSerName val="0"/>
          <c:showPercent val="0"/>
          <c:showBubbleSize val="0"/>
        </c:dLbls>
        <c:axId val="149064856"/>
        <c:axId val="149065640"/>
      </c:scatterChart>
      <c:valAx>
        <c:axId val="149064856"/>
        <c:scaling>
          <c:orientation val="minMax"/>
        </c:scaling>
        <c:delete val="0"/>
        <c:axPos val="b"/>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pl-PL"/>
          </a:p>
        </c:txPr>
        <c:crossAx val="149065640"/>
        <c:crosses val="autoZero"/>
        <c:crossBetween val="midCat"/>
      </c:valAx>
      <c:valAx>
        <c:axId val="149065640"/>
        <c:scaling>
          <c:orientation val="minMax"/>
          <c:max val="6"/>
        </c:scaling>
        <c:delete val="0"/>
        <c:axPos val="l"/>
        <c:majorGridlines/>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pl-PL"/>
          </a:p>
        </c:txPr>
        <c:crossAx val="149064856"/>
        <c:crosses val="autoZero"/>
        <c:crossBetween val="midCat"/>
      </c:valAx>
    </c:plotArea>
    <c:legend>
      <c:legendPos val="b"/>
      <c:layout>
        <c:manualLayout>
          <c:xMode val="edge"/>
          <c:yMode val="edge"/>
          <c:x val="3.6900019262607324E-2"/>
          <c:y val="0.84694027178158215"/>
          <c:w val="0.86608263186432555"/>
          <c:h val="0.12620021825995495"/>
        </c:manualLayout>
      </c:layout>
      <c:overlay val="0"/>
      <c:txPr>
        <a:bodyPr/>
        <a:lstStyle/>
        <a:p>
          <a:pPr>
            <a:defRPr sz="800">
              <a:latin typeface="Arial" panose="020B0604020202020204" pitchFamily="34" charset="0"/>
              <a:cs typeface="Arial" panose="020B0604020202020204" pitchFamily="34" charset="0"/>
            </a:defRPr>
          </a:pPr>
          <a:endParaRPr lang="pl-PL"/>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0.17950100250959355"/>
          <c:w val="0.89745603674540686"/>
          <c:h val="0.59512161984543444"/>
        </c:manualLayout>
      </c:layout>
      <c:lineChart>
        <c:grouping val="standard"/>
        <c:varyColors val="0"/>
        <c:ser>
          <c:idx val="0"/>
          <c:order val="0"/>
          <c:tx>
            <c:strRef>
              <c:f>'Diss.-Indizes'!$Q$459</c:f>
              <c:strCache>
                <c:ptCount val="1"/>
                <c:pt idx="0">
                  <c:v>gender</c:v>
                </c:pt>
              </c:strCache>
            </c:strRef>
          </c:tx>
          <c:spPr>
            <a:ln>
              <a:noFill/>
            </a:ln>
          </c:spPr>
          <c:marker>
            <c:symbol val="none"/>
          </c:marker>
          <c:trendline>
            <c:spPr>
              <a:ln w="19050">
                <a:solidFill>
                  <a:schemeClr val="accent1">
                    <a:lumMod val="75000"/>
                  </a:schemeClr>
                </a:solidFill>
                <a:prstDash val="dash"/>
              </a:ln>
            </c:spPr>
            <c:trendlineType val="linear"/>
            <c:dispRSqr val="0"/>
            <c:dispEq val="0"/>
          </c:trendline>
          <c:cat>
            <c:numRef>
              <c:f>'Diss.-Indizes'!$P$460:$P$470</c:f>
              <c:numCache>
                <c:formatCode>General</c:formatCode>
                <c:ptCount val="11"/>
                <c:pt idx="0">
                  <c:v>1994</c:v>
                </c:pt>
                <c:pt idx="1">
                  <c:v>1996</c:v>
                </c:pt>
                <c:pt idx="2">
                  <c:v>2000</c:v>
                </c:pt>
                <c:pt idx="3">
                  <c:v>2002</c:v>
                </c:pt>
                <c:pt idx="4">
                  <c:v>2004</c:v>
                </c:pt>
                <c:pt idx="5">
                  <c:v>2006</c:v>
                </c:pt>
                <c:pt idx="6">
                  <c:v>2008</c:v>
                </c:pt>
                <c:pt idx="7">
                  <c:v>2010</c:v>
                </c:pt>
                <c:pt idx="8">
                  <c:v>2012</c:v>
                </c:pt>
                <c:pt idx="9">
                  <c:v>2014</c:v>
                </c:pt>
                <c:pt idx="10">
                  <c:v>2016</c:v>
                </c:pt>
              </c:numCache>
            </c:numRef>
          </c:cat>
          <c:val>
            <c:numRef>
              <c:f>'Diss.-Indizes'!$Q$460:$Q$470</c:f>
              <c:numCache>
                <c:formatCode>General</c:formatCode>
                <c:ptCount val="11"/>
                <c:pt idx="0">
                  <c:v>3.0134714218705061</c:v>
                </c:pt>
                <c:pt idx="1">
                  <c:v>1.7988278138669767</c:v>
                </c:pt>
                <c:pt idx="2">
                  <c:v>0.66372859939705098</c:v>
                </c:pt>
                <c:pt idx="3">
                  <c:v>1.7067485840526864</c:v>
                </c:pt>
                <c:pt idx="4">
                  <c:v>1.4317232774141986</c:v>
                </c:pt>
                <c:pt idx="5">
                  <c:v>0.53757702057950496</c:v>
                </c:pt>
                <c:pt idx="6">
                  <c:v>0.73217227762282233</c:v>
                </c:pt>
                <c:pt idx="7">
                  <c:v>7.4595835412261113E-2</c:v>
                </c:pt>
                <c:pt idx="8">
                  <c:v>0.94943964734046371</c:v>
                </c:pt>
                <c:pt idx="9">
                  <c:v>2.1568831469297334</c:v>
                </c:pt>
                <c:pt idx="10">
                  <c:v>1.5782688449412441</c:v>
                </c:pt>
              </c:numCache>
            </c:numRef>
          </c:val>
          <c:smooth val="0"/>
          <c:extLst xmlns:c16r2="http://schemas.microsoft.com/office/drawing/2015/06/chart">
            <c:ext xmlns:c16="http://schemas.microsoft.com/office/drawing/2014/chart" uri="{C3380CC4-5D6E-409C-BE32-E72D297353CC}">
              <c16:uniqueId val="{00000001-C6B0-444C-8976-343F99DD434E}"/>
            </c:ext>
          </c:extLst>
        </c:ser>
        <c:ser>
          <c:idx val="1"/>
          <c:order val="1"/>
          <c:tx>
            <c:strRef>
              <c:f>'Diss.-Indizes'!$R$459</c:f>
              <c:strCache>
                <c:ptCount val="1"/>
                <c:pt idx="0">
                  <c:v>age</c:v>
                </c:pt>
              </c:strCache>
            </c:strRef>
          </c:tx>
          <c:spPr>
            <a:ln>
              <a:noFill/>
            </a:ln>
          </c:spPr>
          <c:marker>
            <c:symbol val="none"/>
          </c:marker>
          <c:trendline>
            <c:spPr>
              <a:ln w="19050">
                <a:solidFill>
                  <a:schemeClr val="accent2"/>
                </a:solidFill>
              </a:ln>
            </c:spPr>
            <c:trendlineType val="linear"/>
            <c:dispRSqr val="0"/>
            <c:dispEq val="0"/>
          </c:trendline>
          <c:cat>
            <c:numRef>
              <c:f>'Diss.-Indizes'!$P$460:$P$470</c:f>
              <c:numCache>
                <c:formatCode>General</c:formatCode>
                <c:ptCount val="11"/>
                <c:pt idx="0">
                  <c:v>1994</c:v>
                </c:pt>
                <c:pt idx="1">
                  <c:v>1996</c:v>
                </c:pt>
                <c:pt idx="2">
                  <c:v>2000</c:v>
                </c:pt>
                <c:pt idx="3">
                  <c:v>2002</c:v>
                </c:pt>
                <c:pt idx="4">
                  <c:v>2004</c:v>
                </c:pt>
                <c:pt idx="5">
                  <c:v>2006</c:v>
                </c:pt>
                <c:pt idx="6">
                  <c:v>2008</c:v>
                </c:pt>
                <c:pt idx="7">
                  <c:v>2010</c:v>
                </c:pt>
                <c:pt idx="8">
                  <c:v>2012</c:v>
                </c:pt>
                <c:pt idx="9">
                  <c:v>2014</c:v>
                </c:pt>
                <c:pt idx="10">
                  <c:v>2016</c:v>
                </c:pt>
              </c:numCache>
            </c:numRef>
          </c:cat>
          <c:val>
            <c:numRef>
              <c:f>'Diss.-Indizes'!$R$460:$R$470</c:f>
              <c:numCache>
                <c:formatCode>General</c:formatCode>
                <c:ptCount val="11"/>
                <c:pt idx="0">
                  <c:v>3.2660848742640205</c:v>
                </c:pt>
                <c:pt idx="1">
                  <c:v>3.7608779589327179</c:v>
                </c:pt>
                <c:pt idx="2">
                  <c:v>2.1499627650191915</c:v>
                </c:pt>
                <c:pt idx="3">
                  <c:v>4.0012326216746743</c:v>
                </c:pt>
                <c:pt idx="4">
                  <c:v>3.4582740312443878</c:v>
                </c:pt>
                <c:pt idx="5">
                  <c:v>3.6549815426758738</c:v>
                </c:pt>
                <c:pt idx="6">
                  <c:v>3.8751513745881345</c:v>
                </c:pt>
                <c:pt idx="7">
                  <c:v>2.9542224604196892</c:v>
                </c:pt>
                <c:pt idx="8">
                  <c:v>3.8676375311233175</c:v>
                </c:pt>
                <c:pt idx="9">
                  <c:v>3.4613569331329916</c:v>
                </c:pt>
                <c:pt idx="10">
                  <c:v>5.0630476227573009</c:v>
                </c:pt>
              </c:numCache>
            </c:numRef>
          </c:val>
          <c:smooth val="0"/>
          <c:extLst xmlns:c16r2="http://schemas.microsoft.com/office/drawing/2015/06/chart">
            <c:ext xmlns:c16="http://schemas.microsoft.com/office/drawing/2014/chart" uri="{C3380CC4-5D6E-409C-BE32-E72D297353CC}">
              <c16:uniqueId val="{00000003-C6B0-444C-8976-343F99DD434E}"/>
            </c:ext>
          </c:extLst>
        </c:ser>
        <c:ser>
          <c:idx val="2"/>
          <c:order val="2"/>
          <c:tx>
            <c:strRef>
              <c:f>'Diss.-Indizes'!$S$459</c:f>
              <c:strCache>
                <c:ptCount val="1"/>
                <c:pt idx="0">
                  <c:v>education</c:v>
                </c:pt>
              </c:strCache>
            </c:strRef>
          </c:tx>
          <c:spPr>
            <a:ln>
              <a:noFill/>
            </a:ln>
          </c:spPr>
          <c:marker>
            <c:symbol val="none"/>
          </c:marker>
          <c:trendline>
            <c:spPr>
              <a:ln w="19050">
                <a:solidFill>
                  <a:srgbClr val="00B050"/>
                </a:solidFill>
              </a:ln>
            </c:spPr>
            <c:trendlineType val="linear"/>
            <c:dispRSqr val="0"/>
            <c:dispEq val="0"/>
          </c:trendline>
          <c:cat>
            <c:numRef>
              <c:f>'Diss.-Indizes'!$P$460:$P$470</c:f>
              <c:numCache>
                <c:formatCode>General</c:formatCode>
                <c:ptCount val="11"/>
                <c:pt idx="0">
                  <c:v>1994</c:v>
                </c:pt>
                <c:pt idx="1">
                  <c:v>1996</c:v>
                </c:pt>
                <c:pt idx="2">
                  <c:v>2000</c:v>
                </c:pt>
                <c:pt idx="3">
                  <c:v>2002</c:v>
                </c:pt>
                <c:pt idx="4">
                  <c:v>2004</c:v>
                </c:pt>
                <c:pt idx="5">
                  <c:v>2006</c:v>
                </c:pt>
                <c:pt idx="6">
                  <c:v>2008</c:v>
                </c:pt>
                <c:pt idx="7">
                  <c:v>2010</c:v>
                </c:pt>
                <c:pt idx="8">
                  <c:v>2012</c:v>
                </c:pt>
                <c:pt idx="9">
                  <c:v>2014</c:v>
                </c:pt>
                <c:pt idx="10">
                  <c:v>2016</c:v>
                </c:pt>
              </c:numCache>
            </c:numRef>
          </c:cat>
          <c:val>
            <c:numRef>
              <c:f>'Diss.-Indizes'!$S$460:$S$470</c:f>
              <c:numCache>
                <c:formatCode>General</c:formatCode>
                <c:ptCount val="11"/>
                <c:pt idx="0">
                  <c:v>5.7827813282818346</c:v>
                </c:pt>
                <c:pt idx="1">
                  <c:v>7.326978891961625</c:v>
                </c:pt>
                <c:pt idx="2">
                  <c:v>5.142661061645712</c:v>
                </c:pt>
                <c:pt idx="3">
                  <c:v>11.665090948143792</c:v>
                </c:pt>
                <c:pt idx="4">
                  <c:v>6.1544609025146375</c:v>
                </c:pt>
                <c:pt idx="5">
                  <c:v>8.2645743822296982</c:v>
                </c:pt>
                <c:pt idx="6">
                  <c:v>6.6550560958333156</c:v>
                </c:pt>
                <c:pt idx="7">
                  <c:v>8.5146125654548594</c:v>
                </c:pt>
                <c:pt idx="8">
                  <c:v>7.3305873842889664</c:v>
                </c:pt>
                <c:pt idx="9">
                  <c:v>8.6341866335784978</c:v>
                </c:pt>
                <c:pt idx="10">
                  <c:v>10.58404421266629</c:v>
                </c:pt>
              </c:numCache>
            </c:numRef>
          </c:val>
          <c:smooth val="0"/>
          <c:extLst xmlns:c16r2="http://schemas.microsoft.com/office/drawing/2015/06/chart">
            <c:ext xmlns:c16="http://schemas.microsoft.com/office/drawing/2014/chart" uri="{C3380CC4-5D6E-409C-BE32-E72D297353CC}">
              <c16:uniqueId val="{00000005-C6B0-444C-8976-343F99DD434E}"/>
            </c:ext>
          </c:extLst>
        </c:ser>
        <c:ser>
          <c:idx val="3"/>
          <c:order val="3"/>
          <c:tx>
            <c:strRef>
              <c:f>'Diss.-Indizes'!$T$459</c:f>
              <c:strCache>
                <c:ptCount val="1"/>
                <c:pt idx="0">
                  <c:v>work status</c:v>
                </c:pt>
              </c:strCache>
            </c:strRef>
          </c:tx>
          <c:spPr>
            <a:ln>
              <a:noFill/>
            </a:ln>
          </c:spPr>
          <c:marker>
            <c:symbol val="none"/>
          </c:marker>
          <c:trendline>
            <c:spPr>
              <a:ln w="19050">
                <a:solidFill>
                  <a:schemeClr val="tx1"/>
                </a:solidFill>
              </a:ln>
            </c:spPr>
            <c:trendlineType val="linear"/>
            <c:dispRSqr val="0"/>
            <c:dispEq val="0"/>
          </c:trendline>
          <c:cat>
            <c:numRef>
              <c:f>'Diss.-Indizes'!$P$460:$P$470</c:f>
              <c:numCache>
                <c:formatCode>General</c:formatCode>
                <c:ptCount val="11"/>
                <c:pt idx="0">
                  <c:v>1994</c:v>
                </c:pt>
                <c:pt idx="1">
                  <c:v>1996</c:v>
                </c:pt>
                <c:pt idx="2">
                  <c:v>2000</c:v>
                </c:pt>
                <c:pt idx="3">
                  <c:v>2002</c:v>
                </c:pt>
                <c:pt idx="4">
                  <c:v>2004</c:v>
                </c:pt>
                <c:pt idx="5">
                  <c:v>2006</c:v>
                </c:pt>
                <c:pt idx="6">
                  <c:v>2008</c:v>
                </c:pt>
                <c:pt idx="7">
                  <c:v>2010</c:v>
                </c:pt>
                <c:pt idx="8">
                  <c:v>2012</c:v>
                </c:pt>
                <c:pt idx="9">
                  <c:v>2014</c:v>
                </c:pt>
                <c:pt idx="10">
                  <c:v>2016</c:v>
                </c:pt>
              </c:numCache>
            </c:numRef>
          </c:cat>
          <c:val>
            <c:numRef>
              <c:f>'Diss.-Indizes'!$T$460:$T$470</c:f>
              <c:numCache>
                <c:formatCode>General</c:formatCode>
                <c:ptCount val="11"/>
                <c:pt idx="0">
                  <c:v>4.4984219754529491</c:v>
                </c:pt>
                <c:pt idx="1">
                  <c:v>4.6763150412283183</c:v>
                </c:pt>
                <c:pt idx="2">
                  <c:v>1.6265729798786377</c:v>
                </c:pt>
                <c:pt idx="3">
                  <c:v>4.9307774227902446E-2</c:v>
                </c:pt>
                <c:pt idx="4">
                  <c:v>3.4304347826086987</c:v>
                </c:pt>
                <c:pt idx="5">
                  <c:v>4.4261556465769516</c:v>
                </c:pt>
                <c:pt idx="6">
                  <c:v>4.5742791234140707</c:v>
                </c:pt>
                <c:pt idx="7">
                  <c:v>1.0584070796460288</c:v>
                </c:pt>
                <c:pt idx="8">
                  <c:v>1.7121046707372467</c:v>
                </c:pt>
                <c:pt idx="9">
                  <c:v>3.7710330228635236</c:v>
                </c:pt>
                <c:pt idx="10">
                  <c:v>3.3750539597576235</c:v>
                </c:pt>
              </c:numCache>
            </c:numRef>
          </c:val>
          <c:smooth val="0"/>
          <c:extLst xmlns:c16r2="http://schemas.microsoft.com/office/drawing/2015/06/chart">
            <c:ext xmlns:c16="http://schemas.microsoft.com/office/drawing/2014/chart" uri="{C3380CC4-5D6E-409C-BE32-E72D297353CC}">
              <c16:uniqueId val="{00000007-C6B0-444C-8976-343F99DD434E}"/>
            </c:ext>
          </c:extLst>
        </c:ser>
        <c:ser>
          <c:idx val="4"/>
          <c:order val="4"/>
          <c:tx>
            <c:strRef>
              <c:f>'Diss.-Indizes'!$U$459</c:f>
              <c:strCache>
                <c:ptCount val="1"/>
                <c:pt idx="0">
                  <c:v>occupational status</c:v>
                </c:pt>
              </c:strCache>
            </c:strRef>
          </c:tx>
          <c:spPr>
            <a:ln>
              <a:noFill/>
            </a:ln>
          </c:spPr>
          <c:marker>
            <c:symbol val="none"/>
          </c:marker>
          <c:trendline>
            <c:spPr>
              <a:ln w="19050">
                <a:solidFill>
                  <a:schemeClr val="accent1"/>
                </a:solidFill>
              </a:ln>
            </c:spPr>
            <c:trendlineType val="linear"/>
            <c:dispRSqr val="0"/>
            <c:dispEq val="0"/>
          </c:trendline>
          <c:cat>
            <c:numRef>
              <c:f>'Diss.-Indizes'!$P$460:$P$470</c:f>
              <c:numCache>
                <c:formatCode>General</c:formatCode>
                <c:ptCount val="11"/>
                <c:pt idx="0">
                  <c:v>1994</c:v>
                </c:pt>
                <c:pt idx="1">
                  <c:v>1996</c:v>
                </c:pt>
                <c:pt idx="2">
                  <c:v>2000</c:v>
                </c:pt>
                <c:pt idx="3">
                  <c:v>2002</c:v>
                </c:pt>
                <c:pt idx="4">
                  <c:v>2004</c:v>
                </c:pt>
                <c:pt idx="5">
                  <c:v>2006</c:v>
                </c:pt>
                <c:pt idx="6">
                  <c:v>2008</c:v>
                </c:pt>
                <c:pt idx="7">
                  <c:v>2010</c:v>
                </c:pt>
                <c:pt idx="8">
                  <c:v>2012</c:v>
                </c:pt>
                <c:pt idx="9">
                  <c:v>2014</c:v>
                </c:pt>
                <c:pt idx="10">
                  <c:v>2016</c:v>
                </c:pt>
              </c:numCache>
            </c:numRef>
          </c:cat>
          <c:val>
            <c:numRef>
              <c:f>'Diss.-Indizes'!$U$460:$U$470</c:f>
              <c:numCache>
                <c:formatCode>General</c:formatCode>
                <c:ptCount val="11"/>
                <c:pt idx="0">
                  <c:v>5.2682730223905283</c:v>
                </c:pt>
                <c:pt idx="1">
                  <c:v>5.8680794453500464</c:v>
                </c:pt>
                <c:pt idx="2">
                  <c:v>3.8791827376099861</c:v>
                </c:pt>
                <c:pt idx="3">
                  <c:v>3.7491110874082549</c:v>
                </c:pt>
                <c:pt idx="4">
                  <c:v>3.8858718314765048</c:v>
                </c:pt>
                <c:pt idx="5">
                  <c:v>3.0064984641753325</c:v>
                </c:pt>
                <c:pt idx="6">
                  <c:v>3.9501021338509359</c:v>
                </c:pt>
                <c:pt idx="7">
                  <c:v>2.6033126066141934</c:v>
                </c:pt>
                <c:pt idx="8">
                  <c:v>3.6456411583294823</c:v>
                </c:pt>
                <c:pt idx="9">
                  <c:v>2.6264346473757456</c:v>
                </c:pt>
                <c:pt idx="10">
                  <c:v>2.8676488009679666</c:v>
                </c:pt>
              </c:numCache>
            </c:numRef>
          </c:val>
          <c:smooth val="0"/>
          <c:extLst xmlns:c16r2="http://schemas.microsoft.com/office/drawing/2015/06/chart">
            <c:ext xmlns:c16="http://schemas.microsoft.com/office/drawing/2014/chart" uri="{C3380CC4-5D6E-409C-BE32-E72D297353CC}">
              <c16:uniqueId val="{00000009-C6B0-444C-8976-343F99DD434E}"/>
            </c:ext>
          </c:extLst>
        </c:ser>
        <c:ser>
          <c:idx val="5"/>
          <c:order val="5"/>
          <c:tx>
            <c:strRef>
              <c:f>'Diss.-Indizes'!$V$459</c:f>
              <c:strCache>
                <c:ptCount val="1"/>
                <c:pt idx="0">
                  <c:v>marital status</c:v>
                </c:pt>
              </c:strCache>
            </c:strRef>
          </c:tx>
          <c:spPr>
            <a:ln>
              <a:noFill/>
            </a:ln>
          </c:spPr>
          <c:marker>
            <c:symbol val="none"/>
          </c:marker>
          <c:trendline>
            <c:spPr>
              <a:ln w="19050">
                <a:solidFill>
                  <a:schemeClr val="accent6"/>
                </a:solidFill>
              </a:ln>
            </c:spPr>
            <c:trendlineType val="linear"/>
            <c:dispRSqr val="0"/>
            <c:dispEq val="0"/>
          </c:trendline>
          <c:cat>
            <c:numRef>
              <c:f>'Diss.-Indizes'!$P$460:$P$470</c:f>
              <c:numCache>
                <c:formatCode>General</c:formatCode>
                <c:ptCount val="11"/>
                <c:pt idx="0">
                  <c:v>1994</c:v>
                </c:pt>
                <c:pt idx="1">
                  <c:v>1996</c:v>
                </c:pt>
                <c:pt idx="2">
                  <c:v>2000</c:v>
                </c:pt>
                <c:pt idx="3">
                  <c:v>2002</c:v>
                </c:pt>
                <c:pt idx="4">
                  <c:v>2004</c:v>
                </c:pt>
                <c:pt idx="5">
                  <c:v>2006</c:v>
                </c:pt>
                <c:pt idx="6">
                  <c:v>2008</c:v>
                </c:pt>
                <c:pt idx="7">
                  <c:v>2010</c:v>
                </c:pt>
                <c:pt idx="8">
                  <c:v>2012</c:v>
                </c:pt>
                <c:pt idx="9">
                  <c:v>2014</c:v>
                </c:pt>
                <c:pt idx="10">
                  <c:v>2016</c:v>
                </c:pt>
              </c:numCache>
            </c:numRef>
          </c:cat>
          <c:val>
            <c:numRef>
              <c:f>'Diss.-Indizes'!$V$460:$V$470</c:f>
              <c:numCache>
                <c:formatCode>General</c:formatCode>
                <c:ptCount val="11"/>
                <c:pt idx="0">
                  <c:v>3.0981681451087706</c:v>
                </c:pt>
                <c:pt idx="1">
                  <c:v>3.9354320076936857</c:v>
                </c:pt>
                <c:pt idx="2">
                  <c:v>1.7089638450591262</c:v>
                </c:pt>
                <c:pt idx="3">
                  <c:v>1.8552918715467852</c:v>
                </c:pt>
                <c:pt idx="4">
                  <c:v>2.4105537270289079</c:v>
                </c:pt>
                <c:pt idx="5">
                  <c:v>3.0941313257834517</c:v>
                </c:pt>
                <c:pt idx="6">
                  <c:v>3.14087050991039</c:v>
                </c:pt>
                <c:pt idx="7">
                  <c:v>2.1655212666993995</c:v>
                </c:pt>
                <c:pt idx="8">
                  <c:v>2.1464934621879261</c:v>
                </c:pt>
                <c:pt idx="9">
                  <c:v>2.8436440391317084</c:v>
                </c:pt>
                <c:pt idx="10">
                  <c:v>2.9659096863018459</c:v>
                </c:pt>
              </c:numCache>
            </c:numRef>
          </c:val>
          <c:smooth val="0"/>
          <c:extLst xmlns:c16r2="http://schemas.microsoft.com/office/drawing/2015/06/chart">
            <c:ext xmlns:c16="http://schemas.microsoft.com/office/drawing/2014/chart" uri="{C3380CC4-5D6E-409C-BE32-E72D297353CC}">
              <c16:uniqueId val="{0000000B-C6B0-444C-8976-343F99DD434E}"/>
            </c:ext>
          </c:extLst>
        </c:ser>
        <c:ser>
          <c:idx val="6"/>
          <c:order val="6"/>
          <c:tx>
            <c:strRef>
              <c:f>'Diss.-Indizes'!$W$459</c:f>
              <c:strCache>
                <c:ptCount val="1"/>
                <c:pt idx="0">
                  <c:v>household size</c:v>
                </c:pt>
              </c:strCache>
            </c:strRef>
          </c:tx>
          <c:spPr>
            <a:ln>
              <a:noFill/>
            </a:ln>
          </c:spPr>
          <c:marker>
            <c:symbol val="none"/>
          </c:marker>
          <c:trendline>
            <c:spPr>
              <a:ln w="19050">
                <a:solidFill>
                  <a:schemeClr val="accent2">
                    <a:lumMod val="75000"/>
                  </a:schemeClr>
                </a:solidFill>
                <a:prstDash val="dash"/>
              </a:ln>
            </c:spPr>
            <c:trendlineType val="linear"/>
            <c:dispRSqr val="0"/>
            <c:dispEq val="0"/>
          </c:trendline>
          <c:cat>
            <c:numRef>
              <c:f>'Diss.-Indizes'!$P$460:$P$470</c:f>
              <c:numCache>
                <c:formatCode>General</c:formatCode>
                <c:ptCount val="11"/>
                <c:pt idx="0">
                  <c:v>1994</c:v>
                </c:pt>
                <c:pt idx="1">
                  <c:v>1996</c:v>
                </c:pt>
                <c:pt idx="2">
                  <c:v>2000</c:v>
                </c:pt>
                <c:pt idx="3">
                  <c:v>2002</c:v>
                </c:pt>
                <c:pt idx="4">
                  <c:v>2004</c:v>
                </c:pt>
                <c:pt idx="5">
                  <c:v>2006</c:v>
                </c:pt>
                <c:pt idx="6">
                  <c:v>2008</c:v>
                </c:pt>
                <c:pt idx="7">
                  <c:v>2010</c:v>
                </c:pt>
                <c:pt idx="8">
                  <c:v>2012</c:v>
                </c:pt>
                <c:pt idx="9">
                  <c:v>2014</c:v>
                </c:pt>
                <c:pt idx="10">
                  <c:v>2016</c:v>
                </c:pt>
              </c:numCache>
            </c:numRef>
          </c:cat>
          <c:val>
            <c:numRef>
              <c:f>'Diss.-Indizes'!$W$460:$W$470</c:f>
              <c:numCache>
                <c:formatCode>General</c:formatCode>
                <c:ptCount val="11"/>
                <c:pt idx="0">
                  <c:v>2.0786090046840662</c:v>
                </c:pt>
                <c:pt idx="1">
                  <c:v>3.5760191483650781</c:v>
                </c:pt>
                <c:pt idx="2">
                  <c:v>3.0937341579661535</c:v>
                </c:pt>
                <c:pt idx="3">
                  <c:v>3.1777387657503944</c:v>
                </c:pt>
                <c:pt idx="4">
                  <c:v>3.1554391228978016</c:v>
                </c:pt>
                <c:pt idx="5">
                  <c:v>1.534691799854885</c:v>
                </c:pt>
                <c:pt idx="6">
                  <c:v>2.8170331339110328</c:v>
                </c:pt>
                <c:pt idx="7">
                  <c:v>1.8531747366013307</c:v>
                </c:pt>
                <c:pt idx="8">
                  <c:v>3.0468436122944946</c:v>
                </c:pt>
                <c:pt idx="9">
                  <c:v>4.6059680116612984</c:v>
                </c:pt>
                <c:pt idx="10">
                  <c:v>4.9446454064691023</c:v>
                </c:pt>
              </c:numCache>
            </c:numRef>
          </c:val>
          <c:smooth val="0"/>
          <c:extLst xmlns:c16r2="http://schemas.microsoft.com/office/drawing/2015/06/chart">
            <c:ext xmlns:c16="http://schemas.microsoft.com/office/drawing/2014/chart" uri="{C3380CC4-5D6E-409C-BE32-E72D297353CC}">
              <c16:uniqueId val="{0000000D-C6B0-444C-8976-343F99DD434E}"/>
            </c:ext>
          </c:extLst>
        </c:ser>
        <c:dLbls>
          <c:showLegendKey val="0"/>
          <c:showVal val="0"/>
          <c:showCatName val="0"/>
          <c:showSerName val="0"/>
          <c:showPercent val="0"/>
          <c:showBubbleSize val="0"/>
        </c:dLbls>
        <c:smooth val="0"/>
        <c:axId val="149070344"/>
        <c:axId val="149069560"/>
      </c:lineChart>
      <c:catAx>
        <c:axId val="149070344"/>
        <c:scaling>
          <c:orientation val="minMax"/>
        </c:scaling>
        <c:delete val="0"/>
        <c:axPos val="b"/>
        <c:numFmt formatCode="General" sourceLinked="1"/>
        <c:majorTickMark val="out"/>
        <c:minorTickMark val="none"/>
        <c:tickLblPos val="nextTo"/>
        <c:crossAx val="149069560"/>
        <c:crosses val="autoZero"/>
        <c:auto val="1"/>
        <c:lblAlgn val="ctr"/>
        <c:lblOffset val="100"/>
        <c:noMultiLvlLbl val="0"/>
      </c:catAx>
      <c:valAx>
        <c:axId val="149069560"/>
        <c:scaling>
          <c:orientation val="minMax"/>
          <c:max val="10"/>
        </c:scaling>
        <c:delete val="0"/>
        <c:axPos val="l"/>
        <c:majorGridlines/>
        <c:numFmt formatCode="General" sourceLinked="1"/>
        <c:majorTickMark val="out"/>
        <c:minorTickMark val="none"/>
        <c:tickLblPos val="nextTo"/>
        <c:crossAx val="149070344"/>
        <c:crosses val="autoZero"/>
        <c:crossBetween val="between"/>
      </c:valAx>
    </c:plotArea>
    <c:legend>
      <c:legendPos val="b"/>
      <c:legendEntry>
        <c:idx val="0"/>
        <c:delete val="1"/>
      </c:legendEntry>
      <c:legendEntry>
        <c:idx val="1"/>
        <c:delete val="1"/>
      </c:legendEntry>
      <c:legendEntry>
        <c:idx val="2"/>
        <c:delete val="1"/>
      </c:legendEntry>
      <c:legendEntry>
        <c:idx val="3"/>
        <c:delete val="1"/>
      </c:legendEntry>
      <c:legendEntry>
        <c:idx val="4"/>
        <c:delete val="1"/>
      </c:legendEntry>
      <c:legendEntry>
        <c:idx val="5"/>
        <c:delete val="1"/>
      </c:legendEntry>
      <c:legendEntry>
        <c:idx val="6"/>
        <c:delete val="1"/>
      </c:legendEntry>
      <c:layout>
        <c:manualLayout>
          <c:xMode val="edge"/>
          <c:yMode val="edge"/>
          <c:x val="6.8429571303587053E-2"/>
          <c:y val="0.8373181429892933"/>
          <c:w val="0.85202974628171479"/>
          <c:h val="0.13778913562129613"/>
        </c:manualLayout>
      </c:layout>
      <c:overlay val="0"/>
    </c:legend>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pl-PL"/>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0.15128</cdr:x>
      <cdr:y>0.02704</cdr:y>
    </cdr:from>
    <cdr:to>
      <cdr:x>0.89359</cdr:x>
      <cdr:y>0.17311</cdr:y>
    </cdr:to>
    <cdr:sp macro="" textlink="">
      <cdr:nvSpPr>
        <cdr:cNvPr id="2" name="Textfeld 1"/>
        <cdr:cNvSpPr txBox="1"/>
      </cdr:nvSpPr>
      <cdr:spPr>
        <a:xfrm xmlns:a="http://schemas.openxmlformats.org/drawingml/2006/main">
          <a:off x="691660" y="105876"/>
          <a:ext cx="3393831" cy="5719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DE" sz="1200" b="1">
              <a:latin typeface="Arial" panose="020B0604020202020204" pitchFamily="34" charset="0"/>
              <a:cs typeface="Arial" panose="020B0604020202020204" pitchFamily="34" charset="0"/>
            </a:rPr>
            <a:t>Indices</a:t>
          </a:r>
          <a:r>
            <a:rPr lang="de-DE" sz="1200" b="1" baseline="0">
              <a:latin typeface="Arial" panose="020B0604020202020204" pitchFamily="34" charset="0"/>
              <a:cs typeface="Arial" panose="020B0604020202020204" pitchFamily="34" charset="0"/>
            </a:rPr>
            <a:t> of </a:t>
          </a:r>
          <a:r>
            <a:rPr lang="de-DE" sz="1200" b="1">
              <a:effectLst/>
              <a:latin typeface="Arial" panose="020B0604020202020204" pitchFamily="34" charset="0"/>
              <a:ea typeface="+mn-ea"/>
              <a:cs typeface="Arial" panose="020B0604020202020204" pitchFamily="34" charset="0"/>
            </a:rPr>
            <a:t>D</a:t>
          </a:r>
          <a:r>
            <a:rPr lang="pl-PL" sz="1200" b="1">
              <a:effectLst/>
              <a:latin typeface="Arial" panose="020B0604020202020204" pitchFamily="34" charset="0"/>
              <a:ea typeface="+mn-ea"/>
              <a:cs typeface="Arial" panose="020B0604020202020204" pitchFamily="34" charset="0"/>
            </a:rPr>
            <a:t>issimilarity</a:t>
          </a:r>
          <a:r>
            <a:rPr lang="de-DE" sz="1200" b="1">
              <a:effectLst/>
              <a:latin typeface="Arial" panose="020B0604020202020204" pitchFamily="34" charset="0"/>
              <a:ea typeface="+mn-ea"/>
              <a:cs typeface="Arial" panose="020B0604020202020204" pitchFamily="34" charset="0"/>
            </a:rPr>
            <a:t>, by year </a:t>
          </a:r>
          <a:br>
            <a:rPr lang="de-DE" sz="1200" b="1">
              <a:effectLst/>
              <a:latin typeface="Arial" panose="020B0604020202020204" pitchFamily="34" charset="0"/>
              <a:ea typeface="+mn-ea"/>
              <a:cs typeface="Arial" panose="020B0604020202020204" pitchFamily="34" charset="0"/>
            </a:rPr>
          </a:br>
          <a:r>
            <a:rPr lang="de-DE" sz="1200" b="1">
              <a:effectLst/>
              <a:latin typeface="Arial" panose="020B0604020202020204" pitchFamily="34" charset="0"/>
              <a:ea typeface="+mn-ea"/>
              <a:cs typeface="Arial" panose="020B0604020202020204" pitchFamily="34" charset="0"/>
            </a:rPr>
            <a:t>(linear trends; ALLBUS</a:t>
          </a:r>
          <a:r>
            <a:rPr lang="de-DE" sz="1200" b="1" baseline="0">
              <a:effectLst/>
              <a:latin typeface="Arial" panose="020B0604020202020204" pitchFamily="34" charset="0"/>
              <a:ea typeface="+mn-ea"/>
              <a:cs typeface="Arial" panose="020B0604020202020204" pitchFamily="34" charset="0"/>
            </a:rPr>
            <a:t> 1994-2016)</a:t>
          </a:r>
          <a:endParaRPr lang="de-DE" sz="12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B4617-3F7D-4D39-BD53-10A2A7B1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2162</Words>
  <Characters>12975</Characters>
  <Application>Microsoft Office Word</Application>
  <DocSecurity>4</DocSecurity>
  <Lines>108</Lines>
  <Paragraphs>30</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GESIS</Company>
  <LinksUpToDate>false</LinksUpToDate>
  <CharactersWithSpaces>15107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Kowacka Anna</cp:lastModifiedBy>
  <cp:revision>2</cp:revision>
  <cp:lastPrinted>2018-05-16T12:03:00Z</cp:lastPrinted>
  <dcterms:created xsi:type="dcterms:W3CDTF">2018-05-21T06:42:00Z</dcterms:created>
  <dcterms:modified xsi:type="dcterms:W3CDTF">2018-05-21T06:42:00Z</dcterms:modified>
</cp:coreProperties>
</file>