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A99" w:rsidRPr="00EC5F5A" w:rsidRDefault="006F535C" w:rsidP="00D0270E">
      <w:pPr>
        <w:spacing w:before="480" w:after="480" w:line="360" w:lineRule="auto"/>
        <w:jc w:val="center"/>
        <w:rPr>
          <w:rFonts w:ascii="Arial" w:hAnsi="Arial" w:cs="Arial"/>
          <w:b/>
          <w:sz w:val="48"/>
          <w:szCs w:val="48"/>
          <w:lang w:val="en-GB"/>
        </w:rPr>
      </w:pPr>
      <w:bookmarkStart w:id="0" w:name="_GoBack"/>
      <w:bookmarkEnd w:id="0"/>
      <w:r w:rsidRPr="00506193">
        <w:rPr>
          <w:rFonts w:ascii="Arial" w:hAnsi="Arial" w:cs="Arial"/>
          <w:b/>
          <w:sz w:val="48"/>
          <w:szCs w:val="48"/>
          <w:lang w:val="en-GB"/>
        </w:rPr>
        <w:t>About the Quality of the 2013 Census of Population, Households and Dwellings in Bosnia and Herzegovina: Statistical Results</w:t>
      </w:r>
      <w:r>
        <w:rPr>
          <w:rFonts w:ascii="Arial" w:hAnsi="Arial" w:cs="Arial"/>
          <w:b/>
          <w:sz w:val="48"/>
          <w:szCs w:val="48"/>
          <w:lang w:val="en-GB"/>
        </w:rPr>
        <w:t xml:space="preserve"> versus Political Controversies</w:t>
      </w:r>
    </w:p>
    <w:p w:rsidR="000D705A" w:rsidRPr="00EC5F5A" w:rsidRDefault="006F535C" w:rsidP="00C726EA">
      <w:pPr>
        <w:spacing w:after="0" w:line="360" w:lineRule="auto"/>
        <w:jc w:val="both"/>
        <w:rPr>
          <w:rFonts w:ascii="Arial" w:hAnsi="Arial" w:cs="Arial"/>
          <w:sz w:val="24"/>
          <w:szCs w:val="24"/>
          <w:lang w:val="en-GB"/>
        </w:rPr>
      </w:pPr>
      <w:r w:rsidRPr="00506193">
        <w:rPr>
          <w:rFonts w:ascii="Arial" w:hAnsi="Arial" w:cs="Arial"/>
          <w:sz w:val="24"/>
          <w:szCs w:val="24"/>
          <w:lang w:val="en-GB"/>
        </w:rPr>
        <w:t>Edin Šabanović</w:t>
      </w:r>
      <w:r>
        <w:rPr>
          <w:rFonts w:ascii="Arial" w:hAnsi="Arial" w:cs="Arial"/>
          <w:sz w:val="24"/>
          <w:szCs w:val="24"/>
          <w:lang w:val="en-GB"/>
        </w:rPr>
        <w:t xml:space="preserve">, </w:t>
      </w:r>
      <w:r w:rsidRPr="00506193">
        <w:rPr>
          <w:rFonts w:ascii="Arial" w:hAnsi="Arial" w:cs="Arial"/>
          <w:sz w:val="24"/>
          <w:szCs w:val="24"/>
          <w:lang w:val="en-GB"/>
        </w:rPr>
        <w:t>Agency for Statistics of Bosnia and Herzegovina</w:t>
      </w:r>
      <w:r w:rsidR="000D705A" w:rsidRPr="00EC5F5A">
        <w:rPr>
          <w:rFonts w:ascii="Arial" w:hAnsi="Arial" w:cs="Arial"/>
          <w:sz w:val="24"/>
          <w:szCs w:val="24"/>
          <w:lang w:val="en-GB"/>
        </w:rPr>
        <w:t xml:space="preserve">, </w:t>
      </w:r>
      <w:hyperlink r:id="rId8" w:history="1">
        <w:r w:rsidRPr="00E04CE9">
          <w:rPr>
            <w:rStyle w:val="Hipercze"/>
            <w:rFonts w:ascii="Arial" w:hAnsi="Arial" w:cs="Arial"/>
            <w:sz w:val="24"/>
            <w:szCs w:val="24"/>
            <w:lang w:val="en-GB"/>
          </w:rPr>
          <w:t>edin.sabanovic@bhas.gov.ba</w:t>
        </w:r>
      </w:hyperlink>
    </w:p>
    <w:p w:rsidR="000D705A" w:rsidRPr="00EC5F5A" w:rsidRDefault="000D705A" w:rsidP="00C726EA">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rsidR="006F535C" w:rsidRPr="006F535C" w:rsidRDefault="006F535C" w:rsidP="006F535C">
      <w:pPr>
        <w:spacing w:after="0" w:line="240" w:lineRule="auto"/>
        <w:jc w:val="both"/>
        <w:rPr>
          <w:rFonts w:ascii="Arial" w:hAnsi="Arial" w:cs="Arial"/>
          <w:i/>
          <w:sz w:val="20"/>
          <w:szCs w:val="20"/>
          <w:lang w:val="en-GB"/>
        </w:rPr>
      </w:pPr>
      <w:r w:rsidRPr="006F535C">
        <w:rPr>
          <w:rFonts w:ascii="Arial" w:hAnsi="Arial" w:cs="Arial"/>
          <w:i/>
          <w:sz w:val="20"/>
          <w:szCs w:val="20"/>
          <w:lang w:val="en-GB"/>
        </w:rPr>
        <w:t>Census of Population in Bosnia and Herzegovina was conducted in 2013. Statistical offices conducted census in line with international standards.  However,</w:t>
      </w:r>
      <w:r w:rsidR="003035CD">
        <w:rPr>
          <w:rFonts w:ascii="Arial" w:hAnsi="Arial" w:cs="Arial"/>
          <w:i/>
          <w:sz w:val="20"/>
          <w:szCs w:val="20"/>
          <w:lang w:val="en-GB"/>
        </w:rPr>
        <w:t xml:space="preserve"> almost all main issues of the census were politicized. The c</w:t>
      </w:r>
      <w:r w:rsidRPr="006F535C">
        <w:rPr>
          <w:rFonts w:ascii="Arial" w:hAnsi="Arial" w:cs="Arial"/>
          <w:i/>
          <w:sz w:val="20"/>
          <w:szCs w:val="20"/>
          <w:lang w:val="en-GB"/>
        </w:rPr>
        <w:t xml:space="preserve">ensus was given many non-statistical characteristics. It was presented by various interest groups as politically important activity, as a population register or a source of data, which could be used for tax policy or property management. For all these reasons, census activities were a subject of political controversies, topics for evaluation of several, mostly statistically unprofessional interest groups or individuals, who had more media attention than statistical experts and whose influence to the attitude of Bosnian citizens was non-ignorable. The Post-enumeration survey (PES) was conducted in November 2013. The objective of the PES is to provide indicators of the census quality. </w:t>
      </w:r>
    </w:p>
    <w:p w:rsidR="006F535C" w:rsidRPr="006F535C" w:rsidRDefault="006F535C" w:rsidP="006F535C">
      <w:pPr>
        <w:spacing w:after="0" w:line="240" w:lineRule="auto"/>
        <w:jc w:val="both"/>
        <w:rPr>
          <w:rFonts w:ascii="Arial" w:hAnsi="Arial" w:cs="Arial"/>
          <w:i/>
          <w:sz w:val="20"/>
          <w:szCs w:val="20"/>
          <w:lang w:val="en-GB"/>
        </w:rPr>
      </w:pPr>
      <w:r w:rsidRPr="006F535C">
        <w:rPr>
          <w:rFonts w:ascii="Arial" w:hAnsi="Arial" w:cs="Arial"/>
          <w:i/>
          <w:sz w:val="20"/>
          <w:szCs w:val="20"/>
          <w:lang w:val="en-GB"/>
        </w:rPr>
        <w:t>In this paper, we will show how the PES was designed and conducted and which statistical models and methods were use</w:t>
      </w:r>
      <w:r w:rsidR="003035CD">
        <w:rPr>
          <w:rFonts w:ascii="Arial" w:hAnsi="Arial" w:cs="Arial"/>
          <w:i/>
          <w:sz w:val="20"/>
          <w:szCs w:val="20"/>
          <w:lang w:val="en-GB"/>
        </w:rPr>
        <w:t>d for linkage of c</w:t>
      </w:r>
      <w:r w:rsidRPr="006F535C">
        <w:rPr>
          <w:rFonts w:ascii="Arial" w:hAnsi="Arial" w:cs="Arial"/>
          <w:i/>
          <w:sz w:val="20"/>
          <w:szCs w:val="20"/>
          <w:lang w:val="en-GB"/>
        </w:rPr>
        <w:t>ensus and PE</w:t>
      </w:r>
      <w:r w:rsidR="003035CD">
        <w:rPr>
          <w:rFonts w:ascii="Arial" w:hAnsi="Arial" w:cs="Arial"/>
          <w:i/>
          <w:sz w:val="20"/>
          <w:szCs w:val="20"/>
          <w:lang w:val="en-GB"/>
        </w:rPr>
        <w:t>S data and for the analysis of c</w:t>
      </w:r>
      <w:r w:rsidRPr="006F535C">
        <w:rPr>
          <w:rFonts w:ascii="Arial" w:hAnsi="Arial" w:cs="Arial"/>
          <w:i/>
          <w:sz w:val="20"/>
          <w:szCs w:val="20"/>
          <w:lang w:val="en-GB"/>
        </w:rPr>
        <w:t>ensus quality.  The last part of the paper will</w:t>
      </w:r>
      <w:r w:rsidR="003035CD">
        <w:rPr>
          <w:rFonts w:ascii="Arial" w:hAnsi="Arial" w:cs="Arial"/>
          <w:i/>
          <w:sz w:val="20"/>
          <w:szCs w:val="20"/>
          <w:lang w:val="en-GB"/>
        </w:rPr>
        <w:t xml:space="preserve"> discuss the acceptance of the c</w:t>
      </w:r>
      <w:r w:rsidRPr="006F535C">
        <w:rPr>
          <w:rFonts w:ascii="Arial" w:hAnsi="Arial" w:cs="Arial"/>
          <w:i/>
          <w:sz w:val="20"/>
          <w:szCs w:val="20"/>
          <w:lang w:val="en-GB"/>
        </w:rPr>
        <w:t>ensus results by different data users</w:t>
      </w:r>
      <w:r w:rsidR="00B91ED6">
        <w:rPr>
          <w:rFonts w:ascii="Arial" w:hAnsi="Arial" w:cs="Arial"/>
          <w:i/>
          <w:sz w:val="20"/>
          <w:szCs w:val="20"/>
          <w:lang w:val="en-GB"/>
        </w:rPr>
        <w:t>,</w:t>
      </w:r>
      <w:r w:rsidRPr="006F535C">
        <w:rPr>
          <w:rFonts w:ascii="Arial" w:hAnsi="Arial" w:cs="Arial"/>
          <w:i/>
          <w:sz w:val="20"/>
          <w:szCs w:val="20"/>
          <w:lang w:val="en-GB"/>
        </w:rPr>
        <w:t xml:space="preserve"> such as statistical institutions, journalists, general and expert public. This part of the paper aims to give a rough picture of the general statistical culture in Bosnia and Herzeg</w:t>
      </w:r>
      <w:r w:rsidR="003035CD">
        <w:rPr>
          <w:rFonts w:ascii="Arial" w:hAnsi="Arial" w:cs="Arial"/>
          <w:i/>
          <w:sz w:val="20"/>
          <w:szCs w:val="20"/>
          <w:lang w:val="en-GB"/>
        </w:rPr>
        <w:t>ovina through the prism of the population c</w:t>
      </w:r>
      <w:r w:rsidRPr="006F535C">
        <w:rPr>
          <w:rFonts w:ascii="Arial" w:hAnsi="Arial" w:cs="Arial"/>
          <w:i/>
          <w:sz w:val="20"/>
          <w:szCs w:val="20"/>
          <w:lang w:val="en-GB"/>
        </w:rPr>
        <w:t>ensus. In conclusion</w:t>
      </w:r>
      <w:r w:rsidR="00B91ED6">
        <w:rPr>
          <w:rFonts w:ascii="Arial" w:hAnsi="Arial" w:cs="Arial"/>
          <w:i/>
          <w:sz w:val="20"/>
          <w:szCs w:val="20"/>
          <w:lang w:val="en-GB"/>
        </w:rPr>
        <w:t>,</w:t>
      </w:r>
      <w:r w:rsidRPr="006F535C">
        <w:rPr>
          <w:rFonts w:ascii="Arial" w:hAnsi="Arial" w:cs="Arial"/>
          <w:i/>
          <w:sz w:val="20"/>
          <w:szCs w:val="20"/>
          <w:lang w:val="en-GB"/>
        </w:rPr>
        <w:t xml:space="preserve"> the eva</w:t>
      </w:r>
      <w:r w:rsidR="003035CD">
        <w:rPr>
          <w:rFonts w:ascii="Arial" w:hAnsi="Arial" w:cs="Arial"/>
          <w:i/>
          <w:sz w:val="20"/>
          <w:szCs w:val="20"/>
          <w:lang w:val="en-GB"/>
        </w:rPr>
        <w:t>luation of the quality of 2013 census of population, households and d</w:t>
      </w:r>
      <w:r w:rsidRPr="006F535C">
        <w:rPr>
          <w:rFonts w:ascii="Arial" w:hAnsi="Arial" w:cs="Arial"/>
          <w:i/>
          <w:sz w:val="20"/>
          <w:szCs w:val="20"/>
          <w:lang w:val="en-GB"/>
        </w:rPr>
        <w:t>wellings in Bosnia and Herzegovina will be done</w:t>
      </w:r>
      <w:r w:rsidR="00B91ED6">
        <w:rPr>
          <w:rFonts w:ascii="Arial" w:hAnsi="Arial" w:cs="Arial"/>
          <w:i/>
          <w:sz w:val="20"/>
          <w:szCs w:val="20"/>
          <w:lang w:val="en-GB"/>
        </w:rPr>
        <w:t>,</w:t>
      </w:r>
      <w:r w:rsidRPr="006F535C">
        <w:rPr>
          <w:rFonts w:ascii="Arial" w:hAnsi="Arial" w:cs="Arial"/>
          <w:i/>
          <w:sz w:val="20"/>
          <w:szCs w:val="20"/>
          <w:lang w:val="en-GB"/>
        </w:rPr>
        <w:t xml:space="preserve"> as well as some proposals for future work.  </w:t>
      </w:r>
    </w:p>
    <w:p w:rsidR="00C726EA" w:rsidRPr="00EC5F5A" w:rsidRDefault="00C726EA" w:rsidP="008A7985">
      <w:pPr>
        <w:spacing w:before="100" w:beforeAutospacing="1" w:after="0" w:line="360" w:lineRule="auto"/>
        <w:jc w:val="both"/>
        <w:rPr>
          <w:rFonts w:ascii="Arial" w:hAnsi="Arial" w:cs="Arial"/>
          <w:sz w:val="20"/>
          <w:szCs w:val="20"/>
          <w:lang w:val="en-GB"/>
        </w:rPr>
      </w:pPr>
      <w:r w:rsidRPr="00EC5F5A">
        <w:rPr>
          <w:rFonts w:ascii="Arial" w:hAnsi="Arial" w:cs="Arial"/>
          <w:b/>
          <w:sz w:val="20"/>
          <w:szCs w:val="20"/>
          <w:lang w:val="en-GB"/>
        </w:rPr>
        <w:t xml:space="preserve">Keywords: </w:t>
      </w:r>
      <w:r w:rsidR="006F535C">
        <w:rPr>
          <w:rFonts w:ascii="Arial" w:hAnsi="Arial" w:cs="Arial"/>
          <w:sz w:val="20"/>
          <w:szCs w:val="20"/>
          <w:lang w:val="en-GB"/>
        </w:rPr>
        <w:t>C</w:t>
      </w:r>
      <w:r w:rsidR="006F535C" w:rsidRPr="00BB3254">
        <w:rPr>
          <w:rFonts w:ascii="Arial" w:hAnsi="Arial" w:cs="Arial"/>
          <w:sz w:val="20"/>
          <w:szCs w:val="20"/>
          <w:lang w:val="en-US"/>
        </w:rPr>
        <w:t>ensus, quality, coverage, content</w:t>
      </w:r>
    </w:p>
    <w:p w:rsidR="00493026" w:rsidRPr="00EC5F5A" w:rsidRDefault="00493026" w:rsidP="008A7985">
      <w:pPr>
        <w:spacing w:before="100" w:beforeAutospacing="1" w:after="0" w:line="360" w:lineRule="auto"/>
        <w:jc w:val="both"/>
        <w:rPr>
          <w:rFonts w:ascii="Arial" w:hAnsi="Arial" w:cs="Arial"/>
          <w:b/>
          <w:sz w:val="24"/>
          <w:szCs w:val="24"/>
          <w:lang w:val="en-GB"/>
        </w:rPr>
      </w:pPr>
      <w:r w:rsidRPr="00EC5F5A">
        <w:rPr>
          <w:rFonts w:ascii="Arial" w:hAnsi="Arial" w:cs="Arial"/>
          <w:b/>
          <w:sz w:val="24"/>
          <w:szCs w:val="24"/>
          <w:lang w:val="en-GB"/>
        </w:rPr>
        <w:t xml:space="preserve">1. </w:t>
      </w:r>
      <w:r w:rsidR="006F535C" w:rsidRPr="006F535C">
        <w:rPr>
          <w:rFonts w:ascii="Arial" w:hAnsi="Arial" w:cs="Arial"/>
          <w:b/>
          <w:sz w:val="24"/>
          <w:szCs w:val="24"/>
          <w:lang w:val="en-GB"/>
        </w:rPr>
        <w:t>Introduction</w:t>
      </w:r>
    </w:p>
    <w:p w:rsidR="006F535C" w:rsidRPr="000C229A" w:rsidRDefault="006F535C" w:rsidP="000C229A">
      <w:pPr>
        <w:spacing w:before="120" w:after="0" w:line="360" w:lineRule="auto"/>
        <w:jc w:val="both"/>
        <w:rPr>
          <w:rFonts w:ascii="Arial" w:hAnsi="Arial" w:cs="Arial"/>
          <w:sz w:val="24"/>
          <w:szCs w:val="24"/>
          <w:lang w:val="en-US"/>
        </w:rPr>
      </w:pPr>
      <w:r>
        <w:rPr>
          <w:rFonts w:ascii="Arial" w:hAnsi="Arial" w:cs="Arial"/>
          <w:sz w:val="24"/>
          <w:szCs w:val="24"/>
          <w:lang w:val="en-US"/>
        </w:rPr>
        <w:t>Result</w:t>
      </w:r>
      <w:r w:rsidRPr="00BB3254">
        <w:rPr>
          <w:rFonts w:ascii="Arial" w:hAnsi="Arial" w:cs="Arial"/>
          <w:sz w:val="24"/>
          <w:szCs w:val="24"/>
          <w:lang w:val="en-US"/>
        </w:rPr>
        <w:t xml:space="preserve">s </w:t>
      </w:r>
      <w:r>
        <w:rPr>
          <w:rFonts w:ascii="Arial" w:hAnsi="Arial" w:cs="Arial"/>
          <w:sz w:val="24"/>
          <w:szCs w:val="24"/>
          <w:lang w:val="en-US"/>
        </w:rPr>
        <w:t xml:space="preserve">of the 1991 </w:t>
      </w:r>
      <w:r w:rsidRPr="00BB3254">
        <w:rPr>
          <w:rFonts w:ascii="Arial" w:hAnsi="Arial" w:cs="Arial"/>
          <w:sz w:val="24"/>
          <w:szCs w:val="24"/>
          <w:lang w:val="en-US"/>
        </w:rPr>
        <w:t xml:space="preserve">census </w:t>
      </w:r>
      <w:r>
        <w:rPr>
          <w:rFonts w:ascii="Arial" w:hAnsi="Arial" w:cs="Arial"/>
          <w:sz w:val="24"/>
          <w:szCs w:val="24"/>
          <w:lang w:val="en-US"/>
        </w:rPr>
        <w:t xml:space="preserve">in </w:t>
      </w:r>
      <w:r w:rsidRPr="00BB3254">
        <w:rPr>
          <w:rFonts w:ascii="Arial" w:hAnsi="Arial" w:cs="Arial"/>
          <w:sz w:val="24"/>
          <w:szCs w:val="24"/>
          <w:lang w:val="en-US"/>
        </w:rPr>
        <w:t>Bosnia and Herzegovina were prematurel</w:t>
      </w:r>
      <w:r>
        <w:rPr>
          <w:rFonts w:ascii="Arial" w:hAnsi="Arial" w:cs="Arial"/>
          <w:sz w:val="24"/>
          <w:szCs w:val="24"/>
          <w:lang w:val="en-US"/>
        </w:rPr>
        <w:t>y out of date because of</w:t>
      </w:r>
      <w:r w:rsidRPr="00BB3254">
        <w:rPr>
          <w:rFonts w:ascii="Arial" w:hAnsi="Arial" w:cs="Arial"/>
          <w:sz w:val="24"/>
          <w:szCs w:val="24"/>
          <w:lang w:val="en-US"/>
        </w:rPr>
        <w:t xml:space="preserve"> war events</w:t>
      </w:r>
      <w:r w:rsidR="009266C6">
        <w:rPr>
          <w:rFonts w:ascii="Arial" w:hAnsi="Arial" w:cs="Arial"/>
          <w:sz w:val="24"/>
          <w:szCs w:val="24"/>
          <w:lang w:val="en-US"/>
        </w:rPr>
        <w:t>. D</w:t>
      </w:r>
      <w:r w:rsidRPr="00BB3254">
        <w:rPr>
          <w:rFonts w:ascii="Arial" w:hAnsi="Arial" w:cs="Arial"/>
          <w:sz w:val="24"/>
          <w:szCs w:val="24"/>
          <w:lang w:val="en-US"/>
        </w:rPr>
        <w:t xml:space="preserve">emographic data were </w:t>
      </w:r>
      <w:r w:rsidR="009266C6">
        <w:rPr>
          <w:rFonts w:ascii="Arial" w:hAnsi="Arial" w:cs="Arial"/>
          <w:sz w:val="24"/>
          <w:szCs w:val="24"/>
          <w:lang w:val="en-US"/>
        </w:rPr>
        <w:t>collected</w:t>
      </w:r>
      <w:r w:rsidRPr="00BB3254">
        <w:rPr>
          <w:rFonts w:ascii="Arial" w:hAnsi="Arial" w:cs="Arial"/>
          <w:sz w:val="24"/>
          <w:szCs w:val="24"/>
          <w:lang w:val="en-US"/>
        </w:rPr>
        <w:t xml:space="preserve"> by </w:t>
      </w:r>
      <w:r w:rsidR="00F55951">
        <w:rPr>
          <w:rFonts w:ascii="Arial" w:hAnsi="Arial" w:cs="Arial"/>
          <w:sz w:val="24"/>
          <w:szCs w:val="24"/>
          <w:lang w:val="en-US"/>
        </w:rPr>
        <w:t>several</w:t>
      </w:r>
      <w:r w:rsidRPr="00BB3254">
        <w:rPr>
          <w:rFonts w:ascii="Arial" w:hAnsi="Arial" w:cs="Arial"/>
          <w:sz w:val="24"/>
          <w:szCs w:val="24"/>
          <w:lang w:val="en-US"/>
        </w:rPr>
        <w:t xml:space="preserve"> enumerations of population</w:t>
      </w:r>
      <w:r w:rsidR="000C229A">
        <w:rPr>
          <w:rFonts w:ascii="Arial" w:hAnsi="Arial" w:cs="Arial"/>
          <w:sz w:val="24"/>
          <w:szCs w:val="24"/>
          <w:lang w:val="en-US"/>
        </w:rPr>
        <w:t>, which</w:t>
      </w:r>
      <w:r>
        <w:rPr>
          <w:rFonts w:ascii="Arial" w:hAnsi="Arial" w:cs="Arial"/>
          <w:sz w:val="24"/>
          <w:szCs w:val="24"/>
          <w:lang w:val="en-US"/>
        </w:rPr>
        <w:t xml:space="preserve"> </w:t>
      </w:r>
      <w:r w:rsidR="000C229A">
        <w:rPr>
          <w:rFonts w:ascii="Arial" w:hAnsi="Arial" w:cs="Arial"/>
          <w:sz w:val="24"/>
          <w:szCs w:val="24"/>
          <w:lang w:val="en-US"/>
        </w:rPr>
        <w:t>were</w:t>
      </w:r>
      <w:r>
        <w:rPr>
          <w:rFonts w:ascii="Arial" w:hAnsi="Arial" w:cs="Arial"/>
          <w:sz w:val="24"/>
          <w:szCs w:val="24"/>
          <w:lang w:val="en-US"/>
        </w:rPr>
        <w:t xml:space="preserve"> of limited scope</w:t>
      </w:r>
      <w:r w:rsidR="000C229A">
        <w:rPr>
          <w:rFonts w:ascii="Arial" w:hAnsi="Arial" w:cs="Arial"/>
          <w:sz w:val="24"/>
          <w:szCs w:val="24"/>
          <w:lang w:val="en-US"/>
        </w:rPr>
        <w:t>.</w:t>
      </w:r>
      <w:r>
        <w:rPr>
          <w:rFonts w:ascii="Arial" w:hAnsi="Arial" w:cs="Arial"/>
          <w:sz w:val="24"/>
          <w:szCs w:val="24"/>
          <w:lang w:val="en-US"/>
        </w:rPr>
        <w:t xml:space="preserve"> </w:t>
      </w:r>
      <w:r w:rsidR="002B192A" w:rsidRPr="000C229A">
        <w:rPr>
          <w:rFonts w:ascii="Arial" w:hAnsi="Arial" w:cs="Arial"/>
          <w:sz w:val="24"/>
          <w:szCs w:val="24"/>
          <w:lang w:val="en-US"/>
        </w:rPr>
        <w:t xml:space="preserve">The new </w:t>
      </w:r>
      <w:r w:rsidR="009266C6">
        <w:rPr>
          <w:rFonts w:ascii="Arial" w:hAnsi="Arial" w:cs="Arial"/>
          <w:sz w:val="24"/>
          <w:szCs w:val="24"/>
          <w:lang w:val="en-US"/>
        </w:rPr>
        <w:t>c</w:t>
      </w:r>
      <w:r w:rsidRPr="000C229A">
        <w:rPr>
          <w:rFonts w:ascii="Arial" w:hAnsi="Arial" w:cs="Arial"/>
          <w:sz w:val="24"/>
          <w:szCs w:val="24"/>
          <w:lang w:val="en-US"/>
        </w:rPr>
        <w:t xml:space="preserve">ensus </w:t>
      </w:r>
      <w:r w:rsidR="00F55E98">
        <w:rPr>
          <w:rFonts w:ascii="Arial" w:hAnsi="Arial" w:cs="Arial"/>
          <w:sz w:val="24"/>
          <w:szCs w:val="24"/>
          <w:lang w:val="en-US"/>
        </w:rPr>
        <w:t>was conducted in 2013</w:t>
      </w:r>
      <w:r w:rsidRPr="000C229A">
        <w:rPr>
          <w:rFonts w:ascii="Arial" w:hAnsi="Arial" w:cs="Arial"/>
          <w:sz w:val="24"/>
          <w:szCs w:val="24"/>
          <w:lang w:val="en-US"/>
        </w:rPr>
        <w:t>,</w:t>
      </w:r>
      <w:r w:rsidR="00F55E98">
        <w:rPr>
          <w:rFonts w:ascii="Arial" w:hAnsi="Arial" w:cs="Arial"/>
          <w:sz w:val="24"/>
          <w:szCs w:val="24"/>
          <w:lang w:val="en-US"/>
        </w:rPr>
        <w:t xml:space="preserve"> </w:t>
      </w:r>
      <w:r w:rsidR="00E77ADE">
        <w:rPr>
          <w:rFonts w:ascii="Arial" w:hAnsi="Arial" w:cs="Arial"/>
          <w:sz w:val="24"/>
          <w:szCs w:val="24"/>
          <w:lang w:val="en-US"/>
        </w:rPr>
        <w:t xml:space="preserve">but </w:t>
      </w:r>
      <w:r w:rsidR="009266C6">
        <w:rPr>
          <w:rFonts w:ascii="Arial" w:hAnsi="Arial" w:cs="Arial"/>
          <w:sz w:val="24"/>
          <w:szCs w:val="24"/>
          <w:lang w:val="en-US"/>
        </w:rPr>
        <w:t>its</w:t>
      </w:r>
      <w:r w:rsidRPr="000C229A">
        <w:rPr>
          <w:rFonts w:ascii="Arial" w:hAnsi="Arial" w:cs="Arial"/>
          <w:sz w:val="24"/>
          <w:szCs w:val="24"/>
          <w:lang w:val="en-US"/>
        </w:rPr>
        <w:t xml:space="preserve"> purpose was, by </w:t>
      </w:r>
      <w:r w:rsidR="00F55951">
        <w:rPr>
          <w:rFonts w:ascii="Arial" w:hAnsi="Arial" w:cs="Arial"/>
          <w:sz w:val="24"/>
          <w:szCs w:val="24"/>
          <w:lang w:val="en-US"/>
        </w:rPr>
        <w:t>various</w:t>
      </w:r>
      <w:r w:rsidRPr="000C229A">
        <w:rPr>
          <w:rFonts w:ascii="Arial" w:hAnsi="Arial" w:cs="Arial"/>
          <w:sz w:val="24"/>
          <w:szCs w:val="24"/>
          <w:lang w:val="en-US"/>
        </w:rPr>
        <w:t xml:space="preserve"> interest groups, intentionally misinterpreted</w:t>
      </w:r>
      <w:r w:rsidR="00D27CB2">
        <w:rPr>
          <w:rFonts w:ascii="Arial" w:hAnsi="Arial" w:cs="Arial"/>
          <w:sz w:val="24"/>
          <w:szCs w:val="24"/>
          <w:lang w:val="en-US"/>
        </w:rPr>
        <w:t xml:space="preserve">, which </w:t>
      </w:r>
      <w:r w:rsidRPr="000C229A">
        <w:rPr>
          <w:rFonts w:ascii="Arial" w:hAnsi="Arial" w:cs="Arial"/>
          <w:sz w:val="24"/>
          <w:szCs w:val="24"/>
          <w:lang w:val="en-US"/>
        </w:rPr>
        <w:lastRenderedPageBreak/>
        <w:t xml:space="preserve">decreased the confidence in statistical offices and was one of source of errors in census data, especially in terms of the over-coverage. </w:t>
      </w:r>
    </w:p>
    <w:p w:rsidR="006F535C" w:rsidRPr="00B90658" w:rsidRDefault="006F535C" w:rsidP="00A0249E">
      <w:pPr>
        <w:pStyle w:val="Default"/>
        <w:spacing w:before="120" w:line="360" w:lineRule="auto"/>
        <w:jc w:val="both"/>
        <w:rPr>
          <w:color w:val="FF0000"/>
          <w:lang w:val="en-US"/>
        </w:rPr>
      </w:pPr>
      <w:r>
        <w:rPr>
          <w:color w:val="auto"/>
        </w:rPr>
        <w:t xml:space="preserve">This paper </w:t>
      </w:r>
      <w:r w:rsidR="001A7CE2">
        <w:rPr>
          <w:color w:val="auto"/>
        </w:rPr>
        <w:t>presents a</w:t>
      </w:r>
      <w:r>
        <w:rPr>
          <w:color w:val="auto"/>
        </w:rPr>
        <w:t xml:space="preserve"> survey measuring the quality of Bosnian census and </w:t>
      </w:r>
      <w:r w:rsidRPr="00B90658">
        <w:rPr>
          <w:color w:val="auto"/>
        </w:rPr>
        <w:t xml:space="preserve">how </w:t>
      </w:r>
      <w:r>
        <w:rPr>
          <w:color w:val="auto"/>
        </w:rPr>
        <w:t>its</w:t>
      </w:r>
      <w:r w:rsidRPr="00B90658">
        <w:rPr>
          <w:color w:val="auto"/>
        </w:rPr>
        <w:t xml:space="preserve"> results were </w:t>
      </w:r>
      <w:r>
        <w:rPr>
          <w:color w:val="auto"/>
        </w:rPr>
        <w:t>understood</w:t>
      </w:r>
      <w:r w:rsidRPr="00B90658">
        <w:rPr>
          <w:color w:val="auto"/>
        </w:rPr>
        <w:t xml:space="preserve"> by users</w:t>
      </w:r>
      <w:r>
        <w:rPr>
          <w:color w:val="auto"/>
        </w:rPr>
        <w:t xml:space="preserve">. </w:t>
      </w:r>
      <w:r w:rsidRPr="00B90658">
        <w:rPr>
          <w:color w:val="auto"/>
        </w:rPr>
        <w:t xml:space="preserve">In section 2, the overview of </w:t>
      </w:r>
      <w:r>
        <w:rPr>
          <w:color w:val="auto"/>
        </w:rPr>
        <w:t>references</w:t>
      </w:r>
      <w:r w:rsidRPr="00B90658">
        <w:rPr>
          <w:color w:val="auto"/>
        </w:rPr>
        <w:t xml:space="preserve"> on </w:t>
      </w:r>
      <w:r>
        <w:rPr>
          <w:color w:val="auto"/>
        </w:rPr>
        <w:t xml:space="preserve">census </w:t>
      </w:r>
      <w:r w:rsidR="001A7CE2">
        <w:rPr>
          <w:color w:val="auto"/>
        </w:rPr>
        <w:t>quality</w:t>
      </w:r>
      <w:r>
        <w:rPr>
          <w:color w:val="auto"/>
        </w:rPr>
        <w:t xml:space="preserve"> </w:t>
      </w:r>
      <w:r w:rsidR="001A7CE2">
        <w:rPr>
          <w:color w:val="auto"/>
        </w:rPr>
        <w:t>is</w:t>
      </w:r>
      <w:r w:rsidRPr="00B90658">
        <w:rPr>
          <w:color w:val="auto"/>
        </w:rPr>
        <w:t xml:space="preserve"> presented. </w:t>
      </w:r>
      <w:r>
        <w:rPr>
          <w:color w:val="auto"/>
        </w:rPr>
        <w:t>S</w:t>
      </w:r>
      <w:r w:rsidRPr="00B90658">
        <w:rPr>
          <w:color w:val="auto"/>
        </w:rPr>
        <w:t>ection 3</w:t>
      </w:r>
      <w:r>
        <w:rPr>
          <w:color w:val="auto"/>
        </w:rPr>
        <w:t xml:space="preserve"> </w:t>
      </w:r>
      <w:r w:rsidRPr="00B90658">
        <w:rPr>
          <w:color w:val="auto"/>
        </w:rPr>
        <w:t xml:space="preserve">deals with the methodology </w:t>
      </w:r>
      <w:r w:rsidR="001A7CE2">
        <w:rPr>
          <w:color w:val="auto"/>
        </w:rPr>
        <w:t>of</w:t>
      </w:r>
      <w:r w:rsidRPr="00B90658">
        <w:rPr>
          <w:color w:val="auto"/>
        </w:rPr>
        <w:t xml:space="preserve"> Post-enumeration survey </w:t>
      </w:r>
      <w:r>
        <w:rPr>
          <w:color w:val="auto"/>
        </w:rPr>
        <w:t>(PES)</w:t>
      </w:r>
      <w:r w:rsidR="008764C2">
        <w:rPr>
          <w:color w:val="auto"/>
        </w:rPr>
        <w:t xml:space="preserve"> and</w:t>
      </w:r>
      <w:r w:rsidRPr="00B90658">
        <w:rPr>
          <w:color w:val="auto"/>
        </w:rPr>
        <w:t xml:space="preserve"> its application in Bosnia and Herzegovina. In the section 4 we </w:t>
      </w:r>
      <w:r w:rsidR="00F55951">
        <w:rPr>
          <w:color w:val="auto"/>
        </w:rPr>
        <w:t>discuss the (non)acceptance of c</w:t>
      </w:r>
      <w:r w:rsidRPr="00B90658">
        <w:rPr>
          <w:color w:val="auto"/>
        </w:rPr>
        <w:t>ensus re</w:t>
      </w:r>
      <w:r w:rsidR="008764C2">
        <w:rPr>
          <w:color w:val="auto"/>
        </w:rPr>
        <w:t xml:space="preserve">sults by </w:t>
      </w:r>
      <w:r w:rsidR="00F55951">
        <w:rPr>
          <w:color w:val="auto"/>
        </w:rPr>
        <w:t>various</w:t>
      </w:r>
      <w:r w:rsidRPr="00B90658">
        <w:rPr>
          <w:color w:val="auto"/>
        </w:rPr>
        <w:t xml:space="preserve"> interest groups.</w:t>
      </w:r>
      <w:r w:rsidRPr="00B90658">
        <w:rPr>
          <w:color w:val="222222"/>
          <w:lang w:val="en"/>
        </w:rPr>
        <w:t xml:space="preserve"> </w:t>
      </w:r>
      <w:r w:rsidRPr="00B90658">
        <w:rPr>
          <w:color w:val="auto"/>
        </w:rPr>
        <w:t>The</w:t>
      </w:r>
      <w:r>
        <w:rPr>
          <w:color w:val="auto"/>
        </w:rPr>
        <w:t xml:space="preserve"> paper ends with conclusion and </w:t>
      </w:r>
      <w:r w:rsidRPr="00B90658">
        <w:rPr>
          <w:color w:val="auto"/>
        </w:rPr>
        <w:t>proposal for future work.</w:t>
      </w:r>
    </w:p>
    <w:p w:rsidR="00D0258C" w:rsidRPr="0028150C" w:rsidRDefault="006F535C" w:rsidP="008A7985">
      <w:pPr>
        <w:spacing w:before="100" w:beforeAutospacing="1" w:after="0" w:line="360" w:lineRule="auto"/>
        <w:jc w:val="both"/>
        <w:rPr>
          <w:rFonts w:ascii="Arial" w:hAnsi="Arial" w:cs="Arial"/>
          <w:b/>
          <w:sz w:val="24"/>
          <w:szCs w:val="24"/>
          <w:lang w:val="en-GB"/>
        </w:rPr>
      </w:pPr>
      <w:r>
        <w:rPr>
          <w:rFonts w:ascii="Arial" w:hAnsi="Arial" w:cs="Arial"/>
          <w:b/>
          <w:sz w:val="24"/>
          <w:szCs w:val="24"/>
          <w:lang w:val="en-GB"/>
        </w:rPr>
        <w:t xml:space="preserve">2. </w:t>
      </w:r>
      <w:r w:rsidRPr="006F535C">
        <w:rPr>
          <w:rFonts w:ascii="Arial" w:hAnsi="Arial" w:cs="Arial"/>
          <w:b/>
          <w:sz w:val="24"/>
          <w:szCs w:val="24"/>
          <w:lang w:val="en-GB"/>
        </w:rPr>
        <w:t>Literature review</w:t>
      </w:r>
    </w:p>
    <w:p w:rsidR="006F535C" w:rsidRPr="00D439B6" w:rsidRDefault="008372AB" w:rsidP="00A0249E">
      <w:pPr>
        <w:pStyle w:val="Default"/>
        <w:spacing w:before="120" w:line="360" w:lineRule="auto"/>
        <w:jc w:val="both"/>
        <w:rPr>
          <w:color w:val="auto"/>
        </w:rPr>
      </w:pPr>
      <w:r w:rsidRPr="008372AB">
        <w:rPr>
          <w:color w:val="auto"/>
          <w:lang w:val="en-GB"/>
        </w:rPr>
        <w:t>Official statistical surveys are regulated by different regulations, which ensure harmonization of procedures and comparability of results</w:t>
      </w:r>
      <w:r w:rsidR="006F535C" w:rsidRPr="00BB3254">
        <w:rPr>
          <w:color w:val="auto"/>
        </w:rPr>
        <w:t xml:space="preserve">. </w:t>
      </w:r>
      <w:r w:rsidR="006F535C">
        <w:rPr>
          <w:color w:val="auto"/>
        </w:rPr>
        <w:t>T</w:t>
      </w:r>
      <w:r w:rsidR="006F535C" w:rsidRPr="00BB3254">
        <w:rPr>
          <w:color w:val="auto"/>
        </w:rPr>
        <w:t>he UN Principles and Recommendations for Population and Housing Censuses</w:t>
      </w:r>
      <w:r w:rsidR="006F535C">
        <w:rPr>
          <w:color w:val="auto"/>
        </w:rPr>
        <w:t xml:space="preserve"> define</w:t>
      </w:r>
      <w:r w:rsidR="006F535C" w:rsidRPr="00BB3254">
        <w:rPr>
          <w:color w:val="auto"/>
        </w:rPr>
        <w:t xml:space="preserve"> the census </w:t>
      </w:r>
      <w:r w:rsidR="00634A2B">
        <w:rPr>
          <w:color w:val="auto"/>
        </w:rPr>
        <w:t xml:space="preserve">as a survey </w:t>
      </w:r>
      <w:r w:rsidR="006F535C" w:rsidRPr="00BB3254">
        <w:rPr>
          <w:color w:val="auto"/>
        </w:rPr>
        <w:t xml:space="preserve">with stated quality standards (UN, 2007). </w:t>
      </w:r>
      <w:r w:rsidR="006F535C">
        <w:rPr>
          <w:color w:val="auto"/>
        </w:rPr>
        <w:t xml:space="preserve">In measuring census quality, </w:t>
      </w:r>
      <w:r w:rsidR="006F535C" w:rsidRPr="00BB3254">
        <w:rPr>
          <w:color w:val="auto"/>
        </w:rPr>
        <w:t xml:space="preserve">UN Statistical Division recomends the use of dual system estimation </w:t>
      </w:r>
      <w:r w:rsidR="006F535C">
        <w:rPr>
          <w:color w:val="auto"/>
        </w:rPr>
        <w:t xml:space="preserve">(DSE) within the Post-enumeration survey </w:t>
      </w:r>
      <w:r w:rsidR="006F535C" w:rsidRPr="00BB3254">
        <w:rPr>
          <w:color w:val="auto"/>
        </w:rPr>
        <w:t>(UN, 2010)</w:t>
      </w:r>
      <w:r w:rsidR="006F535C">
        <w:rPr>
          <w:color w:val="auto"/>
        </w:rPr>
        <w:t xml:space="preserve">. </w:t>
      </w:r>
      <w:r w:rsidR="006F535C" w:rsidRPr="00BB3254">
        <w:rPr>
          <w:color w:val="auto"/>
        </w:rPr>
        <w:t>Fellegi and Sunter</w:t>
      </w:r>
      <w:r w:rsidR="006F535C">
        <w:rPr>
          <w:color w:val="auto"/>
        </w:rPr>
        <w:t xml:space="preserve"> (</w:t>
      </w:r>
      <w:r w:rsidR="006F535C" w:rsidRPr="00BB3254">
        <w:rPr>
          <w:color w:val="auto"/>
        </w:rPr>
        <w:t>1969</w:t>
      </w:r>
      <w:r w:rsidR="006F535C">
        <w:rPr>
          <w:color w:val="auto"/>
        </w:rPr>
        <w:t>)</w:t>
      </w:r>
      <w:r w:rsidR="006F535C" w:rsidRPr="00BB3254">
        <w:rPr>
          <w:color w:val="auto"/>
        </w:rPr>
        <w:t xml:space="preserve"> developed a model</w:t>
      </w:r>
      <w:r w:rsidR="006F535C">
        <w:rPr>
          <w:rStyle w:val="Odwoanieprzypisudolnego"/>
          <w:color w:val="auto"/>
        </w:rPr>
        <w:footnoteReference w:id="1"/>
      </w:r>
      <w:r w:rsidR="006F535C" w:rsidRPr="00BB3254">
        <w:rPr>
          <w:color w:val="auto"/>
        </w:rPr>
        <w:t xml:space="preserve"> for comparison between recorded values in two surveys. </w:t>
      </w:r>
      <w:r w:rsidR="006F535C">
        <w:rPr>
          <w:color w:val="auto"/>
        </w:rPr>
        <w:t>This</w:t>
      </w:r>
      <w:r w:rsidR="006F535C" w:rsidRPr="00BB3254">
        <w:rPr>
          <w:color w:val="auto"/>
        </w:rPr>
        <w:t xml:space="preserve"> work </w:t>
      </w:r>
      <w:r w:rsidR="006F535C">
        <w:rPr>
          <w:color w:val="auto"/>
        </w:rPr>
        <w:t xml:space="preserve">has led to further development of statistical theory and </w:t>
      </w:r>
      <w:r w:rsidR="006F535C" w:rsidRPr="00BB3254">
        <w:rPr>
          <w:color w:val="auto"/>
        </w:rPr>
        <w:t xml:space="preserve">softwares for dealing with record linkage (RELAIS,  lEM or PANMARK). </w:t>
      </w:r>
      <w:r w:rsidR="00D439B6">
        <w:rPr>
          <w:color w:val="auto"/>
        </w:rPr>
        <w:t>If</w:t>
      </w:r>
      <w:r w:rsidR="006F535C" w:rsidRPr="00BB3254">
        <w:rPr>
          <w:color w:val="auto"/>
        </w:rPr>
        <w:t xml:space="preserve"> all assumptions for the implementation of DSE</w:t>
      </w:r>
      <w:r w:rsidR="006F535C">
        <w:rPr>
          <w:color w:val="auto"/>
        </w:rPr>
        <w:t xml:space="preserve"> </w:t>
      </w:r>
      <w:r w:rsidR="002C292F">
        <w:rPr>
          <w:color w:val="auto"/>
        </w:rPr>
        <w:t xml:space="preserve">are not met, </w:t>
      </w:r>
      <w:r w:rsidR="006F535C" w:rsidRPr="00BB3254">
        <w:rPr>
          <w:color w:val="auto"/>
        </w:rPr>
        <w:t xml:space="preserve">the generic </w:t>
      </w:r>
      <w:r w:rsidR="006F535C">
        <w:rPr>
          <w:color w:val="auto"/>
        </w:rPr>
        <w:t xml:space="preserve">version of </w:t>
      </w:r>
      <w:r w:rsidR="002C292F">
        <w:rPr>
          <w:color w:val="auto"/>
        </w:rPr>
        <w:t>DSE must be adjusted</w:t>
      </w:r>
      <w:r w:rsidR="006F535C">
        <w:rPr>
          <w:color w:val="auto"/>
        </w:rPr>
        <w:t xml:space="preserve"> (U</w:t>
      </w:r>
      <w:r w:rsidR="006F535C" w:rsidRPr="00BB3254">
        <w:rPr>
          <w:color w:val="auto"/>
        </w:rPr>
        <w:t xml:space="preserve">N, 2010).  </w:t>
      </w:r>
      <w:r w:rsidR="006F535C">
        <w:rPr>
          <w:color w:val="auto"/>
        </w:rPr>
        <w:t>I</w:t>
      </w:r>
      <w:r w:rsidR="006F535C" w:rsidRPr="00BB3254">
        <w:rPr>
          <w:color w:val="auto"/>
        </w:rPr>
        <w:t>n Bosnia and Herzegovina</w:t>
      </w:r>
      <w:r w:rsidR="006F535C">
        <w:rPr>
          <w:color w:val="auto"/>
        </w:rPr>
        <w:t xml:space="preserve"> t</w:t>
      </w:r>
      <w:r w:rsidR="006F535C" w:rsidRPr="00BB3254">
        <w:rPr>
          <w:color w:val="auto"/>
        </w:rPr>
        <w:t>h</w:t>
      </w:r>
      <w:r w:rsidR="006F535C">
        <w:rPr>
          <w:color w:val="auto"/>
        </w:rPr>
        <w:t>is</w:t>
      </w:r>
      <w:r w:rsidR="006F535C" w:rsidRPr="00BB3254">
        <w:rPr>
          <w:color w:val="auto"/>
        </w:rPr>
        <w:t xml:space="preserve"> correction was made by the latent class analysis (LCA), </w:t>
      </w:r>
      <w:r w:rsidR="006F535C">
        <w:rPr>
          <w:color w:val="auto"/>
        </w:rPr>
        <w:t>developed by</w:t>
      </w:r>
      <w:r w:rsidR="006F535C" w:rsidRPr="00BB3254">
        <w:rPr>
          <w:color w:val="auto"/>
        </w:rPr>
        <w:t xml:space="preserve"> Goodman, (Goodman, 1974), Hagenaars (1993a, 1993b  and 1997), Wolter (1986), Biemer</w:t>
      </w:r>
      <w:r w:rsidR="006F535C" w:rsidRPr="00BB3254">
        <w:rPr>
          <w:lang w:val="en-US"/>
        </w:rPr>
        <w:t xml:space="preserve"> (2011) </w:t>
      </w:r>
      <w:r w:rsidR="006F535C" w:rsidRPr="00BB3254">
        <w:t>and many other</w:t>
      </w:r>
      <w:r w:rsidR="006F535C">
        <w:t>s</w:t>
      </w:r>
      <w:r w:rsidR="006F535C" w:rsidRPr="00BB3254">
        <w:t xml:space="preserve">. </w:t>
      </w:r>
    </w:p>
    <w:p w:rsidR="006F535C" w:rsidRDefault="006F535C" w:rsidP="00A0249E">
      <w:pPr>
        <w:pStyle w:val="Default"/>
        <w:spacing w:before="120" w:line="360" w:lineRule="auto"/>
        <w:jc w:val="both"/>
      </w:pPr>
      <w:r w:rsidRPr="00380D50">
        <w:t xml:space="preserve">The literature review has clearly highlighted </w:t>
      </w:r>
      <w:r w:rsidR="00AC6CF1">
        <w:t xml:space="preserve">the </w:t>
      </w:r>
      <w:r w:rsidRPr="00380D50">
        <w:t>following</w:t>
      </w:r>
      <w:r w:rsidR="00AC6CF1">
        <w:t xml:space="preserve"> issues</w:t>
      </w:r>
      <w:r w:rsidRPr="00380D50">
        <w:t xml:space="preserve">: </w:t>
      </w:r>
      <w:r w:rsidR="002D1AD5">
        <w:t xml:space="preserve">(i) independent measurement of the </w:t>
      </w:r>
      <w:r w:rsidRPr="00380D50">
        <w:t>census quality</w:t>
      </w:r>
      <w:r w:rsidR="002D1AD5">
        <w:t xml:space="preserve"> is obligatory</w:t>
      </w:r>
      <w:r w:rsidRPr="00380D50">
        <w:t xml:space="preserve">; </w:t>
      </w:r>
      <w:r w:rsidR="002D1AD5">
        <w:t>(ii) PES</w:t>
      </w:r>
      <w:r w:rsidRPr="00380D50">
        <w:t xml:space="preserve"> is standard measure of census quality; (iii) DSE method </w:t>
      </w:r>
      <w:r w:rsidR="002D1AD5">
        <w:t>can estimate</w:t>
      </w:r>
      <w:r w:rsidRPr="00380D50">
        <w:t xml:space="preserve"> the true population, and (iv) standard DSE has to be corrected</w:t>
      </w:r>
      <w:r w:rsidR="00A16651">
        <w:t>,</w:t>
      </w:r>
      <w:r w:rsidRPr="00380D50">
        <w:t xml:space="preserve"> </w:t>
      </w:r>
      <w:r w:rsidR="002D1AD5">
        <w:t>if</w:t>
      </w:r>
      <w:r w:rsidRPr="00380D50">
        <w:t xml:space="preserve"> some basic assumption for its use is not met.</w:t>
      </w:r>
    </w:p>
    <w:p w:rsidR="00CB2B44" w:rsidRPr="00EC5F5A" w:rsidRDefault="006F535C" w:rsidP="008A7985">
      <w:pPr>
        <w:spacing w:before="360" w:after="0" w:line="360" w:lineRule="auto"/>
        <w:jc w:val="both"/>
        <w:rPr>
          <w:rFonts w:ascii="Arial" w:hAnsi="Arial" w:cs="Arial"/>
          <w:b/>
          <w:sz w:val="24"/>
          <w:szCs w:val="24"/>
          <w:lang w:val="en-GB"/>
        </w:rPr>
      </w:pPr>
      <w:r>
        <w:rPr>
          <w:rFonts w:ascii="Arial" w:hAnsi="Arial" w:cs="Arial"/>
          <w:b/>
          <w:sz w:val="24"/>
          <w:szCs w:val="24"/>
          <w:lang w:val="en-GB"/>
        </w:rPr>
        <w:t xml:space="preserve">3. </w:t>
      </w:r>
      <w:r w:rsidR="00EE504B">
        <w:rPr>
          <w:rFonts w:ascii="Arial" w:hAnsi="Arial" w:cs="Arial"/>
          <w:b/>
          <w:sz w:val="24"/>
          <w:szCs w:val="24"/>
          <w:lang w:val="en-GB"/>
        </w:rPr>
        <w:t>Post-enumeration s</w:t>
      </w:r>
      <w:r w:rsidRPr="006F535C">
        <w:rPr>
          <w:rFonts w:ascii="Arial" w:hAnsi="Arial" w:cs="Arial"/>
          <w:b/>
          <w:sz w:val="24"/>
          <w:szCs w:val="24"/>
          <w:lang w:val="en-GB"/>
        </w:rPr>
        <w:t>urvey in Bosnia and Herzegovina</w:t>
      </w:r>
    </w:p>
    <w:p w:rsidR="00CB2B44" w:rsidRPr="00EC5F5A" w:rsidRDefault="00380D50" w:rsidP="008A7985">
      <w:pPr>
        <w:spacing w:before="360" w:after="0" w:line="360" w:lineRule="auto"/>
        <w:jc w:val="both"/>
        <w:rPr>
          <w:rFonts w:ascii="Arial" w:hAnsi="Arial" w:cs="Arial"/>
          <w:i/>
          <w:sz w:val="24"/>
          <w:szCs w:val="24"/>
          <w:lang w:val="en-GB"/>
        </w:rPr>
      </w:pPr>
      <w:r>
        <w:rPr>
          <w:rFonts w:ascii="Arial" w:hAnsi="Arial" w:cs="Arial"/>
          <w:i/>
          <w:sz w:val="24"/>
          <w:szCs w:val="24"/>
          <w:lang w:val="en-GB"/>
        </w:rPr>
        <w:t xml:space="preserve">3.1. </w:t>
      </w:r>
      <w:r w:rsidR="00EE504B">
        <w:rPr>
          <w:rFonts w:ascii="Arial" w:hAnsi="Arial" w:cs="Arial"/>
          <w:i/>
          <w:sz w:val="24"/>
          <w:szCs w:val="24"/>
          <w:lang w:val="en-GB"/>
        </w:rPr>
        <w:t>Objectives of post-enumeration s</w:t>
      </w:r>
      <w:r w:rsidR="007C47DE">
        <w:rPr>
          <w:rFonts w:ascii="Arial" w:hAnsi="Arial" w:cs="Arial"/>
          <w:i/>
          <w:sz w:val="24"/>
          <w:szCs w:val="24"/>
          <w:lang w:val="en-GB"/>
        </w:rPr>
        <w:t xml:space="preserve">urvey </w:t>
      </w:r>
    </w:p>
    <w:p w:rsidR="00380D50" w:rsidRPr="00BB3254" w:rsidRDefault="00380D50" w:rsidP="00A0249E">
      <w:pPr>
        <w:pStyle w:val="Default"/>
        <w:spacing w:before="120" w:line="360" w:lineRule="auto"/>
        <w:jc w:val="both"/>
        <w:rPr>
          <w:color w:val="auto"/>
        </w:rPr>
      </w:pPr>
      <w:r w:rsidRPr="00241BFE">
        <w:rPr>
          <w:color w:val="auto"/>
        </w:rPr>
        <w:lastRenderedPageBreak/>
        <w:t xml:space="preserve">In every statistical survey, there are errors and they can occur at all stages. </w:t>
      </w:r>
      <w:r w:rsidR="00574D94">
        <w:rPr>
          <w:color w:val="auto"/>
        </w:rPr>
        <w:t>Also c</w:t>
      </w:r>
      <w:r w:rsidRPr="00BB3254">
        <w:rPr>
          <w:color w:val="auto"/>
        </w:rPr>
        <w:t>ensus</w:t>
      </w:r>
      <w:r>
        <w:rPr>
          <w:color w:val="auto"/>
        </w:rPr>
        <w:t>es</w:t>
      </w:r>
      <w:r w:rsidRPr="00BB3254">
        <w:rPr>
          <w:color w:val="auto"/>
        </w:rPr>
        <w:t xml:space="preserve"> suffer </w:t>
      </w:r>
      <w:r w:rsidR="00A371A1">
        <w:rPr>
          <w:color w:val="auto"/>
        </w:rPr>
        <w:t>from</w:t>
      </w:r>
      <w:r w:rsidRPr="00BB3254">
        <w:rPr>
          <w:color w:val="auto"/>
        </w:rPr>
        <w:t xml:space="preserve"> </w:t>
      </w:r>
      <w:r>
        <w:rPr>
          <w:color w:val="auto"/>
        </w:rPr>
        <w:t xml:space="preserve">different </w:t>
      </w:r>
      <w:r w:rsidRPr="00BB3254">
        <w:rPr>
          <w:color w:val="auto"/>
        </w:rPr>
        <w:t>errors</w:t>
      </w:r>
      <w:r>
        <w:rPr>
          <w:color w:val="auto"/>
        </w:rPr>
        <w:t xml:space="preserve"> </w:t>
      </w:r>
      <w:r w:rsidR="00A371A1">
        <w:rPr>
          <w:color w:val="auto"/>
        </w:rPr>
        <w:t>(UN, 2010</w:t>
      </w:r>
      <w:r w:rsidR="00F55951">
        <w:rPr>
          <w:color w:val="auto"/>
        </w:rPr>
        <w:t>)</w:t>
      </w:r>
      <w:r w:rsidR="00A371A1">
        <w:rPr>
          <w:color w:val="auto"/>
        </w:rPr>
        <w:t>: c</w:t>
      </w:r>
      <w:r w:rsidRPr="00BB3254">
        <w:rPr>
          <w:color w:val="auto"/>
        </w:rPr>
        <w:t xml:space="preserve">overage errors </w:t>
      </w:r>
      <w:r w:rsidR="00555562">
        <w:rPr>
          <w:color w:val="auto"/>
        </w:rPr>
        <w:t>occur</w:t>
      </w:r>
      <w:r w:rsidRPr="00BB3254">
        <w:rPr>
          <w:color w:val="auto"/>
        </w:rPr>
        <w:t xml:space="preserve"> due to omissions or multiple enumerations</w:t>
      </w:r>
      <w:r>
        <w:rPr>
          <w:color w:val="auto"/>
        </w:rPr>
        <w:t xml:space="preserve"> of statistical units, while c</w:t>
      </w:r>
      <w:r w:rsidRPr="00BB3254">
        <w:rPr>
          <w:color w:val="auto"/>
        </w:rPr>
        <w:t xml:space="preserve">ontent errors arise in the incorrect reporting of the characteristics of statistical units. </w:t>
      </w:r>
      <w:r>
        <w:rPr>
          <w:color w:val="auto"/>
        </w:rPr>
        <w:t>O</w:t>
      </w:r>
      <w:r w:rsidRPr="00BB3254">
        <w:rPr>
          <w:color w:val="auto"/>
        </w:rPr>
        <w:t>perational errors</w:t>
      </w:r>
      <w:r>
        <w:rPr>
          <w:color w:val="auto"/>
        </w:rPr>
        <w:t xml:space="preserve"> </w:t>
      </w:r>
      <w:r w:rsidRPr="00BB3254">
        <w:rPr>
          <w:color w:val="auto"/>
        </w:rPr>
        <w:t>also contribute to coverage an</w:t>
      </w:r>
      <w:r>
        <w:rPr>
          <w:color w:val="auto"/>
        </w:rPr>
        <w:t>d content errors (UNECE, 2006).</w:t>
      </w:r>
    </w:p>
    <w:p w:rsidR="00DD4526" w:rsidRPr="00EC5F5A" w:rsidRDefault="00381BA0" w:rsidP="004740F1">
      <w:pPr>
        <w:spacing w:before="120" w:after="0" w:line="360" w:lineRule="auto"/>
        <w:jc w:val="both"/>
        <w:rPr>
          <w:rFonts w:ascii="Arial" w:hAnsi="Arial" w:cs="Arial"/>
          <w:sz w:val="24"/>
          <w:szCs w:val="24"/>
          <w:lang w:val="en-GB"/>
        </w:rPr>
      </w:pPr>
      <w:r>
        <w:rPr>
          <w:rFonts w:ascii="Arial" w:hAnsi="Arial" w:cs="Arial"/>
          <w:sz w:val="24"/>
          <w:szCs w:val="24"/>
          <w:lang w:val="bs-Latn-BA"/>
        </w:rPr>
        <w:t>M</w:t>
      </w:r>
      <w:r w:rsidR="00380D50" w:rsidRPr="00380D50">
        <w:rPr>
          <w:rFonts w:ascii="Arial" w:hAnsi="Arial" w:cs="Arial"/>
          <w:sz w:val="24"/>
          <w:szCs w:val="24"/>
          <w:lang w:val="bs-Latn-BA"/>
        </w:rPr>
        <w:t xml:space="preserve">ost important </w:t>
      </w:r>
      <w:r w:rsidRPr="00380D50">
        <w:rPr>
          <w:rFonts w:ascii="Arial" w:hAnsi="Arial" w:cs="Arial"/>
          <w:sz w:val="24"/>
          <w:szCs w:val="24"/>
          <w:lang w:val="bs-Latn-BA"/>
        </w:rPr>
        <w:t xml:space="preserve">methods </w:t>
      </w:r>
      <w:r>
        <w:rPr>
          <w:rFonts w:ascii="Arial" w:hAnsi="Arial" w:cs="Arial"/>
          <w:sz w:val="24"/>
          <w:szCs w:val="24"/>
          <w:lang w:val="bs-Latn-BA"/>
        </w:rPr>
        <w:t xml:space="preserve">for measurement of census quality </w:t>
      </w:r>
      <w:r w:rsidR="00380D50" w:rsidRPr="00380D50">
        <w:rPr>
          <w:rFonts w:ascii="Arial" w:hAnsi="Arial" w:cs="Arial"/>
          <w:sz w:val="24"/>
          <w:szCs w:val="24"/>
          <w:lang w:val="bs-Latn-BA"/>
        </w:rPr>
        <w:t xml:space="preserve">are (UN, 2010): (i) checks of the completeness and consistency of data; (ii) comparisons of results with other data sources; (iii) demographic analysis of data distributions, and (iv) post-enumeration survey. </w:t>
      </w:r>
      <w:r w:rsidR="00E76A42">
        <w:rPr>
          <w:rFonts w:ascii="Arial" w:hAnsi="Arial" w:cs="Arial"/>
          <w:sz w:val="24"/>
          <w:szCs w:val="24"/>
          <w:lang w:val="bs-Latn-BA"/>
        </w:rPr>
        <w:t xml:space="preserve">The objective of the </w:t>
      </w:r>
      <w:r w:rsidR="00380D50" w:rsidRPr="00380D50">
        <w:rPr>
          <w:rFonts w:ascii="Arial" w:hAnsi="Arial" w:cs="Arial"/>
          <w:sz w:val="24"/>
          <w:szCs w:val="24"/>
          <w:lang w:val="bs-Latn-BA"/>
        </w:rPr>
        <w:t xml:space="preserve">PES is </w:t>
      </w:r>
      <w:r w:rsidR="00E76A42">
        <w:rPr>
          <w:rFonts w:ascii="Arial" w:hAnsi="Arial" w:cs="Arial"/>
          <w:sz w:val="24"/>
          <w:szCs w:val="24"/>
          <w:lang w:val="bs-Latn-BA"/>
        </w:rPr>
        <w:t xml:space="preserve">an </w:t>
      </w:r>
      <w:r w:rsidR="00380D50" w:rsidRPr="00380D50">
        <w:rPr>
          <w:rFonts w:ascii="Arial" w:hAnsi="Arial" w:cs="Arial"/>
          <w:sz w:val="24"/>
          <w:szCs w:val="24"/>
          <w:lang w:val="bs-Latn-BA"/>
        </w:rPr>
        <w:t>independent re-enumeration of census units and linking each record with record from the census on a case-by-case basis (UN, 2010). This survey in Bosnia and Herzegovina was designed in order to collect the same data at the Census critical moment</w:t>
      </w:r>
      <w:r w:rsidR="00380D50">
        <w:t>.</w:t>
      </w:r>
      <w:r w:rsidR="00380D50" w:rsidRPr="00B33FF2">
        <w:rPr>
          <w:vertAlign w:val="superscript"/>
        </w:rPr>
        <w:footnoteReference w:id="2"/>
      </w:r>
    </w:p>
    <w:p w:rsidR="004740F1" w:rsidRPr="00DD4977" w:rsidRDefault="004740F1" w:rsidP="008A7985">
      <w:pPr>
        <w:spacing w:before="360" w:after="0" w:line="360" w:lineRule="auto"/>
        <w:jc w:val="both"/>
        <w:rPr>
          <w:rFonts w:ascii="Arial" w:hAnsi="Arial" w:cs="Arial"/>
          <w:i/>
          <w:sz w:val="24"/>
          <w:szCs w:val="24"/>
          <w:lang w:val="en-GB"/>
        </w:rPr>
      </w:pPr>
      <w:r w:rsidRPr="00DD4977">
        <w:rPr>
          <w:rFonts w:ascii="Arial" w:hAnsi="Arial" w:cs="Arial"/>
          <w:i/>
          <w:sz w:val="24"/>
          <w:szCs w:val="24"/>
          <w:lang w:val="en-GB"/>
        </w:rPr>
        <w:t xml:space="preserve">3.2. </w:t>
      </w:r>
      <w:r w:rsidR="00EE504B">
        <w:rPr>
          <w:rFonts w:ascii="Arial" w:hAnsi="Arial" w:cs="Arial"/>
          <w:i/>
          <w:sz w:val="24"/>
          <w:szCs w:val="24"/>
          <w:lang w:val="en-GB"/>
        </w:rPr>
        <w:t>Dual system estimation m</w:t>
      </w:r>
      <w:r w:rsidR="00270663" w:rsidRPr="00270663">
        <w:rPr>
          <w:rFonts w:ascii="Arial" w:hAnsi="Arial" w:cs="Arial"/>
          <w:i/>
          <w:sz w:val="24"/>
          <w:szCs w:val="24"/>
          <w:lang w:val="en-GB"/>
        </w:rPr>
        <w:t>ethod (DSE)</w:t>
      </w:r>
    </w:p>
    <w:p w:rsidR="00FD6A6E" w:rsidRPr="00BB3254" w:rsidRDefault="00FD6A6E" w:rsidP="008A7985">
      <w:pPr>
        <w:pStyle w:val="Default"/>
        <w:spacing w:before="120" w:line="360" w:lineRule="auto"/>
        <w:jc w:val="both"/>
        <w:rPr>
          <w:color w:val="auto"/>
        </w:rPr>
      </w:pPr>
      <w:r w:rsidRPr="00BB3254">
        <w:rPr>
          <w:color w:val="auto"/>
        </w:rPr>
        <w:t xml:space="preserve">There are two types of census coverage errors: under-count and over-count. </w:t>
      </w:r>
    </w:p>
    <w:p w:rsidR="00FD6A6E" w:rsidRPr="00BB3254" w:rsidRDefault="00FD6A6E" w:rsidP="00FD6A6E">
      <w:pPr>
        <w:pStyle w:val="Default"/>
        <w:spacing w:before="120" w:line="360" w:lineRule="auto"/>
        <w:jc w:val="both"/>
        <w:rPr>
          <w:color w:val="auto"/>
        </w:rPr>
      </w:pPr>
      <w:r w:rsidRPr="00BB3254">
        <w:rPr>
          <w:color w:val="auto"/>
        </w:rPr>
        <w:t xml:space="preserve">Let </w:t>
      </w:r>
      <w:r w:rsidRPr="00635F41">
        <w:rPr>
          <w:i/>
          <w:color w:val="auto"/>
        </w:rPr>
        <w:t>N</w:t>
      </w:r>
      <w:r w:rsidRPr="00635F41">
        <w:rPr>
          <w:i/>
          <w:color w:val="auto"/>
          <w:vertAlign w:val="subscript"/>
        </w:rPr>
        <w:t>census</w:t>
      </w:r>
      <w:r w:rsidR="0013104E">
        <w:rPr>
          <w:color w:val="auto"/>
        </w:rPr>
        <w:t xml:space="preserve"> be the census count, </w:t>
      </w:r>
      <w:r w:rsidRPr="00635F41">
        <w:rPr>
          <w:i/>
          <w:color w:val="auto"/>
        </w:rPr>
        <w:t>N</w:t>
      </w:r>
      <w:r w:rsidRPr="00BB3254">
        <w:rPr>
          <w:color w:val="auto"/>
        </w:rPr>
        <w:t xml:space="preserve"> be th</w:t>
      </w:r>
      <w:r w:rsidR="0013104E">
        <w:rPr>
          <w:color w:val="auto"/>
        </w:rPr>
        <w:t>e unknown true population count and</w:t>
      </w:r>
      <w:r w:rsidRPr="00BB3254">
        <w:rPr>
          <w:color w:val="auto"/>
        </w:rPr>
        <w:t xml:space="preserve"> </w:t>
      </w:r>
      <w:r w:rsidRPr="00635F41">
        <w:rPr>
          <w:i/>
          <w:color w:val="auto"/>
        </w:rPr>
        <w:t>N</w:t>
      </w:r>
      <w:r w:rsidRPr="00635F41">
        <w:rPr>
          <w:i/>
          <w:color w:val="auto"/>
          <w:vertAlign w:val="subscript"/>
        </w:rPr>
        <w:t>ce</w:t>
      </w:r>
      <w:r w:rsidRPr="00635F41">
        <w:rPr>
          <w:color w:val="auto"/>
          <w:vertAlign w:val="subscript"/>
        </w:rPr>
        <w:t xml:space="preserve"> </w:t>
      </w:r>
      <w:r w:rsidRPr="00BB3254">
        <w:rPr>
          <w:color w:val="auto"/>
        </w:rPr>
        <w:t>be the part of the cens</w:t>
      </w:r>
      <w:r>
        <w:rPr>
          <w:color w:val="auto"/>
        </w:rPr>
        <w:t xml:space="preserve">us count correctly enumerated. </w:t>
      </w:r>
      <w:r w:rsidRPr="00BB3254">
        <w:rPr>
          <w:color w:val="auto"/>
        </w:rPr>
        <w:t xml:space="preserve">The under-coverage rate </w:t>
      </w:r>
      <w:r>
        <w:rPr>
          <w:color w:val="auto"/>
        </w:rPr>
        <w:t>is defined as:</w:t>
      </w:r>
    </w:p>
    <w:p w:rsidR="00FD6A6E" w:rsidRPr="00BB3254" w:rsidRDefault="002C7AB4" w:rsidP="00FD6A6E">
      <w:pPr>
        <w:pStyle w:val="Default"/>
        <w:spacing w:before="120" w:line="360" w:lineRule="auto"/>
        <w:ind w:firstLine="720"/>
        <w:jc w:val="both"/>
        <w:rPr>
          <w:color w:val="auto"/>
        </w:rPr>
      </w:pPr>
      <m:oMath>
        <m:sSub>
          <m:sSubPr>
            <m:ctrlPr>
              <w:rPr>
                <w:rFonts w:ascii="Cambria Math" w:hAnsi="Cambria Math"/>
                <w:color w:val="auto"/>
              </w:rPr>
            </m:ctrlPr>
          </m:sSubPr>
          <m:e>
            <m:r>
              <m:rPr>
                <m:sty m:val="p"/>
              </m:rPr>
              <w:rPr>
                <w:rFonts w:ascii="Cambria Math" w:hAnsi="Cambria Math"/>
                <w:color w:val="auto"/>
              </w:rPr>
              <m:t>R</m:t>
            </m:r>
          </m:e>
          <m:sub>
            <m:r>
              <m:rPr>
                <m:sty m:val="p"/>
              </m:rPr>
              <w:rPr>
                <w:rFonts w:ascii="Cambria Math" w:hAnsi="Cambria Math"/>
                <w:color w:val="auto"/>
              </w:rPr>
              <m:t xml:space="preserve">uc </m:t>
            </m:r>
          </m:sub>
        </m:sSub>
        <m:r>
          <m:rPr>
            <m:sty m:val="p"/>
          </m:rPr>
          <w:rPr>
            <w:rFonts w:ascii="Cambria Math" w:hAnsi="Cambria Math"/>
            <w:color w:val="auto"/>
          </w:rPr>
          <m:t xml:space="preserve">=1- </m:t>
        </m:r>
        <m:f>
          <m:fPr>
            <m:ctrlPr>
              <w:rPr>
                <w:rFonts w:ascii="Cambria Math" w:hAnsi="Cambria Math"/>
                <w:color w:val="auto"/>
              </w:rPr>
            </m:ctrlPr>
          </m:fPr>
          <m:num>
            <m:sSub>
              <m:sSubPr>
                <m:ctrlPr>
                  <w:rPr>
                    <w:rFonts w:ascii="Cambria Math" w:hAnsi="Cambria Math"/>
                    <w:color w:val="auto"/>
                  </w:rPr>
                </m:ctrlPr>
              </m:sSubPr>
              <m:e>
                <m:r>
                  <m:rPr>
                    <m:sty m:val="p"/>
                  </m:rPr>
                  <w:rPr>
                    <w:rFonts w:ascii="Cambria Math" w:hAnsi="Cambria Math"/>
                    <w:color w:val="auto"/>
                  </w:rPr>
                  <m:t>N</m:t>
                </m:r>
              </m:e>
              <m:sub>
                <m:r>
                  <m:rPr>
                    <m:sty m:val="p"/>
                  </m:rPr>
                  <w:rPr>
                    <w:rFonts w:ascii="Cambria Math" w:hAnsi="Cambria Math"/>
                    <w:color w:val="auto"/>
                  </w:rPr>
                  <m:t>ce</m:t>
                </m:r>
              </m:sub>
            </m:sSub>
          </m:num>
          <m:den>
            <m:r>
              <m:rPr>
                <m:sty m:val="p"/>
              </m:rPr>
              <w:rPr>
                <w:rFonts w:ascii="Cambria Math" w:hAnsi="Cambria Math"/>
                <w:color w:val="auto"/>
              </w:rPr>
              <m:t>N</m:t>
            </m:r>
          </m:den>
        </m:f>
      </m:oMath>
      <w:r w:rsidR="00FD6A6E" w:rsidRPr="00BB3254">
        <w:rPr>
          <w:color w:val="auto"/>
        </w:rPr>
        <w:t xml:space="preserve"> </w:t>
      </w:r>
      <w:r w:rsidR="00FD6A6E" w:rsidRPr="00BB3254">
        <w:rPr>
          <w:color w:val="auto"/>
        </w:rPr>
        <w:tab/>
      </w:r>
      <w:r w:rsidR="00FD6A6E" w:rsidRPr="00BB3254">
        <w:rPr>
          <w:color w:val="auto"/>
        </w:rPr>
        <w:tab/>
        <w:t xml:space="preserve"> (1)</w:t>
      </w:r>
    </w:p>
    <w:p w:rsidR="00FD6A6E" w:rsidRPr="00BB3254" w:rsidRDefault="00FD6A6E" w:rsidP="00FD6A6E">
      <w:pPr>
        <w:pStyle w:val="Default"/>
        <w:spacing w:before="120" w:line="360" w:lineRule="auto"/>
        <w:jc w:val="both"/>
        <w:rPr>
          <w:color w:val="auto"/>
        </w:rPr>
      </w:pPr>
      <w:r w:rsidRPr="00BB3254">
        <w:rPr>
          <w:color w:val="auto"/>
        </w:rPr>
        <w:t>while, the over-coverage rate can be defined as</w:t>
      </w:r>
    </w:p>
    <w:p w:rsidR="00FD6A6E" w:rsidRPr="00BB3254" w:rsidRDefault="002C7AB4" w:rsidP="00FD6A6E">
      <w:pPr>
        <w:pStyle w:val="Default"/>
        <w:spacing w:before="120" w:line="360" w:lineRule="auto"/>
        <w:ind w:firstLine="720"/>
        <w:jc w:val="both"/>
        <w:rPr>
          <w:color w:val="auto"/>
        </w:rPr>
      </w:pPr>
      <m:oMath>
        <m:sSub>
          <m:sSubPr>
            <m:ctrlPr>
              <w:rPr>
                <w:rFonts w:ascii="Cambria Math" w:hAnsi="Cambria Math"/>
                <w:color w:val="auto"/>
              </w:rPr>
            </m:ctrlPr>
          </m:sSubPr>
          <m:e>
            <m:r>
              <m:rPr>
                <m:sty m:val="p"/>
              </m:rPr>
              <w:rPr>
                <w:rFonts w:ascii="Cambria Math" w:hAnsi="Cambria Math"/>
                <w:color w:val="auto"/>
              </w:rPr>
              <m:t>R</m:t>
            </m:r>
          </m:e>
          <m:sub>
            <m:r>
              <m:rPr>
                <m:sty m:val="p"/>
              </m:rPr>
              <w:rPr>
                <w:rFonts w:ascii="Cambria Math" w:hAnsi="Cambria Math"/>
                <w:color w:val="auto"/>
              </w:rPr>
              <m:t xml:space="preserve">oc </m:t>
            </m:r>
          </m:sub>
        </m:sSub>
        <m:r>
          <m:rPr>
            <m:sty m:val="p"/>
          </m:rPr>
          <w:rPr>
            <w:rFonts w:ascii="Cambria Math" w:hAnsi="Cambria Math"/>
            <w:color w:val="auto"/>
          </w:rPr>
          <m:t>= 1-</m:t>
        </m:r>
        <m:f>
          <m:fPr>
            <m:ctrlPr>
              <w:rPr>
                <w:rFonts w:ascii="Cambria Math" w:hAnsi="Cambria Math"/>
                <w:color w:val="auto"/>
              </w:rPr>
            </m:ctrlPr>
          </m:fPr>
          <m:num>
            <m:sSub>
              <m:sSubPr>
                <m:ctrlPr>
                  <w:rPr>
                    <w:rFonts w:ascii="Cambria Math" w:hAnsi="Cambria Math"/>
                    <w:color w:val="auto"/>
                  </w:rPr>
                </m:ctrlPr>
              </m:sSubPr>
              <m:e>
                <m:r>
                  <m:rPr>
                    <m:sty m:val="p"/>
                  </m:rPr>
                  <w:rPr>
                    <w:rFonts w:ascii="Cambria Math" w:hAnsi="Cambria Math"/>
                    <w:color w:val="auto"/>
                  </w:rPr>
                  <m:t>N</m:t>
                </m:r>
              </m:e>
              <m:sub>
                <m:r>
                  <m:rPr>
                    <m:sty m:val="p"/>
                  </m:rPr>
                  <w:rPr>
                    <w:rFonts w:ascii="Cambria Math" w:hAnsi="Cambria Math"/>
                    <w:color w:val="auto"/>
                  </w:rPr>
                  <m:t>ce</m:t>
                </m:r>
              </m:sub>
            </m:sSub>
          </m:num>
          <m:den>
            <m:sSub>
              <m:sSubPr>
                <m:ctrlPr>
                  <w:rPr>
                    <w:rFonts w:ascii="Cambria Math" w:hAnsi="Cambria Math"/>
                    <w:color w:val="auto"/>
                  </w:rPr>
                </m:ctrlPr>
              </m:sSubPr>
              <m:e>
                <m:r>
                  <m:rPr>
                    <m:sty m:val="p"/>
                  </m:rPr>
                  <w:rPr>
                    <w:rFonts w:ascii="Cambria Math" w:hAnsi="Cambria Math"/>
                    <w:color w:val="auto"/>
                  </w:rPr>
                  <m:t>N</m:t>
                </m:r>
              </m:e>
              <m:sub>
                <m:r>
                  <m:rPr>
                    <m:sty m:val="p"/>
                  </m:rPr>
                  <w:rPr>
                    <w:rFonts w:ascii="Cambria Math" w:hAnsi="Cambria Math"/>
                    <w:color w:val="auto"/>
                  </w:rPr>
                  <m:t>census</m:t>
                </m:r>
              </m:sub>
            </m:sSub>
          </m:den>
        </m:f>
      </m:oMath>
      <w:r w:rsidR="00FD6A6E" w:rsidRPr="00BB3254">
        <w:rPr>
          <w:color w:val="auto"/>
        </w:rPr>
        <w:t xml:space="preserve"> </w:t>
      </w:r>
      <w:r w:rsidR="00FD6A6E" w:rsidRPr="00BB3254">
        <w:rPr>
          <w:color w:val="auto"/>
        </w:rPr>
        <w:tab/>
      </w:r>
      <w:r w:rsidR="00FD6A6E" w:rsidRPr="00BB3254">
        <w:rPr>
          <w:color w:val="auto"/>
        </w:rPr>
        <w:tab/>
        <w:t xml:space="preserve"> (2)</w:t>
      </w:r>
    </w:p>
    <w:p w:rsidR="00FD6A6E" w:rsidRPr="00BB3254" w:rsidRDefault="00FD6A6E" w:rsidP="00FD6A6E">
      <w:pPr>
        <w:pStyle w:val="Default"/>
        <w:spacing w:before="120" w:line="360" w:lineRule="auto"/>
        <w:jc w:val="both"/>
        <w:rPr>
          <w:color w:val="auto"/>
        </w:rPr>
      </w:pPr>
      <w:r w:rsidRPr="00BB3254">
        <w:rPr>
          <w:color w:val="auto"/>
        </w:rPr>
        <w:t xml:space="preserve">The census net coverage error </w:t>
      </w:r>
      <w:r w:rsidRPr="00AB6E0A">
        <w:rPr>
          <w:i/>
          <w:color w:val="auto"/>
        </w:rPr>
        <w:t>D</w:t>
      </w:r>
      <w:r w:rsidRPr="00BB3254">
        <w:rPr>
          <w:color w:val="auto"/>
        </w:rPr>
        <w:t xml:space="preserve"> is defined by </w:t>
      </w:r>
      <w:r w:rsidRPr="00AB6E0A">
        <w:rPr>
          <w:i/>
          <w:color w:val="auto"/>
        </w:rPr>
        <w:t>D = N −N</w:t>
      </w:r>
      <w:r w:rsidRPr="00AB6E0A">
        <w:rPr>
          <w:i/>
          <w:color w:val="auto"/>
          <w:vertAlign w:val="subscript"/>
        </w:rPr>
        <w:t>census</w:t>
      </w:r>
      <w:r>
        <w:rPr>
          <w:color w:val="auto"/>
        </w:rPr>
        <w:t xml:space="preserve">. </w:t>
      </w:r>
      <w:r w:rsidRPr="00BB3254">
        <w:rPr>
          <w:color w:val="auto"/>
        </w:rPr>
        <w:t xml:space="preserve">A positive value of </w:t>
      </w:r>
      <w:r w:rsidRPr="00AB6E0A">
        <w:rPr>
          <w:i/>
          <w:color w:val="auto"/>
        </w:rPr>
        <w:t>D</w:t>
      </w:r>
      <w:r w:rsidRPr="00BB3254">
        <w:rPr>
          <w:color w:val="auto"/>
        </w:rPr>
        <w:t xml:space="preserve"> indicates net under-count and a negative value indicates net over-count.</w:t>
      </w:r>
    </w:p>
    <w:p w:rsidR="00DD4526" w:rsidRDefault="00FD6A6E" w:rsidP="003E1E5D">
      <w:pPr>
        <w:pStyle w:val="Default"/>
        <w:spacing w:before="120" w:line="360" w:lineRule="auto"/>
        <w:jc w:val="both"/>
        <w:rPr>
          <w:color w:val="auto"/>
        </w:rPr>
      </w:pPr>
      <w:r>
        <w:rPr>
          <w:color w:val="auto"/>
        </w:rPr>
        <w:t>Standard DSE</w:t>
      </w:r>
      <w:r w:rsidRPr="00BB3254">
        <w:rPr>
          <w:color w:val="auto"/>
        </w:rPr>
        <w:t xml:space="preserve"> is a model to </w:t>
      </w:r>
      <w:r w:rsidR="00F4161C">
        <w:rPr>
          <w:color w:val="auto"/>
        </w:rPr>
        <w:t>estimate</w:t>
      </w:r>
      <w:r w:rsidRPr="00BB3254">
        <w:rPr>
          <w:color w:val="auto"/>
        </w:rPr>
        <w:t xml:space="preserve"> the unknown population total</w:t>
      </w:r>
      <w:r>
        <w:rPr>
          <w:color w:val="auto"/>
        </w:rPr>
        <w:t xml:space="preserve">, </w:t>
      </w:r>
      <w:r w:rsidRPr="00E01B65">
        <w:rPr>
          <w:i/>
          <w:color w:val="auto"/>
        </w:rPr>
        <w:t>N</w:t>
      </w:r>
      <w:r w:rsidR="0013104E">
        <w:rPr>
          <w:i/>
          <w:color w:val="auto"/>
        </w:rPr>
        <w:t>,</w:t>
      </w:r>
      <w:r>
        <w:rPr>
          <w:color w:val="auto"/>
        </w:rPr>
        <w:t xml:space="preserve"> </w:t>
      </w:r>
      <w:r w:rsidR="00F4161C">
        <w:rPr>
          <w:color w:val="auto"/>
        </w:rPr>
        <w:t xml:space="preserve">on the basis of </w:t>
      </w:r>
      <w:r w:rsidRPr="00BB3254">
        <w:rPr>
          <w:color w:val="auto"/>
        </w:rPr>
        <w:t>two enume</w:t>
      </w:r>
      <w:r>
        <w:rPr>
          <w:color w:val="auto"/>
        </w:rPr>
        <w:t>rations: t</w:t>
      </w:r>
      <w:r w:rsidRPr="00BB3254">
        <w:rPr>
          <w:color w:val="auto"/>
        </w:rPr>
        <w:t xml:space="preserve">he first one </w:t>
      </w:r>
      <w:r>
        <w:rPr>
          <w:color w:val="auto"/>
        </w:rPr>
        <w:t xml:space="preserve">is </w:t>
      </w:r>
      <w:r w:rsidRPr="00BB3254">
        <w:rPr>
          <w:color w:val="auto"/>
        </w:rPr>
        <w:t xml:space="preserve">based on total enumeration and </w:t>
      </w:r>
      <w:r>
        <w:rPr>
          <w:color w:val="auto"/>
        </w:rPr>
        <w:t xml:space="preserve">the second-one </w:t>
      </w:r>
      <w:r w:rsidRPr="00BB3254">
        <w:rPr>
          <w:color w:val="auto"/>
        </w:rPr>
        <w:t>is sample-based enumeration</w:t>
      </w:r>
      <w:r>
        <w:rPr>
          <w:color w:val="auto"/>
        </w:rPr>
        <w:t>. R</w:t>
      </w:r>
      <w:r w:rsidRPr="00BB3254">
        <w:rPr>
          <w:color w:val="auto"/>
        </w:rPr>
        <w:t xml:space="preserve">esults of these enumerations are represented in two lists of </w:t>
      </w:r>
      <w:r>
        <w:rPr>
          <w:color w:val="auto"/>
        </w:rPr>
        <w:t>units</w:t>
      </w:r>
      <w:r w:rsidRPr="00BB3254">
        <w:rPr>
          <w:color w:val="auto"/>
        </w:rPr>
        <w:t xml:space="preserve">,  </w:t>
      </w:r>
      <w:r>
        <w:rPr>
          <w:color w:val="auto"/>
        </w:rPr>
        <w:t>which are</w:t>
      </w:r>
      <w:r w:rsidRPr="00BB3254">
        <w:rPr>
          <w:color w:val="auto"/>
        </w:rPr>
        <w:t xml:space="preserve"> different in terms of size (</w:t>
      </w:r>
      <w:r w:rsidRPr="00AB6E0A">
        <w:rPr>
          <w:i/>
          <w:color w:val="auto"/>
        </w:rPr>
        <w:t>N</w:t>
      </w:r>
      <w:r w:rsidRPr="00AB6E0A">
        <w:rPr>
          <w:i/>
          <w:color w:val="auto"/>
          <w:vertAlign w:val="subscript"/>
        </w:rPr>
        <w:t>1</w:t>
      </w:r>
      <w:r w:rsidR="00F40C84">
        <w:rPr>
          <w:color w:val="auto"/>
        </w:rPr>
        <w:t>=c</w:t>
      </w:r>
      <w:r w:rsidRPr="00BB3254">
        <w:rPr>
          <w:color w:val="auto"/>
        </w:rPr>
        <w:t xml:space="preserve">ensus total, </w:t>
      </w:r>
      <w:r w:rsidRPr="00AB6E0A">
        <w:rPr>
          <w:i/>
          <w:color w:val="auto"/>
        </w:rPr>
        <w:t>N</w:t>
      </w:r>
      <w:r w:rsidRPr="00AB6E0A">
        <w:rPr>
          <w:i/>
          <w:color w:val="auto"/>
          <w:vertAlign w:val="subscript"/>
        </w:rPr>
        <w:t>2</w:t>
      </w:r>
      <w:r w:rsidRPr="00BB3254">
        <w:rPr>
          <w:color w:val="auto"/>
        </w:rPr>
        <w:t xml:space="preserve">=PES total and </w:t>
      </w:r>
      <w:r w:rsidRPr="00AB6E0A">
        <w:rPr>
          <w:i/>
          <w:color w:val="auto"/>
        </w:rPr>
        <w:t>N</w:t>
      </w:r>
      <w:r w:rsidRPr="00AB6E0A">
        <w:rPr>
          <w:i/>
          <w:color w:val="auto"/>
          <w:vertAlign w:val="subscript"/>
        </w:rPr>
        <w:t>1</w:t>
      </w:r>
      <w:r w:rsidRPr="00BB3254">
        <w:rPr>
          <w:color w:val="auto"/>
        </w:rPr>
        <w:t xml:space="preserve">≠ </w:t>
      </w:r>
      <w:r w:rsidRPr="00AB6E0A">
        <w:rPr>
          <w:i/>
          <w:color w:val="auto"/>
        </w:rPr>
        <w:t>N</w:t>
      </w:r>
      <w:r w:rsidRPr="00AB6E0A">
        <w:rPr>
          <w:i/>
          <w:color w:val="auto"/>
          <w:vertAlign w:val="subscript"/>
        </w:rPr>
        <w:t>2</w:t>
      </w:r>
      <w:r w:rsidRPr="00BB3254">
        <w:rPr>
          <w:color w:val="auto"/>
        </w:rPr>
        <w:t xml:space="preserve">).  After linking the two lists, a 2×2 </w:t>
      </w:r>
      <w:r>
        <w:rPr>
          <w:color w:val="auto"/>
        </w:rPr>
        <w:t>DSE t</w:t>
      </w:r>
      <w:r w:rsidR="00555562">
        <w:rPr>
          <w:color w:val="auto"/>
        </w:rPr>
        <w:t>able is set up, as in t</w:t>
      </w:r>
      <w:r w:rsidRPr="00BB3254">
        <w:rPr>
          <w:color w:val="auto"/>
        </w:rPr>
        <w:t>able 1.</w:t>
      </w:r>
      <w:r w:rsidR="00C12127">
        <w:rPr>
          <w:color w:val="auto"/>
        </w:rPr>
        <w:t xml:space="preserve"> Following </w:t>
      </w:r>
      <w:r w:rsidR="00C12127" w:rsidRPr="00BB3254">
        <w:rPr>
          <w:color w:val="auto"/>
        </w:rPr>
        <w:t>assumptions must be satisfied in order to use DSE</w:t>
      </w:r>
      <w:r w:rsidR="00C12127">
        <w:rPr>
          <w:color w:val="auto"/>
        </w:rPr>
        <w:t xml:space="preserve"> </w:t>
      </w:r>
      <w:r w:rsidR="00C12127" w:rsidRPr="00BB3254">
        <w:rPr>
          <w:color w:val="auto"/>
        </w:rPr>
        <w:t>(Biemer, 2011; Herzog,</w:t>
      </w:r>
      <w:r w:rsidR="00412BF0">
        <w:rPr>
          <w:color w:val="auto"/>
        </w:rPr>
        <w:t xml:space="preserve"> </w:t>
      </w:r>
      <w:r w:rsidR="00412BF0" w:rsidRPr="00BB3254">
        <w:rPr>
          <w:color w:val="auto"/>
        </w:rPr>
        <w:t>2013;</w:t>
      </w:r>
    </w:p>
    <w:p w:rsidR="00DD4526" w:rsidRDefault="00DD4526" w:rsidP="00DD4526">
      <w:pPr>
        <w:pStyle w:val="Legenda"/>
        <w:keepNext/>
        <w:rPr>
          <w:rFonts w:ascii="Arial" w:hAnsi="Arial" w:cs="Arial"/>
          <w:b/>
          <w:i w:val="0"/>
          <w:color w:val="auto"/>
          <w:sz w:val="20"/>
          <w:szCs w:val="20"/>
          <w:lang w:val="en-GB"/>
        </w:rPr>
      </w:pPr>
      <w:r w:rsidRPr="00EC5F5A">
        <w:rPr>
          <w:rFonts w:ascii="Arial" w:hAnsi="Arial" w:cs="Arial"/>
          <w:b/>
          <w:i w:val="0"/>
          <w:color w:val="auto"/>
          <w:sz w:val="20"/>
          <w:szCs w:val="20"/>
          <w:lang w:val="en-GB"/>
        </w:rPr>
        <w:lastRenderedPageBreak/>
        <w:t xml:space="preserve">Table </w:t>
      </w:r>
      <w:r w:rsidRPr="00BF6DBC">
        <w:rPr>
          <w:rFonts w:ascii="Arial" w:hAnsi="Arial" w:cs="Arial"/>
          <w:b/>
          <w:i w:val="0"/>
          <w:color w:val="auto"/>
          <w:sz w:val="20"/>
          <w:szCs w:val="20"/>
          <w:lang w:val="en-GB"/>
        </w:rPr>
        <w:fldChar w:fldCharType="begin"/>
      </w:r>
      <w:r w:rsidRPr="00EC5F5A">
        <w:rPr>
          <w:rFonts w:ascii="Arial" w:hAnsi="Arial" w:cs="Arial"/>
          <w:b/>
          <w:i w:val="0"/>
          <w:color w:val="auto"/>
          <w:sz w:val="20"/>
          <w:szCs w:val="20"/>
          <w:lang w:val="en-GB"/>
        </w:rPr>
        <w:instrText xml:space="preserve"> SEQ Table \* ARABIC </w:instrText>
      </w:r>
      <w:r w:rsidRPr="00BF6DBC">
        <w:rPr>
          <w:rFonts w:ascii="Arial" w:hAnsi="Arial" w:cs="Arial"/>
          <w:b/>
          <w:i w:val="0"/>
          <w:color w:val="auto"/>
          <w:sz w:val="20"/>
          <w:szCs w:val="20"/>
          <w:lang w:val="en-GB"/>
        </w:rPr>
        <w:fldChar w:fldCharType="separate"/>
      </w:r>
      <w:r w:rsidR="00764355">
        <w:rPr>
          <w:rFonts w:ascii="Arial" w:hAnsi="Arial" w:cs="Arial"/>
          <w:b/>
          <w:i w:val="0"/>
          <w:noProof/>
          <w:color w:val="auto"/>
          <w:sz w:val="20"/>
          <w:szCs w:val="20"/>
          <w:lang w:val="en-GB"/>
        </w:rPr>
        <w:t>1</w:t>
      </w:r>
      <w:r w:rsidRPr="00BF6DBC">
        <w:rPr>
          <w:rFonts w:ascii="Arial" w:hAnsi="Arial" w:cs="Arial"/>
          <w:b/>
          <w:i w:val="0"/>
          <w:color w:val="auto"/>
          <w:sz w:val="20"/>
          <w:szCs w:val="20"/>
          <w:lang w:val="en-GB"/>
        </w:rPr>
        <w:fldChar w:fldCharType="end"/>
      </w:r>
      <w:r w:rsidR="00FD6A6E">
        <w:rPr>
          <w:rFonts w:ascii="Arial" w:hAnsi="Arial" w:cs="Arial"/>
          <w:b/>
          <w:i w:val="0"/>
          <w:color w:val="auto"/>
          <w:sz w:val="20"/>
          <w:szCs w:val="20"/>
          <w:lang w:val="en-GB"/>
        </w:rPr>
        <w:t xml:space="preserve">. </w:t>
      </w:r>
      <w:r w:rsidR="00FD6A6E" w:rsidRPr="00FD6A6E">
        <w:rPr>
          <w:rFonts w:ascii="Arial" w:hAnsi="Arial" w:cs="Arial"/>
          <w:b/>
          <w:i w:val="0"/>
          <w:color w:val="auto"/>
          <w:sz w:val="20"/>
          <w:szCs w:val="20"/>
          <w:lang w:val="en-GB"/>
        </w:rPr>
        <w:t>Contingency table of the counts in the census and in the PES</w:t>
      </w:r>
    </w:p>
    <w:tbl>
      <w:tblPr>
        <w:tblStyle w:val="Tabela-Siatka"/>
        <w:tblW w:w="0" w:type="auto"/>
        <w:jc w:val="center"/>
        <w:tblLook w:val="04A0" w:firstRow="1" w:lastRow="0" w:firstColumn="1" w:lastColumn="0" w:noHBand="0" w:noVBand="1"/>
      </w:tblPr>
      <w:tblGrid>
        <w:gridCol w:w="1466"/>
        <w:gridCol w:w="1748"/>
        <w:gridCol w:w="1985"/>
        <w:gridCol w:w="2126"/>
        <w:gridCol w:w="1843"/>
      </w:tblGrid>
      <w:tr w:rsidR="00FD6A6E" w:rsidRPr="00FB483E" w:rsidTr="008A7985">
        <w:trPr>
          <w:trHeight w:val="284"/>
          <w:jc w:val="center"/>
        </w:trPr>
        <w:tc>
          <w:tcPr>
            <w:tcW w:w="3214" w:type="dxa"/>
            <w:gridSpan w:val="2"/>
            <w:vMerge w:val="restart"/>
          </w:tcPr>
          <w:p w:rsidR="00FD6A6E" w:rsidRPr="00FB483E" w:rsidRDefault="00FD6A6E" w:rsidP="00634A2B">
            <w:pPr>
              <w:autoSpaceDE w:val="0"/>
              <w:autoSpaceDN w:val="0"/>
              <w:adjustRightInd w:val="0"/>
              <w:spacing w:before="60" w:after="60"/>
              <w:jc w:val="center"/>
              <w:rPr>
                <w:rFonts w:ascii="Arial" w:hAnsi="Arial" w:cs="Arial"/>
                <w:sz w:val="20"/>
                <w:szCs w:val="20"/>
              </w:rPr>
            </w:pPr>
          </w:p>
        </w:tc>
        <w:tc>
          <w:tcPr>
            <w:tcW w:w="4111" w:type="dxa"/>
            <w:gridSpan w:val="2"/>
            <w:vAlign w:val="center"/>
          </w:tcPr>
          <w:p w:rsidR="00FD6A6E" w:rsidRPr="00FB483E" w:rsidRDefault="00FD6A6E" w:rsidP="00634A2B">
            <w:pPr>
              <w:autoSpaceDE w:val="0"/>
              <w:autoSpaceDN w:val="0"/>
              <w:adjustRightInd w:val="0"/>
              <w:spacing w:before="60" w:after="60"/>
              <w:jc w:val="center"/>
              <w:rPr>
                <w:rFonts w:ascii="Arial" w:hAnsi="Arial" w:cs="Arial"/>
                <w:b/>
                <w:sz w:val="20"/>
                <w:szCs w:val="20"/>
              </w:rPr>
            </w:pPr>
            <w:r w:rsidRPr="00FB483E">
              <w:rPr>
                <w:rFonts w:ascii="Arial" w:hAnsi="Arial" w:cs="Arial"/>
                <w:b/>
                <w:sz w:val="20"/>
                <w:szCs w:val="20"/>
              </w:rPr>
              <w:t>PES</w:t>
            </w:r>
          </w:p>
        </w:tc>
        <w:tc>
          <w:tcPr>
            <w:tcW w:w="1843" w:type="dxa"/>
            <w:vMerge w:val="restart"/>
            <w:vAlign w:val="center"/>
          </w:tcPr>
          <w:p w:rsidR="00FD6A6E" w:rsidRPr="00FB483E" w:rsidRDefault="00FD6A6E" w:rsidP="00634A2B">
            <w:pPr>
              <w:autoSpaceDE w:val="0"/>
              <w:autoSpaceDN w:val="0"/>
              <w:adjustRightInd w:val="0"/>
              <w:spacing w:before="60" w:after="60"/>
              <w:jc w:val="center"/>
              <w:rPr>
                <w:rFonts w:ascii="Arial" w:hAnsi="Arial" w:cs="Arial"/>
                <w:b/>
                <w:sz w:val="20"/>
                <w:szCs w:val="20"/>
              </w:rPr>
            </w:pPr>
            <w:r w:rsidRPr="00FB483E">
              <w:rPr>
                <w:rFonts w:ascii="Arial" w:hAnsi="Arial" w:cs="Arial"/>
                <w:b/>
                <w:sz w:val="20"/>
                <w:szCs w:val="20"/>
              </w:rPr>
              <w:t>Total</w:t>
            </w:r>
          </w:p>
        </w:tc>
      </w:tr>
      <w:tr w:rsidR="00FD6A6E" w:rsidRPr="00FB483E" w:rsidTr="008A7985">
        <w:trPr>
          <w:trHeight w:val="346"/>
          <w:jc w:val="center"/>
        </w:trPr>
        <w:tc>
          <w:tcPr>
            <w:tcW w:w="3214" w:type="dxa"/>
            <w:gridSpan w:val="2"/>
            <w:vMerge/>
            <w:vAlign w:val="center"/>
          </w:tcPr>
          <w:p w:rsidR="00FD6A6E" w:rsidRPr="00FB483E" w:rsidRDefault="00FD6A6E" w:rsidP="00634A2B">
            <w:pPr>
              <w:autoSpaceDE w:val="0"/>
              <w:autoSpaceDN w:val="0"/>
              <w:adjustRightInd w:val="0"/>
              <w:spacing w:before="60" w:after="60" w:line="480" w:lineRule="auto"/>
              <w:jc w:val="center"/>
              <w:rPr>
                <w:rFonts w:ascii="Arial" w:hAnsi="Arial" w:cs="Arial"/>
                <w:sz w:val="20"/>
                <w:szCs w:val="20"/>
              </w:rPr>
            </w:pPr>
          </w:p>
        </w:tc>
        <w:tc>
          <w:tcPr>
            <w:tcW w:w="1985" w:type="dxa"/>
            <w:vAlign w:val="center"/>
          </w:tcPr>
          <w:p w:rsidR="00FD6A6E" w:rsidRPr="00FB483E" w:rsidRDefault="00FD6A6E" w:rsidP="00634A2B">
            <w:pPr>
              <w:autoSpaceDE w:val="0"/>
              <w:autoSpaceDN w:val="0"/>
              <w:adjustRightInd w:val="0"/>
              <w:spacing w:before="60" w:after="60"/>
              <w:jc w:val="center"/>
              <w:rPr>
                <w:rFonts w:ascii="Arial" w:hAnsi="Arial" w:cs="Arial"/>
                <w:b/>
                <w:sz w:val="20"/>
                <w:szCs w:val="20"/>
              </w:rPr>
            </w:pPr>
            <w:r w:rsidRPr="00FB483E">
              <w:rPr>
                <w:rFonts w:ascii="Arial" w:hAnsi="Arial" w:cs="Arial"/>
                <w:b/>
                <w:sz w:val="20"/>
                <w:szCs w:val="20"/>
              </w:rPr>
              <w:t>Present</w:t>
            </w:r>
          </w:p>
        </w:tc>
        <w:tc>
          <w:tcPr>
            <w:tcW w:w="2126" w:type="dxa"/>
            <w:vAlign w:val="center"/>
          </w:tcPr>
          <w:p w:rsidR="00FD6A6E" w:rsidRPr="00FB483E" w:rsidRDefault="00FD6A6E" w:rsidP="00634A2B">
            <w:pPr>
              <w:autoSpaceDE w:val="0"/>
              <w:autoSpaceDN w:val="0"/>
              <w:adjustRightInd w:val="0"/>
              <w:spacing w:before="60" w:after="60"/>
              <w:jc w:val="center"/>
              <w:rPr>
                <w:rFonts w:ascii="Arial" w:hAnsi="Arial" w:cs="Arial"/>
                <w:b/>
                <w:sz w:val="20"/>
                <w:szCs w:val="20"/>
              </w:rPr>
            </w:pPr>
            <w:r w:rsidRPr="00FB483E">
              <w:rPr>
                <w:rFonts w:ascii="Arial" w:hAnsi="Arial" w:cs="Arial"/>
                <w:b/>
                <w:sz w:val="20"/>
                <w:szCs w:val="20"/>
              </w:rPr>
              <w:t>Absent</w:t>
            </w:r>
          </w:p>
        </w:tc>
        <w:tc>
          <w:tcPr>
            <w:tcW w:w="1843" w:type="dxa"/>
            <w:vMerge/>
            <w:vAlign w:val="center"/>
          </w:tcPr>
          <w:p w:rsidR="00FD6A6E" w:rsidRPr="00FB483E" w:rsidRDefault="00FD6A6E" w:rsidP="00634A2B">
            <w:pPr>
              <w:autoSpaceDE w:val="0"/>
              <w:autoSpaceDN w:val="0"/>
              <w:adjustRightInd w:val="0"/>
              <w:spacing w:before="60" w:after="60"/>
              <w:jc w:val="center"/>
              <w:rPr>
                <w:rFonts w:ascii="Arial" w:hAnsi="Arial" w:cs="Arial"/>
                <w:sz w:val="20"/>
                <w:szCs w:val="20"/>
              </w:rPr>
            </w:pPr>
          </w:p>
        </w:tc>
      </w:tr>
      <w:tr w:rsidR="00FD6A6E" w:rsidRPr="00FB483E" w:rsidTr="008A7985">
        <w:trPr>
          <w:trHeight w:val="407"/>
          <w:jc w:val="center"/>
        </w:trPr>
        <w:tc>
          <w:tcPr>
            <w:tcW w:w="1466" w:type="dxa"/>
            <w:vMerge w:val="restart"/>
            <w:vAlign w:val="center"/>
          </w:tcPr>
          <w:p w:rsidR="00FD6A6E" w:rsidRPr="00FB483E" w:rsidRDefault="00FD6A6E" w:rsidP="00634A2B">
            <w:pPr>
              <w:autoSpaceDE w:val="0"/>
              <w:autoSpaceDN w:val="0"/>
              <w:adjustRightInd w:val="0"/>
              <w:spacing w:after="60"/>
              <w:jc w:val="center"/>
              <w:rPr>
                <w:rFonts w:ascii="Arial" w:hAnsi="Arial" w:cs="Arial"/>
                <w:b/>
                <w:sz w:val="20"/>
                <w:szCs w:val="20"/>
              </w:rPr>
            </w:pPr>
            <w:r w:rsidRPr="00FB483E">
              <w:rPr>
                <w:rFonts w:ascii="Arial" w:hAnsi="Arial" w:cs="Arial"/>
                <w:b/>
                <w:sz w:val="20"/>
                <w:szCs w:val="20"/>
              </w:rPr>
              <w:t>Census</w:t>
            </w:r>
          </w:p>
        </w:tc>
        <w:tc>
          <w:tcPr>
            <w:tcW w:w="1748" w:type="dxa"/>
            <w:vAlign w:val="center"/>
          </w:tcPr>
          <w:p w:rsidR="00FD6A6E" w:rsidRPr="00FB483E" w:rsidRDefault="00FD6A6E" w:rsidP="00634A2B">
            <w:pPr>
              <w:autoSpaceDE w:val="0"/>
              <w:autoSpaceDN w:val="0"/>
              <w:adjustRightInd w:val="0"/>
              <w:spacing w:before="60" w:after="60"/>
              <w:jc w:val="center"/>
              <w:rPr>
                <w:rFonts w:ascii="Arial" w:hAnsi="Arial" w:cs="Arial"/>
                <w:b/>
                <w:sz w:val="20"/>
                <w:szCs w:val="20"/>
              </w:rPr>
            </w:pPr>
            <w:r w:rsidRPr="00FB483E">
              <w:rPr>
                <w:rFonts w:ascii="Arial" w:hAnsi="Arial" w:cs="Arial"/>
                <w:b/>
                <w:sz w:val="20"/>
                <w:szCs w:val="20"/>
              </w:rPr>
              <w:t>Present</w:t>
            </w:r>
          </w:p>
        </w:tc>
        <w:tc>
          <w:tcPr>
            <w:tcW w:w="1985" w:type="dxa"/>
            <w:vAlign w:val="center"/>
          </w:tcPr>
          <w:p w:rsidR="00FD6A6E" w:rsidRPr="00FB483E" w:rsidRDefault="00FD6A6E" w:rsidP="00634A2B">
            <w:pPr>
              <w:autoSpaceDE w:val="0"/>
              <w:autoSpaceDN w:val="0"/>
              <w:adjustRightInd w:val="0"/>
              <w:spacing w:before="60" w:after="60"/>
              <w:jc w:val="center"/>
              <w:rPr>
                <w:rFonts w:ascii="Arial" w:hAnsi="Arial" w:cs="Arial"/>
                <w:sz w:val="20"/>
                <w:szCs w:val="20"/>
              </w:rPr>
            </w:pPr>
            <w:r w:rsidRPr="00FB483E">
              <w:rPr>
                <w:rFonts w:ascii="Arial" w:eastAsiaTheme="minorEastAsia" w:hAnsi="Arial" w:cs="Arial"/>
                <w:position w:val="-10"/>
                <w:sz w:val="20"/>
                <w:szCs w:val="20"/>
                <w:lang w:val="bs-Latn-BA" w:eastAsia="bs-Latn-BA"/>
              </w:rPr>
              <w:object w:dxaOrig="3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7.25pt" o:ole="">
                  <v:imagedata r:id="rId9" o:title=""/>
                </v:shape>
                <o:OLEObject Type="Embed" ProgID="Equation.3" ShapeID="_x0000_i1025" DrawAspect="Content" ObjectID="_1587893011" r:id="rId10"/>
              </w:object>
            </w:r>
          </w:p>
        </w:tc>
        <w:tc>
          <w:tcPr>
            <w:tcW w:w="2126" w:type="dxa"/>
            <w:vAlign w:val="center"/>
          </w:tcPr>
          <w:p w:rsidR="00FD6A6E" w:rsidRPr="00FB483E" w:rsidRDefault="00FD6A6E" w:rsidP="00634A2B">
            <w:pPr>
              <w:autoSpaceDE w:val="0"/>
              <w:autoSpaceDN w:val="0"/>
              <w:adjustRightInd w:val="0"/>
              <w:spacing w:before="60" w:after="60"/>
              <w:jc w:val="center"/>
              <w:rPr>
                <w:rFonts w:ascii="Arial" w:hAnsi="Arial" w:cs="Arial"/>
                <w:sz w:val="20"/>
                <w:szCs w:val="20"/>
              </w:rPr>
            </w:pPr>
            <w:r w:rsidRPr="00FB483E">
              <w:rPr>
                <w:rFonts w:ascii="Arial" w:eastAsiaTheme="minorEastAsia" w:hAnsi="Arial" w:cs="Arial"/>
                <w:position w:val="-10"/>
                <w:sz w:val="20"/>
                <w:szCs w:val="20"/>
                <w:lang w:val="bs-Latn-BA" w:eastAsia="bs-Latn-BA"/>
              </w:rPr>
              <w:object w:dxaOrig="340" w:dyaOrig="340">
                <v:shape id="_x0000_i1026" type="#_x0000_t75" style="width:17.25pt;height:15.75pt" o:ole="">
                  <v:imagedata r:id="rId11" o:title=""/>
                </v:shape>
                <o:OLEObject Type="Embed" ProgID="Equation.3" ShapeID="_x0000_i1026" DrawAspect="Content" ObjectID="_1587893012" r:id="rId12"/>
              </w:object>
            </w:r>
          </w:p>
        </w:tc>
        <w:tc>
          <w:tcPr>
            <w:tcW w:w="1843" w:type="dxa"/>
            <w:vAlign w:val="center"/>
          </w:tcPr>
          <w:p w:rsidR="00FD6A6E" w:rsidRPr="00FB483E" w:rsidRDefault="00FD6A6E" w:rsidP="00634A2B">
            <w:pPr>
              <w:autoSpaceDE w:val="0"/>
              <w:autoSpaceDN w:val="0"/>
              <w:adjustRightInd w:val="0"/>
              <w:spacing w:before="60" w:after="60"/>
              <w:jc w:val="center"/>
              <w:rPr>
                <w:rFonts w:ascii="Arial" w:hAnsi="Arial" w:cs="Arial"/>
                <w:position w:val="-10"/>
                <w:sz w:val="20"/>
                <w:szCs w:val="20"/>
              </w:rPr>
            </w:pPr>
            <w:r w:rsidRPr="00FB483E">
              <w:rPr>
                <w:rFonts w:ascii="Arial" w:eastAsiaTheme="minorEastAsia" w:hAnsi="Arial" w:cs="Arial"/>
                <w:position w:val="-10"/>
                <w:sz w:val="20"/>
                <w:szCs w:val="20"/>
                <w:lang w:val="bs-Latn-BA" w:eastAsia="bs-Latn-BA"/>
              </w:rPr>
              <w:object w:dxaOrig="340" w:dyaOrig="340">
                <v:shape id="_x0000_i1027" type="#_x0000_t75" style="width:17.25pt;height:15.75pt" o:ole="">
                  <v:imagedata r:id="rId13" o:title=""/>
                </v:shape>
                <o:OLEObject Type="Embed" ProgID="Equation.3" ShapeID="_x0000_i1027" DrawAspect="Content" ObjectID="_1587893013" r:id="rId14"/>
              </w:object>
            </w:r>
          </w:p>
        </w:tc>
      </w:tr>
      <w:tr w:rsidR="00FD6A6E" w:rsidRPr="00FB483E" w:rsidTr="0013104E">
        <w:trPr>
          <w:trHeight w:val="358"/>
          <w:jc w:val="center"/>
        </w:trPr>
        <w:tc>
          <w:tcPr>
            <w:tcW w:w="1466" w:type="dxa"/>
            <w:vMerge/>
            <w:vAlign w:val="center"/>
          </w:tcPr>
          <w:p w:rsidR="00FD6A6E" w:rsidRPr="00FB483E" w:rsidRDefault="00FD6A6E" w:rsidP="00634A2B">
            <w:pPr>
              <w:autoSpaceDE w:val="0"/>
              <w:autoSpaceDN w:val="0"/>
              <w:adjustRightInd w:val="0"/>
              <w:spacing w:after="60"/>
              <w:jc w:val="center"/>
              <w:rPr>
                <w:rFonts w:ascii="Arial" w:hAnsi="Arial" w:cs="Arial"/>
                <w:b/>
                <w:sz w:val="20"/>
                <w:szCs w:val="20"/>
              </w:rPr>
            </w:pPr>
          </w:p>
        </w:tc>
        <w:tc>
          <w:tcPr>
            <w:tcW w:w="1748" w:type="dxa"/>
            <w:vAlign w:val="center"/>
          </w:tcPr>
          <w:p w:rsidR="00FD6A6E" w:rsidRPr="00FB483E" w:rsidRDefault="00FD6A6E" w:rsidP="00634A2B">
            <w:pPr>
              <w:autoSpaceDE w:val="0"/>
              <w:autoSpaceDN w:val="0"/>
              <w:adjustRightInd w:val="0"/>
              <w:spacing w:before="60" w:after="60"/>
              <w:jc w:val="center"/>
              <w:rPr>
                <w:rFonts w:ascii="Arial" w:hAnsi="Arial" w:cs="Arial"/>
                <w:b/>
                <w:sz w:val="20"/>
                <w:szCs w:val="20"/>
              </w:rPr>
            </w:pPr>
            <w:r w:rsidRPr="00FB483E">
              <w:rPr>
                <w:rFonts w:ascii="Arial" w:hAnsi="Arial" w:cs="Arial"/>
                <w:b/>
                <w:sz w:val="20"/>
                <w:szCs w:val="20"/>
              </w:rPr>
              <w:t>Absent</w:t>
            </w:r>
          </w:p>
        </w:tc>
        <w:tc>
          <w:tcPr>
            <w:tcW w:w="1985" w:type="dxa"/>
            <w:vAlign w:val="center"/>
          </w:tcPr>
          <w:p w:rsidR="00FD6A6E" w:rsidRPr="00FB483E" w:rsidRDefault="00FD6A6E" w:rsidP="00634A2B">
            <w:pPr>
              <w:autoSpaceDE w:val="0"/>
              <w:autoSpaceDN w:val="0"/>
              <w:adjustRightInd w:val="0"/>
              <w:spacing w:before="60" w:after="60"/>
              <w:jc w:val="center"/>
              <w:rPr>
                <w:rFonts w:ascii="Arial" w:hAnsi="Arial" w:cs="Arial"/>
                <w:sz w:val="20"/>
                <w:szCs w:val="20"/>
              </w:rPr>
            </w:pPr>
            <w:r w:rsidRPr="00FB483E">
              <w:rPr>
                <w:rFonts w:ascii="Arial" w:eastAsiaTheme="minorEastAsia" w:hAnsi="Arial" w:cs="Arial"/>
                <w:position w:val="-10"/>
                <w:sz w:val="20"/>
                <w:szCs w:val="20"/>
                <w:lang w:val="bs-Latn-BA" w:eastAsia="bs-Latn-BA"/>
              </w:rPr>
              <w:object w:dxaOrig="340" w:dyaOrig="340">
                <v:shape id="_x0000_i1028" type="#_x0000_t75" style="width:17.25pt;height:17.25pt" o:ole="">
                  <v:imagedata r:id="rId15" o:title=""/>
                </v:shape>
                <o:OLEObject Type="Embed" ProgID="Equation.3" ShapeID="_x0000_i1028" DrawAspect="Content" ObjectID="_1587893014" r:id="rId16"/>
              </w:object>
            </w:r>
          </w:p>
        </w:tc>
        <w:tc>
          <w:tcPr>
            <w:tcW w:w="2126" w:type="dxa"/>
            <w:vAlign w:val="center"/>
          </w:tcPr>
          <w:p w:rsidR="00FD6A6E" w:rsidRPr="00FB483E" w:rsidRDefault="00FD6A6E" w:rsidP="00634A2B">
            <w:pPr>
              <w:autoSpaceDE w:val="0"/>
              <w:autoSpaceDN w:val="0"/>
              <w:adjustRightInd w:val="0"/>
              <w:spacing w:before="60" w:after="60"/>
              <w:jc w:val="center"/>
              <w:rPr>
                <w:rFonts w:ascii="Arial" w:hAnsi="Arial" w:cs="Arial"/>
                <w:sz w:val="20"/>
                <w:szCs w:val="20"/>
              </w:rPr>
            </w:pPr>
            <w:r w:rsidRPr="00FB483E">
              <w:rPr>
                <w:rFonts w:ascii="Arial" w:eastAsiaTheme="minorEastAsia" w:hAnsi="Arial" w:cs="Arial"/>
                <w:position w:val="-10"/>
                <w:sz w:val="20"/>
                <w:szCs w:val="20"/>
                <w:lang w:val="bs-Latn-BA" w:eastAsia="bs-Latn-BA"/>
              </w:rPr>
              <w:object w:dxaOrig="340" w:dyaOrig="340">
                <v:shape id="_x0000_i1029" type="#_x0000_t75" style="width:17.25pt;height:17.25pt" o:ole="">
                  <v:imagedata r:id="rId17" o:title=""/>
                </v:shape>
                <o:OLEObject Type="Embed" ProgID="Equation.3" ShapeID="_x0000_i1029" DrawAspect="Content" ObjectID="_1587893015" r:id="rId18"/>
              </w:object>
            </w:r>
          </w:p>
        </w:tc>
        <w:tc>
          <w:tcPr>
            <w:tcW w:w="1843" w:type="dxa"/>
            <w:vAlign w:val="center"/>
          </w:tcPr>
          <w:p w:rsidR="00FD6A6E" w:rsidRPr="00FB483E" w:rsidRDefault="00FD6A6E" w:rsidP="00634A2B">
            <w:pPr>
              <w:autoSpaceDE w:val="0"/>
              <w:autoSpaceDN w:val="0"/>
              <w:adjustRightInd w:val="0"/>
              <w:spacing w:before="60" w:after="60"/>
              <w:jc w:val="center"/>
              <w:rPr>
                <w:rFonts w:ascii="Arial" w:hAnsi="Arial" w:cs="Arial"/>
                <w:position w:val="-10"/>
                <w:sz w:val="20"/>
                <w:szCs w:val="20"/>
              </w:rPr>
            </w:pPr>
            <w:r w:rsidRPr="00FB483E">
              <w:rPr>
                <w:rFonts w:ascii="Arial" w:eastAsiaTheme="minorEastAsia" w:hAnsi="Arial" w:cs="Arial"/>
                <w:position w:val="-10"/>
                <w:sz w:val="20"/>
                <w:szCs w:val="20"/>
                <w:lang w:val="bs-Latn-BA" w:eastAsia="bs-Latn-BA"/>
              </w:rPr>
              <w:object w:dxaOrig="360" w:dyaOrig="340">
                <v:shape id="_x0000_i1030" type="#_x0000_t75" style="width:18pt;height:15.75pt" o:ole="">
                  <v:imagedata r:id="rId19" o:title=""/>
                </v:shape>
                <o:OLEObject Type="Embed" ProgID="Equation.3" ShapeID="_x0000_i1030" DrawAspect="Content" ObjectID="_1587893016" r:id="rId20"/>
              </w:object>
            </w:r>
          </w:p>
        </w:tc>
      </w:tr>
      <w:tr w:rsidR="00FD6A6E" w:rsidRPr="00FB483E" w:rsidTr="008A7985">
        <w:trPr>
          <w:trHeight w:val="321"/>
          <w:jc w:val="center"/>
        </w:trPr>
        <w:tc>
          <w:tcPr>
            <w:tcW w:w="3214" w:type="dxa"/>
            <w:gridSpan w:val="2"/>
            <w:vAlign w:val="center"/>
          </w:tcPr>
          <w:p w:rsidR="00FD6A6E" w:rsidRPr="00FB483E" w:rsidRDefault="00FD6A6E" w:rsidP="00634A2B">
            <w:pPr>
              <w:autoSpaceDE w:val="0"/>
              <w:autoSpaceDN w:val="0"/>
              <w:adjustRightInd w:val="0"/>
              <w:spacing w:before="60" w:after="60"/>
              <w:jc w:val="center"/>
              <w:rPr>
                <w:rFonts w:ascii="Arial" w:hAnsi="Arial" w:cs="Arial"/>
                <w:b/>
                <w:sz w:val="20"/>
                <w:szCs w:val="20"/>
              </w:rPr>
            </w:pPr>
            <w:r w:rsidRPr="00FB483E">
              <w:rPr>
                <w:rFonts w:ascii="Arial" w:hAnsi="Arial" w:cs="Arial"/>
                <w:b/>
                <w:sz w:val="20"/>
                <w:szCs w:val="20"/>
              </w:rPr>
              <w:t>Total</w:t>
            </w:r>
          </w:p>
        </w:tc>
        <w:tc>
          <w:tcPr>
            <w:tcW w:w="1985" w:type="dxa"/>
            <w:vAlign w:val="center"/>
          </w:tcPr>
          <w:p w:rsidR="00FD6A6E" w:rsidRPr="00FB483E" w:rsidRDefault="00FD6A6E" w:rsidP="00634A2B">
            <w:pPr>
              <w:autoSpaceDE w:val="0"/>
              <w:autoSpaceDN w:val="0"/>
              <w:adjustRightInd w:val="0"/>
              <w:spacing w:before="60" w:after="60"/>
              <w:jc w:val="center"/>
              <w:rPr>
                <w:rFonts w:ascii="Arial" w:hAnsi="Arial" w:cs="Arial"/>
                <w:position w:val="-10"/>
                <w:sz w:val="20"/>
                <w:szCs w:val="20"/>
              </w:rPr>
            </w:pPr>
            <w:r w:rsidRPr="00FB483E">
              <w:rPr>
                <w:rFonts w:ascii="Arial" w:eastAsiaTheme="minorEastAsia" w:hAnsi="Arial" w:cs="Arial"/>
                <w:position w:val="-10"/>
                <w:sz w:val="20"/>
                <w:szCs w:val="20"/>
                <w:lang w:val="bs-Latn-BA" w:eastAsia="bs-Latn-BA"/>
              </w:rPr>
              <w:object w:dxaOrig="340" w:dyaOrig="340">
                <v:shape id="_x0000_i1031" type="#_x0000_t75" style="width:17.25pt;height:15.75pt" o:ole="">
                  <v:imagedata r:id="rId21" o:title=""/>
                </v:shape>
                <o:OLEObject Type="Embed" ProgID="Equation.3" ShapeID="_x0000_i1031" DrawAspect="Content" ObjectID="_1587893017" r:id="rId22"/>
              </w:object>
            </w:r>
          </w:p>
        </w:tc>
        <w:tc>
          <w:tcPr>
            <w:tcW w:w="2126" w:type="dxa"/>
            <w:vAlign w:val="center"/>
          </w:tcPr>
          <w:p w:rsidR="00FD6A6E" w:rsidRPr="00FB483E" w:rsidRDefault="00FD6A6E" w:rsidP="00634A2B">
            <w:pPr>
              <w:autoSpaceDE w:val="0"/>
              <w:autoSpaceDN w:val="0"/>
              <w:adjustRightInd w:val="0"/>
              <w:spacing w:before="60" w:after="60"/>
              <w:jc w:val="center"/>
              <w:rPr>
                <w:rFonts w:ascii="Arial" w:hAnsi="Arial" w:cs="Arial"/>
                <w:position w:val="-10"/>
                <w:sz w:val="20"/>
                <w:szCs w:val="20"/>
              </w:rPr>
            </w:pPr>
            <w:r w:rsidRPr="00FB483E">
              <w:rPr>
                <w:rFonts w:ascii="Arial" w:eastAsiaTheme="minorEastAsia" w:hAnsi="Arial" w:cs="Arial"/>
                <w:position w:val="-10"/>
                <w:sz w:val="20"/>
                <w:szCs w:val="20"/>
                <w:lang w:val="bs-Latn-BA" w:eastAsia="bs-Latn-BA"/>
              </w:rPr>
              <w:object w:dxaOrig="360" w:dyaOrig="340">
                <v:shape id="_x0000_i1032" type="#_x0000_t75" style="width:18pt;height:15.75pt" o:ole="">
                  <v:imagedata r:id="rId23" o:title=""/>
                </v:shape>
                <o:OLEObject Type="Embed" ProgID="Equation.3" ShapeID="_x0000_i1032" DrawAspect="Content" ObjectID="_1587893018" r:id="rId24"/>
              </w:object>
            </w:r>
          </w:p>
        </w:tc>
        <w:tc>
          <w:tcPr>
            <w:tcW w:w="1843" w:type="dxa"/>
            <w:vAlign w:val="center"/>
          </w:tcPr>
          <w:p w:rsidR="00FD6A6E" w:rsidRPr="00FB483E" w:rsidRDefault="00FD6A6E" w:rsidP="00634A2B">
            <w:pPr>
              <w:autoSpaceDE w:val="0"/>
              <w:autoSpaceDN w:val="0"/>
              <w:adjustRightInd w:val="0"/>
              <w:spacing w:before="60" w:after="60"/>
              <w:jc w:val="center"/>
              <w:rPr>
                <w:rFonts w:ascii="Arial" w:hAnsi="Arial" w:cs="Arial"/>
                <w:position w:val="-10"/>
                <w:sz w:val="20"/>
                <w:szCs w:val="20"/>
              </w:rPr>
            </w:pPr>
            <w:r w:rsidRPr="00FB483E">
              <w:rPr>
                <w:rFonts w:ascii="Arial" w:hAnsi="Arial" w:cs="Arial"/>
                <w:sz w:val="20"/>
                <w:szCs w:val="20"/>
              </w:rPr>
              <w:t>N</w:t>
            </w:r>
          </w:p>
        </w:tc>
      </w:tr>
    </w:tbl>
    <w:p w:rsidR="00FD6A6E" w:rsidRPr="00FD6A6E" w:rsidRDefault="00FD6A6E" w:rsidP="00FD6A6E">
      <w:pPr>
        <w:spacing w:after="0" w:line="360" w:lineRule="auto"/>
        <w:jc w:val="both"/>
        <w:rPr>
          <w:lang w:val="en-GB"/>
        </w:rPr>
      </w:pPr>
      <w:r w:rsidRPr="00FD6A6E">
        <w:rPr>
          <w:rFonts w:ascii="Arial" w:hAnsi="Arial" w:cs="Arial"/>
          <w:sz w:val="20"/>
          <w:szCs w:val="20"/>
          <w:lang w:val="en-GB"/>
        </w:rPr>
        <w:t>Source: Pfeffermann D. and C.R. Rao, 2009.</w:t>
      </w:r>
    </w:p>
    <w:p w:rsidR="00EA3FD7" w:rsidRPr="00BB3254" w:rsidRDefault="00EA3FD7" w:rsidP="00EA3FD7">
      <w:pPr>
        <w:pStyle w:val="Default"/>
        <w:spacing w:before="120" w:line="360" w:lineRule="auto"/>
        <w:jc w:val="both"/>
        <w:rPr>
          <w:color w:val="auto"/>
        </w:rPr>
      </w:pPr>
      <w:r w:rsidRPr="00BB3254">
        <w:rPr>
          <w:color w:val="auto"/>
        </w:rPr>
        <w:t xml:space="preserve">BHAS, 2017): </w:t>
      </w:r>
      <w:r>
        <w:rPr>
          <w:color w:val="auto"/>
        </w:rPr>
        <w:t xml:space="preserve">a) </w:t>
      </w:r>
      <w:r w:rsidRPr="00BB3254">
        <w:rPr>
          <w:color w:val="auto"/>
        </w:rPr>
        <w:t>captures in</w:t>
      </w:r>
      <w:r>
        <w:rPr>
          <w:color w:val="auto"/>
        </w:rPr>
        <w:t xml:space="preserve"> </w:t>
      </w:r>
      <w:r w:rsidR="00F40C84">
        <w:rPr>
          <w:color w:val="auto"/>
        </w:rPr>
        <w:t>c</w:t>
      </w:r>
      <w:r>
        <w:rPr>
          <w:color w:val="auto"/>
        </w:rPr>
        <w:t>ensus and PES are independent</w:t>
      </w:r>
      <w:r w:rsidRPr="00BB3254">
        <w:rPr>
          <w:color w:val="auto"/>
        </w:rPr>
        <w:t>;</w:t>
      </w:r>
      <w:r>
        <w:rPr>
          <w:color w:val="auto"/>
        </w:rPr>
        <w:t xml:space="preserve"> b) </w:t>
      </w:r>
      <w:r w:rsidRPr="00506193">
        <w:rPr>
          <w:color w:val="auto"/>
        </w:rPr>
        <w:t>population measured in both sources is the same;</w:t>
      </w:r>
      <w:r>
        <w:rPr>
          <w:color w:val="auto"/>
        </w:rPr>
        <w:t xml:space="preserve"> c) </w:t>
      </w:r>
      <w:r w:rsidRPr="00506193">
        <w:rPr>
          <w:color w:val="auto"/>
        </w:rPr>
        <w:t>records from both sources can be linked;</w:t>
      </w:r>
      <w:r>
        <w:rPr>
          <w:color w:val="auto"/>
        </w:rPr>
        <w:t xml:space="preserve"> d) </w:t>
      </w:r>
      <w:r w:rsidRPr="00506193">
        <w:rPr>
          <w:color w:val="auto"/>
        </w:rPr>
        <w:t>units have the same capture probabilities within each source</w:t>
      </w:r>
      <w:r>
        <w:rPr>
          <w:color w:val="auto"/>
        </w:rPr>
        <w:t xml:space="preserve">, and e) </w:t>
      </w:r>
      <w:r w:rsidRPr="00506193">
        <w:rPr>
          <w:color w:val="auto"/>
        </w:rPr>
        <w:t>over-coun</w:t>
      </w:r>
      <w:r>
        <w:rPr>
          <w:color w:val="auto"/>
        </w:rPr>
        <w:t>t in both sources is negligible.</w:t>
      </w:r>
      <w:r w:rsidR="00884A43">
        <w:rPr>
          <w:color w:val="auto"/>
        </w:rPr>
        <w:t xml:space="preserve"> </w:t>
      </w:r>
      <w:r w:rsidRPr="00BB3254">
        <w:rPr>
          <w:color w:val="auto"/>
        </w:rPr>
        <w:t>In this way, an unbiased estimator</w:t>
      </w:r>
      <w:r w:rsidRPr="007343E8">
        <w:rPr>
          <w:color w:val="auto"/>
          <w:vertAlign w:val="superscript"/>
        </w:rPr>
        <w:footnoteReference w:id="3"/>
      </w:r>
      <w:r w:rsidRPr="007343E8">
        <w:rPr>
          <w:color w:val="auto"/>
          <w:vertAlign w:val="superscript"/>
        </w:rPr>
        <w:t xml:space="preserve"> </w:t>
      </w:r>
      <w:r w:rsidRPr="00BB3254">
        <w:rPr>
          <w:color w:val="auto"/>
        </w:rPr>
        <w:t xml:space="preserve">of </w:t>
      </w:r>
      <w:r w:rsidRPr="00AB6E0A">
        <w:rPr>
          <w:i/>
          <w:color w:val="auto"/>
        </w:rPr>
        <w:t>N</w:t>
      </w:r>
      <w:r w:rsidRPr="00BB3254">
        <w:rPr>
          <w:color w:val="auto"/>
        </w:rPr>
        <w:t xml:space="preserve"> is given by </w:t>
      </w:r>
    </w:p>
    <w:p w:rsidR="00EA3FD7" w:rsidRPr="00BB3254" w:rsidRDefault="00EA3FD7" w:rsidP="00EA3FD7">
      <w:pPr>
        <w:pStyle w:val="Default"/>
        <w:spacing w:before="120" w:line="360" w:lineRule="auto"/>
        <w:ind w:firstLine="720"/>
        <w:jc w:val="both"/>
        <w:rPr>
          <w:color w:val="auto"/>
        </w:rPr>
      </w:pPr>
      <w:r w:rsidRPr="00BB3254">
        <w:rPr>
          <w:color w:val="auto"/>
        </w:rPr>
        <w:object w:dxaOrig="1500" w:dyaOrig="360">
          <v:shape id="_x0000_i1033" type="#_x0000_t75" style="width:76.5pt;height:19.5pt" o:ole="" fillcolor="window">
            <v:imagedata r:id="rId25" o:title=""/>
          </v:shape>
          <o:OLEObject Type="Embed" ProgID="Equation.3" ShapeID="_x0000_i1033" DrawAspect="Content" ObjectID="_1587893019" r:id="rId26"/>
        </w:object>
      </w:r>
      <w:r w:rsidRPr="00BB3254">
        <w:rPr>
          <w:color w:val="auto"/>
        </w:rPr>
        <w:t>.</w:t>
      </w:r>
      <w:r w:rsidRPr="00BB3254">
        <w:rPr>
          <w:color w:val="auto"/>
        </w:rPr>
        <w:tab/>
      </w:r>
      <w:r w:rsidRPr="00BB3254">
        <w:rPr>
          <w:color w:val="auto"/>
        </w:rPr>
        <w:tab/>
        <w:t>(3)</w:t>
      </w:r>
    </w:p>
    <w:p w:rsidR="00EA3FD7" w:rsidRPr="00BB3254" w:rsidRDefault="00EA3FD7" w:rsidP="00EA3FD7">
      <w:pPr>
        <w:pStyle w:val="Default"/>
        <w:spacing w:before="120" w:line="360" w:lineRule="auto"/>
        <w:jc w:val="both"/>
        <w:rPr>
          <w:color w:val="auto"/>
        </w:rPr>
      </w:pPr>
      <w:r w:rsidRPr="00BB3254">
        <w:rPr>
          <w:color w:val="auto"/>
        </w:rPr>
        <w:t xml:space="preserve">Let </w:t>
      </w:r>
      <w:r w:rsidRPr="00F15CCC">
        <w:rPr>
          <w:i/>
          <w:color w:val="auto"/>
        </w:rPr>
        <w:t>p</w:t>
      </w:r>
      <w:r w:rsidRPr="00F15CCC">
        <w:rPr>
          <w:i/>
          <w:color w:val="auto"/>
          <w:vertAlign w:val="subscript"/>
        </w:rPr>
        <w:t>ab</w:t>
      </w:r>
      <w:r w:rsidRPr="00BB3254">
        <w:rPr>
          <w:color w:val="auto"/>
        </w:rPr>
        <w:t xml:space="preserve"> be the probability of inclusion in the </w:t>
      </w:r>
      <w:r w:rsidRPr="00AB6E0A">
        <w:rPr>
          <w:i/>
          <w:color w:val="auto"/>
        </w:rPr>
        <w:t>ab</w:t>
      </w:r>
      <w:r w:rsidRPr="00BB3254">
        <w:rPr>
          <w:color w:val="auto"/>
        </w:rPr>
        <w:t xml:space="preserve">-th cell, with </w:t>
      </w:r>
      <w:r w:rsidRPr="00AB6E0A">
        <w:rPr>
          <w:i/>
          <w:color w:val="auto"/>
        </w:rPr>
        <w:t>a, b</w:t>
      </w:r>
      <w:r w:rsidR="00884A43">
        <w:rPr>
          <w:color w:val="auto"/>
        </w:rPr>
        <w:t xml:space="preserve"> = 1, 2, +. </w:t>
      </w:r>
      <w:r w:rsidRPr="00BB3254">
        <w:rPr>
          <w:color w:val="auto"/>
        </w:rPr>
        <w:t xml:space="preserve">The probability of being counted twice is the product of the marginal counting probabilities, </w:t>
      </w:r>
      <w:r w:rsidRPr="00953766">
        <w:rPr>
          <w:i/>
          <w:color w:val="auto"/>
        </w:rPr>
        <w:t>p</w:t>
      </w:r>
      <w:r w:rsidRPr="00953766">
        <w:rPr>
          <w:i/>
          <w:color w:val="auto"/>
          <w:vertAlign w:val="subscript"/>
        </w:rPr>
        <w:t>11</w:t>
      </w:r>
      <w:r w:rsidRPr="00953766">
        <w:rPr>
          <w:color w:val="auto"/>
        </w:rPr>
        <w:t xml:space="preserve"> = </w:t>
      </w:r>
      <w:r w:rsidRPr="00953766">
        <w:rPr>
          <w:i/>
          <w:color w:val="auto"/>
        </w:rPr>
        <w:t>p</w:t>
      </w:r>
      <w:r w:rsidRPr="00953766">
        <w:rPr>
          <w:i/>
          <w:color w:val="auto"/>
          <w:vertAlign w:val="subscript"/>
        </w:rPr>
        <w:t>1</w:t>
      </w:r>
      <w:r w:rsidRPr="00953766">
        <w:rPr>
          <w:color w:val="auto"/>
          <w:vertAlign w:val="subscript"/>
        </w:rPr>
        <w:t>+</w:t>
      </w:r>
      <w:r w:rsidRPr="00953766">
        <w:rPr>
          <w:i/>
          <w:color w:val="auto"/>
        </w:rPr>
        <w:t>p</w:t>
      </w:r>
      <w:r w:rsidRPr="00953766">
        <w:rPr>
          <w:i/>
          <w:color w:val="auto"/>
          <w:vertAlign w:val="subscript"/>
        </w:rPr>
        <w:t>+1</w:t>
      </w:r>
      <w:r w:rsidRPr="00953766">
        <w:rPr>
          <w:color w:val="auto"/>
        </w:rPr>
        <w:t xml:space="preserve">, </w:t>
      </w:r>
      <w:r w:rsidR="008002BB" w:rsidRPr="00953766">
        <w:rPr>
          <w:color w:val="auto"/>
        </w:rPr>
        <w:t>while</w:t>
      </w:r>
      <w:r w:rsidRPr="00953766">
        <w:rPr>
          <w:color w:val="auto"/>
        </w:rPr>
        <w:t xml:space="preserve"> the maximum likelihood estimators of the probabilities that a</w:t>
      </w:r>
      <w:r w:rsidR="00555562">
        <w:rPr>
          <w:color w:val="auto"/>
        </w:rPr>
        <w:t xml:space="preserve"> person will be counted in the c</w:t>
      </w:r>
      <w:r w:rsidRPr="00953766">
        <w:rPr>
          <w:color w:val="auto"/>
        </w:rPr>
        <w:t xml:space="preserve">ensus and in the PES, </w:t>
      </w:r>
      <w:r w:rsidRPr="00953766">
        <w:rPr>
          <w:i/>
          <w:color w:val="auto"/>
        </w:rPr>
        <w:t>p</w:t>
      </w:r>
      <w:r w:rsidRPr="00953766">
        <w:rPr>
          <w:i/>
          <w:color w:val="auto"/>
          <w:vertAlign w:val="subscript"/>
        </w:rPr>
        <w:t>1+</w:t>
      </w:r>
      <w:r w:rsidRPr="00953766">
        <w:rPr>
          <w:color w:val="auto"/>
        </w:rPr>
        <w:t xml:space="preserve"> and </w:t>
      </w:r>
      <w:r w:rsidRPr="00953766">
        <w:rPr>
          <w:i/>
          <w:color w:val="auto"/>
        </w:rPr>
        <w:t>p</w:t>
      </w:r>
      <w:r w:rsidRPr="00953766">
        <w:rPr>
          <w:i/>
          <w:color w:val="auto"/>
          <w:vertAlign w:val="subscript"/>
        </w:rPr>
        <w:t>+1</w:t>
      </w:r>
      <w:r w:rsidRPr="00953766">
        <w:rPr>
          <w:color w:val="auto"/>
        </w:rPr>
        <w:t>, respectively, are:</w:t>
      </w:r>
    </w:p>
    <w:p w:rsidR="00FD6A6E" w:rsidRPr="00884A43" w:rsidRDefault="00EA3FD7" w:rsidP="00884A43">
      <w:pPr>
        <w:pStyle w:val="Default"/>
        <w:spacing w:before="120" w:line="360" w:lineRule="auto"/>
        <w:ind w:firstLine="720"/>
        <w:jc w:val="both"/>
        <w:rPr>
          <w:color w:val="auto"/>
        </w:rPr>
      </w:pPr>
      <w:r w:rsidRPr="00BB3254">
        <w:rPr>
          <w:color w:val="auto"/>
        </w:rPr>
        <w:object w:dxaOrig="1320" w:dyaOrig="340">
          <v:shape id="_x0000_i1034" type="#_x0000_t75" style="width:66pt;height:17.25pt" o:ole="">
            <v:imagedata r:id="rId27" o:title=""/>
          </v:shape>
          <o:OLEObject Type="Embed" ProgID="Equation.3" ShapeID="_x0000_i1034" DrawAspect="Content" ObjectID="_1587893020" r:id="rId28"/>
        </w:object>
      </w:r>
      <w:r w:rsidRPr="00BB3254">
        <w:rPr>
          <w:color w:val="auto"/>
        </w:rPr>
        <w:tab/>
        <w:t xml:space="preserve">, </w:t>
      </w:r>
      <w:r w:rsidRPr="00BB3254">
        <w:rPr>
          <w:color w:val="auto"/>
        </w:rPr>
        <w:object w:dxaOrig="1359" w:dyaOrig="340">
          <v:shape id="_x0000_i1035" type="#_x0000_t75" style="width:68.25pt;height:17.25pt" o:ole="">
            <v:imagedata r:id="rId29" o:title=""/>
          </v:shape>
          <o:OLEObject Type="Embed" ProgID="Equation.3" ShapeID="_x0000_i1035" DrawAspect="Content" ObjectID="_1587893021" r:id="rId30"/>
        </w:object>
      </w:r>
      <w:r w:rsidR="00884A43">
        <w:rPr>
          <w:color w:val="auto"/>
        </w:rPr>
        <w:tab/>
        <w:t xml:space="preserve"> (4)</w:t>
      </w:r>
    </w:p>
    <w:p w:rsidR="00FD6A6E" w:rsidRDefault="00EA3FD7" w:rsidP="00A0249E">
      <w:pPr>
        <w:spacing w:before="120" w:after="0" w:line="360" w:lineRule="auto"/>
        <w:jc w:val="both"/>
        <w:rPr>
          <w:lang w:val="en-GB"/>
        </w:rPr>
      </w:pPr>
      <w:bookmarkStart w:id="1" w:name="_Toc463855396"/>
      <w:r>
        <w:rPr>
          <w:rFonts w:ascii="Arial" w:hAnsi="Arial" w:cs="Arial"/>
          <w:i/>
          <w:sz w:val="24"/>
          <w:szCs w:val="24"/>
          <w:lang w:val="en-GB"/>
        </w:rPr>
        <w:t xml:space="preserve">3.3. </w:t>
      </w:r>
      <w:r w:rsidRPr="00EA3FD7">
        <w:rPr>
          <w:rFonts w:ascii="Arial" w:hAnsi="Arial" w:cs="Arial"/>
          <w:i/>
          <w:sz w:val="24"/>
          <w:szCs w:val="24"/>
          <w:lang w:val="en-GB"/>
        </w:rPr>
        <w:t>Methodology and results of the linkage procedure</w:t>
      </w:r>
      <w:bookmarkEnd w:id="1"/>
    </w:p>
    <w:p w:rsidR="00346DF1" w:rsidRDefault="00EA3FD7" w:rsidP="00CB672A">
      <w:pPr>
        <w:pStyle w:val="Default"/>
        <w:spacing w:before="120" w:line="360" w:lineRule="auto"/>
        <w:jc w:val="both"/>
        <w:rPr>
          <w:color w:val="auto"/>
        </w:rPr>
      </w:pPr>
      <w:r w:rsidRPr="00BB3254">
        <w:rPr>
          <w:color w:val="auto"/>
        </w:rPr>
        <w:t xml:space="preserve">The linkage was </w:t>
      </w:r>
      <w:r w:rsidR="00CB672A">
        <w:rPr>
          <w:color w:val="auto"/>
        </w:rPr>
        <w:t>based on the</w:t>
      </w:r>
      <w:r w:rsidR="00CB672A" w:rsidRPr="00BB3254">
        <w:rPr>
          <w:color w:val="auto"/>
        </w:rPr>
        <w:t xml:space="preserve"> probabilistic model </w:t>
      </w:r>
      <w:r w:rsidR="00CB672A">
        <w:rPr>
          <w:color w:val="auto"/>
        </w:rPr>
        <w:t xml:space="preserve">of </w:t>
      </w:r>
      <w:r w:rsidR="00CB672A" w:rsidRPr="00BB3254">
        <w:rPr>
          <w:color w:val="auto"/>
        </w:rPr>
        <w:t>Fellegi and Sunter</w:t>
      </w:r>
      <w:r w:rsidR="00CB672A">
        <w:rPr>
          <w:color w:val="auto"/>
        </w:rPr>
        <w:t xml:space="preserve"> (1969) and </w:t>
      </w:r>
      <w:r w:rsidRPr="00BB3254">
        <w:rPr>
          <w:color w:val="auto"/>
        </w:rPr>
        <w:t>perform</w:t>
      </w:r>
      <w:r w:rsidR="00CB672A">
        <w:rPr>
          <w:color w:val="auto"/>
        </w:rPr>
        <w:t>ed by using the software RELAIS</w:t>
      </w:r>
      <w:r w:rsidRPr="00BB3254">
        <w:rPr>
          <w:color w:val="auto"/>
        </w:rPr>
        <w:t xml:space="preserve">. </w:t>
      </w:r>
      <w:r w:rsidR="00CB672A">
        <w:rPr>
          <w:color w:val="auto"/>
        </w:rPr>
        <w:t>T</w:t>
      </w:r>
      <w:r>
        <w:rPr>
          <w:color w:val="auto"/>
        </w:rPr>
        <w:t xml:space="preserve">he </w:t>
      </w:r>
      <w:r w:rsidRPr="00BB3254">
        <w:rPr>
          <w:color w:val="auto"/>
        </w:rPr>
        <w:t xml:space="preserve">resident and the enumeration </w:t>
      </w:r>
      <w:r>
        <w:rPr>
          <w:color w:val="auto"/>
        </w:rPr>
        <w:t xml:space="preserve">status </w:t>
      </w:r>
      <w:r w:rsidR="00412C78">
        <w:rPr>
          <w:color w:val="auto"/>
        </w:rPr>
        <w:t>were included</w:t>
      </w:r>
      <w:r>
        <w:rPr>
          <w:color w:val="auto"/>
        </w:rPr>
        <w:t xml:space="preserve"> </w:t>
      </w:r>
      <w:r w:rsidRPr="00BB3254">
        <w:rPr>
          <w:color w:val="auto"/>
        </w:rPr>
        <w:t xml:space="preserve">and only records declaring to be resident were considered in </w:t>
      </w:r>
      <w:r>
        <w:rPr>
          <w:color w:val="auto"/>
        </w:rPr>
        <w:t>following</w:t>
      </w:r>
      <w:r w:rsidRPr="00BB3254">
        <w:rPr>
          <w:color w:val="auto"/>
        </w:rPr>
        <w:t xml:space="preserve"> steps. The </w:t>
      </w:r>
      <w:r>
        <w:rPr>
          <w:color w:val="auto"/>
        </w:rPr>
        <w:t>final results of record</w:t>
      </w:r>
      <w:r w:rsidRPr="00BB3254">
        <w:rPr>
          <w:color w:val="auto"/>
        </w:rPr>
        <w:t xml:space="preserve"> linkage are presented in the table </w:t>
      </w:r>
      <w:r w:rsidR="00F37447">
        <w:rPr>
          <w:color w:val="auto"/>
        </w:rPr>
        <w:t>2. It is evident</w:t>
      </w:r>
      <w:r w:rsidR="00F37447" w:rsidRPr="00BB3254">
        <w:rPr>
          <w:color w:val="auto"/>
        </w:rPr>
        <w:t xml:space="preserve"> that the over-count of individuals was unusual.</w:t>
      </w:r>
      <w:r w:rsidR="00F37447">
        <w:rPr>
          <w:color w:val="auto"/>
        </w:rPr>
        <w:t xml:space="preserve"> There were three </w:t>
      </w:r>
      <w:r w:rsidR="00F37447" w:rsidRPr="00BB3254">
        <w:rPr>
          <w:color w:val="auto"/>
        </w:rPr>
        <w:t>possible solutions</w:t>
      </w:r>
      <w:r w:rsidR="00F37447">
        <w:rPr>
          <w:color w:val="auto"/>
        </w:rPr>
        <w:t xml:space="preserve"> of this problem: (i) </w:t>
      </w:r>
      <w:r w:rsidR="00F37447" w:rsidRPr="00BB3254">
        <w:rPr>
          <w:color w:val="auto"/>
        </w:rPr>
        <w:t>use of administrative</w:t>
      </w:r>
      <w:r w:rsidR="00CB672A">
        <w:rPr>
          <w:color w:val="auto"/>
        </w:rPr>
        <w:t xml:space="preserve"> </w:t>
      </w:r>
      <w:r w:rsidR="004802D9" w:rsidRPr="00BB3254">
        <w:rPr>
          <w:color w:val="auto"/>
        </w:rPr>
        <w:t>sources;</w:t>
      </w:r>
      <w:r w:rsidR="004802D9">
        <w:rPr>
          <w:color w:val="auto"/>
        </w:rPr>
        <w:t xml:space="preserve"> (ii) new</w:t>
      </w:r>
      <w:r w:rsidR="004802D9" w:rsidRPr="00823D3D">
        <w:rPr>
          <w:color w:val="auto"/>
        </w:rPr>
        <w:t xml:space="preserve"> sample survey </w:t>
      </w:r>
      <w:r w:rsidR="004802D9">
        <w:rPr>
          <w:color w:val="auto"/>
        </w:rPr>
        <w:t xml:space="preserve">for evaluating the over-coverage, and (iii) </w:t>
      </w:r>
      <w:r w:rsidR="004802D9" w:rsidRPr="00823D3D">
        <w:rPr>
          <w:color w:val="auto"/>
        </w:rPr>
        <w:t>adjustment</w:t>
      </w:r>
      <w:r w:rsidR="00CB672A">
        <w:rPr>
          <w:color w:val="auto"/>
        </w:rPr>
        <w:t xml:space="preserve"> </w:t>
      </w:r>
      <w:r w:rsidR="00346DF1" w:rsidRPr="00823D3D">
        <w:rPr>
          <w:color w:val="auto"/>
        </w:rPr>
        <w:t>of DSE.</w:t>
      </w:r>
      <w:r w:rsidR="00346DF1">
        <w:rPr>
          <w:color w:val="auto"/>
        </w:rPr>
        <w:t xml:space="preserve"> T</w:t>
      </w:r>
      <w:r w:rsidR="00346DF1" w:rsidRPr="00BB3254">
        <w:rPr>
          <w:color w:val="auto"/>
        </w:rPr>
        <w:t>he la</w:t>
      </w:r>
      <w:r w:rsidR="00346DF1">
        <w:rPr>
          <w:color w:val="auto"/>
        </w:rPr>
        <w:t>st option was the only possible and</w:t>
      </w:r>
      <w:r w:rsidR="00346DF1" w:rsidRPr="00BB3254">
        <w:rPr>
          <w:color w:val="auto"/>
        </w:rPr>
        <w:t xml:space="preserve"> </w:t>
      </w:r>
      <w:r w:rsidR="00346DF1">
        <w:rPr>
          <w:color w:val="auto"/>
        </w:rPr>
        <w:t>it</w:t>
      </w:r>
      <w:r w:rsidR="00346DF1" w:rsidRPr="00BB3254">
        <w:rPr>
          <w:color w:val="auto"/>
        </w:rPr>
        <w:t xml:space="preserve"> enables the use of the DSE </w:t>
      </w:r>
      <w:r w:rsidR="00346DF1">
        <w:rPr>
          <w:color w:val="auto"/>
        </w:rPr>
        <w:t xml:space="preserve">method </w:t>
      </w:r>
      <w:r w:rsidR="00346DF1" w:rsidRPr="00BB3254">
        <w:rPr>
          <w:color w:val="auto"/>
        </w:rPr>
        <w:t>(</w:t>
      </w:r>
      <w:r w:rsidR="00346DF1">
        <w:rPr>
          <w:color w:val="auto"/>
        </w:rPr>
        <w:t xml:space="preserve">Wolter, </w:t>
      </w:r>
      <w:r w:rsidR="00346DF1" w:rsidRPr="00BB3254">
        <w:rPr>
          <w:color w:val="auto"/>
        </w:rPr>
        <w:t>1986)</w:t>
      </w:r>
      <w:r w:rsidR="00346DF1">
        <w:rPr>
          <w:color w:val="auto"/>
        </w:rPr>
        <w:t>.</w:t>
      </w:r>
    </w:p>
    <w:p w:rsidR="00FF078A" w:rsidRPr="00FF7EC9" w:rsidRDefault="00CB672A" w:rsidP="00E4219B">
      <w:pPr>
        <w:pStyle w:val="Default"/>
        <w:spacing w:line="360" w:lineRule="auto"/>
        <w:jc w:val="both"/>
        <w:rPr>
          <w:color w:val="auto"/>
        </w:rPr>
      </w:pPr>
      <w:r w:rsidRPr="00BB3254">
        <w:rPr>
          <w:color w:val="auto"/>
        </w:rPr>
        <w:t xml:space="preserve">Suppose that the census list comprises </w:t>
      </w:r>
      <w:r w:rsidRPr="00497316">
        <w:rPr>
          <w:i/>
          <w:color w:val="auto"/>
        </w:rPr>
        <w:t>N</w:t>
      </w:r>
      <w:r w:rsidRPr="00497316">
        <w:rPr>
          <w:i/>
          <w:color w:val="auto"/>
          <w:vertAlign w:val="subscript"/>
        </w:rPr>
        <w:t>census</w:t>
      </w:r>
      <w:r w:rsidRPr="00BB3254">
        <w:rPr>
          <w:color w:val="auto"/>
        </w:rPr>
        <w:t xml:space="preserve"> enumerations, of which </w:t>
      </w:r>
      <w:r w:rsidRPr="00497316">
        <w:rPr>
          <w:i/>
          <w:color w:val="auto"/>
        </w:rPr>
        <w:t>N</w:t>
      </w:r>
      <w:r w:rsidRPr="00497316">
        <w:rPr>
          <w:i/>
          <w:color w:val="auto"/>
          <w:vertAlign w:val="subscript"/>
        </w:rPr>
        <w:t>ce</w:t>
      </w:r>
      <w:r w:rsidRPr="00BB3254">
        <w:rPr>
          <w:color w:val="auto"/>
        </w:rPr>
        <w:t xml:space="preserve"> are</w:t>
      </w:r>
      <w:r w:rsidR="007743C2">
        <w:rPr>
          <w:color w:val="auto"/>
        </w:rPr>
        <w:t xml:space="preserve"> </w:t>
      </w:r>
      <w:r w:rsidR="007743C2" w:rsidRPr="00BB3254">
        <w:rPr>
          <w:color w:val="auto"/>
        </w:rPr>
        <w:t>eligible</w:t>
      </w:r>
      <w:r w:rsidR="007743C2">
        <w:rPr>
          <w:color w:val="auto"/>
        </w:rPr>
        <w:t xml:space="preserve"> </w:t>
      </w:r>
      <w:r w:rsidR="007743C2" w:rsidRPr="00BB3254">
        <w:rPr>
          <w:color w:val="auto"/>
        </w:rPr>
        <w:t>and correctly enumerated</w:t>
      </w:r>
      <w:r w:rsidR="007743C2">
        <w:rPr>
          <w:color w:val="auto"/>
        </w:rPr>
        <w:t>,</w:t>
      </w:r>
      <w:r w:rsidR="007743C2" w:rsidRPr="00BB3254">
        <w:rPr>
          <w:color w:val="auto"/>
        </w:rPr>
        <w:t xml:space="preserve"> while </w:t>
      </w:r>
      <w:r w:rsidR="007743C2" w:rsidRPr="00497316">
        <w:rPr>
          <w:i/>
          <w:color w:val="auto"/>
        </w:rPr>
        <w:t>Z</w:t>
      </w:r>
      <w:r w:rsidR="007743C2" w:rsidRPr="00BB3254">
        <w:rPr>
          <w:color w:val="auto"/>
        </w:rPr>
        <w:t xml:space="preserve"> are ineligible, then </w:t>
      </w:r>
      <w:r w:rsidR="007743C2" w:rsidRPr="00497316">
        <w:rPr>
          <w:i/>
          <w:color w:val="auto"/>
        </w:rPr>
        <w:t>N</w:t>
      </w:r>
      <w:r w:rsidR="007743C2" w:rsidRPr="00497316">
        <w:rPr>
          <w:i/>
          <w:color w:val="auto"/>
          <w:vertAlign w:val="subscript"/>
        </w:rPr>
        <w:t>census</w:t>
      </w:r>
      <w:r w:rsidR="00C86095">
        <w:rPr>
          <w:color w:val="auto"/>
        </w:rPr>
        <w:t>=</w:t>
      </w:r>
      <w:r w:rsidR="007743C2" w:rsidRPr="00497316">
        <w:rPr>
          <w:i/>
          <w:color w:val="auto"/>
        </w:rPr>
        <w:t>X</w:t>
      </w:r>
      <w:r w:rsidR="007743C2" w:rsidRPr="00497316">
        <w:rPr>
          <w:i/>
          <w:color w:val="auto"/>
          <w:vertAlign w:val="subscript"/>
        </w:rPr>
        <w:t>1</w:t>
      </w:r>
      <w:r w:rsidR="007743C2" w:rsidRPr="00497316">
        <w:rPr>
          <w:color w:val="auto"/>
          <w:vertAlign w:val="subscript"/>
        </w:rPr>
        <w:t>+</w:t>
      </w:r>
      <w:r w:rsidR="00C86095">
        <w:rPr>
          <w:color w:val="auto"/>
          <w:vertAlign w:val="subscript"/>
        </w:rPr>
        <w:t xml:space="preserve"> </w:t>
      </w:r>
      <w:r w:rsidR="00C86095">
        <w:rPr>
          <w:color w:val="auto"/>
        </w:rPr>
        <w:t xml:space="preserve">+ </w:t>
      </w:r>
      <w:r w:rsidR="007743C2" w:rsidRPr="00497316">
        <w:rPr>
          <w:i/>
          <w:color w:val="auto"/>
        </w:rPr>
        <w:t>Z</w:t>
      </w:r>
      <w:r w:rsidR="007743C2" w:rsidRPr="00497316">
        <w:rPr>
          <w:color w:val="auto"/>
        </w:rPr>
        <w:t xml:space="preserve"> =</w:t>
      </w:r>
      <w:r w:rsidR="007743C2" w:rsidRPr="00BB3254">
        <w:rPr>
          <w:color w:val="auto"/>
        </w:rPr>
        <w:t xml:space="preserve"> </w:t>
      </w:r>
      <w:r w:rsidR="007743C2" w:rsidRPr="00497316">
        <w:rPr>
          <w:i/>
          <w:color w:val="auto"/>
        </w:rPr>
        <w:t>N</w:t>
      </w:r>
      <w:r w:rsidR="007743C2" w:rsidRPr="00497316">
        <w:rPr>
          <w:i/>
          <w:color w:val="auto"/>
          <w:vertAlign w:val="subscript"/>
        </w:rPr>
        <w:t>ce</w:t>
      </w:r>
      <w:r w:rsidR="00C86095">
        <w:rPr>
          <w:color w:val="auto"/>
        </w:rPr>
        <w:t>+</w:t>
      </w:r>
      <w:r w:rsidR="007743C2" w:rsidRPr="00497316">
        <w:rPr>
          <w:i/>
          <w:color w:val="auto"/>
        </w:rPr>
        <w:t>Z</w:t>
      </w:r>
      <w:r w:rsidR="007743C2" w:rsidRPr="00BB3254">
        <w:rPr>
          <w:color w:val="auto"/>
        </w:rPr>
        <w:t>.</w:t>
      </w:r>
      <w:r w:rsidR="007743C2">
        <w:rPr>
          <w:color w:val="auto"/>
        </w:rPr>
        <w:t xml:space="preserve"> </w:t>
      </w:r>
    </w:p>
    <w:tbl>
      <w:tblPr>
        <w:tblStyle w:val="Tabela-Siatka"/>
        <w:tblW w:w="0" w:type="auto"/>
        <w:jc w:val="center"/>
        <w:tblLook w:val="04A0" w:firstRow="1" w:lastRow="0" w:firstColumn="1" w:lastColumn="0" w:noHBand="0" w:noVBand="1"/>
      </w:tblPr>
      <w:tblGrid>
        <w:gridCol w:w="1897"/>
        <w:gridCol w:w="2333"/>
        <w:gridCol w:w="1701"/>
        <w:gridCol w:w="1701"/>
        <w:gridCol w:w="1548"/>
      </w:tblGrid>
      <w:tr w:rsidR="00EA3FD7" w:rsidRPr="00FB483E" w:rsidTr="008A7985">
        <w:trPr>
          <w:trHeight w:val="446"/>
          <w:jc w:val="center"/>
        </w:trPr>
        <w:tc>
          <w:tcPr>
            <w:tcW w:w="9180" w:type="dxa"/>
            <w:gridSpan w:val="5"/>
            <w:tcBorders>
              <w:top w:val="nil"/>
              <w:left w:val="nil"/>
              <w:right w:val="nil"/>
            </w:tcBorders>
          </w:tcPr>
          <w:p w:rsidR="00EA3FD7" w:rsidRPr="00FB483E" w:rsidRDefault="00EA3FD7" w:rsidP="00E4219B">
            <w:pPr>
              <w:pStyle w:val="Legenda"/>
              <w:keepNext/>
              <w:spacing w:after="0" w:line="360" w:lineRule="auto"/>
              <w:rPr>
                <w:rFonts w:ascii="Arial" w:hAnsi="Arial" w:cs="Arial"/>
                <w:b/>
                <w:sz w:val="20"/>
                <w:szCs w:val="20"/>
                <w:lang w:val="en-US"/>
              </w:rPr>
            </w:pPr>
            <w:r w:rsidRPr="00EA3FD7">
              <w:rPr>
                <w:rFonts w:ascii="Arial" w:hAnsi="Arial" w:cs="Arial"/>
                <w:b/>
                <w:i w:val="0"/>
                <w:color w:val="auto"/>
                <w:sz w:val="20"/>
                <w:szCs w:val="20"/>
                <w:lang w:val="en-GB"/>
              </w:rPr>
              <w:lastRenderedPageBreak/>
              <w:t>Table 2. Contingency table of individuals enumerated in the census and in the PES-final   data, unweighted cases</w:t>
            </w:r>
          </w:p>
        </w:tc>
      </w:tr>
      <w:tr w:rsidR="00EA3FD7" w:rsidRPr="00FB483E" w:rsidTr="008A7985">
        <w:trPr>
          <w:trHeight w:val="229"/>
          <w:jc w:val="center"/>
        </w:trPr>
        <w:tc>
          <w:tcPr>
            <w:tcW w:w="4230" w:type="dxa"/>
            <w:gridSpan w:val="2"/>
            <w:vMerge w:val="restart"/>
          </w:tcPr>
          <w:p w:rsidR="00EA3FD7" w:rsidRPr="00FB483E" w:rsidRDefault="00EA3FD7" w:rsidP="00634A2B">
            <w:pPr>
              <w:autoSpaceDE w:val="0"/>
              <w:autoSpaceDN w:val="0"/>
              <w:adjustRightInd w:val="0"/>
              <w:spacing w:before="60" w:after="60"/>
              <w:jc w:val="both"/>
              <w:rPr>
                <w:rFonts w:ascii="Arial" w:hAnsi="Arial" w:cs="Arial"/>
                <w:sz w:val="20"/>
                <w:szCs w:val="20"/>
              </w:rPr>
            </w:pPr>
          </w:p>
        </w:tc>
        <w:tc>
          <w:tcPr>
            <w:tcW w:w="3402" w:type="dxa"/>
            <w:gridSpan w:val="2"/>
            <w:vAlign w:val="center"/>
          </w:tcPr>
          <w:p w:rsidR="00EA3FD7" w:rsidRPr="00FB483E" w:rsidRDefault="00EA3FD7" w:rsidP="00634A2B">
            <w:pPr>
              <w:autoSpaceDE w:val="0"/>
              <w:autoSpaceDN w:val="0"/>
              <w:adjustRightInd w:val="0"/>
              <w:spacing w:before="60" w:after="60"/>
              <w:jc w:val="center"/>
              <w:rPr>
                <w:rFonts w:ascii="Arial" w:hAnsi="Arial" w:cs="Arial"/>
                <w:b/>
                <w:sz w:val="20"/>
                <w:szCs w:val="20"/>
              </w:rPr>
            </w:pPr>
            <w:r w:rsidRPr="00FB483E">
              <w:rPr>
                <w:rFonts w:ascii="Arial" w:hAnsi="Arial" w:cs="Arial"/>
                <w:b/>
                <w:sz w:val="20"/>
                <w:szCs w:val="20"/>
              </w:rPr>
              <w:t>PES</w:t>
            </w:r>
          </w:p>
        </w:tc>
        <w:tc>
          <w:tcPr>
            <w:tcW w:w="1548" w:type="dxa"/>
            <w:vMerge w:val="restart"/>
            <w:vAlign w:val="center"/>
          </w:tcPr>
          <w:p w:rsidR="00EA3FD7" w:rsidRPr="00FB483E" w:rsidRDefault="00EA3FD7" w:rsidP="00634A2B">
            <w:pPr>
              <w:autoSpaceDE w:val="0"/>
              <w:autoSpaceDN w:val="0"/>
              <w:adjustRightInd w:val="0"/>
              <w:spacing w:before="60" w:after="60"/>
              <w:jc w:val="center"/>
              <w:rPr>
                <w:rFonts w:ascii="Arial" w:hAnsi="Arial" w:cs="Arial"/>
                <w:b/>
                <w:sz w:val="20"/>
                <w:szCs w:val="20"/>
              </w:rPr>
            </w:pPr>
            <w:r w:rsidRPr="00FB483E">
              <w:rPr>
                <w:rFonts w:ascii="Arial" w:hAnsi="Arial" w:cs="Arial"/>
                <w:b/>
                <w:sz w:val="20"/>
                <w:szCs w:val="20"/>
              </w:rPr>
              <w:t>Total</w:t>
            </w:r>
          </w:p>
        </w:tc>
      </w:tr>
      <w:tr w:rsidR="00EA3FD7" w:rsidRPr="00FB483E" w:rsidTr="008A7985">
        <w:trPr>
          <w:trHeight w:val="357"/>
          <w:jc w:val="center"/>
        </w:trPr>
        <w:tc>
          <w:tcPr>
            <w:tcW w:w="4230" w:type="dxa"/>
            <w:gridSpan w:val="2"/>
            <w:vMerge/>
            <w:vAlign w:val="center"/>
          </w:tcPr>
          <w:p w:rsidR="00EA3FD7" w:rsidRPr="00FB483E" w:rsidRDefault="00EA3FD7" w:rsidP="00634A2B">
            <w:pPr>
              <w:autoSpaceDE w:val="0"/>
              <w:autoSpaceDN w:val="0"/>
              <w:adjustRightInd w:val="0"/>
              <w:spacing w:before="60" w:after="60"/>
              <w:jc w:val="both"/>
              <w:rPr>
                <w:rFonts w:ascii="Arial" w:hAnsi="Arial" w:cs="Arial"/>
                <w:sz w:val="20"/>
                <w:szCs w:val="20"/>
              </w:rPr>
            </w:pPr>
          </w:p>
        </w:tc>
        <w:tc>
          <w:tcPr>
            <w:tcW w:w="1701" w:type="dxa"/>
            <w:vAlign w:val="center"/>
          </w:tcPr>
          <w:p w:rsidR="00EA3FD7" w:rsidRPr="00FB483E" w:rsidRDefault="00EA3FD7" w:rsidP="00634A2B">
            <w:pPr>
              <w:autoSpaceDE w:val="0"/>
              <w:autoSpaceDN w:val="0"/>
              <w:adjustRightInd w:val="0"/>
              <w:spacing w:before="60" w:after="60"/>
              <w:jc w:val="center"/>
              <w:rPr>
                <w:rFonts w:ascii="Arial" w:hAnsi="Arial" w:cs="Arial"/>
                <w:b/>
                <w:sz w:val="20"/>
                <w:szCs w:val="20"/>
              </w:rPr>
            </w:pPr>
            <w:r w:rsidRPr="00FB483E">
              <w:rPr>
                <w:rFonts w:ascii="Arial" w:hAnsi="Arial" w:cs="Arial"/>
                <w:b/>
                <w:sz w:val="20"/>
                <w:szCs w:val="20"/>
              </w:rPr>
              <w:t>Present</w:t>
            </w:r>
          </w:p>
        </w:tc>
        <w:tc>
          <w:tcPr>
            <w:tcW w:w="1701" w:type="dxa"/>
            <w:vAlign w:val="center"/>
          </w:tcPr>
          <w:p w:rsidR="00EA3FD7" w:rsidRPr="00FB483E" w:rsidRDefault="00EA3FD7" w:rsidP="00634A2B">
            <w:pPr>
              <w:autoSpaceDE w:val="0"/>
              <w:autoSpaceDN w:val="0"/>
              <w:adjustRightInd w:val="0"/>
              <w:spacing w:before="60" w:after="60"/>
              <w:jc w:val="center"/>
              <w:rPr>
                <w:rFonts w:ascii="Arial" w:hAnsi="Arial" w:cs="Arial"/>
                <w:b/>
                <w:sz w:val="20"/>
                <w:szCs w:val="20"/>
              </w:rPr>
            </w:pPr>
            <w:r w:rsidRPr="00FB483E">
              <w:rPr>
                <w:rFonts w:ascii="Arial" w:hAnsi="Arial" w:cs="Arial"/>
                <w:b/>
                <w:sz w:val="20"/>
                <w:szCs w:val="20"/>
              </w:rPr>
              <w:t>Absent</w:t>
            </w:r>
          </w:p>
        </w:tc>
        <w:tc>
          <w:tcPr>
            <w:tcW w:w="1548" w:type="dxa"/>
            <w:vMerge/>
            <w:vAlign w:val="center"/>
          </w:tcPr>
          <w:p w:rsidR="00EA3FD7" w:rsidRPr="00FB483E" w:rsidRDefault="00EA3FD7" w:rsidP="00634A2B">
            <w:pPr>
              <w:autoSpaceDE w:val="0"/>
              <w:autoSpaceDN w:val="0"/>
              <w:adjustRightInd w:val="0"/>
              <w:spacing w:before="60" w:after="60"/>
              <w:jc w:val="center"/>
              <w:rPr>
                <w:rFonts w:ascii="Arial" w:hAnsi="Arial" w:cs="Arial"/>
                <w:sz w:val="20"/>
                <w:szCs w:val="20"/>
              </w:rPr>
            </w:pPr>
          </w:p>
        </w:tc>
      </w:tr>
      <w:tr w:rsidR="00EA3FD7" w:rsidRPr="00FB483E" w:rsidTr="008A7985">
        <w:trPr>
          <w:trHeight w:val="416"/>
          <w:jc w:val="center"/>
        </w:trPr>
        <w:tc>
          <w:tcPr>
            <w:tcW w:w="1897" w:type="dxa"/>
            <w:vMerge w:val="restart"/>
            <w:vAlign w:val="center"/>
          </w:tcPr>
          <w:p w:rsidR="00EA3FD7" w:rsidRPr="00FB483E" w:rsidRDefault="00EA3FD7" w:rsidP="00634A2B">
            <w:pPr>
              <w:autoSpaceDE w:val="0"/>
              <w:autoSpaceDN w:val="0"/>
              <w:adjustRightInd w:val="0"/>
              <w:spacing w:after="60"/>
              <w:jc w:val="center"/>
              <w:rPr>
                <w:rFonts w:ascii="Arial" w:hAnsi="Arial" w:cs="Arial"/>
                <w:b/>
                <w:sz w:val="20"/>
                <w:szCs w:val="20"/>
              </w:rPr>
            </w:pPr>
            <w:r w:rsidRPr="00FB483E">
              <w:rPr>
                <w:rFonts w:ascii="Arial" w:hAnsi="Arial" w:cs="Arial"/>
                <w:b/>
                <w:sz w:val="20"/>
                <w:szCs w:val="20"/>
              </w:rPr>
              <w:t>Census</w:t>
            </w:r>
          </w:p>
        </w:tc>
        <w:tc>
          <w:tcPr>
            <w:tcW w:w="2333" w:type="dxa"/>
            <w:vAlign w:val="center"/>
          </w:tcPr>
          <w:p w:rsidR="00EA3FD7" w:rsidRPr="00FB483E" w:rsidRDefault="00EA3FD7" w:rsidP="00634A2B">
            <w:pPr>
              <w:autoSpaceDE w:val="0"/>
              <w:autoSpaceDN w:val="0"/>
              <w:adjustRightInd w:val="0"/>
              <w:spacing w:before="60" w:after="60"/>
              <w:jc w:val="center"/>
              <w:rPr>
                <w:rFonts w:ascii="Arial" w:hAnsi="Arial" w:cs="Arial"/>
                <w:b/>
                <w:sz w:val="20"/>
                <w:szCs w:val="20"/>
              </w:rPr>
            </w:pPr>
            <w:r w:rsidRPr="00FB483E">
              <w:rPr>
                <w:rFonts w:ascii="Arial" w:hAnsi="Arial" w:cs="Arial"/>
                <w:b/>
                <w:sz w:val="20"/>
                <w:szCs w:val="20"/>
              </w:rPr>
              <w:t>Present</w:t>
            </w:r>
          </w:p>
        </w:tc>
        <w:tc>
          <w:tcPr>
            <w:tcW w:w="1701" w:type="dxa"/>
            <w:vAlign w:val="center"/>
          </w:tcPr>
          <w:p w:rsidR="00EA3FD7" w:rsidRPr="00FB483E" w:rsidRDefault="00EA3FD7" w:rsidP="00634A2B">
            <w:pPr>
              <w:autoSpaceDE w:val="0"/>
              <w:autoSpaceDN w:val="0"/>
              <w:adjustRightInd w:val="0"/>
              <w:spacing w:before="60" w:after="60"/>
              <w:jc w:val="right"/>
              <w:rPr>
                <w:rFonts w:ascii="Arial" w:hAnsi="Arial" w:cs="Arial"/>
                <w:sz w:val="20"/>
                <w:szCs w:val="20"/>
              </w:rPr>
            </w:pPr>
            <w:r w:rsidRPr="00FB483E">
              <w:rPr>
                <w:rFonts w:ascii="Arial" w:hAnsi="Arial" w:cs="Arial"/>
                <w:sz w:val="20"/>
                <w:szCs w:val="20"/>
              </w:rPr>
              <w:t>34,603</w:t>
            </w:r>
          </w:p>
        </w:tc>
        <w:tc>
          <w:tcPr>
            <w:tcW w:w="1701" w:type="dxa"/>
            <w:vAlign w:val="center"/>
          </w:tcPr>
          <w:p w:rsidR="00EA3FD7" w:rsidRPr="00FB483E" w:rsidRDefault="00EA3FD7" w:rsidP="00634A2B">
            <w:pPr>
              <w:autoSpaceDE w:val="0"/>
              <w:autoSpaceDN w:val="0"/>
              <w:adjustRightInd w:val="0"/>
              <w:spacing w:before="60" w:after="60"/>
              <w:jc w:val="right"/>
              <w:rPr>
                <w:rFonts w:ascii="Arial" w:hAnsi="Arial" w:cs="Arial"/>
                <w:sz w:val="20"/>
                <w:szCs w:val="20"/>
              </w:rPr>
            </w:pPr>
            <w:r w:rsidRPr="00FB483E">
              <w:rPr>
                <w:rFonts w:ascii="Arial" w:hAnsi="Arial" w:cs="Arial"/>
                <w:sz w:val="20"/>
                <w:szCs w:val="20"/>
              </w:rPr>
              <w:t>2,656</w:t>
            </w:r>
          </w:p>
        </w:tc>
        <w:tc>
          <w:tcPr>
            <w:tcW w:w="1548" w:type="dxa"/>
            <w:vAlign w:val="center"/>
          </w:tcPr>
          <w:p w:rsidR="00EA3FD7" w:rsidRPr="00FB483E" w:rsidRDefault="00EA3FD7" w:rsidP="00634A2B">
            <w:pPr>
              <w:autoSpaceDE w:val="0"/>
              <w:autoSpaceDN w:val="0"/>
              <w:adjustRightInd w:val="0"/>
              <w:spacing w:before="60" w:after="60"/>
              <w:jc w:val="right"/>
              <w:rPr>
                <w:rFonts w:ascii="Arial" w:hAnsi="Arial" w:cs="Arial"/>
                <w:position w:val="-10"/>
                <w:sz w:val="20"/>
                <w:szCs w:val="20"/>
              </w:rPr>
            </w:pPr>
            <w:r w:rsidRPr="00FB483E">
              <w:rPr>
                <w:rFonts w:ascii="Arial" w:hAnsi="Arial" w:cs="Arial"/>
                <w:position w:val="-10"/>
                <w:sz w:val="20"/>
                <w:szCs w:val="20"/>
              </w:rPr>
              <w:t>37,259</w:t>
            </w:r>
          </w:p>
        </w:tc>
      </w:tr>
      <w:tr w:rsidR="00EA3FD7" w:rsidRPr="00FB483E" w:rsidTr="008A7985">
        <w:trPr>
          <w:trHeight w:val="365"/>
          <w:jc w:val="center"/>
        </w:trPr>
        <w:tc>
          <w:tcPr>
            <w:tcW w:w="1897" w:type="dxa"/>
            <w:vMerge/>
            <w:vAlign w:val="center"/>
          </w:tcPr>
          <w:p w:rsidR="00EA3FD7" w:rsidRPr="00FB483E" w:rsidRDefault="00EA3FD7" w:rsidP="00634A2B">
            <w:pPr>
              <w:autoSpaceDE w:val="0"/>
              <w:autoSpaceDN w:val="0"/>
              <w:adjustRightInd w:val="0"/>
              <w:spacing w:after="60"/>
              <w:jc w:val="center"/>
              <w:rPr>
                <w:rFonts w:ascii="Arial" w:hAnsi="Arial" w:cs="Arial"/>
                <w:b/>
                <w:sz w:val="20"/>
                <w:szCs w:val="20"/>
              </w:rPr>
            </w:pPr>
          </w:p>
        </w:tc>
        <w:tc>
          <w:tcPr>
            <w:tcW w:w="2333" w:type="dxa"/>
            <w:vAlign w:val="center"/>
          </w:tcPr>
          <w:p w:rsidR="00EA3FD7" w:rsidRPr="00FB483E" w:rsidRDefault="00EA3FD7" w:rsidP="00634A2B">
            <w:pPr>
              <w:autoSpaceDE w:val="0"/>
              <w:autoSpaceDN w:val="0"/>
              <w:adjustRightInd w:val="0"/>
              <w:spacing w:before="60" w:after="60"/>
              <w:jc w:val="center"/>
              <w:rPr>
                <w:rFonts w:ascii="Arial" w:hAnsi="Arial" w:cs="Arial"/>
                <w:b/>
                <w:sz w:val="20"/>
                <w:szCs w:val="20"/>
              </w:rPr>
            </w:pPr>
            <w:r w:rsidRPr="00FB483E">
              <w:rPr>
                <w:rFonts w:ascii="Arial" w:hAnsi="Arial" w:cs="Arial"/>
                <w:b/>
                <w:sz w:val="20"/>
                <w:szCs w:val="20"/>
              </w:rPr>
              <w:t>Absent</w:t>
            </w:r>
          </w:p>
        </w:tc>
        <w:tc>
          <w:tcPr>
            <w:tcW w:w="1701" w:type="dxa"/>
            <w:vAlign w:val="center"/>
          </w:tcPr>
          <w:p w:rsidR="00EA3FD7" w:rsidRPr="00FB483E" w:rsidRDefault="00EA3FD7" w:rsidP="00634A2B">
            <w:pPr>
              <w:autoSpaceDE w:val="0"/>
              <w:autoSpaceDN w:val="0"/>
              <w:adjustRightInd w:val="0"/>
              <w:spacing w:before="60" w:after="60"/>
              <w:jc w:val="right"/>
              <w:rPr>
                <w:rFonts w:ascii="Arial" w:hAnsi="Arial" w:cs="Arial"/>
                <w:sz w:val="20"/>
                <w:szCs w:val="20"/>
              </w:rPr>
            </w:pPr>
            <w:r w:rsidRPr="00FB483E">
              <w:rPr>
                <w:rFonts w:ascii="Arial" w:hAnsi="Arial" w:cs="Arial"/>
                <w:sz w:val="20"/>
                <w:szCs w:val="20"/>
              </w:rPr>
              <w:t>448</w:t>
            </w:r>
          </w:p>
        </w:tc>
        <w:tc>
          <w:tcPr>
            <w:tcW w:w="1701" w:type="dxa"/>
            <w:vAlign w:val="center"/>
          </w:tcPr>
          <w:p w:rsidR="00EA3FD7" w:rsidRPr="00FB483E" w:rsidRDefault="00EA3FD7" w:rsidP="00634A2B">
            <w:pPr>
              <w:autoSpaceDE w:val="0"/>
              <w:autoSpaceDN w:val="0"/>
              <w:adjustRightInd w:val="0"/>
              <w:spacing w:before="60" w:after="60"/>
              <w:jc w:val="right"/>
              <w:rPr>
                <w:rFonts w:ascii="Arial" w:hAnsi="Arial" w:cs="Arial"/>
                <w:sz w:val="20"/>
                <w:szCs w:val="20"/>
              </w:rPr>
            </w:pPr>
            <w:r w:rsidRPr="00FB483E">
              <w:rPr>
                <w:rFonts w:ascii="Arial" w:eastAsiaTheme="minorEastAsia" w:hAnsi="Arial" w:cs="Arial"/>
                <w:position w:val="-10"/>
                <w:sz w:val="20"/>
                <w:szCs w:val="20"/>
                <w:lang w:val="bs-Latn-BA" w:eastAsia="bs-Latn-BA"/>
              </w:rPr>
              <w:object w:dxaOrig="340" w:dyaOrig="340">
                <v:shape id="_x0000_i1036" type="#_x0000_t75" style="width:17.25pt;height:17.25pt" o:ole="">
                  <v:imagedata r:id="rId17" o:title=""/>
                </v:shape>
                <o:OLEObject Type="Embed" ProgID="Equation.3" ShapeID="_x0000_i1036" DrawAspect="Content" ObjectID="_1587893022" r:id="rId31"/>
              </w:object>
            </w:r>
          </w:p>
        </w:tc>
        <w:tc>
          <w:tcPr>
            <w:tcW w:w="1548" w:type="dxa"/>
            <w:vAlign w:val="center"/>
          </w:tcPr>
          <w:p w:rsidR="00EA3FD7" w:rsidRPr="00FB483E" w:rsidRDefault="00EA3FD7" w:rsidP="00634A2B">
            <w:pPr>
              <w:autoSpaceDE w:val="0"/>
              <w:autoSpaceDN w:val="0"/>
              <w:adjustRightInd w:val="0"/>
              <w:spacing w:before="60" w:after="60"/>
              <w:jc w:val="right"/>
              <w:rPr>
                <w:rFonts w:ascii="Arial" w:hAnsi="Arial" w:cs="Arial"/>
                <w:position w:val="-10"/>
                <w:sz w:val="20"/>
                <w:szCs w:val="20"/>
              </w:rPr>
            </w:pPr>
            <w:r w:rsidRPr="00FB483E">
              <w:rPr>
                <w:rFonts w:ascii="Arial" w:eastAsiaTheme="minorEastAsia" w:hAnsi="Arial" w:cs="Arial"/>
                <w:position w:val="-10"/>
                <w:sz w:val="20"/>
                <w:szCs w:val="20"/>
                <w:lang w:val="bs-Latn-BA" w:eastAsia="bs-Latn-BA"/>
              </w:rPr>
              <w:object w:dxaOrig="300" w:dyaOrig="320">
                <v:shape id="_x0000_i1037" type="#_x0000_t75" style="width:15pt;height:15.75pt" o:ole="">
                  <v:imagedata r:id="rId32" o:title=""/>
                </v:shape>
                <o:OLEObject Type="Embed" ProgID="Equation.3" ShapeID="_x0000_i1037" DrawAspect="Content" ObjectID="_1587893023" r:id="rId33"/>
              </w:object>
            </w:r>
          </w:p>
        </w:tc>
      </w:tr>
      <w:tr w:rsidR="00EA3FD7" w:rsidRPr="00FB483E" w:rsidTr="008A7985">
        <w:trPr>
          <w:trHeight w:val="365"/>
          <w:jc w:val="center"/>
        </w:trPr>
        <w:tc>
          <w:tcPr>
            <w:tcW w:w="4230" w:type="dxa"/>
            <w:gridSpan w:val="2"/>
            <w:vAlign w:val="center"/>
          </w:tcPr>
          <w:p w:rsidR="00EA3FD7" w:rsidRPr="00FB483E" w:rsidRDefault="00EA3FD7" w:rsidP="00634A2B">
            <w:pPr>
              <w:autoSpaceDE w:val="0"/>
              <w:autoSpaceDN w:val="0"/>
              <w:adjustRightInd w:val="0"/>
              <w:spacing w:before="60" w:after="60"/>
              <w:jc w:val="center"/>
              <w:rPr>
                <w:rFonts w:ascii="Arial" w:hAnsi="Arial" w:cs="Arial"/>
                <w:b/>
                <w:sz w:val="20"/>
                <w:szCs w:val="20"/>
              </w:rPr>
            </w:pPr>
            <w:r w:rsidRPr="00FB483E">
              <w:rPr>
                <w:rFonts w:ascii="Arial" w:hAnsi="Arial" w:cs="Arial"/>
                <w:b/>
                <w:sz w:val="20"/>
                <w:szCs w:val="20"/>
              </w:rPr>
              <w:t>Total</w:t>
            </w:r>
          </w:p>
        </w:tc>
        <w:tc>
          <w:tcPr>
            <w:tcW w:w="1701" w:type="dxa"/>
            <w:vAlign w:val="center"/>
          </w:tcPr>
          <w:p w:rsidR="00EA3FD7" w:rsidRPr="00FB483E" w:rsidRDefault="00EA3FD7" w:rsidP="00634A2B">
            <w:pPr>
              <w:spacing w:before="60" w:after="60"/>
              <w:jc w:val="right"/>
              <w:rPr>
                <w:rFonts w:ascii="Arial" w:hAnsi="Arial" w:cs="Arial"/>
                <w:position w:val="-10"/>
                <w:sz w:val="20"/>
                <w:szCs w:val="20"/>
              </w:rPr>
            </w:pPr>
            <w:r w:rsidRPr="00FB483E">
              <w:rPr>
                <w:rFonts w:ascii="Arial" w:hAnsi="Arial" w:cs="Arial"/>
                <w:sz w:val="20"/>
                <w:szCs w:val="20"/>
              </w:rPr>
              <w:t>35,051</w:t>
            </w:r>
          </w:p>
        </w:tc>
        <w:tc>
          <w:tcPr>
            <w:tcW w:w="1701" w:type="dxa"/>
            <w:vAlign w:val="center"/>
          </w:tcPr>
          <w:p w:rsidR="00EA3FD7" w:rsidRPr="00FB483E" w:rsidRDefault="00EA3FD7" w:rsidP="00634A2B">
            <w:pPr>
              <w:autoSpaceDE w:val="0"/>
              <w:autoSpaceDN w:val="0"/>
              <w:adjustRightInd w:val="0"/>
              <w:spacing w:before="60" w:after="60"/>
              <w:jc w:val="right"/>
              <w:rPr>
                <w:rFonts w:ascii="Arial" w:hAnsi="Arial" w:cs="Arial"/>
                <w:position w:val="-10"/>
                <w:sz w:val="20"/>
                <w:szCs w:val="20"/>
              </w:rPr>
            </w:pPr>
            <w:r w:rsidRPr="00FB483E">
              <w:rPr>
                <w:rFonts w:ascii="Arial" w:eastAsiaTheme="minorEastAsia" w:hAnsi="Arial" w:cs="Arial"/>
                <w:position w:val="-10"/>
                <w:sz w:val="20"/>
                <w:szCs w:val="20"/>
                <w:lang w:val="bs-Latn-BA" w:eastAsia="bs-Latn-BA"/>
              </w:rPr>
              <w:object w:dxaOrig="300" w:dyaOrig="320">
                <v:shape id="_x0000_i1038" type="#_x0000_t75" style="width:15pt;height:15.75pt" o:ole="">
                  <v:imagedata r:id="rId34" o:title=""/>
                </v:shape>
                <o:OLEObject Type="Embed" ProgID="Equation.3" ShapeID="_x0000_i1038" DrawAspect="Content" ObjectID="_1587893024" r:id="rId35"/>
              </w:object>
            </w:r>
          </w:p>
        </w:tc>
        <w:tc>
          <w:tcPr>
            <w:tcW w:w="1548" w:type="dxa"/>
            <w:vAlign w:val="center"/>
          </w:tcPr>
          <w:p w:rsidR="00EA3FD7" w:rsidRPr="00FB483E" w:rsidRDefault="00EA3FD7" w:rsidP="00634A2B">
            <w:pPr>
              <w:autoSpaceDE w:val="0"/>
              <w:autoSpaceDN w:val="0"/>
              <w:adjustRightInd w:val="0"/>
              <w:spacing w:before="60" w:after="60"/>
              <w:jc w:val="right"/>
              <w:rPr>
                <w:rFonts w:ascii="Arial" w:hAnsi="Arial" w:cs="Arial"/>
                <w:position w:val="-10"/>
                <w:sz w:val="20"/>
                <w:szCs w:val="20"/>
              </w:rPr>
            </w:pPr>
            <w:r w:rsidRPr="00FB483E">
              <w:rPr>
                <w:rFonts w:ascii="Arial" w:hAnsi="Arial" w:cs="Arial"/>
                <w:sz w:val="20"/>
                <w:szCs w:val="20"/>
              </w:rPr>
              <w:t>N</w:t>
            </w:r>
          </w:p>
        </w:tc>
      </w:tr>
    </w:tbl>
    <w:p w:rsidR="00EA3FD7" w:rsidRDefault="00346DF1" w:rsidP="00346DF1">
      <w:pPr>
        <w:spacing w:after="0" w:line="360" w:lineRule="auto"/>
        <w:jc w:val="both"/>
        <w:rPr>
          <w:rFonts w:ascii="Arial" w:hAnsi="Arial" w:cs="Arial"/>
          <w:sz w:val="20"/>
          <w:szCs w:val="20"/>
          <w:lang w:val="en-GB"/>
        </w:rPr>
      </w:pPr>
      <w:r>
        <w:rPr>
          <w:rFonts w:ascii="Arial" w:hAnsi="Arial" w:cs="Arial"/>
          <w:sz w:val="20"/>
          <w:szCs w:val="20"/>
          <w:lang w:val="en-GB"/>
        </w:rPr>
        <w:t>Source: BHAS, 2017.</w:t>
      </w:r>
    </w:p>
    <w:p w:rsidR="004A3ABD" w:rsidRDefault="004A3ABD" w:rsidP="004A3ABD">
      <w:pPr>
        <w:pStyle w:val="Default"/>
        <w:spacing w:line="360" w:lineRule="auto"/>
        <w:jc w:val="both"/>
        <w:rPr>
          <w:color w:val="auto"/>
        </w:rPr>
      </w:pPr>
    </w:p>
    <w:p w:rsidR="00FF078A" w:rsidRPr="004A3ABD" w:rsidRDefault="004A3ABD" w:rsidP="004A3ABD">
      <w:pPr>
        <w:pStyle w:val="Default"/>
        <w:spacing w:line="360" w:lineRule="auto"/>
        <w:jc w:val="both"/>
        <w:rPr>
          <w:color w:val="auto"/>
        </w:rPr>
      </w:pPr>
      <w:r w:rsidRPr="00BB3254">
        <w:rPr>
          <w:color w:val="auto"/>
        </w:rPr>
        <w:t xml:space="preserve">The goal is to estimate </w:t>
      </w:r>
      <w:r w:rsidRPr="00497316">
        <w:rPr>
          <w:i/>
          <w:color w:val="auto"/>
        </w:rPr>
        <w:t>Z</w:t>
      </w:r>
      <w:r w:rsidRPr="00BB3254">
        <w:rPr>
          <w:color w:val="auto"/>
        </w:rPr>
        <w:t xml:space="preserve"> or </w:t>
      </w:r>
      <w:r w:rsidRPr="00497316">
        <w:rPr>
          <w:i/>
          <w:color w:val="auto"/>
        </w:rPr>
        <w:t>N</w:t>
      </w:r>
      <w:r w:rsidRPr="00497316">
        <w:rPr>
          <w:i/>
          <w:color w:val="auto"/>
          <w:vertAlign w:val="subscript"/>
        </w:rPr>
        <w:t>ce</w:t>
      </w:r>
      <w:r w:rsidRPr="00BB3254">
        <w:rPr>
          <w:color w:val="auto"/>
        </w:rPr>
        <w:t>. If we assume that the PES list</w:t>
      </w:r>
      <w:r>
        <w:rPr>
          <w:color w:val="auto"/>
        </w:rPr>
        <w:t xml:space="preserve"> </w:t>
      </w:r>
      <w:r w:rsidRPr="00BB3254">
        <w:rPr>
          <w:color w:val="auto"/>
        </w:rPr>
        <w:t>does not include</w:t>
      </w:r>
      <w:r>
        <w:rPr>
          <w:color w:val="auto"/>
        </w:rPr>
        <w:t xml:space="preserve"> </w:t>
      </w:r>
      <w:r w:rsidRPr="00BB3254">
        <w:rPr>
          <w:color w:val="auto"/>
        </w:rPr>
        <w:t>i</w:t>
      </w:r>
      <w:r>
        <w:rPr>
          <w:color w:val="auto"/>
        </w:rPr>
        <w:t xml:space="preserve">neligible persons, </w:t>
      </w:r>
      <w:r w:rsidRPr="00BB3254">
        <w:rPr>
          <w:color w:val="auto"/>
        </w:rPr>
        <w:t>the adjusted DSE estimate of the population</w:t>
      </w:r>
      <w:r>
        <w:rPr>
          <w:color w:val="auto"/>
        </w:rPr>
        <w:t xml:space="preserve"> size,  corrected by </w:t>
      </w:r>
      <w:r w:rsidR="00FF078A">
        <w:rPr>
          <w:color w:val="auto"/>
        </w:rPr>
        <w:t>over-count</w:t>
      </w:r>
      <w:r w:rsidR="00FF078A" w:rsidRPr="00BB3254">
        <w:rPr>
          <w:color w:val="auto"/>
        </w:rPr>
        <w:t>,</w:t>
      </w:r>
      <w:r w:rsidR="00FF078A" w:rsidRPr="00BB3254">
        <w:rPr>
          <w:color w:val="auto"/>
        </w:rPr>
        <w:object w:dxaOrig="380" w:dyaOrig="340">
          <v:shape id="_x0000_i1039" type="#_x0000_t75" style="width:19.5pt;height:17.25pt" o:ole="">
            <v:imagedata r:id="rId36" o:title=""/>
          </v:shape>
          <o:OLEObject Type="Embed" ProgID="Equation.3" ShapeID="_x0000_i1039" DrawAspect="Content" ObjectID="_1587893025" r:id="rId37"/>
        </w:object>
      </w:r>
      <w:r w:rsidR="00FF078A" w:rsidRPr="00BB3254">
        <w:rPr>
          <w:color w:val="auto"/>
        </w:rPr>
        <w:t xml:space="preserve">, </w:t>
      </w:r>
      <w:r w:rsidR="00FF078A">
        <w:rPr>
          <w:color w:val="auto"/>
        </w:rPr>
        <w:t>is given by</w:t>
      </w:r>
    </w:p>
    <w:p w:rsidR="00EA3FD7" w:rsidRDefault="00EA3FD7" w:rsidP="00EA3FD7">
      <w:pPr>
        <w:pStyle w:val="Default"/>
        <w:spacing w:before="120" w:line="360" w:lineRule="auto"/>
        <w:ind w:firstLine="720"/>
        <w:jc w:val="both"/>
        <w:rPr>
          <w:color w:val="auto"/>
        </w:rPr>
      </w:pPr>
      <w:r w:rsidRPr="00BB3254">
        <w:rPr>
          <w:color w:val="auto"/>
        </w:rPr>
        <w:object w:dxaOrig="1920" w:dyaOrig="400">
          <v:shape id="_x0000_i1040" type="#_x0000_t75" style="width:95.25pt;height:21pt" o:ole="" fillcolor="window">
            <v:imagedata r:id="rId38" o:title=""/>
          </v:shape>
          <o:OLEObject Type="Embed" ProgID="Equation.3" ShapeID="_x0000_i1040" DrawAspect="Content" ObjectID="_1587893026" r:id="rId39"/>
        </w:object>
      </w:r>
      <w:r w:rsidRPr="00BB3254">
        <w:rPr>
          <w:color w:val="auto"/>
        </w:rPr>
        <w:tab/>
      </w:r>
      <w:r w:rsidRPr="00BB3254">
        <w:rPr>
          <w:color w:val="auto"/>
        </w:rPr>
        <w:tab/>
        <w:t>(5)</w:t>
      </w:r>
    </w:p>
    <w:p w:rsidR="00EA3FD7" w:rsidRPr="00BB3254" w:rsidRDefault="00EA3FD7" w:rsidP="00EA3FD7">
      <w:pPr>
        <w:pStyle w:val="Default"/>
        <w:spacing w:before="120" w:line="360" w:lineRule="auto"/>
        <w:jc w:val="both"/>
        <w:rPr>
          <w:color w:val="auto"/>
        </w:rPr>
      </w:pPr>
      <w:r w:rsidRPr="00BB3254">
        <w:rPr>
          <w:color w:val="auto"/>
        </w:rPr>
        <w:t>The adjustment of the DSE method</w:t>
      </w:r>
      <w:r>
        <w:rPr>
          <w:color w:val="auto"/>
        </w:rPr>
        <w:t xml:space="preserve"> </w:t>
      </w:r>
      <w:r w:rsidRPr="00BB3254">
        <w:rPr>
          <w:color w:val="auto"/>
        </w:rPr>
        <w:t xml:space="preserve">is made by the consideration of the over-coverage before applying the generic DSE </w:t>
      </w:r>
      <w:r w:rsidR="00E73418">
        <w:rPr>
          <w:color w:val="auto"/>
        </w:rPr>
        <w:t>method</w:t>
      </w:r>
      <w:r>
        <w:rPr>
          <w:color w:val="auto"/>
        </w:rPr>
        <w:t>. It</w:t>
      </w:r>
      <w:r w:rsidRPr="00BB3254">
        <w:rPr>
          <w:color w:val="auto"/>
        </w:rPr>
        <w:t xml:space="preserve"> is performed by the model of latent class</w:t>
      </w:r>
      <w:r w:rsidR="008043AE">
        <w:rPr>
          <w:color w:val="auto"/>
        </w:rPr>
        <w:t xml:space="preserve"> analysis</w:t>
      </w:r>
      <w:r>
        <w:rPr>
          <w:color w:val="auto"/>
        </w:rPr>
        <w:t>-LCA</w:t>
      </w:r>
      <w:r w:rsidRPr="00BB3254">
        <w:rPr>
          <w:color w:val="auto"/>
        </w:rPr>
        <w:t xml:space="preserve"> (Goodman, 1974; Hagenaars 1993a, 1993b and 1997; Wolter, 1986; Biemer, 2011).</w:t>
      </w:r>
      <w:r>
        <w:rPr>
          <w:color w:val="auto"/>
        </w:rPr>
        <w:t xml:space="preserve"> The best </w:t>
      </w:r>
      <w:r w:rsidRPr="00BB3254">
        <w:rPr>
          <w:color w:val="auto"/>
        </w:rPr>
        <w:t>model</w:t>
      </w:r>
      <w:r w:rsidRPr="003214C3">
        <w:rPr>
          <w:vertAlign w:val="superscript"/>
        </w:rPr>
        <w:footnoteReference w:id="4"/>
      </w:r>
      <w:r w:rsidRPr="00BB3254">
        <w:rPr>
          <w:color w:val="auto"/>
        </w:rPr>
        <w:t xml:space="preserve"> for identifying units belonging to the target population in the set of units enumerated by the Census but not by the PES (cell </w:t>
      </w:r>
      <w:r w:rsidRPr="00497316">
        <w:rPr>
          <w:i/>
          <w:color w:val="auto"/>
        </w:rPr>
        <w:t>x</w:t>
      </w:r>
      <w:r w:rsidRPr="00497316">
        <w:rPr>
          <w:i/>
          <w:color w:val="auto"/>
          <w:vertAlign w:val="subscript"/>
        </w:rPr>
        <w:t>12</w:t>
      </w:r>
      <w:r w:rsidRPr="00BB3254">
        <w:rPr>
          <w:color w:val="auto"/>
        </w:rPr>
        <w:t xml:space="preserve"> of table </w:t>
      </w:r>
      <w:r w:rsidR="008043AE">
        <w:rPr>
          <w:color w:val="auto"/>
        </w:rPr>
        <w:t>2)</w:t>
      </w:r>
      <w:r w:rsidRPr="00BB3254">
        <w:rPr>
          <w:color w:val="auto"/>
        </w:rPr>
        <w:t xml:space="preserve"> included three explanatory variables</w:t>
      </w:r>
      <w:r>
        <w:rPr>
          <w:color w:val="auto"/>
        </w:rPr>
        <w:t xml:space="preserve">: </w:t>
      </w:r>
      <w:r w:rsidRPr="00BB3254">
        <w:rPr>
          <w:color w:val="auto"/>
        </w:rPr>
        <w:t>Sex, Age and Matching status of the household</w:t>
      </w:r>
      <w:r>
        <w:rPr>
          <w:color w:val="auto"/>
        </w:rPr>
        <w:t xml:space="preserve">. </w:t>
      </w:r>
      <w:r w:rsidRPr="00BB3254">
        <w:rPr>
          <w:color w:val="auto"/>
        </w:rPr>
        <w:t>The model results with the marginal probability to belong</w:t>
      </w:r>
      <w:r>
        <w:rPr>
          <w:color w:val="auto"/>
        </w:rPr>
        <w:t>ing</w:t>
      </w:r>
      <w:r w:rsidRPr="00BB3254">
        <w:rPr>
          <w:color w:val="auto"/>
        </w:rPr>
        <w:t xml:space="preserve"> to the </w:t>
      </w:r>
      <w:r>
        <w:rPr>
          <w:color w:val="auto"/>
        </w:rPr>
        <w:t xml:space="preserve">true </w:t>
      </w:r>
      <w:r w:rsidRPr="00BB3254">
        <w:rPr>
          <w:color w:val="auto"/>
        </w:rPr>
        <w:t>population of 0.1379</w:t>
      </w:r>
      <w:r w:rsidRPr="00BD3BB1">
        <w:rPr>
          <w:vertAlign w:val="superscript"/>
        </w:rPr>
        <w:footnoteReference w:id="5"/>
      </w:r>
      <w:r>
        <w:rPr>
          <w:color w:val="auto"/>
        </w:rPr>
        <w:t xml:space="preserve"> and </w:t>
      </w:r>
      <w:r w:rsidRPr="00BB3254">
        <w:rPr>
          <w:color w:val="auto"/>
        </w:rPr>
        <w:t>the size of people</w:t>
      </w:r>
      <w:r w:rsidR="00624AE9">
        <w:rPr>
          <w:color w:val="auto"/>
        </w:rPr>
        <w:t xml:space="preserve"> estimated</w:t>
      </w:r>
      <w:r w:rsidRPr="00BB3254">
        <w:rPr>
          <w:color w:val="auto"/>
        </w:rPr>
        <w:t xml:space="preserve"> being in the population of 366 units. </w:t>
      </w:r>
    </w:p>
    <w:p w:rsidR="00EA3FD7" w:rsidRDefault="00EA3FD7" w:rsidP="00EA3FD7">
      <w:pPr>
        <w:spacing w:before="360" w:after="0" w:line="360" w:lineRule="auto"/>
        <w:jc w:val="both"/>
        <w:rPr>
          <w:rFonts w:ascii="Arial" w:hAnsi="Arial" w:cs="Arial"/>
          <w:i/>
          <w:sz w:val="24"/>
          <w:szCs w:val="24"/>
          <w:lang w:val="en-GB"/>
        </w:rPr>
      </w:pPr>
      <w:r>
        <w:rPr>
          <w:rFonts w:ascii="Arial" w:hAnsi="Arial" w:cs="Arial"/>
          <w:i/>
          <w:sz w:val="24"/>
          <w:szCs w:val="24"/>
          <w:lang w:val="en-GB"/>
        </w:rPr>
        <w:t xml:space="preserve">3.4. </w:t>
      </w:r>
      <w:r w:rsidRPr="00EA3FD7">
        <w:rPr>
          <w:rFonts w:ascii="Arial" w:hAnsi="Arial" w:cs="Arial"/>
          <w:i/>
          <w:sz w:val="24"/>
          <w:szCs w:val="24"/>
          <w:lang w:val="en-GB"/>
        </w:rPr>
        <w:t>Census coverage errors</w:t>
      </w:r>
    </w:p>
    <w:p w:rsidR="00EA3FD7" w:rsidRPr="00BB3254" w:rsidRDefault="00EA3FD7" w:rsidP="00EA3FD7">
      <w:pPr>
        <w:pStyle w:val="Default"/>
        <w:spacing w:before="120" w:line="360" w:lineRule="auto"/>
        <w:jc w:val="both"/>
        <w:rPr>
          <w:color w:val="auto"/>
        </w:rPr>
      </w:pPr>
      <w:r>
        <w:rPr>
          <w:color w:val="auto"/>
        </w:rPr>
        <w:t xml:space="preserve">LCA allowed the estimate of following </w:t>
      </w:r>
      <w:r w:rsidRPr="00BB3254">
        <w:rPr>
          <w:color w:val="auto"/>
        </w:rPr>
        <w:t>coverage errors</w:t>
      </w:r>
      <w:r w:rsidRPr="00947BDF">
        <w:rPr>
          <w:vertAlign w:val="superscript"/>
        </w:rPr>
        <w:footnoteReference w:id="6"/>
      </w:r>
      <w:r w:rsidRPr="00BB3254">
        <w:rPr>
          <w:color w:val="auto"/>
        </w:rPr>
        <w:t xml:space="preserve"> (BHAS, 2017):</w:t>
      </w:r>
    </w:p>
    <w:p w:rsidR="00EA3FD7" w:rsidRPr="00BB3254" w:rsidRDefault="00EA3FD7" w:rsidP="00EA3FD7">
      <w:pPr>
        <w:spacing w:after="0" w:line="240" w:lineRule="auto"/>
        <w:ind w:left="-357" w:firstLine="1080"/>
        <w:jc w:val="both"/>
        <w:rPr>
          <w:rFonts w:ascii="Arial" w:hAnsi="Arial" w:cs="Arial"/>
          <w:color w:val="FF0000"/>
          <w:sz w:val="24"/>
          <w:szCs w:val="24"/>
          <w:lang w:val="en-US"/>
        </w:rPr>
      </w:pPr>
    </w:p>
    <w:tbl>
      <w:tblPr>
        <w:tblW w:w="9110" w:type="dxa"/>
        <w:tblInd w:w="108" w:type="dxa"/>
        <w:tblLook w:val="04A0" w:firstRow="1" w:lastRow="0" w:firstColumn="1" w:lastColumn="0" w:noHBand="0" w:noVBand="1"/>
      </w:tblPr>
      <w:tblGrid>
        <w:gridCol w:w="1276"/>
        <w:gridCol w:w="1418"/>
        <w:gridCol w:w="1559"/>
        <w:gridCol w:w="1417"/>
        <w:gridCol w:w="1217"/>
        <w:gridCol w:w="1128"/>
        <w:gridCol w:w="1095"/>
      </w:tblGrid>
      <w:tr w:rsidR="00EA3FD7" w:rsidRPr="00947BDF" w:rsidTr="008D3F78">
        <w:trPr>
          <w:trHeight w:val="300"/>
        </w:trPr>
        <w:tc>
          <w:tcPr>
            <w:tcW w:w="8015" w:type="dxa"/>
            <w:gridSpan w:val="6"/>
            <w:tcBorders>
              <w:top w:val="nil"/>
              <w:left w:val="nil"/>
              <w:bottom w:val="nil"/>
              <w:right w:val="nil"/>
            </w:tcBorders>
            <w:shd w:val="clear" w:color="auto" w:fill="auto"/>
            <w:noWrap/>
            <w:vAlign w:val="bottom"/>
            <w:hideMark/>
          </w:tcPr>
          <w:p w:rsidR="00EA3FD7" w:rsidRPr="00947BDF" w:rsidRDefault="00EA3FD7" w:rsidP="00EA3FD7">
            <w:pPr>
              <w:pStyle w:val="Legenda"/>
              <w:keepNext/>
              <w:rPr>
                <w:rFonts w:ascii="Arial" w:eastAsia="Times New Roman" w:hAnsi="Arial" w:cs="Arial"/>
                <w:b/>
                <w:sz w:val="20"/>
                <w:szCs w:val="20"/>
              </w:rPr>
            </w:pPr>
            <w:r w:rsidRPr="00EA3FD7">
              <w:rPr>
                <w:rFonts w:ascii="Arial" w:hAnsi="Arial" w:cs="Arial"/>
                <w:b/>
                <w:i w:val="0"/>
                <w:color w:val="auto"/>
                <w:sz w:val="20"/>
                <w:szCs w:val="20"/>
                <w:lang w:val="en-GB"/>
              </w:rPr>
              <w:t>Table 3. Main coverage errors at national level for individuals-absolute figures</w:t>
            </w:r>
          </w:p>
        </w:tc>
        <w:tc>
          <w:tcPr>
            <w:tcW w:w="1095" w:type="dxa"/>
            <w:tcBorders>
              <w:top w:val="nil"/>
              <w:left w:val="nil"/>
              <w:bottom w:val="nil"/>
              <w:right w:val="nil"/>
            </w:tcBorders>
            <w:shd w:val="clear" w:color="auto" w:fill="auto"/>
            <w:noWrap/>
            <w:vAlign w:val="bottom"/>
            <w:hideMark/>
          </w:tcPr>
          <w:p w:rsidR="00EA3FD7" w:rsidRPr="00947BDF" w:rsidRDefault="00EA3FD7" w:rsidP="00634A2B">
            <w:pPr>
              <w:spacing w:after="0" w:line="240" w:lineRule="auto"/>
              <w:rPr>
                <w:rFonts w:ascii="Arial" w:eastAsia="Times New Roman" w:hAnsi="Arial" w:cs="Arial"/>
                <w:sz w:val="20"/>
                <w:szCs w:val="20"/>
              </w:rPr>
            </w:pPr>
          </w:p>
        </w:tc>
      </w:tr>
      <w:tr w:rsidR="00EA3FD7" w:rsidRPr="00947BDF" w:rsidTr="008D3F78">
        <w:trPr>
          <w:trHeight w:val="1200"/>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3FD7" w:rsidRPr="00947BDF" w:rsidRDefault="00EA3FD7" w:rsidP="00634A2B">
            <w:pPr>
              <w:spacing w:after="0" w:line="240" w:lineRule="auto"/>
              <w:jc w:val="center"/>
              <w:rPr>
                <w:rFonts w:ascii="Arial" w:eastAsia="Times New Roman" w:hAnsi="Arial" w:cs="Arial"/>
                <w:b/>
                <w:sz w:val="20"/>
                <w:szCs w:val="20"/>
              </w:rPr>
            </w:pPr>
            <w:r w:rsidRPr="00947BDF">
              <w:rPr>
                <w:rFonts w:ascii="Arial" w:eastAsia="Times New Roman" w:hAnsi="Arial" w:cs="Arial"/>
                <w:b/>
                <w:sz w:val="20"/>
                <w:szCs w:val="20"/>
              </w:rPr>
              <w:t>Dual system estimate of the true population (DSE)</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3FD7" w:rsidRPr="00947BDF" w:rsidRDefault="00EA3FD7" w:rsidP="00634A2B">
            <w:pPr>
              <w:spacing w:after="0" w:line="240" w:lineRule="auto"/>
              <w:jc w:val="center"/>
              <w:rPr>
                <w:rFonts w:ascii="Arial" w:eastAsia="Times New Roman" w:hAnsi="Arial" w:cs="Arial"/>
                <w:b/>
                <w:sz w:val="20"/>
                <w:szCs w:val="20"/>
              </w:rPr>
            </w:pPr>
            <w:r w:rsidRPr="00947BDF">
              <w:rPr>
                <w:rFonts w:ascii="Arial" w:eastAsia="Times New Roman" w:hAnsi="Arial" w:cs="Arial"/>
                <w:b/>
                <w:sz w:val="20"/>
                <w:szCs w:val="20"/>
              </w:rPr>
              <w:t xml:space="preserve">Census count before correcting for collective households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3FD7" w:rsidRPr="00947BDF" w:rsidRDefault="00EA3FD7" w:rsidP="00634A2B">
            <w:pPr>
              <w:spacing w:after="0" w:line="240" w:lineRule="auto"/>
              <w:jc w:val="center"/>
              <w:rPr>
                <w:rFonts w:ascii="Arial" w:eastAsia="Times New Roman" w:hAnsi="Arial" w:cs="Arial"/>
                <w:b/>
                <w:sz w:val="20"/>
                <w:szCs w:val="20"/>
              </w:rPr>
            </w:pPr>
            <w:r w:rsidRPr="00947BDF">
              <w:rPr>
                <w:rFonts w:ascii="Arial" w:eastAsia="Times New Roman" w:hAnsi="Arial" w:cs="Arial"/>
                <w:b/>
                <w:sz w:val="20"/>
                <w:szCs w:val="20"/>
              </w:rPr>
              <w:t>Census count after correcting for collective households (</w:t>
            </w:r>
            <w:r w:rsidRPr="00947BDF">
              <w:rPr>
                <w:rFonts w:ascii="Arial" w:eastAsia="Times New Roman" w:hAnsi="Arial" w:cs="Arial"/>
                <w:b/>
                <w:i/>
                <w:sz w:val="20"/>
                <w:szCs w:val="20"/>
              </w:rPr>
              <w:t>N</w:t>
            </w:r>
            <w:r w:rsidRPr="00947BDF">
              <w:rPr>
                <w:rFonts w:ascii="Arial" w:eastAsia="Times New Roman" w:hAnsi="Arial" w:cs="Arial"/>
                <w:b/>
                <w:i/>
                <w:sz w:val="20"/>
                <w:szCs w:val="20"/>
                <w:vertAlign w:val="subscript"/>
              </w:rPr>
              <w:t>census</w:t>
            </w:r>
            <w:r w:rsidRPr="00947BDF">
              <w:rPr>
                <w:rFonts w:ascii="Arial" w:eastAsia="Times New Roman" w:hAnsi="Arial" w:cs="Arial"/>
                <w:b/>
                <w:sz w:val="20"/>
                <w:szCs w:val="20"/>
              </w:rPr>
              <w:t>)</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3FD7" w:rsidRPr="00947BDF" w:rsidRDefault="00EA3FD7" w:rsidP="00634A2B">
            <w:pPr>
              <w:spacing w:after="0" w:line="240" w:lineRule="auto"/>
              <w:jc w:val="center"/>
              <w:rPr>
                <w:rFonts w:ascii="Arial" w:eastAsia="Times New Roman" w:hAnsi="Arial" w:cs="Arial"/>
                <w:b/>
                <w:sz w:val="20"/>
                <w:szCs w:val="20"/>
              </w:rPr>
            </w:pPr>
            <w:r w:rsidRPr="00947BDF">
              <w:rPr>
                <w:rFonts w:ascii="Arial" w:eastAsia="Times New Roman" w:hAnsi="Arial" w:cs="Arial"/>
                <w:b/>
                <w:sz w:val="20"/>
                <w:szCs w:val="20"/>
              </w:rPr>
              <w:t>Eligible and correctly enumerated in the Census</w:t>
            </w:r>
            <w:r w:rsidR="005263BC">
              <w:rPr>
                <w:rFonts w:ascii="Arial" w:eastAsia="Times New Roman" w:hAnsi="Arial" w:cs="Arial"/>
                <w:b/>
                <w:sz w:val="20"/>
                <w:szCs w:val="20"/>
              </w:rPr>
              <w:t xml:space="preserve"> (</w:t>
            </w:r>
            <w:r w:rsidR="005263BC" w:rsidRPr="005263BC">
              <w:rPr>
                <w:rFonts w:ascii="Arial" w:eastAsia="Times New Roman" w:hAnsi="Arial" w:cs="Arial"/>
                <w:b/>
                <w:i/>
                <w:sz w:val="20"/>
                <w:szCs w:val="20"/>
              </w:rPr>
              <w:t>N</w:t>
            </w:r>
            <w:r w:rsidR="005263BC" w:rsidRPr="005263BC">
              <w:rPr>
                <w:rFonts w:ascii="Arial" w:eastAsia="Times New Roman" w:hAnsi="Arial" w:cs="Arial"/>
                <w:b/>
                <w:i/>
                <w:sz w:val="20"/>
                <w:szCs w:val="20"/>
                <w:vertAlign w:val="subscript"/>
              </w:rPr>
              <w:t>ce</w:t>
            </w:r>
            <w:r w:rsidR="005263BC">
              <w:rPr>
                <w:rFonts w:ascii="Arial" w:eastAsia="Times New Roman" w:hAnsi="Arial" w:cs="Arial"/>
                <w:b/>
                <w:sz w:val="20"/>
                <w:szCs w:val="20"/>
              </w:rPr>
              <w:t>)</w:t>
            </w:r>
          </w:p>
        </w:tc>
        <w:tc>
          <w:tcPr>
            <w:tcW w:w="12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3FD7" w:rsidRPr="00947BDF" w:rsidRDefault="00EA3FD7" w:rsidP="00634A2B">
            <w:pPr>
              <w:spacing w:after="0" w:line="240" w:lineRule="auto"/>
              <w:jc w:val="center"/>
              <w:rPr>
                <w:rFonts w:ascii="Arial" w:eastAsia="Times New Roman" w:hAnsi="Arial" w:cs="Arial"/>
                <w:b/>
                <w:sz w:val="20"/>
                <w:szCs w:val="20"/>
              </w:rPr>
            </w:pPr>
            <w:r w:rsidRPr="00947BDF">
              <w:rPr>
                <w:rFonts w:ascii="Arial" w:eastAsia="Times New Roman" w:hAnsi="Arial" w:cs="Arial"/>
                <w:b/>
                <w:sz w:val="20"/>
                <w:szCs w:val="20"/>
              </w:rPr>
              <w:t>Erroneous inclusion</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3FD7" w:rsidRPr="00947BDF" w:rsidRDefault="00EA3FD7" w:rsidP="00634A2B">
            <w:pPr>
              <w:spacing w:after="0" w:line="240" w:lineRule="auto"/>
              <w:jc w:val="center"/>
              <w:rPr>
                <w:rFonts w:ascii="Arial" w:eastAsia="Times New Roman" w:hAnsi="Arial" w:cs="Arial"/>
                <w:b/>
                <w:sz w:val="20"/>
                <w:szCs w:val="20"/>
              </w:rPr>
            </w:pPr>
            <w:r w:rsidRPr="00947BDF">
              <w:rPr>
                <w:rFonts w:ascii="Arial" w:eastAsia="Times New Roman" w:hAnsi="Arial" w:cs="Arial"/>
                <w:b/>
                <w:sz w:val="20"/>
                <w:szCs w:val="20"/>
              </w:rPr>
              <w:t>Omission (</w:t>
            </w:r>
            <w:r w:rsidRPr="00947BDF">
              <w:rPr>
                <w:rFonts w:ascii="Arial" w:eastAsia="Times New Roman" w:hAnsi="Arial" w:cs="Arial"/>
                <w:b/>
                <w:i/>
                <w:sz w:val="20"/>
                <w:szCs w:val="20"/>
              </w:rPr>
              <w:t>DSE-N</w:t>
            </w:r>
            <w:r w:rsidRPr="00947BDF">
              <w:rPr>
                <w:rFonts w:ascii="Arial" w:eastAsia="Times New Roman" w:hAnsi="Arial" w:cs="Arial"/>
                <w:b/>
                <w:i/>
                <w:sz w:val="20"/>
                <w:szCs w:val="20"/>
                <w:vertAlign w:val="subscript"/>
              </w:rPr>
              <w:t>ce</w:t>
            </w:r>
            <w:r w:rsidRPr="00947BDF">
              <w:rPr>
                <w:rFonts w:ascii="Arial" w:eastAsia="Times New Roman" w:hAnsi="Arial" w:cs="Arial"/>
                <w:b/>
                <w:sz w:val="20"/>
                <w:szCs w:val="20"/>
              </w:rPr>
              <w:t>)</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3FD7" w:rsidRPr="00947BDF" w:rsidRDefault="00EA3FD7" w:rsidP="00634A2B">
            <w:pPr>
              <w:spacing w:after="0" w:line="240" w:lineRule="auto"/>
              <w:jc w:val="center"/>
              <w:rPr>
                <w:rFonts w:ascii="Arial" w:eastAsia="Times New Roman" w:hAnsi="Arial" w:cs="Arial"/>
                <w:b/>
                <w:sz w:val="20"/>
                <w:szCs w:val="20"/>
              </w:rPr>
            </w:pPr>
            <w:r w:rsidRPr="00947BDF">
              <w:rPr>
                <w:rFonts w:ascii="Arial" w:eastAsia="Times New Roman" w:hAnsi="Arial" w:cs="Arial"/>
                <w:b/>
                <w:sz w:val="20"/>
                <w:szCs w:val="20"/>
              </w:rPr>
              <w:t xml:space="preserve">Census net coverage error </w:t>
            </w:r>
          </w:p>
        </w:tc>
      </w:tr>
      <w:tr w:rsidR="00EA3FD7" w:rsidRPr="00947BDF" w:rsidTr="008D3F78">
        <w:trPr>
          <w:trHeight w:val="30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EA3FD7" w:rsidRPr="00947BDF" w:rsidRDefault="00EA3FD7" w:rsidP="00634A2B">
            <w:pPr>
              <w:spacing w:after="0" w:line="240" w:lineRule="auto"/>
              <w:rPr>
                <w:rFonts w:ascii="Arial" w:eastAsia="Times New Roman" w:hAnsi="Arial" w:cs="Arial"/>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A3FD7" w:rsidRPr="00947BDF" w:rsidRDefault="00EA3FD7" w:rsidP="00634A2B">
            <w:pPr>
              <w:spacing w:after="0" w:line="240" w:lineRule="auto"/>
              <w:rPr>
                <w:rFonts w:ascii="Arial" w:eastAsia="Times New Roman"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A3FD7" w:rsidRPr="00947BDF" w:rsidRDefault="00EA3FD7" w:rsidP="00634A2B">
            <w:pPr>
              <w:spacing w:after="0" w:line="240" w:lineRule="auto"/>
              <w:rPr>
                <w:rFonts w:ascii="Arial" w:eastAsia="Times New Roman" w:hAnsi="Arial" w:cs="Arial"/>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A3FD7" w:rsidRPr="00947BDF" w:rsidRDefault="00EA3FD7" w:rsidP="00634A2B">
            <w:pPr>
              <w:spacing w:after="0" w:line="240" w:lineRule="auto"/>
              <w:rPr>
                <w:rFonts w:ascii="Arial" w:eastAsia="Times New Roman" w:hAnsi="Arial" w:cs="Arial"/>
                <w:sz w:val="20"/>
                <w:szCs w:val="20"/>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EA3FD7" w:rsidRPr="00947BDF" w:rsidRDefault="00EA3FD7" w:rsidP="00634A2B">
            <w:pPr>
              <w:spacing w:after="0" w:line="240" w:lineRule="auto"/>
              <w:rPr>
                <w:rFonts w:ascii="Arial" w:eastAsia="Times New Roman" w:hAnsi="Arial" w:cs="Arial"/>
                <w:sz w:val="20"/>
                <w:szCs w:val="20"/>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EA3FD7" w:rsidRPr="00947BDF" w:rsidRDefault="00EA3FD7" w:rsidP="00634A2B">
            <w:pPr>
              <w:spacing w:after="0" w:line="240" w:lineRule="auto"/>
              <w:rPr>
                <w:rFonts w:ascii="Arial" w:eastAsia="Times New Roman" w:hAnsi="Arial" w:cs="Arial"/>
                <w:sz w:val="20"/>
                <w:szCs w:val="20"/>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rsidR="00EA3FD7" w:rsidRPr="00947BDF" w:rsidRDefault="00EA3FD7" w:rsidP="00634A2B">
            <w:pPr>
              <w:spacing w:after="0" w:line="240" w:lineRule="auto"/>
              <w:rPr>
                <w:rFonts w:ascii="Arial" w:eastAsia="Times New Roman" w:hAnsi="Arial" w:cs="Arial"/>
                <w:sz w:val="20"/>
                <w:szCs w:val="20"/>
              </w:rPr>
            </w:pPr>
          </w:p>
        </w:tc>
      </w:tr>
      <w:tr w:rsidR="00EA3FD7" w:rsidRPr="00947BDF" w:rsidTr="008D3F78">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A3FD7" w:rsidRPr="00947BDF" w:rsidRDefault="00EA3FD7" w:rsidP="00634A2B">
            <w:pPr>
              <w:spacing w:after="0" w:line="240" w:lineRule="auto"/>
              <w:jc w:val="right"/>
              <w:rPr>
                <w:rFonts w:ascii="Arial" w:eastAsia="Times New Roman" w:hAnsi="Arial" w:cs="Arial"/>
                <w:sz w:val="20"/>
                <w:szCs w:val="20"/>
              </w:rPr>
            </w:pPr>
            <w:r w:rsidRPr="00947BDF">
              <w:rPr>
                <w:rFonts w:ascii="Arial" w:eastAsia="Times New Roman" w:hAnsi="Arial" w:cs="Arial"/>
                <w:sz w:val="20"/>
                <w:szCs w:val="20"/>
              </w:rPr>
              <w:t>3,352,760</w:t>
            </w:r>
          </w:p>
        </w:tc>
        <w:tc>
          <w:tcPr>
            <w:tcW w:w="1418" w:type="dxa"/>
            <w:tcBorders>
              <w:top w:val="nil"/>
              <w:left w:val="nil"/>
              <w:bottom w:val="single" w:sz="4" w:space="0" w:color="auto"/>
              <w:right w:val="single" w:sz="4" w:space="0" w:color="auto"/>
            </w:tcBorders>
            <w:shd w:val="clear" w:color="auto" w:fill="auto"/>
            <w:vAlign w:val="center"/>
            <w:hideMark/>
          </w:tcPr>
          <w:p w:rsidR="00EA3FD7" w:rsidRPr="00947BDF" w:rsidRDefault="00EA3FD7" w:rsidP="00634A2B">
            <w:pPr>
              <w:spacing w:after="0" w:line="240" w:lineRule="auto"/>
              <w:jc w:val="right"/>
              <w:rPr>
                <w:rFonts w:ascii="Arial" w:eastAsia="Times New Roman" w:hAnsi="Arial" w:cs="Arial"/>
                <w:sz w:val="20"/>
                <w:szCs w:val="20"/>
              </w:rPr>
            </w:pPr>
            <w:r w:rsidRPr="00947BDF">
              <w:rPr>
                <w:rFonts w:ascii="Arial" w:eastAsia="Times New Roman" w:hAnsi="Arial" w:cs="Arial"/>
                <w:sz w:val="20"/>
                <w:szCs w:val="20"/>
              </w:rPr>
              <w:t>3,530,159</w:t>
            </w:r>
          </w:p>
        </w:tc>
        <w:tc>
          <w:tcPr>
            <w:tcW w:w="1559" w:type="dxa"/>
            <w:tcBorders>
              <w:top w:val="nil"/>
              <w:left w:val="nil"/>
              <w:bottom w:val="single" w:sz="4" w:space="0" w:color="auto"/>
              <w:right w:val="single" w:sz="4" w:space="0" w:color="auto"/>
            </w:tcBorders>
            <w:shd w:val="clear" w:color="auto" w:fill="auto"/>
            <w:noWrap/>
            <w:vAlign w:val="center"/>
            <w:hideMark/>
          </w:tcPr>
          <w:p w:rsidR="00EA3FD7" w:rsidRPr="00947BDF" w:rsidRDefault="00EA3FD7" w:rsidP="00634A2B">
            <w:pPr>
              <w:spacing w:after="0" w:line="240" w:lineRule="auto"/>
              <w:jc w:val="right"/>
              <w:rPr>
                <w:rFonts w:ascii="Arial" w:eastAsia="Times New Roman" w:hAnsi="Arial" w:cs="Arial"/>
                <w:sz w:val="20"/>
                <w:szCs w:val="20"/>
              </w:rPr>
            </w:pPr>
            <w:r w:rsidRPr="00947BDF">
              <w:rPr>
                <w:rFonts w:ascii="Arial" w:eastAsia="Times New Roman" w:hAnsi="Arial" w:cs="Arial"/>
                <w:sz w:val="20"/>
                <w:szCs w:val="20"/>
              </w:rPr>
              <w:t>3,507,343</w:t>
            </w:r>
          </w:p>
        </w:tc>
        <w:tc>
          <w:tcPr>
            <w:tcW w:w="1417" w:type="dxa"/>
            <w:tcBorders>
              <w:top w:val="nil"/>
              <w:left w:val="nil"/>
              <w:bottom w:val="single" w:sz="4" w:space="0" w:color="auto"/>
              <w:right w:val="single" w:sz="4" w:space="0" w:color="auto"/>
            </w:tcBorders>
            <w:shd w:val="clear" w:color="auto" w:fill="auto"/>
            <w:noWrap/>
            <w:vAlign w:val="center"/>
            <w:hideMark/>
          </w:tcPr>
          <w:p w:rsidR="00EA3FD7" w:rsidRPr="00947BDF" w:rsidRDefault="00EA3FD7" w:rsidP="00634A2B">
            <w:pPr>
              <w:spacing w:after="0" w:line="240" w:lineRule="auto"/>
              <w:jc w:val="right"/>
              <w:rPr>
                <w:rFonts w:ascii="Arial" w:eastAsia="Times New Roman" w:hAnsi="Arial" w:cs="Arial"/>
                <w:sz w:val="20"/>
                <w:szCs w:val="20"/>
              </w:rPr>
            </w:pPr>
            <w:r w:rsidRPr="00947BDF">
              <w:rPr>
                <w:rFonts w:ascii="Arial" w:eastAsia="Times New Roman" w:hAnsi="Arial" w:cs="Arial"/>
                <w:sz w:val="20"/>
                <w:szCs w:val="20"/>
              </w:rPr>
              <w:t>3,311,191</w:t>
            </w:r>
          </w:p>
        </w:tc>
        <w:tc>
          <w:tcPr>
            <w:tcW w:w="1217" w:type="dxa"/>
            <w:tcBorders>
              <w:top w:val="nil"/>
              <w:left w:val="nil"/>
              <w:bottom w:val="single" w:sz="4" w:space="0" w:color="auto"/>
              <w:right w:val="single" w:sz="4" w:space="0" w:color="auto"/>
            </w:tcBorders>
            <w:shd w:val="clear" w:color="auto" w:fill="auto"/>
            <w:noWrap/>
            <w:vAlign w:val="center"/>
            <w:hideMark/>
          </w:tcPr>
          <w:p w:rsidR="00EA3FD7" w:rsidRPr="00947BDF" w:rsidRDefault="00EA3FD7" w:rsidP="00634A2B">
            <w:pPr>
              <w:spacing w:after="0" w:line="240" w:lineRule="auto"/>
              <w:jc w:val="right"/>
              <w:rPr>
                <w:rFonts w:ascii="Arial" w:eastAsia="Times New Roman" w:hAnsi="Arial" w:cs="Arial"/>
                <w:sz w:val="20"/>
                <w:szCs w:val="20"/>
              </w:rPr>
            </w:pPr>
            <w:r w:rsidRPr="00947BDF">
              <w:rPr>
                <w:rFonts w:ascii="Arial" w:eastAsia="Times New Roman" w:hAnsi="Arial" w:cs="Arial"/>
                <w:sz w:val="20"/>
                <w:szCs w:val="20"/>
              </w:rPr>
              <w:t>196,152</w:t>
            </w:r>
          </w:p>
        </w:tc>
        <w:tc>
          <w:tcPr>
            <w:tcW w:w="1128" w:type="dxa"/>
            <w:tcBorders>
              <w:top w:val="nil"/>
              <w:left w:val="nil"/>
              <w:bottom w:val="single" w:sz="4" w:space="0" w:color="auto"/>
              <w:right w:val="single" w:sz="4" w:space="0" w:color="auto"/>
            </w:tcBorders>
            <w:shd w:val="clear" w:color="auto" w:fill="auto"/>
            <w:noWrap/>
            <w:vAlign w:val="center"/>
            <w:hideMark/>
          </w:tcPr>
          <w:p w:rsidR="00EA3FD7" w:rsidRPr="00947BDF" w:rsidRDefault="00EA3FD7" w:rsidP="00634A2B">
            <w:pPr>
              <w:spacing w:after="0" w:line="240" w:lineRule="auto"/>
              <w:jc w:val="right"/>
              <w:rPr>
                <w:rFonts w:ascii="Arial" w:eastAsia="Times New Roman" w:hAnsi="Arial" w:cs="Arial"/>
                <w:sz w:val="20"/>
                <w:szCs w:val="20"/>
              </w:rPr>
            </w:pPr>
            <w:r w:rsidRPr="00947BDF">
              <w:rPr>
                <w:rFonts w:ascii="Arial" w:eastAsia="Times New Roman" w:hAnsi="Arial" w:cs="Arial"/>
                <w:sz w:val="20"/>
                <w:szCs w:val="20"/>
              </w:rPr>
              <w:t>41,570</w:t>
            </w:r>
          </w:p>
        </w:tc>
        <w:tc>
          <w:tcPr>
            <w:tcW w:w="1095" w:type="dxa"/>
            <w:tcBorders>
              <w:top w:val="nil"/>
              <w:left w:val="nil"/>
              <w:bottom w:val="single" w:sz="4" w:space="0" w:color="auto"/>
              <w:right w:val="single" w:sz="4" w:space="0" w:color="auto"/>
            </w:tcBorders>
            <w:shd w:val="clear" w:color="auto" w:fill="auto"/>
            <w:noWrap/>
            <w:vAlign w:val="center"/>
            <w:hideMark/>
          </w:tcPr>
          <w:p w:rsidR="00EA3FD7" w:rsidRPr="00947BDF" w:rsidRDefault="00EA3FD7" w:rsidP="00634A2B">
            <w:pPr>
              <w:spacing w:after="0" w:line="240" w:lineRule="auto"/>
              <w:jc w:val="right"/>
              <w:rPr>
                <w:rFonts w:ascii="Arial" w:eastAsia="Times New Roman" w:hAnsi="Arial" w:cs="Arial"/>
                <w:sz w:val="20"/>
                <w:szCs w:val="20"/>
              </w:rPr>
            </w:pPr>
            <w:r w:rsidRPr="00947BDF">
              <w:rPr>
                <w:rFonts w:ascii="Arial" w:eastAsia="Times New Roman" w:hAnsi="Arial" w:cs="Arial"/>
                <w:sz w:val="20"/>
                <w:szCs w:val="20"/>
              </w:rPr>
              <w:t>-154,582</w:t>
            </w:r>
          </w:p>
        </w:tc>
      </w:tr>
    </w:tbl>
    <w:p w:rsidR="00CA2193" w:rsidRPr="00FF078A" w:rsidRDefault="00EA3FD7" w:rsidP="00EA3FD7">
      <w:pPr>
        <w:spacing w:after="0" w:line="360" w:lineRule="auto"/>
        <w:jc w:val="both"/>
        <w:rPr>
          <w:rFonts w:ascii="Arial" w:hAnsi="Arial" w:cs="Arial"/>
          <w:sz w:val="20"/>
          <w:szCs w:val="20"/>
          <w:lang w:val="en-GB"/>
        </w:rPr>
      </w:pPr>
      <w:r w:rsidRPr="00EA3FD7">
        <w:rPr>
          <w:rFonts w:ascii="Arial" w:hAnsi="Arial" w:cs="Arial"/>
          <w:sz w:val="20"/>
          <w:szCs w:val="20"/>
          <w:lang w:val="en-GB"/>
        </w:rPr>
        <w:t>Source: BHAS, 2017.</w:t>
      </w:r>
    </w:p>
    <w:tbl>
      <w:tblPr>
        <w:tblW w:w="9072" w:type="dxa"/>
        <w:tblInd w:w="108" w:type="dxa"/>
        <w:tblLook w:val="04A0" w:firstRow="1" w:lastRow="0" w:firstColumn="1" w:lastColumn="0" w:noHBand="0" w:noVBand="1"/>
      </w:tblPr>
      <w:tblGrid>
        <w:gridCol w:w="1134"/>
        <w:gridCol w:w="1276"/>
        <w:gridCol w:w="992"/>
        <w:gridCol w:w="851"/>
        <w:gridCol w:w="1276"/>
        <w:gridCol w:w="1172"/>
        <w:gridCol w:w="1237"/>
        <w:gridCol w:w="1134"/>
      </w:tblGrid>
      <w:tr w:rsidR="00EA3FD7" w:rsidRPr="00947BDF" w:rsidTr="00F7518D">
        <w:trPr>
          <w:trHeight w:val="300"/>
        </w:trPr>
        <w:tc>
          <w:tcPr>
            <w:tcW w:w="7938" w:type="dxa"/>
            <w:gridSpan w:val="7"/>
            <w:tcBorders>
              <w:top w:val="nil"/>
              <w:left w:val="nil"/>
              <w:bottom w:val="nil"/>
              <w:right w:val="nil"/>
            </w:tcBorders>
            <w:shd w:val="clear" w:color="auto" w:fill="auto"/>
            <w:noWrap/>
            <w:vAlign w:val="center"/>
            <w:hideMark/>
          </w:tcPr>
          <w:p w:rsidR="00EA3FD7" w:rsidRPr="00947BDF" w:rsidRDefault="00EA3FD7" w:rsidP="00EA3FD7">
            <w:pPr>
              <w:pStyle w:val="Legenda"/>
              <w:keepNext/>
              <w:rPr>
                <w:rFonts w:ascii="Arial" w:eastAsia="Times New Roman" w:hAnsi="Arial" w:cs="Arial"/>
                <w:b/>
                <w:sz w:val="20"/>
                <w:szCs w:val="20"/>
              </w:rPr>
            </w:pPr>
            <w:r w:rsidRPr="00EA3FD7">
              <w:rPr>
                <w:rFonts w:ascii="Arial" w:hAnsi="Arial" w:cs="Arial"/>
                <w:b/>
                <w:i w:val="0"/>
                <w:color w:val="auto"/>
                <w:sz w:val="20"/>
                <w:szCs w:val="20"/>
                <w:lang w:val="en-GB"/>
              </w:rPr>
              <w:t>Table 4. Coverage rates at urban, rural, entity and national level for individuals</w:t>
            </w:r>
          </w:p>
        </w:tc>
        <w:tc>
          <w:tcPr>
            <w:tcW w:w="1134" w:type="dxa"/>
            <w:tcBorders>
              <w:top w:val="nil"/>
              <w:left w:val="nil"/>
              <w:bottom w:val="nil"/>
              <w:right w:val="nil"/>
            </w:tcBorders>
            <w:shd w:val="clear" w:color="auto" w:fill="auto"/>
            <w:noWrap/>
            <w:vAlign w:val="bottom"/>
            <w:hideMark/>
          </w:tcPr>
          <w:p w:rsidR="00EA3FD7" w:rsidRPr="00947BDF" w:rsidRDefault="00EA3FD7" w:rsidP="00634A2B">
            <w:pPr>
              <w:spacing w:after="0" w:line="240" w:lineRule="auto"/>
              <w:rPr>
                <w:rFonts w:ascii="Arial" w:eastAsia="Times New Roman" w:hAnsi="Arial" w:cs="Arial"/>
                <w:sz w:val="20"/>
                <w:szCs w:val="20"/>
              </w:rPr>
            </w:pPr>
          </w:p>
        </w:tc>
      </w:tr>
      <w:tr w:rsidR="00EA3FD7" w:rsidRPr="00947BDF" w:rsidTr="00F7518D">
        <w:trPr>
          <w:trHeight w:val="300"/>
        </w:trPr>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3FD7" w:rsidRPr="00947BDF" w:rsidRDefault="00EA3FD7" w:rsidP="00634A2B">
            <w:pPr>
              <w:spacing w:after="0" w:line="240" w:lineRule="auto"/>
              <w:rPr>
                <w:rFonts w:ascii="Arial" w:eastAsia="Times New Roman" w:hAnsi="Arial" w:cs="Arial"/>
                <w:b/>
                <w:sz w:val="20"/>
                <w:szCs w:val="20"/>
              </w:rPr>
            </w:pPr>
            <w:r w:rsidRPr="00947BDF">
              <w:rPr>
                <w:rFonts w:ascii="Arial" w:eastAsia="Times New Roman" w:hAnsi="Arial" w:cs="Arial"/>
                <w:b/>
                <w:sz w:val="20"/>
                <w:szCs w:val="20"/>
                <w:lang w:val="en-US"/>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3FD7" w:rsidRPr="00947BDF" w:rsidRDefault="00EA3FD7" w:rsidP="00634A2B">
            <w:pPr>
              <w:spacing w:after="0" w:line="240" w:lineRule="auto"/>
              <w:jc w:val="center"/>
              <w:rPr>
                <w:rFonts w:ascii="Arial" w:eastAsia="Times New Roman" w:hAnsi="Arial" w:cs="Arial"/>
                <w:b/>
                <w:sz w:val="20"/>
                <w:szCs w:val="20"/>
              </w:rPr>
            </w:pPr>
            <w:r w:rsidRPr="00947BDF">
              <w:rPr>
                <w:rFonts w:ascii="Arial" w:eastAsia="Times New Roman" w:hAnsi="Arial" w:cs="Arial"/>
                <w:b/>
                <w:sz w:val="20"/>
                <w:szCs w:val="20"/>
                <w:lang w:val="it-IT"/>
              </w:rPr>
              <w:t>Urban</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3FD7" w:rsidRPr="00947BDF" w:rsidRDefault="00EA3FD7" w:rsidP="00634A2B">
            <w:pPr>
              <w:spacing w:after="0" w:line="240" w:lineRule="auto"/>
              <w:jc w:val="center"/>
              <w:rPr>
                <w:rFonts w:ascii="Arial" w:eastAsia="Times New Roman" w:hAnsi="Arial" w:cs="Arial"/>
                <w:b/>
                <w:sz w:val="20"/>
                <w:szCs w:val="20"/>
              </w:rPr>
            </w:pPr>
            <w:r w:rsidRPr="00947BDF">
              <w:rPr>
                <w:rFonts w:ascii="Arial" w:eastAsia="Times New Roman" w:hAnsi="Arial" w:cs="Arial"/>
                <w:b/>
                <w:sz w:val="20"/>
                <w:szCs w:val="20"/>
                <w:lang w:val="it-IT"/>
              </w:rPr>
              <w:t>Rural</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3FD7" w:rsidRPr="00947BDF" w:rsidRDefault="00EA3FD7" w:rsidP="00634A2B">
            <w:pPr>
              <w:spacing w:after="0" w:line="240" w:lineRule="auto"/>
              <w:jc w:val="center"/>
              <w:rPr>
                <w:rFonts w:ascii="Arial" w:eastAsia="Times New Roman" w:hAnsi="Arial" w:cs="Arial"/>
                <w:b/>
                <w:sz w:val="20"/>
                <w:szCs w:val="20"/>
              </w:rPr>
            </w:pPr>
            <w:r w:rsidRPr="00947BDF">
              <w:rPr>
                <w:rFonts w:ascii="Arial" w:eastAsia="Times New Roman" w:hAnsi="Arial" w:cs="Arial"/>
                <w:b/>
                <w:sz w:val="20"/>
                <w:szCs w:val="20"/>
                <w:lang w:val="it-IT"/>
              </w:rPr>
              <w:t>Federation of BiH</w:t>
            </w:r>
          </w:p>
        </w:tc>
        <w:tc>
          <w:tcPr>
            <w:tcW w:w="11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3FD7" w:rsidRPr="00947BDF" w:rsidRDefault="00EA3FD7" w:rsidP="00634A2B">
            <w:pPr>
              <w:spacing w:after="0" w:line="240" w:lineRule="auto"/>
              <w:jc w:val="center"/>
              <w:rPr>
                <w:rFonts w:ascii="Arial" w:eastAsia="Times New Roman" w:hAnsi="Arial" w:cs="Arial"/>
                <w:b/>
                <w:sz w:val="20"/>
                <w:szCs w:val="20"/>
              </w:rPr>
            </w:pPr>
            <w:r w:rsidRPr="00947BDF">
              <w:rPr>
                <w:rFonts w:ascii="Arial" w:eastAsia="Times New Roman" w:hAnsi="Arial" w:cs="Arial"/>
                <w:b/>
                <w:sz w:val="20"/>
                <w:szCs w:val="20"/>
                <w:lang w:val="it-IT"/>
              </w:rPr>
              <w:t>Republika Srpska</w:t>
            </w:r>
          </w:p>
        </w:tc>
        <w:tc>
          <w:tcPr>
            <w:tcW w:w="1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3FD7" w:rsidRPr="00947BDF" w:rsidRDefault="00EA3FD7" w:rsidP="00634A2B">
            <w:pPr>
              <w:spacing w:after="0" w:line="240" w:lineRule="auto"/>
              <w:jc w:val="center"/>
              <w:rPr>
                <w:rFonts w:ascii="Arial" w:eastAsia="Times New Roman" w:hAnsi="Arial" w:cs="Arial"/>
                <w:b/>
                <w:sz w:val="20"/>
                <w:szCs w:val="20"/>
              </w:rPr>
            </w:pPr>
            <w:r w:rsidRPr="00947BDF">
              <w:rPr>
                <w:rFonts w:ascii="Arial" w:eastAsia="Times New Roman" w:hAnsi="Arial" w:cs="Arial"/>
                <w:b/>
                <w:sz w:val="20"/>
                <w:szCs w:val="20"/>
                <w:lang w:val="it-IT"/>
              </w:rPr>
              <w:t>Brcko District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3FD7" w:rsidRPr="00947BDF" w:rsidRDefault="00EA3FD7" w:rsidP="00634A2B">
            <w:pPr>
              <w:spacing w:after="0" w:line="240" w:lineRule="auto"/>
              <w:jc w:val="center"/>
              <w:rPr>
                <w:rFonts w:ascii="Arial" w:eastAsia="Times New Roman" w:hAnsi="Arial" w:cs="Arial"/>
                <w:b/>
                <w:sz w:val="20"/>
                <w:szCs w:val="20"/>
              </w:rPr>
            </w:pPr>
            <w:r w:rsidRPr="00947BDF">
              <w:rPr>
                <w:rFonts w:ascii="Arial" w:eastAsia="Times New Roman" w:hAnsi="Arial" w:cs="Arial"/>
                <w:b/>
                <w:sz w:val="20"/>
                <w:szCs w:val="20"/>
                <w:lang w:val="it-IT"/>
              </w:rPr>
              <w:t>National</w:t>
            </w:r>
          </w:p>
        </w:tc>
      </w:tr>
      <w:tr w:rsidR="00EA3FD7" w:rsidRPr="00947BDF" w:rsidTr="00F7518D">
        <w:trPr>
          <w:trHeight w:val="300"/>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EA3FD7" w:rsidRPr="00947BDF" w:rsidRDefault="00EA3FD7" w:rsidP="00634A2B">
            <w:pPr>
              <w:spacing w:after="0" w:line="240" w:lineRule="auto"/>
              <w:rPr>
                <w:rFonts w:ascii="Arial" w:eastAsia="Times New Roman" w:hAnsi="Arial" w:cs="Arial"/>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A3FD7" w:rsidRPr="00947BDF" w:rsidRDefault="00EA3FD7" w:rsidP="00634A2B">
            <w:pPr>
              <w:spacing w:after="0" w:line="240" w:lineRule="auto"/>
              <w:rPr>
                <w:rFonts w:ascii="Arial" w:eastAsia="Times New Roman" w:hAnsi="Arial"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A3FD7" w:rsidRPr="00947BDF" w:rsidRDefault="00EA3FD7" w:rsidP="00634A2B">
            <w:pPr>
              <w:spacing w:after="0" w:line="240" w:lineRule="auto"/>
              <w:rPr>
                <w:rFonts w:ascii="Arial" w:eastAsia="Times New Roman"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A3FD7" w:rsidRPr="00947BDF" w:rsidRDefault="00EA3FD7" w:rsidP="00634A2B">
            <w:pPr>
              <w:spacing w:after="0" w:line="240" w:lineRule="auto"/>
              <w:rPr>
                <w:rFonts w:ascii="Arial" w:eastAsia="Times New Roman" w:hAnsi="Arial" w:cs="Arial"/>
                <w:sz w:val="20"/>
                <w:szCs w:val="20"/>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rsidR="00EA3FD7" w:rsidRPr="00947BDF" w:rsidRDefault="00EA3FD7" w:rsidP="00634A2B">
            <w:pPr>
              <w:spacing w:after="0" w:line="240" w:lineRule="auto"/>
              <w:rPr>
                <w:rFonts w:ascii="Arial" w:eastAsia="Times New Roman" w:hAnsi="Arial" w:cs="Arial"/>
                <w:sz w:val="20"/>
                <w:szCs w:val="20"/>
              </w:rPr>
            </w:pPr>
          </w:p>
        </w:tc>
        <w:tc>
          <w:tcPr>
            <w:tcW w:w="1237" w:type="dxa"/>
            <w:vMerge/>
            <w:tcBorders>
              <w:top w:val="single" w:sz="4" w:space="0" w:color="auto"/>
              <w:left w:val="single" w:sz="4" w:space="0" w:color="auto"/>
              <w:bottom w:val="single" w:sz="4" w:space="0" w:color="auto"/>
              <w:right w:val="single" w:sz="4" w:space="0" w:color="auto"/>
            </w:tcBorders>
            <w:vAlign w:val="center"/>
            <w:hideMark/>
          </w:tcPr>
          <w:p w:rsidR="00EA3FD7" w:rsidRPr="00947BDF" w:rsidRDefault="00EA3FD7" w:rsidP="00634A2B">
            <w:pPr>
              <w:spacing w:after="0" w:line="240" w:lineRule="auto"/>
              <w:rPr>
                <w:rFonts w:ascii="Arial" w:eastAsia="Times New Roman"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A3FD7" w:rsidRPr="00947BDF" w:rsidRDefault="00EA3FD7" w:rsidP="00634A2B">
            <w:pPr>
              <w:spacing w:after="0" w:line="240" w:lineRule="auto"/>
              <w:rPr>
                <w:rFonts w:ascii="Arial" w:eastAsia="Times New Roman" w:hAnsi="Arial" w:cs="Arial"/>
                <w:sz w:val="20"/>
                <w:szCs w:val="20"/>
              </w:rPr>
            </w:pPr>
          </w:p>
        </w:tc>
      </w:tr>
      <w:tr w:rsidR="00F7518D" w:rsidRPr="00947BDF" w:rsidTr="00F7518D">
        <w:trPr>
          <w:trHeight w:val="300"/>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EA3FD7" w:rsidRPr="00947BDF" w:rsidRDefault="00EA3FD7" w:rsidP="00634A2B">
            <w:pPr>
              <w:spacing w:after="0" w:line="240" w:lineRule="auto"/>
              <w:jc w:val="center"/>
              <w:rPr>
                <w:rFonts w:ascii="Arial" w:eastAsia="Times New Roman" w:hAnsi="Arial" w:cs="Arial"/>
                <w:b/>
                <w:sz w:val="20"/>
                <w:szCs w:val="20"/>
              </w:rPr>
            </w:pPr>
            <w:r w:rsidRPr="00947BDF">
              <w:rPr>
                <w:rFonts w:ascii="Arial" w:eastAsia="Times New Roman" w:hAnsi="Arial" w:cs="Arial"/>
                <w:b/>
                <w:sz w:val="20"/>
                <w:szCs w:val="20"/>
                <w:lang w:val="it-IT"/>
              </w:rPr>
              <w:t>Over-coverage</w:t>
            </w:r>
          </w:p>
        </w:tc>
        <w:tc>
          <w:tcPr>
            <w:tcW w:w="1276" w:type="dxa"/>
            <w:tcBorders>
              <w:top w:val="nil"/>
              <w:left w:val="nil"/>
              <w:bottom w:val="single" w:sz="4" w:space="0" w:color="auto"/>
              <w:right w:val="single" w:sz="4" w:space="0" w:color="auto"/>
            </w:tcBorders>
            <w:shd w:val="clear" w:color="auto" w:fill="auto"/>
            <w:vAlign w:val="center"/>
            <w:hideMark/>
          </w:tcPr>
          <w:p w:rsidR="00EA3FD7" w:rsidRPr="00947BDF" w:rsidRDefault="00EA3FD7" w:rsidP="00634A2B">
            <w:pPr>
              <w:spacing w:after="0" w:line="240" w:lineRule="auto"/>
              <w:rPr>
                <w:rFonts w:ascii="Arial" w:eastAsia="Times New Roman" w:hAnsi="Arial" w:cs="Arial"/>
                <w:b/>
                <w:sz w:val="20"/>
                <w:szCs w:val="20"/>
              </w:rPr>
            </w:pPr>
            <w:r w:rsidRPr="00947BDF">
              <w:rPr>
                <w:rFonts w:ascii="Arial" w:eastAsia="Times New Roman" w:hAnsi="Arial" w:cs="Arial"/>
                <w:b/>
                <w:sz w:val="20"/>
                <w:szCs w:val="20"/>
                <w:lang w:val="it-IT"/>
              </w:rPr>
              <w:t>Rate</w:t>
            </w:r>
          </w:p>
        </w:tc>
        <w:tc>
          <w:tcPr>
            <w:tcW w:w="992" w:type="dxa"/>
            <w:tcBorders>
              <w:top w:val="nil"/>
              <w:left w:val="nil"/>
              <w:bottom w:val="single" w:sz="4" w:space="0" w:color="auto"/>
              <w:right w:val="single" w:sz="4" w:space="0" w:color="auto"/>
            </w:tcBorders>
            <w:shd w:val="clear" w:color="auto" w:fill="auto"/>
            <w:noWrap/>
            <w:vAlign w:val="center"/>
            <w:hideMark/>
          </w:tcPr>
          <w:p w:rsidR="00EA3FD7" w:rsidRPr="00947BDF" w:rsidRDefault="00EA3FD7" w:rsidP="00634A2B">
            <w:pPr>
              <w:spacing w:after="0" w:line="240" w:lineRule="auto"/>
              <w:jc w:val="center"/>
              <w:rPr>
                <w:rFonts w:ascii="Arial" w:eastAsia="Times New Roman" w:hAnsi="Arial" w:cs="Arial"/>
                <w:sz w:val="20"/>
                <w:szCs w:val="20"/>
              </w:rPr>
            </w:pPr>
            <w:r w:rsidRPr="00947BDF">
              <w:rPr>
                <w:rFonts w:ascii="Arial" w:eastAsia="Times New Roman" w:hAnsi="Arial" w:cs="Arial"/>
                <w:sz w:val="20"/>
                <w:szCs w:val="20"/>
                <w:lang w:val="it-IT"/>
              </w:rPr>
              <w:t>6.4%</w:t>
            </w:r>
          </w:p>
        </w:tc>
        <w:tc>
          <w:tcPr>
            <w:tcW w:w="851" w:type="dxa"/>
            <w:tcBorders>
              <w:top w:val="nil"/>
              <w:left w:val="nil"/>
              <w:bottom w:val="single" w:sz="4" w:space="0" w:color="auto"/>
              <w:right w:val="single" w:sz="4" w:space="0" w:color="auto"/>
            </w:tcBorders>
            <w:shd w:val="clear" w:color="auto" w:fill="auto"/>
            <w:noWrap/>
            <w:vAlign w:val="center"/>
            <w:hideMark/>
          </w:tcPr>
          <w:p w:rsidR="00EA3FD7" w:rsidRPr="00947BDF" w:rsidRDefault="00EA3FD7" w:rsidP="00634A2B">
            <w:pPr>
              <w:spacing w:after="0" w:line="240" w:lineRule="auto"/>
              <w:jc w:val="center"/>
              <w:rPr>
                <w:rFonts w:ascii="Arial" w:eastAsia="Times New Roman" w:hAnsi="Arial" w:cs="Arial"/>
                <w:sz w:val="20"/>
                <w:szCs w:val="20"/>
              </w:rPr>
            </w:pPr>
            <w:r w:rsidRPr="00947BDF">
              <w:rPr>
                <w:rFonts w:ascii="Arial" w:eastAsia="Times New Roman" w:hAnsi="Arial" w:cs="Arial"/>
                <w:sz w:val="20"/>
                <w:szCs w:val="20"/>
                <w:lang w:val="it-IT"/>
              </w:rPr>
              <w:t>5.</w:t>
            </w:r>
            <w:r>
              <w:rPr>
                <w:rFonts w:ascii="Arial" w:eastAsia="Times New Roman" w:hAnsi="Arial" w:cs="Arial"/>
                <w:sz w:val="20"/>
                <w:szCs w:val="20"/>
                <w:lang w:val="it-IT"/>
              </w:rPr>
              <w:t>1</w:t>
            </w:r>
            <w:r w:rsidRPr="00947BDF">
              <w:rPr>
                <w:rFonts w:ascii="Arial" w:eastAsia="Times New Roman" w:hAnsi="Arial" w:cs="Arial"/>
                <w:sz w:val="20"/>
                <w:szCs w:val="20"/>
                <w:lang w:val="it-IT"/>
              </w:rPr>
              <w:t>%</w:t>
            </w:r>
          </w:p>
        </w:tc>
        <w:tc>
          <w:tcPr>
            <w:tcW w:w="1276" w:type="dxa"/>
            <w:tcBorders>
              <w:top w:val="nil"/>
              <w:left w:val="nil"/>
              <w:bottom w:val="single" w:sz="4" w:space="0" w:color="auto"/>
              <w:right w:val="single" w:sz="4" w:space="0" w:color="auto"/>
            </w:tcBorders>
            <w:shd w:val="clear" w:color="auto" w:fill="auto"/>
            <w:noWrap/>
            <w:vAlign w:val="center"/>
            <w:hideMark/>
          </w:tcPr>
          <w:p w:rsidR="00EA3FD7" w:rsidRPr="00947BDF" w:rsidRDefault="00EA3FD7" w:rsidP="00634A2B">
            <w:pPr>
              <w:spacing w:after="0" w:line="240" w:lineRule="auto"/>
              <w:jc w:val="center"/>
              <w:rPr>
                <w:rFonts w:ascii="Arial" w:eastAsia="Times New Roman" w:hAnsi="Arial" w:cs="Arial"/>
                <w:sz w:val="20"/>
                <w:szCs w:val="20"/>
              </w:rPr>
            </w:pPr>
            <w:r w:rsidRPr="00947BDF">
              <w:rPr>
                <w:rFonts w:ascii="Arial" w:eastAsia="Times New Roman" w:hAnsi="Arial" w:cs="Arial"/>
                <w:sz w:val="20"/>
                <w:szCs w:val="20"/>
                <w:lang w:val="it-IT"/>
              </w:rPr>
              <w:t>5.0%</w:t>
            </w:r>
          </w:p>
        </w:tc>
        <w:tc>
          <w:tcPr>
            <w:tcW w:w="1172" w:type="dxa"/>
            <w:tcBorders>
              <w:top w:val="nil"/>
              <w:left w:val="nil"/>
              <w:bottom w:val="single" w:sz="4" w:space="0" w:color="auto"/>
              <w:right w:val="single" w:sz="4" w:space="0" w:color="auto"/>
            </w:tcBorders>
            <w:shd w:val="clear" w:color="auto" w:fill="auto"/>
            <w:noWrap/>
            <w:vAlign w:val="center"/>
            <w:hideMark/>
          </w:tcPr>
          <w:p w:rsidR="00EA3FD7" w:rsidRPr="00947BDF" w:rsidRDefault="00EA3FD7" w:rsidP="00634A2B">
            <w:pPr>
              <w:spacing w:after="0" w:line="240" w:lineRule="auto"/>
              <w:jc w:val="center"/>
              <w:rPr>
                <w:rFonts w:ascii="Arial" w:eastAsia="Times New Roman" w:hAnsi="Arial" w:cs="Arial"/>
                <w:sz w:val="20"/>
                <w:szCs w:val="20"/>
              </w:rPr>
            </w:pPr>
            <w:r w:rsidRPr="00947BDF">
              <w:rPr>
                <w:rFonts w:ascii="Arial" w:eastAsia="Times New Roman" w:hAnsi="Arial" w:cs="Arial"/>
                <w:sz w:val="20"/>
                <w:szCs w:val="20"/>
                <w:lang w:val="it-IT"/>
              </w:rPr>
              <w:t>6.0%</w:t>
            </w:r>
          </w:p>
        </w:tc>
        <w:tc>
          <w:tcPr>
            <w:tcW w:w="1237" w:type="dxa"/>
            <w:tcBorders>
              <w:top w:val="nil"/>
              <w:left w:val="nil"/>
              <w:bottom w:val="single" w:sz="4" w:space="0" w:color="auto"/>
              <w:right w:val="single" w:sz="4" w:space="0" w:color="auto"/>
            </w:tcBorders>
            <w:shd w:val="clear" w:color="auto" w:fill="auto"/>
            <w:noWrap/>
            <w:vAlign w:val="center"/>
            <w:hideMark/>
          </w:tcPr>
          <w:p w:rsidR="00EA3FD7" w:rsidRPr="00947BDF" w:rsidRDefault="00EA3FD7" w:rsidP="00634A2B">
            <w:pPr>
              <w:spacing w:after="0" w:line="240" w:lineRule="auto"/>
              <w:jc w:val="center"/>
              <w:rPr>
                <w:rFonts w:ascii="Arial" w:eastAsia="Times New Roman" w:hAnsi="Arial" w:cs="Arial"/>
                <w:sz w:val="20"/>
                <w:szCs w:val="20"/>
              </w:rPr>
            </w:pPr>
            <w:r>
              <w:rPr>
                <w:rFonts w:ascii="Arial" w:eastAsia="Times New Roman" w:hAnsi="Arial" w:cs="Arial"/>
                <w:sz w:val="20"/>
                <w:szCs w:val="20"/>
                <w:lang w:val="it-IT"/>
              </w:rPr>
              <w:t>15.4</w:t>
            </w:r>
            <w:r w:rsidRPr="00947BDF">
              <w:rPr>
                <w:rFonts w:ascii="Arial" w:eastAsia="Times New Roman" w:hAnsi="Arial" w:cs="Arial"/>
                <w:sz w:val="20"/>
                <w:szCs w:val="20"/>
                <w:lang w:val="it-IT"/>
              </w:rPr>
              <w:t>%</w:t>
            </w:r>
          </w:p>
        </w:tc>
        <w:tc>
          <w:tcPr>
            <w:tcW w:w="1134" w:type="dxa"/>
            <w:tcBorders>
              <w:top w:val="nil"/>
              <w:left w:val="nil"/>
              <w:bottom w:val="single" w:sz="4" w:space="0" w:color="auto"/>
              <w:right w:val="single" w:sz="4" w:space="0" w:color="auto"/>
            </w:tcBorders>
            <w:shd w:val="clear" w:color="auto" w:fill="auto"/>
            <w:noWrap/>
            <w:vAlign w:val="center"/>
            <w:hideMark/>
          </w:tcPr>
          <w:p w:rsidR="00EA3FD7" w:rsidRPr="00947BDF" w:rsidRDefault="00EA3FD7" w:rsidP="00634A2B">
            <w:pPr>
              <w:spacing w:after="0" w:line="240" w:lineRule="auto"/>
              <w:jc w:val="center"/>
              <w:rPr>
                <w:rFonts w:ascii="Arial" w:eastAsia="Times New Roman" w:hAnsi="Arial" w:cs="Arial"/>
                <w:sz w:val="20"/>
                <w:szCs w:val="20"/>
              </w:rPr>
            </w:pPr>
            <w:r w:rsidRPr="00947BDF">
              <w:rPr>
                <w:rFonts w:ascii="Arial" w:eastAsia="Times New Roman" w:hAnsi="Arial" w:cs="Arial"/>
                <w:sz w:val="20"/>
                <w:szCs w:val="20"/>
                <w:lang w:val="it-IT"/>
              </w:rPr>
              <w:t>5.</w:t>
            </w:r>
            <w:r>
              <w:rPr>
                <w:rFonts w:ascii="Arial" w:eastAsia="Times New Roman" w:hAnsi="Arial" w:cs="Arial"/>
                <w:sz w:val="20"/>
                <w:szCs w:val="20"/>
                <w:lang w:val="it-IT"/>
              </w:rPr>
              <w:t>6</w:t>
            </w:r>
            <w:r w:rsidRPr="00947BDF">
              <w:rPr>
                <w:rFonts w:ascii="Arial" w:eastAsia="Times New Roman" w:hAnsi="Arial" w:cs="Arial"/>
                <w:sz w:val="20"/>
                <w:szCs w:val="20"/>
                <w:lang w:val="it-IT"/>
              </w:rPr>
              <w:t>%</w:t>
            </w:r>
          </w:p>
        </w:tc>
      </w:tr>
      <w:tr w:rsidR="00F7518D" w:rsidRPr="00947BDF" w:rsidTr="00F7518D">
        <w:trPr>
          <w:trHeight w:val="300"/>
        </w:trPr>
        <w:tc>
          <w:tcPr>
            <w:tcW w:w="1134" w:type="dxa"/>
            <w:vMerge/>
            <w:tcBorders>
              <w:top w:val="nil"/>
              <w:left w:val="single" w:sz="4" w:space="0" w:color="auto"/>
              <w:bottom w:val="single" w:sz="4" w:space="0" w:color="auto"/>
              <w:right w:val="single" w:sz="4" w:space="0" w:color="auto"/>
            </w:tcBorders>
            <w:vAlign w:val="center"/>
            <w:hideMark/>
          </w:tcPr>
          <w:p w:rsidR="00EA3FD7" w:rsidRPr="00947BDF" w:rsidRDefault="00EA3FD7" w:rsidP="00634A2B">
            <w:pPr>
              <w:spacing w:after="0" w:line="240" w:lineRule="auto"/>
              <w:rPr>
                <w:rFonts w:ascii="Arial" w:eastAsia="Times New Roman" w:hAnsi="Arial" w:cs="Arial"/>
                <w:b/>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EA3FD7" w:rsidRPr="00947BDF" w:rsidRDefault="00EA3FD7" w:rsidP="00634A2B">
            <w:pPr>
              <w:spacing w:after="0" w:line="240" w:lineRule="auto"/>
              <w:rPr>
                <w:rFonts w:ascii="Arial" w:eastAsia="Times New Roman" w:hAnsi="Arial" w:cs="Arial"/>
                <w:b/>
                <w:sz w:val="20"/>
                <w:szCs w:val="20"/>
              </w:rPr>
            </w:pPr>
            <w:r w:rsidRPr="00947BDF">
              <w:rPr>
                <w:rFonts w:ascii="Arial" w:eastAsia="Times New Roman" w:hAnsi="Arial" w:cs="Arial"/>
                <w:b/>
                <w:sz w:val="20"/>
                <w:szCs w:val="20"/>
              </w:rPr>
              <w:t>95% CI LL</w:t>
            </w:r>
          </w:p>
        </w:tc>
        <w:tc>
          <w:tcPr>
            <w:tcW w:w="992" w:type="dxa"/>
            <w:tcBorders>
              <w:top w:val="nil"/>
              <w:left w:val="nil"/>
              <w:bottom w:val="single" w:sz="4" w:space="0" w:color="auto"/>
              <w:right w:val="single" w:sz="4" w:space="0" w:color="auto"/>
            </w:tcBorders>
            <w:shd w:val="clear" w:color="auto" w:fill="auto"/>
            <w:noWrap/>
            <w:vAlign w:val="center"/>
            <w:hideMark/>
          </w:tcPr>
          <w:p w:rsidR="00EA3FD7" w:rsidRPr="00947BDF" w:rsidRDefault="00EA3FD7" w:rsidP="00634A2B">
            <w:pPr>
              <w:spacing w:after="0" w:line="240" w:lineRule="auto"/>
              <w:jc w:val="center"/>
              <w:rPr>
                <w:rFonts w:ascii="Arial" w:eastAsia="Times New Roman" w:hAnsi="Arial" w:cs="Arial"/>
                <w:sz w:val="20"/>
                <w:szCs w:val="20"/>
              </w:rPr>
            </w:pPr>
            <w:r w:rsidRPr="00947BDF">
              <w:rPr>
                <w:rFonts w:ascii="Arial" w:eastAsia="Times New Roman" w:hAnsi="Arial" w:cs="Arial"/>
                <w:sz w:val="20"/>
                <w:szCs w:val="20"/>
                <w:lang w:val="it-IT"/>
              </w:rPr>
              <w:t>6.</w:t>
            </w:r>
            <w:r>
              <w:rPr>
                <w:rFonts w:ascii="Arial" w:eastAsia="Times New Roman" w:hAnsi="Arial" w:cs="Arial"/>
                <w:sz w:val="20"/>
                <w:szCs w:val="20"/>
                <w:lang w:val="it-IT"/>
              </w:rPr>
              <w:t>2</w:t>
            </w:r>
            <w:r w:rsidRPr="00947BDF">
              <w:rPr>
                <w:rFonts w:ascii="Arial" w:eastAsia="Times New Roman" w:hAnsi="Arial" w:cs="Arial"/>
                <w:sz w:val="20"/>
                <w:szCs w:val="20"/>
                <w:lang w:val="it-IT"/>
              </w:rPr>
              <w:t>%</w:t>
            </w:r>
          </w:p>
        </w:tc>
        <w:tc>
          <w:tcPr>
            <w:tcW w:w="851" w:type="dxa"/>
            <w:tcBorders>
              <w:top w:val="nil"/>
              <w:left w:val="nil"/>
              <w:bottom w:val="single" w:sz="4" w:space="0" w:color="auto"/>
              <w:right w:val="single" w:sz="4" w:space="0" w:color="auto"/>
            </w:tcBorders>
            <w:shd w:val="clear" w:color="auto" w:fill="auto"/>
            <w:noWrap/>
            <w:vAlign w:val="center"/>
            <w:hideMark/>
          </w:tcPr>
          <w:p w:rsidR="00EA3FD7" w:rsidRPr="00947BDF" w:rsidRDefault="00EA3FD7" w:rsidP="00634A2B">
            <w:pPr>
              <w:spacing w:after="0" w:line="240" w:lineRule="auto"/>
              <w:jc w:val="center"/>
              <w:rPr>
                <w:rFonts w:ascii="Arial" w:eastAsia="Times New Roman" w:hAnsi="Arial" w:cs="Arial"/>
                <w:sz w:val="20"/>
                <w:szCs w:val="20"/>
              </w:rPr>
            </w:pPr>
            <w:r>
              <w:rPr>
                <w:rFonts w:ascii="Arial" w:eastAsia="Times New Roman" w:hAnsi="Arial" w:cs="Arial"/>
                <w:sz w:val="20"/>
                <w:szCs w:val="20"/>
                <w:lang w:val="it-IT"/>
              </w:rPr>
              <w:t>4.9</w:t>
            </w:r>
            <w:r w:rsidRPr="00947BDF">
              <w:rPr>
                <w:rFonts w:ascii="Arial" w:eastAsia="Times New Roman" w:hAnsi="Arial" w:cs="Arial"/>
                <w:sz w:val="20"/>
                <w:szCs w:val="20"/>
                <w:lang w:val="it-IT"/>
              </w:rPr>
              <w:t>%</w:t>
            </w:r>
          </w:p>
        </w:tc>
        <w:tc>
          <w:tcPr>
            <w:tcW w:w="1276" w:type="dxa"/>
            <w:tcBorders>
              <w:top w:val="nil"/>
              <w:left w:val="nil"/>
              <w:bottom w:val="single" w:sz="4" w:space="0" w:color="auto"/>
              <w:right w:val="single" w:sz="4" w:space="0" w:color="auto"/>
            </w:tcBorders>
            <w:shd w:val="clear" w:color="auto" w:fill="auto"/>
            <w:noWrap/>
            <w:vAlign w:val="center"/>
            <w:hideMark/>
          </w:tcPr>
          <w:p w:rsidR="00EA3FD7" w:rsidRPr="00947BDF" w:rsidRDefault="00EA3FD7" w:rsidP="00634A2B">
            <w:pPr>
              <w:spacing w:after="0" w:line="240" w:lineRule="auto"/>
              <w:jc w:val="center"/>
              <w:rPr>
                <w:rFonts w:ascii="Arial" w:eastAsia="Times New Roman" w:hAnsi="Arial" w:cs="Arial"/>
                <w:sz w:val="20"/>
                <w:szCs w:val="20"/>
              </w:rPr>
            </w:pPr>
            <w:r>
              <w:rPr>
                <w:rFonts w:ascii="Arial" w:eastAsia="Times New Roman" w:hAnsi="Arial" w:cs="Arial"/>
                <w:sz w:val="20"/>
                <w:szCs w:val="20"/>
                <w:lang w:val="it-IT"/>
              </w:rPr>
              <w:t>4.9</w:t>
            </w:r>
            <w:r w:rsidRPr="00947BDF">
              <w:rPr>
                <w:rFonts w:ascii="Arial" w:eastAsia="Times New Roman" w:hAnsi="Arial" w:cs="Arial"/>
                <w:sz w:val="20"/>
                <w:szCs w:val="20"/>
                <w:lang w:val="it-IT"/>
              </w:rPr>
              <w:t>%</w:t>
            </w:r>
          </w:p>
        </w:tc>
        <w:tc>
          <w:tcPr>
            <w:tcW w:w="1172" w:type="dxa"/>
            <w:tcBorders>
              <w:top w:val="nil"/>
              <w:left w:val="nil"/>
              <w:bottom w:val="single" w:sz="4" w:space="0" w:color="auto"/>
              <w:right w:val="single" w:sz="4" w:space="0" w:color="auto"/>
            </w:tcBorders>
            <w:shd w:val="clear" w:color="auto" w:fill="auto"/>
            <w:noWrap/>
            <w:vAlign w:val="center"/>
            <w:hideMark/>
          </w:tcPr>
          <w:p w:rsidR="00EA3FD7" w:rsidRPr="00947BDF" w:rsidRDefault="00EA3FD7" w:rsidP="00634A2B">
            <w:pPr>
              <w:spacing w:after="0" w:line="240" w:lineRule="auto"/>
              <w:jc w:val="center"/>
              <w:rPr>
                <w:rFonts w:ascii="Arial" w:eastAsia="Times New Roman" w:hAnsi="Arial" w:cs="Arial"/>
                <w:sz w:val="20"/>
                <w:szCs w:val="20"/>
              </w:rPr>
            </w:pPr>
            <w:r>
              <w:rPr>
                <w:rFonts w:ascii="Arial" w:eastAsia="Times New Roman" w:hAnsi="Arial" w:cs="Arial"/>
                <w:sz w:val="20"/>
                <w:szCs w:val="20"/>
                <w:lang w:val="it-IT"/>
              </w:rPr>
              <w:t>5.8</w:t>
            </w:r>
            <w:r w:rsidRPr="00947BDF">
              <w:rPr>
                <w:rFonts w:ascii="Arial" w:eastAsia="Times New Roman" w:hAnsi="Arial" w:cs="Arial"/>
                <w:sz w:val="20"/>
                <w:szCs w:val="20"/>
                <w:lang w:val="it-IT"/>
              </w:rPr>
              <w:t>%</w:t>
            </w:r>
          </w:p>
        </w:tc>
        <w:tc>
          <w:tcPr>
            <w:tcW w:w="1237" w:type="dxa"/>
            <w:tcBorders>
              <w:top w:val="nil"/>
              <w:left w:val="nil"/>
              <w:bottom w:val="single" w:sz="4" w:space="0" w:color="auto"/>
              <w:right w:val="single" w:sz="4" w:space="0" w:color="auto"/>
            </w:tcBorders>
            <w:shd w:val="clear" w:color="auto" w:fill="auto"/>
            <w:noWrap/>
            <w:vAlign w:val="center"/>
            <w:hideMark/>
          </w:tcPr>
          <w:p w:rsidR="00EA3FD7" w:rsidRPr="00947BDF" w:rsidRDefault="00EA3FD7" w:rsidP="00634A2B">
            <w:pPr>
              <w:spacing w:after="0" w:line="240" w:lineRule="auto"/>
              <w:jc w:val="center"/>
              <w:rPr>
                <w:rFonts w:ascii="Arial" w:eastAsia="Times New Roman" w:hAnsi="Arial" w:cs="Arial"/>
                <w:sz w:val="20"/>
                <w:szCs w:val="20"/>
              </w:rPr>
            </w:pPr>
            <w:r>
              <w:rPr>
                <w:rFonts w:ascii="Arial" w:eastAsia="Times New Roman" w:hAnsi="Arial" w:cs="Arial"/>
                <w:sz w:val="20"/>
                <w:szCs w:val="20"/>
                <w:lang w:val="it-IT"/>
              </w:rPr>
              <w:t>14.5</w:t>
            </w:r>
            <w:r w:rsidRPr="00947BDF">
              <w:rPr>
                <w:rFonts w:ascii="Arial" w:eastAsia="Times New Roman" w:hAnsi="Arial" w:cs="Arial"/>
                <w:sz w:val="20"/>
                <w:szCs w:val="20"/>
                <w:lang w:val="it-IT"/>
              </w:rPr>
              <w:t>%</w:t>
            </w:r>
          </w:p>
        </w:tc>
        <w:tc>
          <w:tcPr>
            <w:tcW w:w="1134" w:type="dxa"/>
            <w:tcBorders>
              <w:top w:val="nil"/>
              <w:left w:val="nil"/>
              <w:bottom w:val="single" w:sz="4" w:space="0" w:color="auto"/>
              <w:right w:val="single" w:sz="4" w:space="0" w:color="auto"/>
            </w:tcBorders>
            <w:shd w:val="clear" w:color="auto" w:fill="auto"/>
            <w:noWrap/>
            <w:vAlign w:val="center"/>
            <w:hideMark/>
          </w:tcPr>
          <w:p w:rsidR="00EA3FD7" w:rsidRPr="00947BDF" w:rsidRDefault="00EA3FD7" w:rsidP="00634A2B">
            <w:pPr>
              <w:spacing w:after="0" w:line="240" w:lineRule="auto"/>
              <w:jc w:val="center"/>
              <w:rPr>
                <w:rFonts w:ascii="Arial" w:eastAsia="Times New Roman" w:hAnsi="Arial" w:cs="Arial"/>
                <w:sz w:val="20"/>
                <w:szCs w:val="20"/>
              </w:rPr>
            </w:pPr>
            <w:r>
              <w:rPr>
                <w:rFonts w:ascii="Arial" w:eastAsia="Times New Roman" w:hAnsi="Arial" w:cs="Arial"/>
                <w:sz w:val="20"/>
                <w:szCs w:val="20"/>
                <w:lang w:val="it-IT"/>
              </w:rPr>
              <w:t>5.4</w:t>
            </w:r>
            <w:r w:rsidRPr="00947BDF">
              <w:rPr>
                <w:rFonts w:ascii="Arial" w:eastAsia="Times New Roman" w:hAnsi="Arial" w:cs="Arial"/>
                <w:sz w:val="20"/>
                <w:szCs w:val="20"/>
                <w:lang w:val="it-IT"/>
              </w:rPr>
              <w:t>%</w:t>
            </w:r>
          </w:p>
        </w:tc>
      </w:tr>
      <w:tr w:rsidR="00F7518D" w:rsidRPr="00947BDF" w:rsidTr="00F7518D">
        <w:trPr>
          <w:trHeight w:val="300"/>
        </w:trPr>
        <w:tc>
          <w:tcPr>
            <w:tcW w:w="1134" w:type="dxa"/>
            <w:vMerge/>
            <w:tcBorders>
              <w:top w:val="nil"/>
              <w:left w:val="single" w:sz="4" w:space="0" w:color="auto"/>
              <w:bottom w:val="single" w:sz="4" w:space="0" w:color="auto"/>
              <w:right w:val="single" w:sz="4" w:space="0" w:color="auto"/>
            </w:tcBorders>
            <w:vAlign w:val="center"/>
            <w:hideMark/>
          </w:tcPr>
          <w:p w:rsidR="00EA3FD7" w:rsidRPr="00947BDF" w:rsidRDefault="00EA3FD7" w:rsidP="00634A2B">
            <w:pPr>
              <w:spacing w:after="0" w:line="240" w:lineRule="auto"/>
              <w:rPr>
                <w:rFonts w:ascii="Arial" w:eastAsia="Times New Roman" w:hAnsi="Arial" w:cs="Arial"/>
                <w:b/>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EA3FD7" w:rsidRPr="00947BDF" w:rsidRDefault="00EA3FD7" w:rsidP="00634A2B">
            <w:pPr>
              <w:spacing w:after="0" w:line="240" w:lineRule="auto"/>
              <w:rPr>
                <w:rFonts w:ascii="Arial" w:eastAsia="Times New Roman" w:hAnsi="Arial" w:cs="Arial"/>
                <w:b/>
                <w:sz w:val="20"/>
                <w:szCs w:val="20"/>
              </w:rPr>
            </w:pPr>
            <w:r w:rsidRPr="00947BDF">
              <w:rPr>
                <w:rFonts w:ascii="Arial" w:eastAsia="Times New Roman" w:hAnsi="Arial" w:cs="Arial"/>
                <w:b/>
                <w:sz w:val="20"/>
                <w:szCs w:val="20"/>
              </w:rPr>
              <w:t>95% CI UL</w:t>
            </w:r>
          </w:p>
        </w:tc>
        <w:tc>
          <w:tcPr>
            <w:tcW w:w="992" w:type="dxa"/>
            <w:tcBorders>
              <w:top w:val="nil"/>
              <w:left w:val="nil"/>
              <w:bottom w:val="single" w:sz="4" w:space="0" w:color="auto"/>
              <w:right w:val="single" w:sz="4" w:space="0" w:color="auto"/>
            </w:tcBorders>
            <w:shd w:val="clear" w:color="auto" w:fill="auto"/>
            <w:noWrap/>
            <w:vAlign w:val="center"/>
            <w:hideMark/>
          </w:tcPr>
          <w:p w:rsidR="00EA3FD7" w:rsidRPr="00947BDF" w:rsidRDefault="00EA3FD7" w:rsidP="00634A2B">
            <w:pPr>
              <w:spacing w:after="0" w:line="240" w:lineRule="auto"/>
              <w:jc w:val="center"/>
              <w:rPr>
                <w:rFonts w:ascii="Arial" w:eastAsia="Times New Roman" w:hAnsi="Arial" w:cs="Arial"/>
                <w:sz w:val="20"/>
                <w:szCs w:val="20"/>
              </w:rPr>
            </w:pPr>
            <w:r>
              <w:rPr>
                <w:rFonts w:ascii="Arial" w:eastAsia="Times New Roman" w:hAnsi="Arial" w:cs="Arial"/>
                <w:sz w:val="20"/>
                <w:szCs w:val="20"/>
                <w:lang w:val="it-IT"/>
              </w:rPr>
              <w:t>6.7</w:t>
            </w:r>
            <w:r w:rsidRPr="00947BDF">
              <w:rPr>
                <w:rFonts w:ascii="Arial" w:eastAsia="Times New Roman" w:hAnsi="Arial" w:cs="Arial"/>
                <w:sz w:val="20"/>
                <w:szCs w:val="20"/>
                <w:lang w:val="it-IT"/>
              </w:rPr>
              <w:t>%</w:t>
            </w:r>
          </w:p>
        </w:tc>
        <w:tc>
          <w:tcPr>
            <w:tcW w:w="851" w:type="dxa"/>
            <w:tcBorders>
              <w:top w:val="nil"/>
              <w:left w:val="nil"/>
              <w:bottom w:val="single" w:sz="4" w:space="0" w:color="auto"/>
              <w:right w:val="single" w:sz="4" w:space="0" w:color="auto"/>
            </w:tcBorders>
            <w:shd w:val="clear" w:color="auto" w:fill="auto"/>
            <w:noWrap/>
            <w:vAlign w:val="center"/>
            <w:hideMark/>
          </w:tcPr>
          <w:p w:rsidR="00EA3FD7" w:rsidRPr="00947BDF" w:rsidRDefault="00EA3FD7" w:rsidP="00634A2B">
            <w:pPr>
              <w:spacing w:after="0" w:line="240" w:lineRule="auto"/>
              <w:jc w:val="center"/>
              <w:rPr>
                <w:rFonts w:ascii="Arial" w:eastAsia="Times New Roman" w:hAnsi="Arial" w:cs="Arial"/>
                <w:sz w:val="20"/>
                <w:szCs w:val="20"/>
              </w:rPr>
            </w:pPr>
            <w:r>
              <w:rPr>
                <w:rFonts w:ascii="Arial" w:eastAsia="Times New Roman" w:hAnsi="Arial" w:cs="Arial"/>
                <w:sz w:val="20"/>
                <w:szCs w:val="20"/>
                <w:lang w:val="it-IT"/>
              </w:rPr>
              <w:t>5.3</w:t>
            </w:r>
            <w:r w:rsidRPr="00947BDF">
              <w:rPr>
                <w:rFonts w:ascii="Arial" w:eastAsia="Times New Roman" w:hAnsi="Arial" w:cs="Arial"/>
                <w:sz w:val="20"/>
                <w:szCs w:val="20"/>
                <w:lang w:val="it-IT"/>
              </w:rPr>
              <w:t>%</w:t>
            </w:r>
          </w:p>
        </w:tc>
        <w:tc>
          <w:tcPr>
            <w:tcW w:w="1276" w:type="dxa"/>
            <w:tcBorders>
              <w:top w:val="nil"/>
              <w:left w:val="nil"/>
              <w:bottom w:val="single" w:sz="4" w:space="0" w:color="auto"/>
              <w:right w:val="single" w:sz="4" w:space="0" w:color="auto"/>
            </w:tcBorders>
            <w:shd w:val="clear" w:color="auto" w:fill="auto"/>
            <w:noWrap/>
            <w:vAlign w:val="center"/>
            <w:hideMark/>
          </w:tcPr>
          <w:p w:rsidR="00EA3FD7" w:rsidRPr="00947BDF" w:rsidRDefault="00EA3FD7" w:rsidP="00634A2B">
            <w:pPr>
              <w:spacing w:after="0" w:line="240" w:lineRule="auto"/>
              <w:jc w:val="center"/>
              <w:rPr>
                <w:rFonts w:ascii="Arial" w:eastAsia="Times New Roman" w:hAnsi="Arial" w:cs="Arial"/>
                <w:sz w:val="20"/>
                <w:szCs w:val="20"/>
              </w:rPr>
            </w:pPr>
            <w:r>
              <w:rPr>
                <w:rFonts w:ascii="Arial" w:eastAsia="Times New Roman" w:hAnsi="Arial" w:cs="Arial"/>
                <w:sz w:val="20"/>
                <w:szCs w:val="20"/>
                <w:lang w:val="it-IT"/>
              </w:rPr>
              <w:t>5.2</w:t>
            </w:r>
            <w:r w:rsidRPr="00947BDF">
              <w:rPr>
                <w:rFonts w:ascii="Arial" w:eastAsia="Times New Roman" w:hAnsi="Arial" w:cs="Arial"/>
                <w:sz w:val="20"/>
                <w:szCs w:val="20"/>
                <w:lang w:val="it-IT"/>
              </w:rPr>
              <w:t>%</w:t>
            </w:r>
          </w:p>
        </w:tc>
        <w:tc>
          <w:tcPr>
            <w:tcW w:w="1172" w:type="dxa"/>
            <w:tcBorders>
              <w:top w:val="nil"/>
              <w:left w:val="nil"/>
              <w:bottom w:val="single" w:sz="4" w:space="0" w:color="auto"/>
              <w:right w:val="single" w:sz="4" w:space="0" w:color="auto"/>
            </w:tcBorders>
            <w:shd w:val="clear" w:color="auto" w:fill="auto"/>
            <w:noWrap/>
            <w:vAlign w:val="center"/>
            <w:hideMark/>
          </w:tcPr>
          <w:p w:rsidR="00EA3FD7" w:rsidRPr="00947BDF" w:rsidRDefault="00EA3FD7" w:rsidP="00634A2B">
            <w:pPr>
              <w:spacing w:after="0" w:line="240" w:lineRule="auto"/>
              <w:jc w:val="center"/>
              <w:rPr>
                <w:rFonts w:ascii="Arial" w:eastAsia="Times New Roman" w:hAnsi="Arial" w:cs="Arial"/>
                <w:sz w:val="20"/>
                <w:szCs w:val="20"/>
              </w:rPr>
            </w:pPr>
            <w:r>
              <w:rPr>
                <w:rFonts w:ascii="Arial" w:eastAsia="Times New Roman" w:hAnsi="Arial" w:cs="Arial"/>
                <w:sz w:val="20"/>
                <w:szCs w:val="20"/>
                <w:lang w:val="it-IT"/>
              </w:rPr>
              <w:t>6.3</w:t>
            </w:r>
            <w:r w:rsidRPr="00947BDF">
              <w:rPr>
                <w:rFonts w:ascii="Arial" w:eastAsia="Times New Roman" w:hAnsi="Arial" w:cs="Arial"/>
                <w:sz w:val="20"/>
                <w:szCs w:val="20"/>
                <w:lang w:val="it-IT"/>
              </w:rPr>
              <w:t>%</w:t>
            </w:r>
          </w:p>
        </w:tc>
        <w:tc>
          <w:tcPr>
            <w:tcW w:w="1237" w:type="dxa"/>
            <w:tcBorders>
              <w:top w:val="nil"/>
              <w:left w:val="nil"/>
              <w:bottom w:val="single" w:sz="4" w:space="0" w:color="auto"/>
              <w:right w:val="single" w:sz="4" w:space="0" w:color="auto"/>
            </w:tcBorders>
            <w:shd w:val="clear" w:color="auto" w:fill="auto"/>
            <w:noWrap/>
            <w:vAlign w:val="center"/>
            <w:hideMark/>
          </w:tcPr>
          <w:p w:rsidR="00EA3FD7" w:rsidRPr="00947BDF" w:rsidRDefault="00EA3FD7" w:rsidP="00634A2B">
            <w:pPr>
              <w:spacing w:after="0" w:line="240" w:lineRule="auto"/>
              <w:jc w:val="center"/>
              <w:rPr>
                <w:rFonts w:ascii="Arial" w:eastAsia="Times New Roman" w:hAnsi="Arial" w:cs="Arial"/>
                <w:sz w:val="20"/>
                <w:szCs w:val="20"/>
              </w:rPr>
            </w:pPr>
            <w:r>
              <w:rPr>
                <w:rFonts w:ascii="Arial" w:eastAsia="Times New Roman" w:hAnsi="Arial" w:cs="Arial"/>
                <w:sz w:val="20"/>
                <w:szCs w:val="20"/>
                <w:lang w:val="it-IT"/>
              </w:rPr>
              <w:t>16.2</w:t>
            </w:r>
            <w:r w:rsidRPr="00947BDF">
              <w:rPr>
                <w:rFonts w:ascii="Arial" w:eastAsia="Times New Roman" w:hAnsi="Arial" w:cs="Arial"/>
                <w:sz w:val="20"/>
                <w:szCs w:val="20"/>
                <w:lang w:val="it-IT"/>
              </w:rPr>
              <w:t>%</w:t>
            </w:r>
          </w:p>
        </w:tc>
        <w:tc>
          <w:tcPr>
            <w:tcW w:w="1134" w:type="dxa"/>
            <w:tcBorders>
              <w:top w:val="nil"/>
              <w:left w:val="nil"/>
              <w:bottom w:val="single" w:sz="4" w:space="0" w:color="auto"/>
              <w:right w:val="single" w:sz="4" w:space="0" w:color="auto"/>
            </w:tcBorders>
            <w:shd w:val="clear" w:color="auto" w:fill="auto"/>
            <w:noWrap/>
            <w:vAlign w:val="center"/>
            <w:hideMark/>
          </w:tcPr>
          <w:p w:rsidR="00EA3FD7" w:rsidRPr="00947BDF" w:rsidRDefault="00EA3FD7" w:rsidP="00634A2B">
            <w:pPr>
              <w:spacing w:after="0" w:line="240" w:lineRule="auto"/>
              <w:jc w:val="center"/>
              <w:rPr>
                <w:rFonts w:ascii="Arial" w:eastAsia="Times New Roman" w:hAnsi="Arial" w:cs="Arial"/>
                <w:sz w:val="20"/>
                <w:szCs w:val="20"/>
              </w:rPr>
            </w:pPr>
            <w:r>
              <w:rPr>
                <w:rFonts w:ascii="Arial" w:eastAsia="Times New Roman" w:hAnsi="Arial" w:cs="Arial"/>
                <w:sz w:val="20"/>
                <w:szCs w:val="20"/>
                <w:lang w:val="it-IT"/>
              </w:rPr>
              <w:t>5.8</w:t>
            </w:r>
            <w:r w:rsidRPr="00947BDF">
              <w:rPr>
                <w:rFonts w:ascii="Arial" w:eastAsia="Times New Roman" w:hAnsi="Arial" w:cs="Arial"/>
                <w:sz w:val="20"/>
                <w:szCs w:val="20"/>
                <w:lang w:val="it-IT"/>
              </w:rPr>
              <w:t>%</w:t>
            </w:r>
          </w:p>
        </w:tc>
      </w:tr>
      <w:tr w:rsidR="00F7518D" w:rsidRPr="00947BDF" w:rsidTr="00F7518D">
        <w:trPr>
          <w:trHeight w:val="300"/>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EA3FD7" w:rsidRPr="00947BDF" w:rsidRDefault="00EA3FD7" w:rsidP="00634A2B">
            <w:pPr>
              <w:spacing w:after="0" w:line="240" w:lineRule="auto"/>
              <w:jc w:val="center"/>
              <w:rPr>
                <w:rFonts w:ascii="Arial" w:eastAsia="Times New Roman" w:hAnsi="Arial" w:cs="Arial"/>
                <w:b/>
                <w:sz w:val="20"/>
                <w:szCs w:val="20"/>
              </w:rPr>
            </w:pPr>
            <w:r w:rsidRPr="00947BDF">
              <w:rPr>
                <w:rFonts w:ascii="Arial" w:eastAsia="Times New Roman" w:hAnsi="Arial" w:cs="Arial"/>
                <w:b/>
                <w:sz w:val="20"/>
                <w:szCs w:val="20"/>
                <w:lang w:val="it-IT"/>
              </w:rPr>
              <w:t>Under-coverage</w:t>
            </w:r>
          </w:p>
        </w:tc>
        <w:tc>
          <w:tcPr>
            <w:tcW w:w="1276" w:type="dxa"/>
            <w:tcBorders>
              <w:top w:val="nil"/>
              <w:left w:val="nil"/>
              <w:bottom w:val="single" w:sz="4" w:space="0" w:color="auto"/>
              <w:right w:val="single" w:sz="4" w:space="0" w:color="auto"/>
            </w:tcBorders>
            <w:shd w:val="clear" w:color="auto" w:fill="auto"/>
            <w:vAlign w:val="center"/>
            <w:hideMark/>
          </w:tcPr>
          <w:p w:rsidR="00EA3FD7" w:rsidRPr="00947BDF" w:rsidRDefault="00EA3FD7" w:rsidP="00634A2B">
            <w:pPr>
              <w:spacing w:after="0" w:line="240" w:lineRule="auto"/>
              <w:rPr>
                <w:rFonts w:ascii="Arial" w:eastAsia="Times New Roman" w:hAnsi="Arial" w:cs="Arial"/>
                <w:b/>
                <w:sz w:val="20"/>
                <w:szCs w:val="20"/>
              </w:rPr>
            </w:pPr>
            <w:r w:rsidRPr="00947BDF">
              <w:rPr>
                <w:rFonts w:ascii="Arial" w:eastAsia="Times New Roman" w:hAnsi="Arial" w:cs="Arial"/>
                <w:b/>
                <w:sz w:val="20"/>
                <w:szCs w:val="20"/>
                <w:lang w:val="it-IT"/>
              </w:rPr>
              <w:t>Rate</w:t>
            </w:r>
          </w:p>
        </w:tc>
        <w:tc>
          <w:tcPr>
            <w:tcW w:w="992" w:type="dxa"/>
            <w:tcBorders>
              <w:top w:val="nil"/>
              <w:left w:val="nil"/>
              <w:bottom w:val="single" w:sz="4" w:space="0" w:color="auto"/>
              <w:right w:val="single" w:sz="4" w:space="0" w:color="auto"/>
            </w:tcBorders>
            <w:shd w:val="clear" w:color="auto" w:fill="auto"/>
            <w:noWrap/>
            <w:vAlign w:val="center"/>
            <w:hideMark/>
          </w:tcPr>
          <w:p w:rsidR="00EA3FD7" w:rsidRPr="00947BDF" w:rsidRDefault="00EA3FD7" w:rsidP="00634A2B">
            <w:pPr>
              <w:spacing w:after="0" w:line="240" w:lineRule="auto"/>
              <w:jc w:val="center"/>
              <w:rPr>
                <w:rFonts w:ascii="Arial" w:eastAsia="Times New Roman" w:hAnsi="Arial" w:cs="Arial"/>
                <w:sz w:val="20"/>
                <w:szCs w:val="20"/>
              </w:rPr>
            </w:pPr>
            <w:r>
              <w:rPr>
                <w:rFonts w:ascii="Arial" w:eastAsia="Times New Roman" w:hAnsi="Arial" w:cs="Arial"/>
                <w:sz w:val="20"/>
                <w:szCs w:val="20"/>
                <w:lang w:val="it-IT"/>
              </w:rPr>
              <w:t>1.4</w:t>
            </w:r>
            <w:r w:rsidRPr="00947BDF">
              <w:rPr>
                <w:rFonts w:ascii="Arial" w:eastAsia="Times New Roman" w:hAnsi="Arial" w:cs="Arial"/>
                <w:sz w:val="20"/>
                <w:szCs w:val="20"/>
                <w:lang w:val="it-IT"/>
              </w:rPr>
              <w:t>%</w:t>
            </w:r>
          </w:p>
        </w:tc>
        <w:tc>
          <w:tcPr>
            <w:tcW w:w="851" w:type="dxa"/>
            <w:tcBorders>
              <w:top w:val="nil"/>
              <w:left w:val="nil"/>
              <w:bottom w:val="single" w:sz="4" w:space="0" w:color="auto"/>
              <w:right w:val="single" w:sz="4" w:space="0" w:color="auto"/>
            </w:tcBorders>
            <w:shd w:val="clear" w:color="auto" w:fill="auto"/>
            <w:noWrap/>
            <w:vAlign w:val="center"/>
            <w:hideMark/>
          </w:tcPr>
          <w:p w:rsidR="00EA3FD7" w:rsidRPr="00947BDF" w:rsidRDefault="00EA3FD7" w:rsidP="00634A2B">
            <w:pPr>
              <w:spacing w:after="0" w:line="240" w:lineRule="auto"/>
              <w:jc w:val="center"/>
              <w:rPr>
                <w:rFonts w:ascii="Arial" w:eastAsia="Times New Roman" w:hAnsi="Arial" w:cs="Arial"/>
                <w:sz w:val="20"/>
                <w:szCs w:val="20"/>
              </w:rPr>
            </w:pPr>
            <w:r>
              <w:rPr>
                <w:rFonts w:ascii="Arial" w:eastAsia="Times New Roman" w:hAnsi="Arial" w:cs="Arial"/>
                <w:sz w:val="20"/>
                <w:szCs w:val="20"/>
                <w:lang w:val="it-IT"/>
              </w:rPr>
              <w:t>1.2</w:t>
            </w:r>
            <w:r w:rsidRPr="00947BDF">
              <w:rPr>
                <w:rFonts w:ascii="Arial" w:eastAsia="Times New Roman" w:hAnsi="Arial" w:cs="Arial"/>
                <w:sz w:val="20"/>
                <w:szCs w:val="20"/>
                <w:lang w:val="it-IT"/>
              </w:rPr>
              <w:t>%</w:t>
            </w:r>
          </w:p>
        </w:tc>
        <w:tc>
          <w:tcPr>
            <w:tcW w:w="1276" w:type="dxa"/>
            <w:tcBorders>
              <w:top w:val="nil"/>
              <w:left w:val="nil"/>
              <w:bottom w:val="single" w:sz="4" w:space="0" w:color="auto"/>
              <w:right w:val="single" w:sz="4" w:space="0" w:color="auto"/>
            </w:tcBorders>
            <w:shd w:val="clear" w:color="auto" w:fill="auto"/>
            <w:noWrap/>
            <w:vAlign w:val="center"/>
            <w:hideMark/>
          </w:tcPr>
          <w:p w:rsidR="00EA3FD7" w:rsidRPr="00947BDF" w:rsidRDefault="00EA3FD7" w:rsidP="00634A2B">
            <w:pPr>
              <w:spacing w:after="0" w:line="240" w:lineRule="auto"/>
              <w:jc w:val="center"/>
              <w:rPr>
                <w:rFonts w:ascii="Arial" w:eastAsia="Times New Roman" w:hAnsi="Arial" w:cs="Arial"/>
                <w:sz w:val="20"/>
                <w:szCs w:val="20"/>
              </w:rPr>
            </w:pPr>
            <w:r>
              <w:rPr>
                <w:rFonts w:ascii="Arial" w:eastAsia="Times New Roman" w:hAnsi="Arial" w:cs="Arial"/>
                <w:sz w:val="20"/>
                <w:szCs w:val="20"/>
                <w:lang w:val="it-IT"/>
              </w:rPr>
              <w:t>0.9</w:t>
            </w:r>
            <w:r w:rsidRPr="00947BDF">
              <w:rPr>
                <w:rFonts w:ascii="Arial" w:eastAsia="Times New Roman" w:hAnsi="Arial" w:cs="Arial"/>
                <w:sz w:val="20"/>
                <w:szCs w:val="20"/>
                <w:lang w:val="it-IT"/>
              </w:rPr>
              <w:t>%</w:t>
            </w:r>
          </w:p>
        </w:tc>
        <w:tc>
          <w:tcPr>
            <w:tcW w:w="1172" w:type="dxa"/>
            <w:tcBorders>
              <w:top w:val="nil"/>
              <w:left w:val="nil"/>
              <w:bottom w:val="single" w:sz="4" w:space="0" w:color="auto"/>
              <w:right w:val="single" w:sz="4" w:space="0" w:color="auto"/>
            </w:tcBorders>
            <w:shd w:val="clear" w:color="auto" w:fill="auto"/>
            <w:noWrap/>
            <w:vAlign w:val="center"/>
            <w:hideMark/>
          </w:tcPr>
          <w:p w:rsidR="00EA3FD7" w:rsidRPr="00947BDF" w:rsidRDefault="00EA3FD7" w:rsidP="00634A2B">
            <w:pPr>
              <w:spacing w:after="0" w:line="240" w:lineRule="auto"/>
              <w:jc w:val="center"/>
              <w:rPr>
                <w:rFonts w:ascii="Arial" w:eastAsia="Times New Roman" w:hAnsi="Arial" w:cs="Arial"/>
                <w:sz w:val="20"/>
                <w:szCs w:val="20"/>
              </w:rPr>
            </w:pPr>
            <w:r>
              <w:rPr>
                <w:rFonts w:ascii="Arial" w:eastAsia="Times New Roman" w:hAnsi="Arial" w:cs="Arial"/>
                <w:sz w:val="20"/>
                <w:szCs w:val="20"/>
                <w:lang w:val="it-IT"/>
              </w:rPr>
              <w:t>1.8</w:t>
            </w:r>
            <w:r w:rsidRPr="00947BDF">
              <w:rPr>
                <w:rFonts w:ascii="Arial" w:eastAsia="Times New Roman" w:hAnsi="Arial" w:cs="Arial"/>
                <w:sz w:val="20"/>
                <w:szCs w:val="20"/>
                <w:lang w:val="it-IT"/>
              </w:rPr>
              <w:t>%</w:t>
            </w:r>
          </w:p>
        </w:tc>
        <w:tc>
          <w:tcPr>
            <w:tcW w:w="1237" w:type="dxa"/>
            <w:tcBorders>
              <w:top w:val="nil"/>
              <w:left w:val="nil"/>
              <w:bottom w:val="single" w:sz="4" w:space="0" w:color="auto"/>
              <w:right w:val="single" w:sz="4" w:space="0" w:color="auto"/>
            </w:tcBorders>
            <w:shd w:val="clear" w:color="auto" w:fill="auto"/>
            <w:noWrap/>
            <w:vAlign w:val="center"/>
            <w:hideMark/>
          </w:tcPr>
          <w:p w:rsidR="00EA3FD7" w:rsidRPr="00947BDF" w:rsidRDefault="00EA3FD7" w:rsidP="00634A2B">
            <w:pPr>
              <w:spacing w:after="0" w:line="240" w:lineRule="auto"/>
              <w:jc w:val="center"/>
              <w:rPr>
                <w:rFonts w:ascii="Arial" w:eastAsia="Times New Roman" w:hAnsi="Arial" w:cs="Arial"/>
                <w:sz w:val="20"/>
                <w:szCs w:val="20"/>
              </w:rPr>
            </w:pPr>
            <w:r>
              <w:rPr>
                <w:rFonts w:ascii="Arial" w:eastAsia="Times New Roman" w:hAnsi="Arial" w:cs="Arial"/>
                <w:sz w:val="20"/>
                <w:szCs w:val="20"/>
                <w:lang w:val="it-IT"/>
              </w:rPr>
              <w:t>1.4</w:t>
            </w:r>
            <w:r w:rsidRPr="00947BDF">
              <w:rPr>
                <w:rFonts w:ascii="Arial" w:eastAsia="Times New Roman" w:hAnsi="Arial" w:cs="Arial"/>
                <w:sz w:val="20"/>
                <w:szCs w:val="20"/>
                <w:lang w:val="it-IT"/>
              </w:rPr>
              <w:t>%</w:t>
            </w:r>
          </w:p>
        </w:tc>
        <w:tc>
          <w:tcPr>
            <w:tcW w:w="1134" w:type="dxa"/>
            <w:tcBorders>
              <w:top w:val="nil"/>
              <w:left w:val="nil"/>
              <w:bottom w:val="single" w:sz="4" w:space="0" w:color="auto"/>
              <w:right w:val="single" w:sz="4" w:space="0" w:color="auto"/>
            </w:tcBorders>
            <w:shd w:val="clear" w:color="auto" w:fill="auto"/>
            <w:noWrap/>
            <w:vAlign w:val="center"/>
            <w:hideMark/>
          </w:tcPr>
          <w:p w:rsidR="00EA3FD7" w:rsidRPr="00947BDF" w:rsidRDefault="00EA3FD7" w:rsidP="00634A2B">
            <w:pPr>
              <w:spacing w:after="0" w:line="240" w:lineRule="auto"/>
              <w:jc w:val="center"/>
              <w:rPr>
                <w:rFonts w:ascii="Arial" w:eastAsia="Times New Roman" w:hAnsi="Arial" w:cs="Arial"/>
                <w:sz w:val="20"/>
                <w:szCs w:val="20"/>
              </w:rPr>
            </w:pPr>
            <w:r>
              <w:rPr>
                <w:rFonts w:ascii="Arial" w:eastAsia="Times New Roman" w:hAnsi="Arial" w:cs="Arial"/>
                <w:sz w:val="20"/>
                <w:szCs w:val="20"/>
                <w:lang w:val="it-IT"/>
              </w:rPr>
              <w:t>1.2</w:t>
            </w:r>
            <w:r w:rsidRPr="00947BDF">
              <w:rPr>
                <w:rFonts w:ascii="Arial" w:eastAsia="Times New Roman" w:hAnsi="Arial" w:cs="Arial"/>
                <w:sz w:val="20"/>
                <w:szCs w:val="20"/>
                <w:lang w:val="it-IT"/>
              </w:rPr>
              <w:t>%</w:t>
            </w:r>
          </w:p>
        </w:tc>
      </w:tr>
      <w:tr w:rsidR="00F7518D" w:rsidRPr="00947BDF" w:rsidTr="00F7518D">
        <w:trPr>
          <w:trHeight w:val="300"/>
        </w:trPr>
        <w:tc>
          <w:tcPr>
            <w:tcW w:w="1134" w:type="dxa"/>
            <w:vMerge/>
            <w:tcBorders>
              <w:top w:val="nil"/>
              <w:left w:val="single" w:sz="4" w:space="0" w:color="auto"/>
              <w:bottom w:val="single" w:sz="4" w:space="0" w:color="auto"/>
              <w:right w:val="single" w:sz="4" w:space="0" w:color="auto"/>
            </w:tcBorders>
            <w:vAlign w:val="center"/>
            <w:hideMark/>
          </w:tcPr>
          <w:p w:rsidR="00EA3FD7" w:rsidRPr="00947BDF" w:rsidRDefault="00EA3FD7" w:rsidP="00634A2B">
            <w:pPr>
              <w:spacing w:after="0" w:line="240" w:lineRule="auto"/>
              <w:rPr>
                <w:rFonts w:ascii="Arial" w:eastAsia="Times New Roman"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EA3FD7" w:rsidRPr="00947BDF" w:rsidRDefault="00EA3FD7" w:rsidP="00634A2B">
            <w:pPr>
              <w:spacing w:after="0" w:line="240" w:lineRule="auto"/>
              <w:rPr>
                <w:rFonts w:ascii="Arial" w:eastAsia="Times New Roman" w:hAnsi="Arial" w:cs="Arial"/>
                <w:b/>
                <w:sz w:val="20"/>
                <w:szCs w:val="20"/>
              </w:rPr>
            </w:pPr>
            <w:r w:rsidRPr="00947BDF">
              <w:rPr>
                <w:rFonts w:ascii="Arial" w:eastAsia="Times New Roman" w:hAnsi="Arial" w:cs="Arial"/>
                <w:b/>
                <w:sz w:val="20"/>
                <w:szCs w:val="20"/>
              </w:rPr>
              <w:t>95% CI LL</w:t>
            </w:r>
          </w:p>
        </w:tc>
        <w:tc>
          <w:tcPr>
            <w:tcW w:w="992" w:type="dxa"/>
            <w:tcBorders>
              <w:top w:val="nil"/>
              <w:left w:val="nil"/>
              <w:bottom w:val="single" w:sz="4" w:space="0" w:color="auto"/>
              <w:right w:val="single" w:sz="4" w:space="0" w:color="auto"/>
            </w:tcBorders>
            <w:shd w:val="clear" w:color="auto" w:fill="auto"/>
            <w:noWrap/>
            <w:vAlign w:val="center"/>
            <w:hideMark/>
          </w:tcPr>
          <w:p w:rsidR="00EA3FD7" w:rsidRPr="00947BDF" w:rsidRDefault="00EA3FD7" w:rsidP="00634A2B">
            <w:pPr>
              <w:spacing w:after="0" w:line="240" w:lineRule="auto"/>
              <w:jc w:val="center"/>
              <w:rPr>
                <w:rFonts w:ascii="Arial" w:eastAsia="Times New Roman" w:hAnsi="Arial" w:cs="Arial"/>
                <w:sz w:val="20"/>
                <w:szCs w:val="20"/>
              </w:rPr>
            </w:pPr>
            <w:r w:rsidRPr="00947BDF">
              <w:rPr>
                <w:rFonts w:ascii="Arial" w:eastAsia="Times New Roman" w:hAnsi="Arial" w:cs="Arial"/>
                <w:sz w:val="20"/>
                <w:szCs w:val="20"/>
                <w:lang w:val="it-IT"/>
              </w:rPr>
              <w:t>1.2%</w:t>
            </w:r>
          </w:p>
        </w:tc>
        <w:tc>
          <w:tcPr>
            <w:tcW w:w="851" w:type="dxa"/>
            <w:tcBorders>
              <w:top w:val="nil"/>
              <w:left w:val="nil"/>
              <w:bottom w:val="single" w:sz="4" w:space="0" w:color="auto"/>
              <w:right w:val="single" w:sz="4" w:space="0" w:color="auto"/>
            </w:tcBorders>
            <w:shd w:val="clear" w:color="auto" w:fill="auto"/>
            <w:noWrap/>
            <w:vAlign w:val="center"/>
            <w:hideMark/>
          </w:tcPr>
          <w:p w:rsidR="00EA3FD7" w:rsidRPr="00947BDF" w:rsidRDefault="00EA3FD7" w:rsidP="00634A2B">
            <w:pPr>
              <w:spacing w:after="0" w:line="240" w:lineRule="auto"/>
              <w:jc w:val="center"/>
              <w:rPr>
                <w:rFonts w:ascii="Arial" w:eastAsia="Times New Roman" w:hAnsi="Arial" w:cs="Arial"/>
                <w:sz w:val="20"/>
                <w:szCs w:val="20"/>
              </w:rPr>
            </w:pPr>
            <w:r>
              <w:rPr>
                <w:rFonts w:ascii="Arial" w:eastAsia="Times New Roman" w:hAnsi="Arial" w:cs="Arial"/>
                <w:sz w:val="20"/>
                <w:szCs w:val="20"/>
                <w:lang w:val="it-IT"/>
              </w:rPr>
              <w:t>1.0</w:t>
            </w:r>
            <w:r w:rsidRPr="00947BDF">
              <w:rPr>
                <w:rFonts w:ascii="Arial" w:eastAsia="Times New Roman" w:hAnsi="Arial" w:cs="Arial"/>
                <w:sz w:val="20"/>
                <w:szCs w:val="20"/>
                <w:lang w:val="it-IT"/>
              </w:rPr>
              <w:t>%</w:t>
            </w:r>
          </w:p>
        </w:tc>
        <w:tc>
          <w:tcPr>
            <w:tcW w:w="1276" w:type="dxa"/>
            <w:tcBorders>
              <w:top w:val="nil"/>
              <w:left w:val="nil"/>
              <w:bottom w:val="single" w:sz="4" w:space="0" w:color="auto"/>
              <w:right w:val="single" w:sz="4" w:space="0" w:color="auto"/>
            </w:tcBorders>
            <w:shd w:val="clear" w:color="auto" w:fill="auto"/>
            <w:noWrap/>
            <w:vAlign w:val="center"/>
            <w:hideMark/>
          </w:tcPr>
          <w:p w:rsidR="00EA3FD7" w:rsidRPr="00947BDF" w:rsidRDefault="00EA3FD7" w:rsidP="00634A2B">
            <w:pPr>
              <w:spacing w:after="0" w:line="240" w:lineRule="auto"/>
              <w:jc w:val="center"/>
              <w:rPr>
                <w:rFonts w:ascii="Arial" w:eastAsia="Times New Roman" w:hAnsi="Arial" w:cs="Arial"/>
                <w:sz w:val="20"/>
                <w:szCs w:val="20"/>
              </w:rPr>
            </w:pPr>
            <w:r>
              <w:rPr>
                <w:rFonts w:ascii="Arial" w:eastAsia="Times New Roman" w:hAnsi="Arial" w:cs="Arial"/>
                <w:sz w:val="20"/>
                <w:szCs w:val="20"/>
                <w:lang w:val="it-IT"/>
              </w:rPr>
              <w:t>0.8</w:t>
            </w:r>
            <w:r w:rsidRPr="00947BDF">
              <w:rPr>
                <w:rFonts w:ascii="Arial" w:eastAsia="Times New Roman" w:hAnsi="Arial" w:cs="Arial"/>
                <w:sz w:val="20"/>
                <w:szCs w:val="20"/>
                <w:lang w:val="it-IT"/>
              </w:rPr>
              <w:t>%</w:t>
            </w:r>
          </w:p>
        </w:tc>
        <w:tc>
          <w:tcPr>
            <w:tcW w:w="1172" w:type="dxa"/>
            <w:tcBorders>
              <w:top w:val="nil"/>
              <w:left w:val="nil"/>
              <w:bottom w:val="single" w:sz="4" w:space="0" w:color="auto"/>
              <w:right w:val="single" w:sz="4" w:space="0" w:color="auto"/>
            </w:tcBorders>
            <w:shd w:val="clear" w:color="auto" w:fill="auto"/>
            <w:noWrap/>
            <w:vAlign w:val="center"/>
            <w:hideMark/>
          </w:tcPr>
          <w:p w:rsidR="00EA3FD7" w:rsidRPr="00947BDF" w:rsidRDefault="00EA3FD7" w:rsidP="00634A2B">
            <w:pPr>
              <w:spacing w:after="0" w:line="240" w:lineRule="auto"/>
              <w:jc w:val="center"/>
              <w:rPr>
                <w:rFonts w:ascii="Arial" w:eastAsia="Times New Roman" w:hAnsi="Arial" w:cs="Arial"/>
                <w:sz w:val="20"/>
                <w:szCs w:val="20"/>
              </w:rPr>
            </w:pPr>
            <w:r>
              <w:rPr>
                <w:rFonts w:ascii="Arial" w:eastAsia="Times New Roman" w:hAnsi="Arial" w:cs="Arial"/>
                <w:sz w:val="20"/>
                <w:szCs w:val="20"/>
                <w:lang w:val="it-IT"/>
              </w:rPr>
              <w:t>1.6</w:t>
            </w:r>
            <w:r w:rsidRPr="00947BDF">
              <w:rPr>
                <w:rFonts w:ascii="Arial" w:eastAsia="Times New Roman" w:hAnsi="Arial" w:cs="Arial"/>
                <w:sz w:val="20"/>
                <w:szCs w:val="20"/>
                <w:lang w:val="it-IT"/>
              </w:rPr>
              <w:t>%</w:t>
            </w:r>
          </w:p>
        </w:tc>
        <w:tc>
          <w:tcPr>
            <w:tcW w:w="1237" w:type="dxa"/>
            <w:tcBorders>
              <w:top w:val="nil"/>
              <w:left w:val="nil"/>
              <w:bottom w:val="single" w:sz="4" w:space="0" w:color="auto"/>
              <w:right w:val="single" w:sz="4" w:space="0" w:color="auto"/>
            </w:tcBorders>
            <w:shd w:val="clear" w:color="auto" w:fill="auto"/>
            <w:noWrap/>
            <w:vAlign w:val="center"/>
            <w:hideMark/>
          </w:tcPr>
          <w:p w:rsidR="00EA3FD7" w:rsidRPr="00947BDF" w:rsidRDefault="00EA3FD7" w:rsidP="00634A2B">
            <w:pPr>
              <w:spacing w:after="0" w:line="240" w:lineRule="auto"/>
              <w:jc w:val="center"/>
              <w:rPr>
                <w:rFonts w:ascii="Arial" w:eastAsia="Times New Roman" w:hAnsi="Arial" w:cs="Arial"/>
                <w:sz w:val="20"/>
                <w:szCs w:val="20"/>
              </w:rPr>
            </w:pPr>
            <w:r>
              <w:rPr>
                <w:rFonts w:ascii="Arial" w:eastAsia="Times New Roman" w:hAnsi="Arial" w:cs="Arial"/>
                <w:sz w:val="20"/>
                <w:szCs w:val="20"/>
                <w:lang w:val="it-IT"/>
              </w:rPr>
              <w:t>0.6</w:t>
            </w:r>
            <w:r w:rsidRPr="00947BDF">
              <w:rPr>
                <w:rFonts w:ascii="Arial" w:eastAsia="Times New Roman" w:hAnsi="Arial" w:cs="Arial"/>
                <w:sz w:val="20"/>
                <w:szCs w:val="20"/>
                <w:lang w:val="it-IT"/>
              </w:rPr>
              <w:t>%</w:t>
            </w:r>
          </w:p>
        </w:tc>
        <w:tc>
          <w:tcPr>
            <w:tcW w:w="1134" w:type="dxa"/>
            <w:tcBorders>
              <w:top w:val="nil"/>
              <w:left w:val="nil"/>
              <w:bottom w:val="single" w:sz="4" w:space="0" w:color="auto"/>
              <w:right w:val="single" w:sz="4" w:space="0" w:color="auto"/>
            </w:tcBorders>
            <w:shd w:val="clear" w:color="auto" w:fill="auto"/>
            <w:noWrap/>
            <w:vAlign w:val="center"/>
            <w:hideMark/>
          </w:tcPr>
          <w:p w:rsidR="00EA3FD7" w:rsidRPr="00947BDF" w:rsidRDefault="00EA3FD7" w:rsidP="00634A2B">
            <w:pPr>
              <w:spacing w:after="0" w:line="240" w:lineRule="auto"/>
              <w:jc w:val="center"/>
              <w:rPr>
                <w:rFonts w:ascii="Arial" w:eastAsia="Times New Roman" w:hAnsi="Arial" w:cs="Arial"/>
                <w:sz w:val="20"/>
                <w:szCs w:val="20"/>
              </w:rPr>
            </w:pPr>
            <w:r>
              <w:rPr>
                <w:rFonts w:ascii="Arial" w:eastAsia="Times New Roman" w:hAnsi="Arial" w:cs="Arial"/>
                <w:sz w:val="20"/>
                <w:szCs w:val="20"/>
                <w:lang w:val="it-IT"/>
              </w:rPr>
              <w:t>1.1</w:t>
            </w:r>
            <w:r w:rsidRPr="00947BDF">
              <w:rPr>
                <w:rFonts w:ascii="Arial" w:eastAsia="Times New Roman" w:hAnsi="Arial" w:cs="Arial"/>
                <w:sz w:val="20"/>
                <w:szCs w:val="20"/>
                <w:lang w:val="it-IT"/>
              </w:rPr>
              <w:t>%</w:t>
            </w:r>
          </w:p>
        </w:tc>
      </w:tr>
      <w:tr w:rsidR="00F7518D" w:rsidRPr="00947BDF" w:rsidTr="00F7518D">
        <w:trPr>
          <w:trHeight w:val="300"/>
        </w:trPr>
        <w:tc>
          <w:tcPr>
            <w:tcW w:w="1134" w:type="dxa"/>
            <w:vMerge/>
            <w:tcBorders>
              <w:top w:val="nil"/>
              <w:left w:val="single" w:sz="4" w:space="0" w:color="auto"/>
              <w:bottom w:val="single" w:sz="4" w:space="0" w:color="auto"/>
              <w:right w:val="single" w:sz="4" w:space="0" w:color="auto"/>
            </w:tcBorders>
            <w:vAlign w:val="center"/>
            <w:hideMark/>
          </w:tcPr>
          <w:p w:rsidR="00EA3FD7" w:rsidRPr="00947BDF" w:rsidRDefault="00EA3FD7" w:rsidP="00634A2B">
            <w:pPr>
              <w:spacing w:after="0" w:line="240" w:lineRule="auto"/>
              <w:rPr>
                <w:rFonts w:ascii="Arial" w:eastAsia="Times New Roman" w:hAnsi="Arial" w:cs="Arial"/>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EA3FD7" w:rsidRPr="00947BDF" w:rsidRDefault="00EA3FD7" w:rsidP="00634A2B">
            <w:pPr>
              <w:spacing w:after="0" w:line="240" w:lineRule="auto"/>
              <w:rPr>
                <w:rFonts w:ascii="Arial" w:eastAsia="Times New Roman" w:hAnsi="Arial" w:cs="Arial"/>
                <w:b/>
                <w:sz w:val="20"/>
                <w:szCs w:val="20"/>
              </w:rPr>
            </w:pPr>
            <w:r w:rsidRPr="00947BDF">
              <w:rPr>
                <w:rFonts w:ascii="Arial" w:eastAsia="Times New Roman" w:hAnsi="Arial" w:cs="Arial"/>
                <w:b/>
                <w:sz w:val="20"/>
                <w:szCs w:val="20"/>
              </w:rPr>
              <w:t>95% CI UL</w:t>
            </w:r>
          </w:p>
        </w:tc>
        <w:tc>
          <w:tcPr>
            <w:tcW w:w="992" w:type="dxa"/>
            <w:tcBorders>
              <w:top w:val="nil"/>
              <w:left w:val="nil"/>
              <w:bottom w:val="single" w:sz="4" w:space="0" w:color="auto"/>
              <w:right w:val="single" w:sz="4" w:space="0" w:color="auto"/>
            </w:tcBorders>
            <w:shd w:val="clear" w:color="auto" w:fill="auto"/>
            <w:noWrap/>
            <w:vAlign w:val="center"/>
            <w:hideMark/>
          </w:tcPr>
          <w:p w:rsidR="00EA3FD7" w:rsidRPr="00947BDF" w:rsidRDefault="00EA3FD7" w:rsidP="00634A2B">
            <w:pPr>
              <w:spacing w:after="0" w:line="240" w:lineRule="auto"/>
              <w:jc w:val="center"/>
              <w:rPr>
                <w:rFonts w:ascii="Arial" w:eastAsia="Times New Roman" w:hAnsi="Arial" w:cs="Arial"/>
                <w:sz w:val="20"/>
                <w:szCs w:val="20"/>
              </w:rPr>
            </w:pPr>
            <w:r>
              <w:rPr>
                <w:rFonts w:ascii="Arial" w:eastAsia="Times New Roman" w:hAnsi="Arial" w:cs="Arial"/>
                <w:sz w:val="20"/>
                <w:szCs w:val="20"/>
                <w:lang w:val="it-IT"/>
              </w:rPr>
              <w:t>1.6</w:t>
            </w:r>
            <w:r w:rsidRPr="00947BDF">
              <w:rPr>
                <w:rFonts w:ascii="Arial" w:eastAsia="Times New Roman" w:hAnsi="Arial" w:cs="Arial"/>
                <w:sz w:val="20"/>
                <w:szCs w:val="20"/>
                <w:lang w:val="it-IT"/>
              </w:rPr>
              <w:t>%</w:t>
            </w:r>
          </w:p>
        </w:tc>
        <w:tc>
          <w:tcPr>
            <w:tcW w:w="851" w:type="dxa"/>
            <w:tcBorders>
              <w:top w:val="nil"/>
              <w:left w:val="nil"/>
              <w:bottom w:val="single" w:sz="4" w:space="0" w:color="auto"/>
              <w:right w:val="single" w:sz="4" w:space="0" w:color="auto"/>
            </w:tcBorders>
            <w:shd w:val="clear" w:color="auto" w:fill="auto"/>
            <w:noWrap/>
            <w:vAlign w:val="center"/>
            <w:hideMark/>
          </w:tcPr>
          <w:p w:rsidR="00EA3FD7" w:rsidRPr="00947BDF" w:rsidRDefault="00EA3FD7" w:rsidP="00634A2B">
            <w:pPr>
              <w:spacing w:after="0" w:line="240" w:lineRule="auto"/>
              <w:jc w:val="center"/>
              <w:rPr>
                <w:rFonts w:ascii="Arial" w:eastAsia="Times New Roman" w:hAnsi="Arial" w:cs="Arial"/>
                <w:sz w:val="20"/>
                <w:szCs w:val="20"/>
              </w:rPr>
            </w:pPr>
            <w:r>
              <w:rPr>
                <w:rFonts w:ascii="Arial" w:eastAsia="Times New Roman" w:hAnsi="Arial" w:cs="Arial"/>
                <w:sz w:val="20"/>
                <w:szCs w:val="20"/>
                <w:lang w:val="it-IT"/>
              </w:rPr>
              <w:t>1.3</w:t>
            </w:r>
            <w:r w:rsidRPr="00947BDF">
              <w:rPr>
                <w:rFonts w:ascii="Arial" w:eastAsia="Times New Roman" w:hAnsi="Arial" w:cs="Arial"/>
                <w:sz w:val="20"/>
                <w:szCs w:val="20"/>
                <w:lang w:val="it-IT"/>
              </w:rPr>
              <w:t>%</w:t>
            </w:r>
          </w:p>
        </w:tc>
        <w:tc>
          <w:tcPr>
            <w:tcW w:w="1276" w:type="dxa"/>
            <w:tcBorders>
              <w:top w:val="nil"/>
              <w:left w:val="nil"/>
              <w:bottom w:val="single" w:sz="4" w:space="0" w:color="auto"/>
              <w:right w:val="single" w:sz="4" w:space="0" w:color="auto"/>
            </w:tcBorders>
            <w:shd w:val="clear" w:color="auto" w:fill="auto"/>
            <w:noWrap/>
            <w:vAlign w:val="center"/>
            <w:hideMark/>
          </w:tcPr>
          <w:p w:rsidR="00EA3FD7" w:rsidRPr="00947BDF" w:rsidRDefault="00EA3FD7" w:rsidP="00634A2B">
            <w:pPr>
              <w:spacing w:after="0" w:line="240" w:lineRule="auto"/>
              <w:jc w:val="center"/>
              <w:rPr>
                <w:rFonts w:ascii="Arial" w:eastAsia="Times New Roman" w:hAnsi="Arial" w:cs="Arial"/>
                <w:sz w:val="20"/>
                <w:szCs w:val="20"/>
              </w:rPr>
            </w:pPr>
            <w:r>
              <w:rPr>
                <w:rFonts w:ascii="Arial" w:eastAsia="Times New Roman" w:hAnsi="Arial" w:cs="Arial"/>
                <w:sz w:val="20"/>
                <w:szCs w:val="20"/>
                <w:lang w:val="it-IT"/>
              </w:rPr>
              <w:t>1.1</w:t>
            </w:r>
            <w:r w:rsidRPr="00947BDF">
              <w:rPr>
                <w:rFonts w:ascii="Arial" w:eastAsia="Times New Roman" w:hAnsi="Arial" w:cs="Arial"/>
                <w:sz w:val="20"/>
                <w:szCs w:val="20"/>
                <w:lang w:val="it-IT"/>
              </w:rPr>
              <w:t>%</w:t>
            </w:r>
          </w:p>
        </w:tc>
        <w:tc>
          <w:tcPr>
            <w:tcW w:w="1172" w:type="dxa"/>
            <w:tcBorders>
              <w:top w:val="nil"/>
              <w:left w:val="nil"/>
              <w:bottom w:val="single" w:sz="4" w:space="0" w:color="auto"/>
              <w:right w:val="single" w:sz="4" w:space="0" w:color="auto"/>
            </w:tcBorders>
            <w:shd w:val="clear" w:color="auto" w:fill="auto"/>
            <w:noWrap/>
            <w:vAlign w:val="center"/>
            <w:hideMark/>
          </w:tcPr>
          <w:p w:rsidR="00EA3FD7" w:rsidRPr="00947BDF" w:rsidRDefault="00EA3FD7" w:rsidP="00634A2B">
            <w:pPr>
              <w:spacing w:after="0" w:line="240" w:lineRule="auto"/>
              <w:jc w:val="center"/>
              <w:rPr>
                <w:rFonts w:ascii="Arial" w:eastAsia="Times New Roman" w:hAnsi="Arial" w:cs="Arial"/>
                <w:sz w:val="20"/>
                <w:szCs w:val="20"/>
              </w:rPr>
            </w:pPr>
            <w:r>
              <w:rPr>
                <w:rFonts w:ascii="Arial" w:eastAsia="Times New Roman" w:hAnsi="Arial" w:cs="Arial"/>
                <w:sz w:val="20"/>
                <w:szCs w:val="20"/>
                <w:lang w:val="it-IT"/>
              </w:rPr>
              <w:t>2.0</w:t>
            </w:r>
            <w:r w:rsidRPr="00947BDF">
              <w:rPr>
                <w:rFonts w:ascii="Arial" w:eastAsia="Times New Roman" w:hAnsi="Arial" w:cs="Arial"/>
                <w:sz w:val="20"/>
                <w:szCs w:val="20"/>
                <w:lang w:val="it-IT"/>
              </w:rPr>
              <w:t>%</w:t>
            </w:r>
          </w:p>
        </w:tc>
        <w:tc>
          <w:tcPr>
            <w:tcW w:w="1237" w:type="dxa"/>
            <w:tcBorders>
              <w:top w:val="nil"/>
              <w:left w:val="nil"/>
              <w:bottom w:val="single" w:sz="4" w:space="0" w:color="auto"/>
              <w:right w:val="single" w:sz="4" w:space="0" w:color="auto"/>
            </w:tcBorders>
            <w:shd w:val="clear" w:color="auto" w:fill="auto"/>
            <w:noWrap/>
            <w:vAlign w:val="center"/>
            <w:hideMark/>
          </w:tcPr>
          <w:p w:rsidR="00EA3FD7" w:rsidRPr="00947BDF" w:rsidRDefault="00EA3FD7" w:rsidP="00634A2B">
            <w:pPr>
              <w:spacing w:after="0" w:line="240" w:lineRule="auto"/>
              <w:jc w:val="center"/>
              <w:rPr>
                <w:rFonts w:ascii="Arial" w:eastAsia="Times New Roman" w:hAnsi="Arial" w:cs="Arial"/>
                <w:sz w:val="20"/>
                <w:szCs w:val="20"/>
              </w:rPr>
            </w:pPr>
            <w:r>
              <w:rPr>
                <w:rFonts w:ascii="Arial" w:eastAsia="Times New Roman" w:hAnsi="Arial" w:cs="Arial"/>
                <w:sz w:val="20"/>
                <w:szCs w:val="20"/>
                <w:lang w:val="it-IT"/>
              </w:rPr>
              <w:t>2.1</w:t>
            </w:r>
            <w:r w:rsidRPr="00947BDF">
              <w:rPr>
                <w:rFonts w:ascii="Arial" w:eastAsia="Times New Roman" w:hAnsi="Arial" w:cs="Arial"/>
                <w:sz w:val="20"/>
                <w:szCs w:val="20"/>
                <w:lang w:val="it-IT"/>
              </w:rPr>
              <w:t>%</w:t>
            </w:r>
          </w:p>
        </w:tc>
        <w:tc>
          <w:tcPr>
            <w:tcW w:w="1134" w:type="dxa"/>
            <w:tcBorders>
              <w:top w:val="nil"/>
              <w:left w:val="nil"/>
              <w:bottom w:val="single" w:sz="4" w:space="0" w:color="auto"/>
              <w:right w:val="single" w:sz="4" w:space="0" w:color="auto"/>
            </w:tcBorders>
            <w:shd w:val="clear" w:color="auto" w:fill="auto"/>
            <w:noWrap/>
            <w:vAlign w:val="center"/>
            <w:hideMark/>
          </w:tcPr>
          <w:p w:rsidR="00EA3FD7" w:rsidRPr="00947BDF" w:rsidRDefault="00EA3FD7" w:rsidP="00634A2B">
            <w:pPr>
              <w:spacing w:after="0" w:line="240" w:lineRule="auto"/>
              <w:jc w:val="center"/>
              <w:rPr>
                <w:rFonts w:ascii="Arial" w:eastAsia="Times New Roman" w:hAnsi="Arial" w:cs="Arial"/>
                <w:sz w:val="20"/>
                <w:szCs w:val="20"/>
              </w:rPr>
            </w:pPr>
            <w:r>
              <w:rPr>
                <w:rFonts w:ascii="Arial" w:eastAsia="Times New Roman" w:hAnsi="Arial" w:cs="Arial"/>
                <w:sz w:val="20"/>
                <w:szCs w:val="20"/>
                <w:lang w:val="it-IT"/>
              </w:rPr>
              <w:t>1.3</w:t>
            </w:r>
            <w:r w:rsidRPr="00947BDF">
              <w:rPr>
                <w:rFonts w:ascii="Arial" w:eastAsia="Times New Roman" w:hAnsi="Arial" w:cs="Arial"/>
                <w:sz w:val="20"/>
                <w:szCs w:val="20"/>
                <w:lang w:val="it-IT"/>
              </w:rPr>
              <w:t>%</w:t>
            </w:r>
          </w:p>
        </w:tc>
      </w:tr>
    </w:tbl>
    <w:p w:rsidR="00EA3FD7" w:rsidRDefault="00EA3FD7" w:rsidP="00EA3FD7">
      <w:pPr>
        <w:spacing w:after="0" w:line="360" w:lineRule="auto"/>
        <w:jc w:val="both"/>
        <w:rPr>
          <w:sz w:val="20"/>
          <w:szCs w:val="20"/>
          <w:lang w:val="en-US"/>
        </w:rPr>
      </w:pPr>
      <w:r w:rsidRPr="00EA3FD7">
        <w:rPr>
          <w:rFonts w:ascii="Arial" w:hAnsi="Arial" w:cs="Arial"/>
          <w:sz w:val="20"/>
          <w:szCs w:val="20"/>
          <w:lang w:val="en-GB"/>
        </w:rPr>
        <w:t>Source: BHAS, 2017.</w:t>
      </w:r>
    </w:p>
    <w:p w:rsidR="00EA3FD7" w:rsidRPr="0082404D" w:rsidRDefault="00EA3FD7" w:rsidP="00EA3FD7">
      <w:pPr>
        <w:pStyle w:val="Default"/>
        <w:spacing w:before="120" w:line="360" w:lineRule="auto"/>
        <w:jc w:val="both"/>
        <w:rPr>
          <w:rFonts w:eastAsiaTheme="minorEastAsia"/>
          <w:color w:val="FF0000"/>
          <w:lang w:eastAsia="bs-Latn-BA"/>
        </w:rPr>
      </w:pPr>
      <w:r w:rsidRPr="00BB3254">
        <w:rPr>
          <w:color w:val="auto"/>
        </w:rPr>
        <w:t xml:space="preserve">The tables above show that 196,152 persons were erroneously included in resident population, while 41,570 were omitted and, consequently, </w:t>
      </w:r>
      <w:r w:rsidR="00907E40">
        <w:rPr>
          <w:color w:val="auto"/>
        </w:rPr>
        <w:t xml:space="preserve">the </w:t>
      </w:r>
      <w:r w:rsidRPr="00BB3254">
        <w:rPr>
          <w:color w:val="auto"/>
        </w:rPr>
        <w:t>net coverage error is estimated in amount of 154,582 persons. T</w:t>
      </w:r>
      <w:r>
        <w:rPr>
          <w:color w:val="auto"/>
        </w:rPr>
        <w:t>he over- and under-coverage rates are 5.6% and 1.2%, respectivelly, and both are</w:t>
      </w:r>
      <w:r w:rsidRPr="00BB3254">
        <w:rPr>
          <w:color w:val="auto"/>
        </w:rPr>
        <w:t xml:space="preserve"> significantly higher in urban a</w:t>
      </w:r>
      <w:r>
        <w:rPr>
          <w:color w:val="auto"/>
        </w:rPr>
        <w:t>reas. The net coverage census error for total population was -4.</w:t>
      </w:r>
      <w:r w:rsidR="00764355">
        <w:rPr>
          <w:color w:val="auto"/>
        </w:rPr>
        <w:t>6</w:t>
      </w:r>
      <w:r w:rsidRPr="00BB3254">
        <w:rPr>
          <w:color w:val="auto"/>
        </w:rPr>
        <w:t>%</w:t>
      </w:r>
      <w:r>
        <w:rPr>
          <w:color w:val="auto"/>
        </w:rPr>
        <w:t xml:space="preserve"> and it </w:t>
      </w:r>
      <w:r w:rsidRPr="00BB3254">
        <w:rPr>
          <w:color w:val="auto"/>
        </w:rPr>
        <w:t>is significantly higher in urban areas</w:t>
      </w:r>
      <w:r w:rsidR="00347E17">
        <w:rPr>
          <w:rStyle w:val="Odwoanieprzypisudolnego"/>
          <w:color w:val="auto"/>
        </w:rPr>
        <w:footnoteReference w:id="7"/>
      </w:r>
      <w:r>
        <w:rPr>
          <w:color w:val="auto"/>
        </w:rPr>
        <w:t xml:space="preserve">. </w:t>
      </w:r>
    </w:p>
    <w:p w:rsidR="00EA3FD7" w:rsidRDefault="00EA3FD7" w:rsidP="00EA3FD7">
      <w:pPr>
        <w:spacing w:before="360" w:after="0" w:line="360" w:lineRule="auto"/>
        <w:jc w:val="both"/>
        <w:rPr>
          <w:rFonts w:ascii="Arial" w:hAnsi="Arial" w:cs="Arial"/>
          <w:i/>
          <w:sz w:val="24"/>
          <w:szCs w:val="24"/>
          <w:lang w:val="en-GB"/>
        </w:rPr>
      </w:pPr>
      <w:r>
        <w:rPr>
          <w:rFonts w:ascii="Arial" w:hAnsi="Arial" w:cs="Arial"/>
          <w:i/>
          <w:sz w:val="24"/>
          <w:szCs w:val="24"/>
          <w:lang w:val="en-GB"/>
        </w:rPr>
        <w:t xml:space="preserve">3.5. </w:t>
      </w:r>
      <w:r w:rsidRPr="00EA3FD7">
        <w:rPr>
          <w:rFonts w:ascii="Arial" w:hAnsi="Arial" w:cs="Arial"/>
          <w:i/>
          <w:sz w:val="24"/>
          <w:szCs w:val="24"/>
          <w:lang w:val="en-GB"/>
        </w:rPr>
        <w:t>Census content errors</w:t>
      </w:r>
    </w:p>
    <w:p w:rsidR="00E02CB8" w:rsidRPr="00E02CB8" w:rsidRDefault="00EA3FD7" w:rsidP="00E02CB8">
      <w:pPr>
        <w:pStyle w:val="Default"/>
        <w:spacing w:before="120" w:line="360" w:lineRule="auto"/>
        <w:jc w:val="both"/>
        <w:rPr>
          <w:color w:val="auto"/>
        </w:rPr>
      </w:pPr>
      <w:r w:rsidRPr="00BB3254">
        <w:rPr>
          <w:color w:val="auto"/>
        </w:rPr>
        <w:t>Content quality control is conducted to me</w:t>
      </w:r>
      <w:r>
        <w:rPr>
          <w:color w:val="auto"/>
        </w:rPr>
        <w:t xml:space="preserve">asure errors due to </w:t>
      </w:r>
      <w:r w:rsidR="008947BB">
        <w:rPr>
          <w:color w:val="auto"/>
        </w:rPr>
        <w:t>inconsistencies among c</w:t>
      </w:r>
      <w:r w:rsidRPr="00BB3254">
        <w:rPr>
          <w:color w:val="auto"/>
        </w:rPr>
        <w:t xml:space="preserve">ensus and PES data. </w:t>
      </w:r>
      <w:r>
        <w:rPr>
          <w:color w:val="auto"/>
        </w:rPr>
        <w:t xml:space="preserve">They </w:t>
      </w:r>
      <w:r w:rsidRPr="00BB3254">
        <w:rPr>
          <w:color w:val="auto"/>
        </w:rPr>
        <w:t xml:space="preserve">may arise out of mistakes coming from misreporting, interviewer </w:t>
      </w:r>
      <w:r w:rsidR="00921A60">
        <w:rPr>
          <w:color w:val="auto"/>
        </w:rPr>
        <w:t>or</w:t>
      </w:r>
      <w:r w:rsidRPr="00BB3254">
        <w:rPr>
          <w:color w:val="auto"/>
        </w:rPr>
        <w:t xml:space="preserve"> respondents’ bias, data entry </w:t>
      </w:r>
      <w:r w:rsidR="00921A60" w:rsidRPr="00BB3254">
        <w:rPr>
          <w:color w:val="auto"/>
        </w:rPr>
        <w:t xml:space="preserve">errors </w:t>
      </w:r>
      <w:r w:rsidRPr="00BB3254">
        <w:rPr>
          <w:color w:val="auto"/>
        </w:rPr>
        <w:t>and from other sources.</w:t>
      </w:r>
      <w:r>
        <w:rPr>
          <w:color w:val="auto"/>
        </w:rPr>
        <w:t xml:space="preserve"> </w:t>
      </w:r>
      <w:r w:rsidRPr="00BB3254">
        <w:rPr>
          <w:color w:val="auto"/>
        </w:rPr>
        <w:t>Content errors are estimated only for successfu</w:t>
      </w:r>
      <w:r>
        <w:rPr>
          <w:color w:val="auto"/>
        </w:rPr>
        <w:t xml:space="preserve">lly matched un-weighted units </w:t>
      </w:r>
      <w:r w:rsidRPr="00BB3254">
        <w:rPr>
          <w:color w:val="auto"/>
        </w:rPr>
        <w:t xml:space="preserve"> and for </w:t>
      </w:r>
      <w:r>
        <w:rPr>
          <w:color w:val="auto"/>
        </w:rPr>
        <w:t xml:space="preserve">several </w:t>
      </w:r>
      <w:r w:rsidRPr="00BB3254">
        <w:rPr>
          <w:color w:val="auto"/>
        </w:rPr>
        <w:t xml:space="preserve"> variables. The aim of the content error analysis is not to establish which answers are right or wrong, but it just measures how differently answers are reported (variability in answers)</w:t>
      </w:r>
      <w:r w:rsidR="00F53C40">
        <w:rPr>
          <w:color w:val="auto"/>
        </w:rPr>
        <w:t>,</w:t>
      </w:r>
      <w:r w:rsidRPr="00BB3254">
        <w:rPr>
          <w:color w:val="auto"/>
        </w:rPr>
        <w:t xml:space="preserve"> i.e. the only response error component commonly estimated in PES is </w:t>
      </w:r>
      <w:r>
        <w:rPr>
          <w:color w:val="auto"/>
        </w:rPr>
        <w:t xml:space="preserve">a </w:t>
      </w:r>
      <w:r w:rsidRPr="00BB3254">
        <w:rPr>
          <w:color w:val="auto"/>
        </w:rPr>
        <w:t xml:space="preserve">variability and not </w:t>
      </w:r>
      <w:r>
        <w:rPr>
          <w:color w:val="auto"/>
        </w:rPr>
        <w:t xml:space="preserve">a </w:t>
      </w:r>
      <w:r w:rsidRPr="00BB3254">
        <w:rPr>
          <w:color w:val="auto"/>
        </w:rPr>
        <w:t xml:space="preserve">bias. Variability of answers is measured by </w:t>
      </w:r>
      <w:r>
        <w:rPr>
          <w:color w:val="auto"/>
        </w:rPr>
        <w:t>five quality indicators</w:t>
      </w:r>
      <w:r w:rsidR="00C83DD8">
        <w:rPr>
          <w:color w:val="auto"/>
        </w:rPr>
        <w:t>.</w:t>
      </w:r>
      <w:r w:rsidRPr="006710A1">
        <w:rPr>
          <w:vertAlign w:val="superscript"/>
        </w:rPr>
        <w:footnoteReference w:id="8"/>
      </w:r>
      <w:r>
        <w:rPr>
          <w:color w:val="auto"/>
        </w:rPr>
        <w:t xml:space="preserve"> These</w:t>
      </w:r>
      <w:r w:rsidRPr="00BB3254">
        <w:rPr>
          <w:color w:val="auto"/>
        </w:rPr>
        <w:t xml:space="preserve"> indicators </w:t>
      </w:r>
      <w:r w:rsidR="00C83DD8">
        <w:rPr>
          <w:color w:val="auto"/>
        </w:rPr>
        <w:t>are</w:t>
      </w:r>
      <w:r>
        <w:rPr>
          <w:color w:val="auto"/>
        </w:rPr>
        <w:t xml:space="preserve"> </w:t>
      </w:r>
      <w:r w:rsidRPr="00BB3254">
        <w:rPr>
          <w:color w:val="auto"/>
        </w:rPr>
        <w:t xml:space="preserve">presented in the </w:t>
      </w:r>
      <w:r w:rsidRPr="009D3435">
        <w:rPr>
          <w:color w:val="auto"/>
        </w:rPr>
        <w:t xml:space="preserve">table </w:t>
      </w:r>
      <w:r w:rsidR="00907E40">
        <w:rPr>
          <w:color w:val="auto"/>
        </w:rPr>
        <w:t>5.</w:t>
      </w:r>
    </w:p>
    <w:p w:rsidR="00EA3FD7" w:rsidRPr="006710A1" w:rsidRDefault="00EA3FD7" w:rsidP="00EA3FD7">
      <w:pPr>
        <w:pStyle w:val="Legenda"/>
        <w:keepNext/>
        <w:rPr>
          <w:rFonts w:ascii="Arial" w:eastAsia="Calibri" w:hAnsi="Arial" w:cs="Arial"/>
          <w:b/>
          <w:sz w:val="20"/>
          <w:szCs w:val="20"/>
          <w:lang w:val="en-US"/>
        </w:rPr>
      </w:pPr>
      <w:r w:rsidRPr="00EA3FD7">
        <w:rPr>
          <w:rFonts w:ascii="Arial" w:hAnsi="Arial" w:cs="Arial"/>
          <w:b/>
          <w:i w:val="0"/>
          <w:color w:val="auto"/>
          <w:sz w:val="20"/>
          <w:szCs w:val="20"/>
          <w:lang w:val="en-GB"/>
        </w:rPr>
        <w:t>Table 5. Content errors indicators for selected variables and their categories at census and</w:t>
      </w:r>
      <w:r w:rsidR="00E02CB8">
        <w:rPr>
          <w:rFonts w:ascii="Arial" w:hAnsi="Arial" w:cs="Arial"/>
          <w:b/>
          <w:i w:val="0"/>
          <w:color w:val="auto"/>
          <w:sz w:val="20"/>
          <w:szCs w:val="20"/>
          <w:lang w:val="en-GB"/>
        </w:rPr>
        <w:t xml:space="preserve"> PES</w:t>
      </w:r>
    </w:p>
    <w:tbl>
      <w:tblPr>
        <w:tblW w:w="9229" w:type="dxa"/>
        <w:tblInd w:w="108" w:type="dxa"/>
        <w:tblLook w:val="04A0" w:firstRow="1" w:lastRow="0" w:firstColumn="1" w:lastColumn="0" w:noHBand="0" w:noVBand="1"/>
      </w:tblPr>
      <w:tblGrid>
        <w:gridCol w:w="2127"/>
        <w:gridCol w:w="1417"/>
        <w:gridCol w:w="1559"/>
        <w:gridCol w:w="1348"/>
        <w:gridCol w:w="1550"/>
        <w:gridCol w:w="1228"/>
      </w:tblGrid>
      <w:tr w:rsidR="00EA3FD7" w:rsidRPr="006710A1" w:rsidTr="00CA2193">
        <w:trPr>
          <w:trHeight w:val="585"/>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3FD7" w:rsidRPr="006710A1" w:rsidRDefault="00EA3FD7" w:rsidP="00634A2B">
            <w:pPr>
              <w:spacing w:after="0" w:line="240" w:lineRule="auto"/>
              <w:jc w:val="center"/>
              <w:rPr>
                <w:rFonts w:ascii="Arial" w:eastAsia="Times New Roman" w:hAnsi="Arial" w:cs="Arial"/>
                <w:b/>
                <w:sz w:val="20"/>
                <w:szCs w:val="20"/>
                <w:lang w:val="en-US"/>
              </w:rPr>
            </w:pPr>
            <w:r w:rsidRPr="006710A1">
              <w:rPr>
                <w:rFonts w:ascii="Arial" w:eastAsia="Times New Roman" w:hAnsi="Arial" w:cs="Arial"/>
                <w:b/>
                <w:sz w:val="20"/>
                <w:szCs w:val="20"/>
                <w:lang w:val="en-US"/>
              </w:rPr>
              <w:t>Variable category</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A3FD7" w:rsidRPr="006710A1" w:rsidRDefault="00EA3FD7" w:rsidP="00634A2B">
            <w:pPr>
              <w:spacing w:after="0" w:line="240" w:lineRule="auto"/>
              <w:jc w:val="center"/>
              <w:rPr>
                <w:rFonts w:ascii="Arial" w:eastAsia="Calibri" w:hAnsi="Arial" w:cs="Arial"/>
                <w:b/>
                <w:sz w:val="20"/>
                <w:szCs w:val="20"/>
              </w:rPr>
            </w:pPr>
            <w:r w:rsidRPr="006710A1">
              <w:rPr>
                <w:rFonts w:ascii="Arial" w:eastAsia="Calibri" w:hAnsi="Arial" w:cs="Arial"/>
                <w:b/>
                <w:sz w:val="20"/>
                <w:szCs w:val="20"/>
              </w:rPr>
              <w:t>Net difference rate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A3FD7" w:rsidRPr="006710A1" w:rsidRDefault="00EA3FD7" w:rsidP="00634A2B">
            <w:pPr>
              <w:spacing w:after="0" w:line="240" w:lineRule="auto"/>
              <w:jc w:val="center"/>
              <w:rPr>
                <w:rFonts w:ascii="Arial" w:eastAsia="Calibri" w:hAnsi="Arial" w:cs="Arial"/>
                <w:b/>
                <w:sz w:val="20"/>
                <w:szCs w:val="20"/>
              </w:rPr>
            </w:pPr>
            <w:r w:rsidRPr="006710A1">
              <w:rPr>
                <w:rFonts w:ascii="Arial" w:eastAsia="Calibri" w:hAnsi="Arial" w:cs="Arial"/>
                <w:b/>
                <w:sz w:val="20"/>
                <w:szCs w:val="20"/>
              </w:rPr>
              <w:t>Index of inconsistency</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EA3FD7" w:rsidRPr="006710A1" w:rsidRDefault="00EA3FD7" w:rsidP="00634A2B">
            <w:pPr>
              <w:spacing w:after="0" w:line="240" w:lineRule="auto"/>
              <w:jc w:val="center"/>
              <w:rPr>
                <w:rFonts w:ascii="Arial" w:eastAsia="Calibri" w:hAnsi="Arial" w:cs="Arial"/>
                <w:b/>
                <w:sz w:val="20"/>
                <w:szCs w:val="20"/>
              </w:rPr>
            </w:pPr>
            <w:r w:rsidRPr="006710A1">
              <w:rPr>
                <w:rFonts w:ascii="Arial" w:eastAsia="Calibri" w:hAnsi="Arial" w:cs="Arial"/>
                <w:b/>
                <w:sz w:val="20"/>
                <w:szCs w:val="20"/>
              </w:rPr>
              <w:t>Gross difference rate</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rsidR="00EA3FD7" w:rsidRPr="006710A1" w:rsidRDefault="00EA3FD7" w:rsidP="00634A2B">
            <w:pPr>
              <w:spacing w:after="0" w:line="240" w:lineRule="auto"/>
              <w:jc w:val="center"/>
              <w:rPr>
                <w:rFonts w:ascii="Arial" w:eastAsia="Calibri" w:hAnsi="Arial" w:cs="Arial"/>
                <w:b/>
                <w:sz w:val="20"/>
                <w:szCs w:val="20"/>
              </w:rPr>
            </w:pPr>
            <w:r w:rsidRPr="006710A1">
              <w:rPr>
                <w:rFonts w:ascii="Arial" w:eastAsia="Calibri" w:hAnsi="Arial" w:cs="Arial"/>
                <w:b/>
                <w:sz w:val="20"/>
                <w:szCs w:val="20"/>
              </w:rPr>
              <w:t>Aggregate index of inconsistency</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EA3FD7" w:rsidRPr="006710A1" w:rsidRDefault="00EA3FD7" w:rsidP="00634A2B">
            <w:pPr>
              <w:spacing w:after="0" w:line="240" w:lineRule="auto"/>
              <w:jc w:val="center"/>
              <w:rPr>
                <w:rFonts w:ascii="Arial" w:eastAsia="Calibri" w:hAnsi="Arial" w:cs="Arial"/>
                <w:b/>
                <w:sz w:val="20"/>
                <w:szCs w:val="20"/>
              </w:rPr>
            </w:pPr>
            <w:r w:rsidRPr="006710A1">
              <w:rPr>
                <w:rFonts w:ascii="Arial" w:eastAsia="Calibri" w:hAnsi="Arial" w:cs="Arial"/>
                <w:b/>
                <w:sz w:val="20"/>
                <w:szCs w:val="20"/>
              </w:rPr>
              <w:t>Rate of agreement</w:t>
            </w:r>
          </w:p>
        </w:tc>
      </w:tr>
      <w:tr w:rsidR="00EA3FD7" w:rsidRPr="006710A1" w:rsidTr="00CA2193">
        <w:trPr>
          <w:trHeight w:val="170"/>
        </w:trPr>
        <w:tc>
          <w:tcPr>
            <w:tcW w:w="9229" w:type="dxa"/>
            <w:gridSpan w:val="6"/>
            <w:tcBorders>
              <w:top w:val="nil"/>
              <w:left w:val="single" w:sz="4" w:space="0" w:color="auto"/>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Times New Roman" w:hAnsi="Arial" w:cs="Arial"/>
                <w:sz w:val="20"/>
                <w:szCs w:val="20"/>
                <w:lang w:val="en-US"/>
              </w:rPr>
            </w:pPr>
            <w:r w:rsidRPr="006710A1">
              <w:rPr>
                <w:rFonts w:ascii="Arial" w:eastAsia="Times New Roman" w:hAnsi="Arial" w:cs="Arial"/>
                <w:b/>
                <w:bCs/>
                <w:sz w:val="20"/>
                <w:szCs w:val="20"/>
                <w:lang w:val="en-US"/>
              </w:rPr>
              <w:t>Sex</w:t>
            </w:r>
          </w:p>
        </w:tc>
      </w:tr>
      <w:tr w:rsidR="00EA3FD7" w:rsidRPr="006710A1" w:rsidTr="00CA2193">
        <w:trPr>
          <w:trHeight w:val="17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A3FD7" w:rsidRPr="006710A1" w:rsidRDefault="00EA3FD7" w:rsidP="00634A2B">
            <w:pPr>
              <w:spacing w:after="0" w:line="240" w:lineRule="auto"/>
              <w:rPr>
                <w:rFonts w:ascii="Arial" w:eastAsia="Times New Roman" w:hAnsi="Arial" w:cs="Arial"/>
                <w:bCs/>
                <w:sz w:val="20"/>
                <w:szCs w:val="20"/>
                <w:lang w:val="en-US"/>
              </w:rPr>
            </w:pPr>
            <w:r w:rsidRPr="006710A1">
              <w:rPr>
                <w:rFonts w:ascii="Arial" w:eastAsia="Times New Roman" w:hAnsi="Arial" w:cs="Arial"/>
                <w:bCs/>
                <w:sz w:val="20"/>
                <w:szCs w:val="20"/>
                <w:lang w:val="en-US"/>
              </w:rPr>
              <w:t>M</w:t>
            </w:r>
          </w:p>
        </w:tc>
        <w:tc>
          <w:tcPr>
            <w:tcW w:w="1417" w:type="dxa"/>
            <w:tcBorders>
              <w:top w:val="nil"/>
              <w:left w:val="nil"/>
              <w:bottom w:val="single" w:sz="4" w:space="0" w:color="auto"/>
              <w:right w:val="single" w:sz="4" w:space="0" w:color="auto"/>
            </w:tcBorders>
            <w:shd w:val="clear" w:color="auto" w:fill="auto"/>
            <w:noWrap/>
            <w:vAlign w:val="bottom"/>
            <w:hideMark/>
          </w:tcPr>
          <w:p w:rsidR="00EA3FD7" w:rsidRPr="006710A1" w:rsidRDefault="00EA3FD7" w:rsidP="00634A2B">
            <w:pPr>
              <w:spacing w:after="0" w:line="240" w:lineRule="auto"/>
              <w:jc w:val="right"/>
              <w:rPr>
                <w:rFonts w:ascii="Arial" w:eastAsia="Times New Roman" w:hAnsi="Arial" w:cs="Arial"/>
                <w:sz w:val="20"/>
                <w:szCs w:val="20"/>
                <w:lang w:val="en-US"/>
              </w:rPr>
            </w:pPr>
            <w:r w:rsidRPr="006710A1">
              <w:rPr>
                <w:rFonts w:ascii="Arial" w:eastAsia="Times New Roman" w:hAnsi="Arial" w:cs="Arial"/>
                <w:sz w:val="20"/>
                <w:szCs w:val="20"/>
                <w:lang w:val="en-US"/>
              </w:rPr>
              <w:t>-0.13%</w:t>
            </w:r>
          </w:p>
        </w:tc>
        <w:tc>
          <w:tcPr>
            <w:tcW w:w="1559" w:type="dxa"/>
            <w:tcBorders>
              <w:top w:val="nil"/>
              <w:left w:val="nil"/>
              <w:bottom w:val="single" w:sz="4" w:space="0" w:color="auto"/>
              <w:right w:val="single" w:sz="4" w:space="0" w:color="auto"/>
            </w:tcBorders>
            <w:shd w:val="clear" w:color="auto" w:fill="auto"/>
            <w:noWrap/>
            <w:vAlign w:val="bottom"/>
            <w:hideMark/>
          </w:tcPr>
          <w:p w:rsidR="00EA3FD7" w:rsidRPr="006710A1" w:rsidRDefault="00EA3FD7" w:rsidP="00634A2B">
            <w:pPr>
              <w:spacing w:after="0" w:line="240" w:lineRule="auto"/>
              <w:jc w:val="right"/>
              <w:rPr>
                <w:rFonts w:ascii="Arial" w:eastAsia="Times New Roman" w:hAnsi="Arial" w:cs="Arial"/>
                <w:sz w:val="20"/>
                <w:szCs w:val="20"/>
                <w:lang w:val="en-US"/>
              </w:rPr>
            </w:pPr>
            <w:r w:rsidRPr="006710A1">
              <w:rPr>
                <w:rFonts w:ascii="Arial" w:eastAsia="Times New Roman" w:hAnsi="Arial" w:cs="Arial"/>
                <w:sz w:val="20"/>
                <w:szCs w:val="20"/>
                <w:lang w:val="en-US"/>
              </w:rPr>
              <w:t>2.88%</w:t>
            </w:r>
          </w:p>
        </w:tc>
        <w:tc>
          <w:tcPr>
            <w:tcW w:w="1348" w:type="dxa"/>
            <w:tcBorders>
              <w:top w:val="nil"/>
              <w:left w:val="nil"/>
              <w:bottom w:val="single" w:sz="4" w:space="0" w:color="auto"/>
              <w:right w:val="single" w:sz="4" w:space="0" w:color="auto"/>
            </w:tcBorders>
            <w:shd w:val="clear" w:color="auto" w:fill="auto"/>
            <w:noWrap/>
            <w:vAlign w:val="bottom"/>
            <w:hideMark/>
          </w:tcPr>
          <w:p w:rsidR="00EA3FD7" w:rsidRPr="006710A1" w:rsidRDefault="00EA3FD7" w:rsidP="00634A2B">
            <w:pPr>
              <w:spacing w:after="0" w:line="240" w:lineRule="auto"/>
              <w:rPr>
                <w:rFonts w:ascii="Arial" w:eastAsia="Times New Roman" w:hAnsi="Arial" w:cs="Arial"/>
                <w:sz w:val="20"/>
                <w:szCs w:val="20"/>
                <w:lang w:val="en-US"/>
              </w:rPr>
            </w:pPr>
            <w:r w:rsidRPr="006710A1">
              <w:rPr>
                <w:rFonts w:ascii="Arial" w:eastAsia="Times New Roman" w:hAnsi="Arial" w:cs="Arial"/>
                <w:sz w:val="20"/>
                <w:szCs w:val="20"/>
                <w:lang w:val="en-US"/>
              </w:rPr>
              <w:t> </w:t>
            </w:r>
          </w:p>
        </w:tc>
        <w:tc>
          <w:tcPr>
            <w:tcW w:w="1550" w:type="dxa"/>
            <w:tcBorders>
              <w:top w:val="nil"/>
              <w:left w:val="nil"/>
              <w:bottom w:val="single" w:sz="4" w:space="0" w:color="auto"/>
              <w:right w:val="single" w:sz="4" w:space="0" w:color="auto"/>
            </w:tcBorders>
            <w:shd w:val="clear" w:color="auto" w:fill="auto"/>
            <w:noWrap/>
            <w:vAlign w:val="bottom"/>
            <w:hideMark/>
          </w:tcPr>
          <w:p w:rsidR="00EA3FD7" w:rsidRPr="006710A1" w:rsidRDefault="00EA3FD7" w:rsidP="00634A2B">
            <w:pPr>
              <w:spacing w:after="0" w:line="240" w:lineRule="auto"/>
              <w:rPr>
                <w:rFonts w:ascii="Arial" w:eastAsia="Times New Roman" w:hAnsi="Arial" w:cs="Arial"/>
                <w:sz w:val="20"/>
                <w:szCs w:val="20"/>
                <w:lang w:val="en-US"/>
              </w:rPr>
            </w:pPr>
            <w:r w:rsidRPr="006710A1">
              <w:rPr>
                <w:rFonts w:ascii="Arial" w:eastAsia="Times New Roman" w:hAnsi="Arial" w:cs="Arial"/>
                <w:sz w:val="20"/>
                <w:szCs w:val="20"/>
                <w:lang w:val="en-US"/>
              </w:rPr>
              <w:t> </w:t>
            </w:r>
          </w:p>
        </w:tc>
        <w:tc>
          <w:tcPr>
            <w:tcW w:w="1228" w:type="dxa"/>
            <w:tcBorders>
              <w:top w:val="nil"/>
              <w:left w:val="nil"/>
              <w:bottom w:val="single" w:sz="4" w:space="0" w:color="auto"/>
              <w:right w:val="single" w:sz="4" w:space="0" w:color="auto"/>
            </w:tcBorders>
            <w:shd w:val="clear" w:color="auto" w:fill="auto"/>
            <w:noWrap/>
            <w:vAlign w:val="bottom"/>
            <w:hideMark/>
          </w:tcPr>
          <w:p w:rsidR="00EA3FD7" w:rsidRPr="006710A1" w:rsidRDefault="00EA3FD7" w:rsidP="00634A2B">
            <w:pPr>
              <w:spacing w:after="0" w:line="240" w:lineRule="auto"/>
              <w:rPr>
                <w:rFonts w:ascii="Arial" w:eastAsia="Times New Roman" w:hAnsi="Arial" w:cs="Arial"/>
                <w:sz w:val="20"/>
                <w:szCs w:val="20"/>
                <w:lang w:val="en-US"/>
              </w:rPr>
            </w:pPr>
            <w:r w:rsidRPr="006710A1">
              <w:rPr>
                <w:rFonts w:ascii="Arial" w:eastAsia="Times New Roman" w:hAnsi="Arial" w:cs="Arial"/>
                <w:sz w:val="20"/>
                <w:szCs w:val="20"/>
                <w:lang w:val="en-US"/>
              </w:rPr>
              <w:t> </w:t>
            </w:r>
          </w:p>
        </w:tc>
      </w:tr>
      <w:tr w:rsidR="00EA3FD7" w:rsidRPr="006710A1" w:rsidTr="00CA2193">
        <w:trPr>
          <w:trHeight w:val="17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A3FD7" w:rsidRPr="006710A1" w:rsidRDefault="00EA3FD7" w:rsidP="00634A2B">
            <w:pPr>
              <w:spacing w:after="0" w:line="240" w:lineRule="auto"/>
              <w:rPr>
                <w:rFonts w:ascii="Arial" w:eastAsia="Times New Roman" w:hAnsi="Arial" w:cs="Arial"/>
                <w:bCs/>
                <w:sz w:val="20"/>
                <w:szCs w:val="20"/>
                <w:lang w:val="en-US"/>
              </w:rPr>
            </w:pPr>
            <w:r w:rsidRPr="006710A1">
              <w:rPr>
                <w:rFonts w:ascii="Arial" w:eastAsia="Times New Roman" w:hAnsi="Arial" w:cs="Arial"/>
                <w:bCs/>
                <w:sz w:val="20"/>
                <w:szCs w:val="20"/>
                <w:lang w:val="en-US"/>
              </w:rPr>
              <w:t>F</w:t>
            </w:r>
          </w:p>
        </w:tc>
        <w:tc>
          <w:tcPr>
            <w:tcW w:w="1417" w:type="dxa"/>
            <w:tcBorders>
              <w:top w:val="nil"/>
              <w:left w:val="nil"/>
              <w:bottom w:val="single" w:sz="4" w:space="0" w:color="auto"/>
              <w:right w:val="single" w:sz="4" w:space="0" w:color="auto"/>
            </w:tcBorders>
            <w:shd w:val="clear" w:color="auto" w:fill="auto"/>
            <w:noWrap/>
            <w:vAlign w:val="bottom"/>
            <w:hideMark/>
          </w:tcPr>
          <w:p w:rsidR="00EA3FD7" w:rsidRPr="006710A1" w:rsidRDefault="00EA3FD7" w:rsidP="00634A2B">
            <w:pPr>
              <w:spacing w:after="0" w:line="240" w:lineRule="auto"/>
              <w:jc w:val="right"/>
              <w:rPr>
                <w:rFonts w:ascii="Arial" w:eastAsia="Times New Roman" w:hAnsi="Arial" w:cs="Arial"/>
                <w:sz w:val="20"/>
                <w:szCs w:val="20"/>
                <w:lang w:val="en-US"/>
              </w:rPr>
            </w:pPr>
            <w:r w:rsidRPr="006710A1">
              <w:rPr>
                <w:rFonts w:ascii="Arial" w:eastAsia="Times New Roman" w:hAnsi="Arial" w:cs="Arial"/>
                <w:sz w:val="20"/>
                <w:szCs w:val="20"/>
                <w:lang w:val="en-US"/>
              </w:rPr>
              <w:t>0.00%</w:t>
            </w:r>
          </w:p>
        </w:tc>
        <w:tc>
          <w:tcPr>
            <w:tcW w:w="1559" w:type="dxa"/>
            <w:tcBorders>
              <w:top w:val="nil"/>
              <w:left w:val="nil"/>
              <w:bottom w:val="single" w:sz="4" w:space="0" w:color="auto"/>
              <w:right w:val="single" w:sz="4" w:space="0" w:color="auto"/>
            </w:tcBorders>
            <w:shd w:val="clear" w:color="auto" w:fill="auto"/>
            <w:noWrap/>
            <w:vAlign w:val="bottom"/>
            <w:hideMark/>
          </w:tcPr>
          <w:p w:rsidR="00EA3FD7" w:rsidRPr="006710A1" w:rsidRDefault="00EA3FD7" w:rsidP="00634A2B">
            <w:pPr>
              <w:spacing w:after="0" w:line="240" w:lineRule="auto"/>
              <w:jc w:val="right"/>
              <w:rPr>
                <w:rFonts w:ascii="Arial" w:eastAsia="Times New Roman" w:hAnsi="Arial" w:cs="Arial"/>
                <w:sz w:val="20"/>
                <w:szCs w:val="20"/>
                <w:lang w:val="en-US"/>
              </w:rPr>
            </w:pPr>
            <w:r w:rsidRPr="006710A1">
              <w:rPr>
                <w:rFonts w:ascii="Arial" w:eastAsia="Times New Roman" w:hAnsi="Arial" w:cs="Arial"/>
                <w:sz w:val="20"/>
                <w:szCs w:val="20"/>
                <w:lang w:val="en-US"/>
              </w:rPr>
              <w:t>3.30%</w:t>
            </w:r>
          </w:p>
        </w:tc>
        <w:tc>
          <w:tcPr>
            <w:tcW w:w="1348" w:type="dxa"/>
            <w:tcBorders>
              <w:top w:val="nil"/>
              <w:left w:val="nil"/>
              <w:bottom w:val="single" w:sz="4" w:space="0" w:color="auto"/>
              <w:right w:val="single" w:sz="4" w:space="0" w:color="auto"/>
            </w:tcBorders>
            <w:shd w:val="clear" w:color="auto" w:fill="auto"/>
            <w:noWrap/>
            <w:vAlign w:val="bottom"/>
            <w:hideMark/>
          </w:tcPr>
          <w:p w:rsidR="00EA3FD7" w:rsidRPr="006710A1" w:rsidRDefault="00EA3FD7" w:rsidP="00634A2B">
            <w:pPr>
              <w:spacing w:after="0" w:line="240" w:lineRule="auto"/>
              <w:rPr>
                <w:rFonts w:ascii="Arial" w:eastAsia="Times New Roman" w:hAnsi="Arial" w:cs="Arial"/>
                <w:sz w:val="20"/>
                <w:szCs w:val="20"/>
                <w:lang w:val="en-US"/>
              </w:rPr>
            </w:pPr>
            <w:r w:rsidRPr="006710A1">
              <w:rPr>
                <w:rFonts w:ascii="Arial" w:eastAsia="Times New Roman" w:hAnsi="Arial" w:cs="Arial"/>
                <w:sz w:val="20"/>
                <w:szCs w:val="20"/>
                <w:lang w:val="en-US"/>
              </w:rPr>
              <w:t> </w:t>
            </w:r>
          </w:p>
        </w:tc>
        <w:tc>
          <w:tcPr>
            <w:tcW w:w="1550" w:type="dxa"/>
            <w:tcBorders>
              <w:top w:val="nil"/>
              <w:left w:val="nil"/>
              <w:bottom w:val="single" w:sz="4" w:space="0" w:color="auto"/>
              <w:right w:val="single" w:sz="4" w:space="0" w:color="auto"/>
            </w:tcBorders>
            <w:shd w:val="clear" w:color="auto" w:fill="auto"/>
            <w:noWrap/>
            <w:vAlign w:val="bottom"/>
            <w:hideMark/>
          </w:tcPr>
          <w:p w:rsidR="00EA3FD7" w:rsidRPr="006710A1" w:rsidRDefault="00EA3FD7" w:rsidP="00634A2B">
            <w:pPr>
              <w:spacing w:after="0" w:line="240" w:lineRule="auto"/>
              <w:rPr>
                <w:rFonts w:ascii="Arial" w:eastAsia="Times New Roman" w:hAnsi="Arial" w:cs="Arial"/>
                <w:sz w:val="20"/>
                <w:szCs w:val="20"/>
                <w:lang w:val="en-US"/>
              </w:rPr>
            </w:pPr>
            <w:r w:rsidRPr="006710A1">
              <w:rPr>
                <w:rFonts w:ascii="Arial" w:eastAsia="Times New Roman" w:hAnsi="Arial" w:cs="Arial"/>
                <w:sz w:val="20"/>
                <w:szCs w:val="20"/>
                <w:lang w:val="en-US"/>
              </w:rPr>
              <w:t> </w:t>
            </w:r>
          </w:p>
        </w:tc>
        <w:tc>
          <w:tcPr>
            <w:tcW w:w="1228" w:type="dxa"/>
            <w:tcBorders>
              <w:top w:val="nil"/>
              <w:left w:val="nil"/>
              <w:bottom w:val="single" w:sz="4" w:space="0" w:color="auto"/>
              <w:right w:val="single" w:sz="4" w:space="0" w:color="auto"/>
            </w:tcBorders>
            <w:shd w:val="clear" w:color="auto" w:fill="auto"/>
            <w:noWrap/>
            <w:vAlign w:val="bottom"/>
            <w:hideMark/>
          </w:tcPr>
          <w:p w:rsidR="00EA3FD7" w:rsidRPr="006710A1" w:rsidRDefault="00EA3FD7" w:rsidP="00634A2B">
            <w:pPr>
              <w:spacing w:after="0" w:line="240" w:lineRule="auto"/>
              <w:rPr>
                <w:rFonts w:ascii="Arial" w:eastAsia="Times New Roman" w:hAnsi="Arial" w:cs="Arial"/>
                <w:sz w:val="20"/>
                <w:szCs w:val="20"/>
                <w:lang w:val="en-US"/>
              </w:rPr>
            </w:pPr>
            <w:r w:rsidRPr="006710A1">
              <w:rPr>
                <w:rFonts w:ascii="Arial" w:eastAsia="Times New Roman" w:hAnsi="Arial" w:cs="Arial"/>
                <w:sz w:val="20"/>
                <w:szCs w:val="20"/>
                <w:lang w:val="en-US"/>
              </w:rPr>
              <w:t> </w:t>
            </w:r>
          </w:p>
        </w:tc>
      </w:tr>
      <w:tr w:rsidR="00EA3FD7" w:rsidRPr="006710A1" w:rsidTr="00CA2193">
        <w:trPr>
          <w:trHeight w:val="17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EA3FD7" w:rsidRPr="006710A1" w:rsidRDefault="00EA3FD7" w:rsidP="00634A2B">
            <w:pPr>
              <w:spacing w:after="0" w:line="240" w:lineRule="auto"/>
              <w:rPr>
                <w:rFonts w:ascii="Arial" w:eastAsia="Times New Roman" w:hAnsi="Arial" w:cs="Arial"/>
                <w:bCs/>
                <w:sz w:val="20"/>
                <w:szCs w:val="20"/>
                <w:lang w:val="en-US"/>
              </w:rPr>
            </w:pPr>
            <w:r w:rsidRPr="006710A1">
              <w:rPr>
                <w:rFonts w:ascii="Arial" w:eastAsia="Times New Roman" w:hAnsi="Arial" w:cs="Arial"/>
                <w:bCs/>
                <w:sz w:val="20"/>
                <w:szCs w:val="20"/>
                <w:lang w:val="en-US"/>
              </w:rPr>
              <w:t>Null</w:t>
            </w:r>
          </w:p>
        </w:tc>
        <w:tc>
          <w:tcPr>
            <w:tcW w:w="1417" w:type="dxa"/>
            <w:tcBorders>
              <w:top w:val="nil"/>
              <w:left w:val="nil"/>
              <w:bottom w:val="single" w:sz="4" w:space="0" w:color="auto"/>
              <w:right w:val="single" w:sz="4" w:space="0" w:color="auto"/>
            </w:tcBorders>
            <w:shd w:val="clear" w:color="auto" w:fill="auto"/>
            <w:noWrap/>
            <w:vAlign w:val="bottom"/>
            <w:hideMark/>
          </w:tcPr>
          <w:p w:rsidR="00EA3FD7" w:rsidRPr="006710A1" w:rsidRDefault="00EA3FD7" w:rsidP="00634A2B">
            <w:pPr>
              <w:spacing w:after="0" w:line="240" w:lineRule="auto"/>
              <w:jc w:val="right"/>
              <w:rPr>
                <w:rFonts w:ascii="Arial" w:eastAsia="Times New Roman" w:hAnsi="Arial" w:cs="Arial"/>
                <w:sz w:val="20"/>
                <w:szCs w:val="20"/>
                <w:lang w:val="en-US"/>
              </w:rPr>
            </w:pPr>
            <w:r w:rsidRPr="006710A1">
              <w:rPr>
                <w:rFonts w:ascii="Arial" w:eastAsia="Times New Roman" w:hAnsi="Arial" w:cs="Arial"/>
                <w:sz w:val="20"/>
                <w:szCs w:val="20"/>
                <w:lang w:val="en-US"/>
              </w:rPr>
              <w:t>0.13%</w:t>
            </w:r>
          </w:p>
        </w:tc>
        <w:tc>
          <w:tcPr>
            <w:tcW w:w="1559" w:type="dxa"/>
            <w:tcBorders>
              <w:top w:val="nil"/>
              <w:left w:val="nil"/>
              <w:bottom w:val="single" w:sz="4" w:space="0" w:color="auto"/>
              <w:right w:val="single" w:sz="4" w:space="0" w:color="auto"/>
            </w:tcBorders>
            <w:shd w:val="clear" w:color="auto" w:fill="auto"/>
            <w:noWrap/>
            <w:vAlign w:val="bottom"/>
            <w:hideMark/>
          </w:tcPr>
          <w:p w:rsidR="00EA3FD7" w:rsidRPr="006710A1" w:rsidRDefault="00EA3FD7" w:rsidP="00634A2B">
            <w:pPr>
              <w:spacing w:after="0" w:line="240" w:lineRule="auto"/>
              <w:jc w:val="right"/>
              <w:rPr>
                <w:rFonts w:ascii="Arial" w:eastAsia="Times New Roman" w:hAnsi="Arial" w:cs="Arial"/>
                <w:sz w:val="20"/>
                <w:szCs w:val="20"/>
                <w:lang w:val="en-US"/>
              </w:rPr>
            </w:pPr>
            <w:r w:rsidRPr="006710A1">
              <w:rPr>
                <w:rFonts w:ascii="Arial" w:eastAsia="Times New Roman" w:hAnsi="Arial" w:cs="Arial"/>
                <w:sz w:val="20"/>
                <w:szCs w:val="20"/>
                <w:lang w:val="en-US"/>
              </w:rPr>
              <w:t>99.48%</w:t>
            </w:r>
          </w:p>
        </w:tc>
        <w:tc>
          <w:tcPr>
            <w:tcW w:w="1348" w:type="dxa"/>
            <w:tcBorders>
              <w:top w:val="nil"/>
              <w:left w:val="nil"/>
              <w:bottom w:val="single" w:sz="4" w:space="0" w:color="auto"/>
              <w:right w:val="single" w:sz="4" w:space="0" w:color="auto"/>
            </w:tcBorders>
            <w:shd w:val="clear" w:color="auto" w:fill="auto"/>
            <w:noWrap/>
            <w:vAlign w:val="bottom"/>
            <w:hideMark/>
          </w:tcPr>
          <w:p w:rsidR="00EA3FD7" w:rsidRPr="006710A1" w:rsidRDefault="00EA3FD7" w:rsidP="00634A2B">
            <w:pPr>
              <w:spacing w:after="0" w:line="240" w:lineRule="auto"/>
              <w:rPr>
                <w:rFonts w:ascii="Arial" w:eastAsia="Times New Roman" w:hAnsi="Arial" w:cs="Arial"/>
                <w:sz w:val="20"/>
                <w:szCs w:val="20"/>
                <w:lang w:val="en-US"/>
              </w:rPr>
            </w:pPr>
            <w:r w:rsidRPr="006710A1">
              <w:rPr>
                <w:rFonts w:ascii="Arial" w:eastAsia="Times New Roman" w:hAnsi="Arial" w:cs="Arial"/>
                <w:sz w:val="20"/>
                <w:szCs w:val="20"/>
                <w:lang w:val="en-US"/>
              </w:rPr>
              <w:t> </w:t>
            </w:r>
          </w:p>
        </w:tc>
        <w:tc>
          <w:tcPr>
            <w:tcW w:w="1550" w:type="dxa"/>
            <w:tcBorders>
              <w:top w:val="nil"/>
              <w:left w:val="nil"/>
              <w:bottom w:val="single" w:sz="4" w:space="0" w:color="auto"/>
              <w:right w:val="single" w:sz="4" w:space="0" w:color="auto"/>
            </w:tcBorders>
            <w:shd w:val="clear" w:color="auto" w:fill="auto"/>
            <w:noWrap/>
            <w:vAlign w:val="bottom"/>
            <w:hideMark/>
          </w:tcPr>
          <w:p w:rsidR="00EA3FD7" w:rsidRPr="006710A1" w:rsidRDefault="00EA3FD7" w:rsidP="00634A2B">
            <w:pPr>
              <w:spacing w:after="0" w:line="240" w:lineRule="auto"/>
              <w:rPr>
                <w:rFonts w:ascii="Arial" w:eastAsia="Times New Roman" w:hAnsi="Arial" w:cs="Arial"/>
                <w:sz w:val="20"/>
                <w:szCs w:val="20"/>
                <w:lang w:val="en-US"/>
              </w:rPr>
            </w:pPr>
            <w:r w:rsidRPr="006710A1">
              <w:rPr>
                <w:rFonts w:ascii="Arial" w:eastAsia="Times New Roman" w:hAnsi="Arial" w:cs="Arial"/>
                <w:sz w:val="20"/>
                <w:szCs w:val="20"/>
                <w:lang w:val="en-US"/>
              </w:rPr>
              <w:t> </w:t>
            </w:r>
          </w:p>
        </w:tc>
        <w:tc>
          <w:tcPr>
            <w:tcW w:w="1228" w:type="dxa"/>
            <w:tcBorders>
              <w:top w:val="nil"/>
              <w:left w:val="nil"/>
              <w:bottom w:val="single" w:sz="4" w:space="0" w:color="auto"/>
              <w:right w:val="single" w:sz="4" w:space="0" w:color="auto"/>
            </w:tcBorders>
            <w:shd w:val="clear" w:color="auto" w:fill="auto"/>
            <w:noWrap/>
            <w:vAlign w:val="bottom"/>
            <w:hideMark/>
          </w:tcPr>
          <w:p w:rsidR="00EA3FD7" w:rsidRPr="006710A1" w:rsidRDefault="00EA3FD7" w:rsidP="00634A2B">
            <w:pPr>
              <w:spacing w:after="0" w:line="240" w:lineRule="auto"/>
              <w:rPr>
                <w:rFonts w:ascii="Arial" w:eastAsia="Times New Roman" w:hAnsi="Arial" w:cs="Arial"/>
                <w:sz w:val="20"/>
                <w:szCs w:val="20"/>
                <w:lang w:val="en-US"/>
              </w:rPr>
            </w:pPr>
            <w:r w:rsidRPr="006710A1">
              <w:rPr>
                <w:rFonts w:ascii="Arial" w:eastAsia="Times New Roman" w:hAnsi="Arial" w:cs="Arial"/>
                <w:sz w:val="20"/>
                <w:szCs w:val="20"/>
                <w:lang w:val="en-US"/>
              </w:rPr>
              <w:t> </w:t>
            </w:r>
          </w:p>
        </w:tc>
      </w:tr>
      <w:tr w:rsidR="00EA3FD7" w:rsidRPr="006710A1" w:rsidTr="00CA2193">
        <w:trPr>
          <w:trHeight w:val="17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3FD7" w:rsidRPr="006710A1" w:rsidRDefault="00EA3FD7" w:rsidP="00634A2B">
            <w:pPr>
              <w:spacing w:after="0" w:line="240" w:lineRule="auto"/>
              <w:rPr>
                <w:rFonts w:ascii="Arial" w:eastAsia="Times New Roman" w:hAnsi="Arial" w:cs="Arial"/>
                <w:bCs/>
                <w:sz w:val="20"/>
                <w:szCs w:val="20"/>
                <w:lang w:val="en-US"/>
              </w:rPr>
            </w:pPr>
            <w:r w:rsidRPr="006710A1">
              <w:rPr>
                <w:rFonts w:ascii="Arial" w:eastAsia="Times New Roman" w:hAnsi="Arial" w:cs="Arial"/>
                <w:bCs/>
                <w:sz w:val="20"/>
                <w:szCs w:val="20"/>
                <w:lang w:val="en-US"/>
              </w:rPr>
              <w:t>Total</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A3FD7" w:rsidRPr="006710A1" w:rsidRDefault="00EA3FD7" w:rsidP="00634A2B">
            <w:pPr>
              <w:spacing w:after="0" w:line="240" w:lineRule="auto"/>
              <w:rPr>
                <w:rFonts w:ascii="Arial" w:eastAsia="Times New Roman" w:hAnsi="Arial" w:cs="Arial"/>
                <w:sz w:val="20"/>
                <w:szCs w:val="20"/>
                <w:lang w:val="en-US"/>
              </w:rPr>
            </w:pPr>
            <w:r w:rsidRPr="006710A1">
              <w:rPr>
                <w:rFonts w:ascii="Arial" w:eastAsia="Times New Roman" w:hAnsi="Arial" w:cs="Arial"/>
                <w:sz w:val="20"/>
                <w:szCs w:val="20"/>
                <w:lang w:val="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A3FD7" w:rsidRPr="006710A1" w:rsidRDefault="00EA3FD7" w:rsidP="00634A2B">
            <w:pPr>
              <w:spacing w:after="0" w:line="240" w:lineRule="auto"/>
              <w:rPr>
                <w:rFonts w:ascii="Arial" w:eastAsia="Times New Roman" w:hAnsi="Arial" w:cs="Arial"/>
                <w:sz w:val="20"/>
                <w:szCs w:val="20"/>
                <w:lang w:val="en-US"/>
              </w:rPr>
            </w:pPr>
            <w:r w:rsidRPr="006710A1">
              <w:rPr>
                <w:rFonts w:ascii="Arial" w:eastAsia="Times New Roman" w:hAnsi="Arial" w:cs="Arial"/>
                <w:sz w:val="20"/>
                <w:szCs w:val="20"/>
                <w:lang w:val="en-US"/>
              </w:rPr>
              <w:t> </w:t>
            </w:r>
          </w:p>
        </w:tc>
        <w:tc>
          <w:tcPr>
            <w:tcW w:w="1348" w:type="dxa"/>
            <w:tcBorders>
              <w:top w:val="single" w:sz="4" w:space="0" w:color="auto"/>
              <w:left w:val="nil"/>
              <w:bottom w:val="single" w:sz="4" w:space="0" w:color="auto"/>
              <w:right w:val="single" w:sz="4" w:space="0" w:color="auto"/>
            </w:tcBorders>
            <w:shd w:val="clear" w:color="auto" w:fill="auto"/>
            <w:noWrap/>
            <w:vAlign w:val="bottom"/>
            <w:hideMark/>
          </w:tcPr>
          <w:p w:rsidR="00EA3FD7" w:rsidRPr="006710A1" w:rsidRDefault="00EA3FD7" w:rsidP="00634A2B">
            <w:pPr>
              <w:spacing w:after="0" w:line="240" w:lineRule="auto"/>
              <w:jc w:val="right"/>
              <w:rPr>
                <w:rFonts w:ascii="Arial" w:eastAsia="Times New Roman" w:hAnsi="Arial" w:cs="Arial"/>
                <w:sz w:val="20"/>
                <w:szCs w:val="20"/>
                <w:lang w:val="en-US"/>
              </w:rPr>
            </w:pPr>
            <w:r w:rsidRPr="006710A1">
              <w:rPr>
                <w:rFonts w:ascii="Arial" w:eastAsia="Times New Roman" w:hAnsi="Arial" w:cs="Arial"/>
                <w:sz w:val="20"/>
                <w:szCs w:val="20"/>
                <w:lang w:val="en-US"/>
              </w:rPr>
              <w:t>2.45%</w:t>
            </w:r>
          </w:p>
        </w:tc>
        <w:tc>
          <w:tcPr>
            <w:tcW w:w="1550" w:type="dxa"/>
            <w:tcBorders>
              <w:top w:val="single" w:sz="4" w:space="0" w:color="auto"/>
              <w:left w:val="nil"/>
              <w:bottom w:val="single" w:sz="4" w:space="0" w:color="auto"/>
              <w:right w:val="single" w:sz="4" w:space="0" w:color="auto"/>
            </w:tcBorders>
            <w:shd w:val="clear" w:color="auto" w:fill="auto"/>
            <w:noWrap/>
            <w:vAlign w:val="bottom"/>
            <w:hideMark/>
          </w:tcPr>
          <w:p w:rsidR="00EA3FD7" w:rsidRPr="006710A1" w:rsidRDefault="00EA3FD7" w:rsidP="00634A2B">
            <w:pPr>
              <w:spacing w:after="0" w:line="240" w:lineRule="auto"/>
              <w:jc w:val="right"/>
              <w:rPr>
                <w:rFonts w:ascii="Arial" w:eastAsia="Times New Roman" w:hAnsi="Arial" w:cs="Arial"/>
                <w:sz w:val="20"/>
                <w:szCs w:val="20"/>
                <w:lang w:val="en-US"/>
              </w:rPr>
            </w:pPr>
            <w:r w:rsidRPr="006710A1">
              <w:rPr>
                <w:rFonts w:ascii="Arial" w:eastAsia="Times New Roman" w:hAnsi="Arial" w:cs="Arial"/>
                <w:sz w:val="20"/>
                <w:szCs w:val="20"/>
                <w:lang w:val="en-US"/>
              </w:rPr>
              <w:t>4.81%</w:t>
            </w:r>
          </w:p>
        </w:tc>
        <w:tc>
          <w:tcPr>
            <w:tcW w:w="1228" w:type="dxa"/>
            <w:tcBorders>
              <w:top w:val="single" w:sz="4" w:space="0" w:color="auto"/>
              <w:left w:val="nil"/>
              <w:bottom w:val="single" w:sz="4" w:space="0" w:color="auto"/>
              <w:right w:val="single" w:sz="4" w:space="0" w:color="auto"/>
            </w:tcBorders>
            <w:shd w:val="clear" w:color="auto" w:fill="auto"/>
            <w:noWrap/>
            <w:vAlign w:val="bottom"/>
            <w:hideMark/>
          </w:tcPr>
          <w:p w:rsidR="00EA3FD7" w:rsidRPr="006710A1" w:rsidRDefault="00EA3FD7" w:rsidP="00634A2B">
            <w:pPr>
              <w:spacing w:after="0" w:line="240" w:lineRule="auto"/>
              <w:jc w:val="right"/>
              <w:rPr>
                <w:rFonts w:ascii="Arial" w:eastAsia="Times New Roman" w:hAnsi="Arial" w:cs="Arial"/>
                <w:sz w:val="20"/>
                <w:szCs w:val="20"/>
                <w:lang w:val="en-US"/>
              </w:rPr>
            </w:pPr>
            <w:r w:rsidRPr="006710A1">
              <w:rPr>
                <w:rFonts w:ascii="Arial" w:eastAsia="Times New Roman" w:hAnsi="Arial" w:cs="Arial"/>
                <w:sz w:val="20"/>
                <w:szCs w:val="20"/>
                <w:lang w:val="en-US"/>
              </w:rPr>
              <w:t>97.55%</w:t>
            </w:r>
          </w:p>
        </w:tc>
      </w:tr>
      <w:tr w:rsidR="00EA3FD7" w:rsidRPr="006710A1" w:rsidTr="00CA2193">
        <w:trPr>
          <w:trHeight w:val="170"/>
        </w:trPr>
        <w:tc>
          <w:tcPr>
            <w:tcW w:w="9229"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Times New Roman" w:hAnsi="Arial" w:cs="Arial"/>
                <w:sz w:val="20"/>
                <w:szCs w:val="20"/>
                <w:lang w:val="en-US"/>
              </w:rPr>
            </w:pPr>
            <w:r w:rsidRPr="006710A1">
              <w:rPr>
                <w:rFonts w:ascii="Arial" w:eastAsia="Times New Roman" w:hAnsi="Arial" w:cs="Arial"/>
                <w:b/>
                <w:sz w:val="20"/>
                <w:szCs w:val="20"/>
                <w:lang w:val="en-US"/>
              </w:rPr>
              <w:t>Age</w:t>
            </w:r>
          </w:p>
        </w:tc>
      </w:tr>
      <w:tr w:rsidR="00EA3FD7" w:rsidRPr="006710A1" w:rsidTr="00CA2193">
        <w:trPr>
          <w:trHeight w:val="17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Times New Roman" w:hAnsi="Arial" w:cs="Arial"/>
                <w:bCs/>
                <w:sz w:val="20"/>
                <w:szCs w:val="20"/>
                <w:lang w:val="en-US"/>
              </w:rPr>
            </w:pPr>
            <w:r w:rsidRPr="006710A1">
              <w:rPr>
                <w:rFonts w:ascii="Arial" w:eastAsia="Times New Roman" w:hAnsi="Arial" w:cs="Arial"/>
                <w:bCs/>
                <w:sz w:val="20"/>
                <w:szCs w:val="20"/>
                <w:lang w:val="en-US"/>
              </w:rPr>
              <w:t>0-14</w:t>
            </w:r>
          </w:p>
        </w:tc>
        <w:tc>
          <w:tcPr>
            <w:tcW w:w="1417" w:type="dxa"/>
            <w:tcBorders>
              <w:top w:val="single" w:sz="4" w:space="0" w:color="auto"/>
              <w:left w:val="nil"/>
              <w:bottom w:val="single" w:sz="4" w:space="0" w:color="auto"/>
              <w:right w:val="single" w:sz="4" w:space="0" w:color="auto"/>
            </w:tcBorders>
            <w:shd w:val="clear" w:color="auto" w:fill="auto"/>
            <w:noWrap/>
          </w:tcPr>
          <w:p w:rsidR="00EA3FD7" w:rsidRPr="006710A1" w:rsidRDefault="00EA3FD7" w:rsidP="00634A2B">
            <w:pPr>
              <w:spacing w:after="0" w:line="240" w:lineRule="auto"/>
              <w:jc w:val="right"/>
              <w:rPr>
                <w:rFonts w:ascii="Arial" w:eastAsia="Times New Roman" w:hAnsi="Arial" w:cs="Arial"/>
                <w:sz w:val="20"/>
                <w:szCs w:val="20"/>
                <w:lang w:val="en-US"/>
              </w:rPr>
            </w:pPr>
            <w:r w:rsidRPr="006710A1">
              <w:rPr>
                <w:rFonts w:ascii="Arial" w:eastAsia="Times New Roman" w:hAnsi="Arial" w:cs="Arial"/>
                <w:sz w:val="20"/>
                <w:szCs w:val="20"/>
                <w:lang w:val="en-US"/>
              </w:rPr>
              <w:t>-0,08%</w:t>
            </w:r>
          </w:p>
        </w:tc>
        <w:tc>
          <w:tcPr>
            <w:tcW w:w="1559" w:type="dxa"/>
            <w:tcBorders>
              <w:top w:val="single" w:sz="4" w:space="0" w:color="auto"/>
              <w:left w:val="nil"/>
              <w:bottom w:val="single" w:sz="4" w:space="0" w:color="auto"/>
              <w:right w:val="single" w:sz="4" w:space="0" w:color="auto"/>
            </w:tcBorders>
            <w:shd w:val="clear" w:color="auto" w:fill="auto"/>
            <w:noWrap/>
          </w:tcPr>
          <w:p w:rsidR="00EA3FD7" w:rsidRPr="006710A1" w:rsidRDefault="00EA3FD7" w:rsidP="00634A2B">
            <w:pPr>
              <w:spacing w:after="0" w:line="240" w:lineRule="auto"/>
              <w:jc w:val="right"/>
              <w:rPr>
                <w:rFonts w:ascii="Arial" w:eastAsia="Times New Roman" w:hAnsi="Arial" w:cs="Arial"/>
                <w:sz w:val="20"/>
                <w:szCs w:val="20"/>
                <w:lang w:val="en-US"/>
              </w:rPr>
            </w:pPr>
            <w:r w:rsidRPr="006710A1">
              <w:rPr>
                <w:rFonts w:ascii="Arial" w:eastAsia="Times New Roman" w:hAnsi="Arial" w:cs="Arial"/>
                <w:sz w:val="20"/>
                <w:szCs w:val="20"/>
                <w:lang w:val="en-US"/>
              </w:rPr>
              <w:t>0,85%</w:t>
            </w:r>
          </w:p>
        </w:tc>
        <w:tc>
          <w:tcPr>
            <w:tcW w:w="1348" w:type="dxa"/>
            <w:tcBorders>
              <w:top w:val="single" w:sz="4" w:space="0" w:color="auto"/>
              <w:left w:val="nil"/>
              <w:bottom w:val="single" w:sz="4" w:space="0" w:color="auto"/>
              <w:right w:val="single" w:sz="4" w:space="0" w:color="auto"/>
            </w:tcBorders>
            <w:shd w:val="clear" w:color="auto" w:fill="auto"/>
            <w:noWrap/>
          </w:tcPr>
          <w:p w:rsidR="00EA3FD7" w:rsidRPr="006710A1" w:rsidRDefault="00EA3FD7" w:rsidP="00634A2B">
            <w:pPr>
              <w:spacing w:after="0" w:line="240" w:lineRule="auto"/>
              <w:jc w:val="right"/>
              <w:rPr>
                <w:rFonts w:ascii="Arial" w:eastAsia="Times New Roman" w:hAnsi="Arial" w:cs="Arial"/>
                <w:sz w:val="20"/>
                <w:szCs w:val="20"/>
                <w:lang w:val="en-US"/>
              </w:rPr>
            </w:pPr>
          </w:p>
        </w:tc>
        <w:tc>
          <w:tcPr>
            <w:tcW w:w="1550" w:type="dxa"/>
            <w:tcBorders>
              <w:top w:val="single" w:sz="4" w:space="0" w:color="auto"/>
              <w:left w:val="nil"/>
              <w:bottom w:val="single" w:sz="4" w:space="0" w:color="auto"/>
              <w:right w:val="single" w:sz="4" w:space="0" w:color="auto"/>
            </w:tcBorders>
            <w:shd w:val="clear" w:color="auto" w:fill="auto"/>
            <w:noWrap/>
          </w:tcPr>
          <w:p w:rsidR="00EA3FD7" w:rsidRPr="006710A1" w:rsidRDefault="00EA3FD7" w:rsidP="00634A2B">
            <w:pPr>
              <w:spacing w:after="0" w:line="240" w:lineRule="auto"/>
              <w:jc w:val="right"/>
              <w:rPr>
                <w:rFonts w:ascii="Arial" w:eastAsia="Times New Roman" w:hAnsi="Arial" w:cs="Arial"/>
                <w:sz w:val="20"/>
                <w:szCs w:val="20"/>
                <w:lang w:val="en-US"/>
              </w:rPr>
            </w:pPr>
          </w:p>
        </w:tc>
        <w:tc>
          <w:tcPr>
            <w:tcW w:w="1228" w:type="dxa"/>
            <w:tcBorders>
              <w:top w:val="single" w:sz="4" w:space="0" w:color="auto"/>
              <w:left w:val="nil"/>
              <w:bottom w:val="single" w:sz="4" w:space="0" w:color="auto"/>
              <w:right w:val="single" w:sz="4" w:space="0" w:color="auto"/>
            </w:tcBorders>
            <w:shd w:val="clear" w:color="auto" w:fill="auto"/>
            <w:noWrap/>
          </w:tcPr>
          <w:p w:rsidR="00EA3FD7" w:rsidRPr="006710A1" w:rsidRDefault="00EA3FD7" w:rsidP="00634A2B">
            <w:pPr>
              <w:spacing w:after="0" w:line="240" w:lineRule="auto"/>
              <w:jc w:val="right"/>
              <w:rPr>
                <w:rFonts w:ascii="Arial" w:eastAsia="Times New Roman" w:hAnsi="Arial" w:cs="Arial"/>
                <w:sz w:val="20"/>
                <w:szCs w:val="20"/>
                <w:lang w:val="en-US"/>
              </w:rPr>
            </w:pPr>
          </w:p>
        </w:tc>
      </w:tr>
      <w:tr w:rsidR="00EA3FD7" w:rsidRPr="006710A1" w:rsidTr="00CA2193">
        <w:trPr>
          <w:trHeight w:val="17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Times New Roman" w:hAnsi="Arial" w:cs="Arial"/>
                <w:bCs/>
                <w:sz w:val="20"/>
                <w:szCs w:val="20"/>
                <w:lang w:val="en-US"/>
              </w:rPr>
            </w:pPr>
            <w:r w:rsidRPr="006710A1">
              <w:rPr>
                <w:rFonts w:ascii="Arial" w:eastAsia="Times New Roman" w:hAnsi="Arial" w:cs="Arial"/>
                <w:bCs/>
                <w:sz w:val="20"/>
                <w:szCs w:val="20"/>
                <w:lang w:val="en-US"/>
              </w:rPr>
              <w:t>15-49</w:t>
            </w:r>
          </w:p>
        </w:tc>
        <w:tc>
          <w:tcPr>
            <w:tcW w:w="1417" w:type="dxa"/>
            <w:tcBorders>
              <w:top w:val="single" w:sz="4" w:space="0" w:color="auto"/>
              <w:left w:val="nil"/>
              <w:bottom w:val="single" w:sz="4" w:space="0" w:color="auto"/>
              <w:right w:val="single" w:sz="4" w:space="0" w:color="auto"/>
            </w:tcBorders>
            <w:shd w:val="clear" w:color="auto" w:fill="auto"/>
            <w:noWrap/>
          </w:tcPr>
          <w:p w:rsidR="00EA3FD7" w:rsidRPr="006710A1" w:rsidRDefault="00EA3FD7" w:rsidP="00634A2B">
            <w:pPr>
              <w:spacing w:after="0" w:line="240" w:lineRule="auto"/>
              <w:jc w:val="right"/>
              <w:rPr>
                <w:rFonts w:ascii="Arial" w:eastAsia="Times New Roman" w:hAnsi="Arial" w:cs="Arial"/>
                <w:sz w:val="20"/>
                <w:szCs w:val="20"/>
                <w:lang w:val="en-US"/>
              </w:rPr>
            </w:pPr>
            <w:r w:rsidRPr="006710A1">
              <w:rPr>
                <w:rFonts w:ascii="Arial" w:eastAsia="Times New Roman" w:hAnsi="Arial" w:cs="Arial"/>
                <w:sz w:val="20"/>
                <w:szCs w:val="20"/>
                <w:lang w:val="en-US"/>
              </w:rPr>
              <w:t>-0,04%</w:t>
            </w:r>
          </w:p>
        </w:tc>
        <w:tc>
          <w:tcPr>
            <w:tcW w:w="1559" w:type="dxa"/>
            <w:tcBorders>
              <w:top w:val="single" w:sz="4" w:space="0" w:color="auto"/>
              <w:left w:val="nil"/>
              <w:bottom w:val="single" w:sz="4" w:space="0" w:color="auto"/>
              <w:right w:val="single" w:sz="4" w:space="0" w:color="auto"/>
            </w:tcBorders>
            <w:shd w:val="clear" w:color="auto" w:fill="auto"/>
            <w:noWrap/>
          </w:tcPr>
          <w:p w:rsidR="00EA3FD7" w:rsidRPr="006710A1" w:rsidRDefault="00EA3FD7" w:rsidP="00634A2B">
            <w:pPr>
              <w:spacing w:after="0" w:line="240" w:lineRule="auto"/>
              <w:jc w:val="right"/>
              <w:rPr>
                <w:rFonts w:ascii="Arial" w:eastAsia="Times New Roman" w:hAnsi="Arial" w:cs="Arial"/>
                <w:sz w:val="20"/>
                <w:szCs w:val="20"/>
                <w:lang w:val="en-US"/>
              </w:rPr>
            </w:pPr>
            <w:r w:rsidRPr="006710A1">
              <w:rPr>
                <w:rFonts w:ascii="Arial" w:eastAsia="Times New Roman" w:hAnsi="Arial" w:cs="Arial"/>
                <w:sz w:val="20"/>
                <w:szCs w:val="20"/>
                <w:lang w:val="en-US"/>
              </w:rPr>
              <w:t>1,34%</w:t>
            </w:r>
          </w:p>
        </w:tc>
        <w:tc>
          <w:tcPr>
            <w:tcW w:w="1348" w:type="dxa"/>
            <w:tcBorders>
              <w:top w:val="single" w:sz="4" w:space="0" w:color="auto"/>
              <w:left w:val="nil"/>
              <w:bottom w:val="single" w:sz="4" w:space="0" w:color="auto"/>
              <w:right w:val="single" w:sz="4" w:space="0" w:color="auto"/>
            </w:tcBorders>
            <w:shd w:val="clear" w:color="auto" w:fill="auto"/>
            <w:noWrap/>
          </w:tcPr>
          <w:p w:rsidR="00EA3FD7" w:rsidRPr="006710A1" w:rsidRDefault="00EA3FD7" w:rsidP="00634A2B">
            <w:pPr>
              <w:spacing w:after="0" w:line="240" w:lineRule="auto"/>
              <w:jc w:val="right"/>
              <w:rPr>
                <w:rFonts w:ascii="Arial" w:eastAsia="Times New Roman" w:hAnsi="Arial" w:cs="Arial"/>
                <w:sz w:val="20"/>
                <w:szCs w:val="20"/>
                <w:lang w:val="en-US"/>
              </w:rPr>
            </w:pPr>
          </w:p>
        </w:tc>
        <w:tc>
          <w:tcPr>
            <w:tcW w:w="1550" w:type="dxa"/>
            <w:tcBorders>
              <w:top w:val="single" w:sz="4" w:space="0" w:color="auto"/>
              <w:left w:val="nil"/>
              <w:bottom w:val="single" w:sz="4" w:space="0" w:color="auto"/>
              <w:right w:val="single" w:sz="4" w:space="0" w:color="auto"/>
            </w:tcBorders>
            <w:shd w:val="clear" w:color="auto" w:fill="auto"/>
            <w:noWrap/>
          </w:tcPr>
          <w:p w:rsidR="00EA3FD7" w:rsidRPr="006710A1" w:rsidRDefault="00EA3FD7" w:rsidP="00634A2B">
            <w:pPr>
              <w:spacing w:after="0" w:line="240" w:lineRule="auto"/>
              <w:jc w:val="right"/>
              <w:rPr>
                <w:rFonts w:ascii="Arial" w:eastAsia="Times New Roman" w:hAnsi="Arial" w:cs="Arial"/>
                <w:sz w:val="20"/>
                <w:szCs w:val="20"/>
                <w:lang w:val="en-US"/>
              </w:rPr>
            </w:pPr>
          </w:p>
        </w:tc>
        <w:tc>
          <w:tcPr>
            <w:tcW w:w="1228" w:type="dxa"/>
            <w:tcBorders>
              <w:top w:val="single" w:sz="4" w:space="0" w:color="auto"/>
              <w:left w:val="nil"/>
              <w:bottom w:val="single" w:sz="4" w:space="0" w:color="auto"/>
              <w:right w:val="single" w:sz="4" w:space="0" w:color="auto"/>
            </w:tcBorders>
            <w:shd w:val="clear" w:color="auto" w:fill="auto"/>
            <w:noWrap/>
          </w:tcPr>
          <w:p w:rsidR="00EA3FD7" w:rsidRPr="006710A1" w:rsidRDefault="00EA3FD7" w:rsidP="00634A2B">
            <w:pPr>
              <w:spacing w:after="0" w:line="240" w:lineRule="auto"/>
              <w:jc w:val="right"/>
              <w:rPr>
                <w:rFonts w:ascii="Arial" w:eastAsia="Times New Roman" w:hAnsi="Arial" w:cs="Arial"/>
                <w:sz w:val="20"/>
                <w:szCs w:val="20"/>
                <w:lang w:val="en-US"/>
              </w:rPr>
            </w:pPr>
          </w:p>
        </w:tc>
      </w:tr>
      <w:tr w:rsidR="00EA3FD7" w:rsidRPr="006710A1" w:rsidTr="00CA2193">
        <w:trPr>
          <w:trHeight w:val="17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Times New Roman" w:hAnsi="Arial" w:cs="Arial"/>
                <w:bCs/>
                <w:sz w:val="20"/>
                <w:szCs w:val="20"/>
                <w:lang w:val="en-US"/>
              </w:rPr>
            </w:pPr>
            <w:r w:rsidRPr="006710A1">
              <w:rPr>
                <w:rFonts w:ascii="Arial" w:eastAsia="Times New Roman" w:hAnsi="Arial" w:cs="Arial"/>
                <w:bCs/>
                <w:sz w:val="20"/>
                <w:szCs w:val="20"/>
                <w:lang w:val="en-US"/>
              </w:rPr>
              <w:t>50-64</w:t>
            </w:r>
          </w:p>
        </w:tc>
        <w:tc>
          <w:tcPr>
            <w:tcW w:w="1417" w:type="dxa"/>
            <w:tcBorders>
              <w:top w:val="single" w:sz="4" w:space="0" w:color="auto"/>
              <w:left w:val="nil"/>
              <w:bottom w:val="single" w:sz="4" w:space="0" w:color="auto"/>
              <w:right w:val="single" w:sz="4" w:space="0" w:color="auto"/>
            </w:tcBorders>
            <w:shd w:val="clear" w:color="auto" w:fill="auto"/>
            <w:noWrap/>
          </w:tcPr>
          <w:p w:rsidR="00EA3FD7" w:rsidRPr="006710A1" w:rsidRDefault="00EA3FD7" w:rsidP="00634A2B">
            <w:pPr>
              <w:spacing w:after="0" w:line="240" w:lineRule="auto"/>
              <w:jc w:val="right"/>
              <w:rPr>
                <w:rFonts w:ascii="Arial" w:eastAsia="Times New Roman" w:hAnsi="Arial" w:cs="Arial"/>
                <w:sz w:val="20"/>
                <w:szCs w:val="20"/>
                <w:lang w:val="en-US"/>
              </w:rPr>
            </w:pPr>
            <w:r w:rsidRPr="006710A1">
              <w:rPr>
                <w:rFonts w:ascii="Arial" w:eastAsia="Times New Roman" w:hAnsi="Arial" w:cs="Arial"/>
                <w:sz w:val="20"/>
                <w:szCs w:val="20"/>
                <w:lang w:val="en-US"/>
              </w:rPr>
              <w:t>-0,01%</w:t>
            </w:r>
          </w:p>
        </w:tc>
        <w:tc>
          <w:tcPr>
            <w:tcW w:w="1559" w:type="dxa"/>
            <w:tcBorders>
              <w:top w:val="single" w:sz="4" w:space="0" w:color="auto"/>
              <w:left w:val="nil"/>
              <w:bottom w:val="single" w:sz="4" w:space="0" w:color="auto"/>
              <w:right w:val="single" w:sz="4" w:space="0" w:color="auto"/>
            </w:tcBorders>
            <w:shd w:val="clear" w:color="auto" w:fill="auto"/>
            <w:noWrap/>
          </w:tcPr>
          <w:p w:rsidR="00EA3FD7" w:rsidRPr="006710A1" w:rsidRDefault="00EA3FD7" w:rsidP="00634A2B">
            <w:pPr>
              <w:spacing w:after="0" w:line="240" w:lineRule="auto"/>
              <w:jc w:val="right"/>
              <w:rPr>
                <w:rFonts w:ascii="Arial" w:eastAsia="Times New Roman" w:hAnsi="Arial" w:cs="Arial"/>
                <w:sz w:val="20"/>
                <w:szCs w:val="20"/>
                <w:lang w:val="en-US"/>
              </w:rPr>
            </w:pPr>
            <w:r w:rsidRPr="006710A1">
              <w:rPr>
                <w:rFonts w:ascii="Arial" w:eastAsia="Times New Roman" w:hAnsi="Arial" w:cs="Arial"/>
                <w:sz w:val="20"/>
                <w:szCs w:val="20"/>
                <w:lang w:val="en-US"/>
              </w:rPr>
              <w:t>1,34%</w:t>
            </w:r>
          </w:p>
        </w:tc>
        <w:tc>
          <w:tcPr>
            <w:tcW w:w="1348" w:type="dxa"/>
            <w:tcBorders>
              <w:top w:val="single" w:sz="4" w:space="0" w:color="auto"/>
              <w:left w:val="nil"/>
              <w:bottom w:val="single" w:sz="4" w:space="0" w:color="auto"/>
              <w:right w:val="single" w:sz="4" w:space="0" w:color="auto"/>
            </w:tcBorders>
            <w:shd w:val="clear" w:color="auto" w:fill="auto"/>
            <w:noWrap/>
          </w:tcPr>
          <w:p w:rsidR="00EA3FD7" w:rsidRPr="006710A1" w:rsidRDefault="00EA3FD7" w:rsidP="00634A2B">
            <w:pPr>
              <w:spacing w:after="0" w:line="240" w:lineRule="auto"/>
              <w:jc w:val="right"/>
              <w:rPr>
                <w:rFonts w:ascii="Arial" w:eastAsia="Times New Roman" w:hAnsi="Arial" w:cs="Arial"/>
                <w:sz w:val="20"/>
                <w:szCs w:val="20"/>
                <w:lang w:val="en-US"/>
              </w:rPr>
            </w:pPr>
          </w:p>
        </w:tc>
        <w:tc>
          <w:tcPr>
            <w:tcW w:w="1550" w:type="dxa"/>
            <w:tcBorders>
              <w:top w:val="single" w:sz="4" w:space="0" w:color="auto"/>
              <w:left w:val="nil"/>
              <w:bottom w:val="single" w:sz="4" w:space="0" w:color="auto"/>
              <w:right w:val="single" w:sz="4" w:space="0" w:color="auto"/>
            </w:tcBorders>
            <w:shd w:val="clear" w:color="auto" w:fill="auto"/>
            <w:noWrap/>
          </w:tcPr>
          <w:p w:rsidR="00EA3FD7" w:rsidRPr="006710A1" w:rsidRDefault="00EA3FD7" w:rsidP="00634A2B">
            <w:pPr>
              <w:spacing w:after="0" w:line="240" w:lineRule="auto"/>
              <w:jc w:val="right"/>
              <w:rPr>
                <w:rFonts w:ascii="Arial" w:eastAsia="Times New Roman" w:hAnsi="Arial" w:cs="Arial"/>
                <w:sz w:val="20"/>
                <w:szCs w:val="20"/>
                <w:lang w:val="en-US"/>
              </w:rPr>
            </w:pPr>
          </w:p>
        </w:tc>
        <w:tc>
          <w:tcPr>
            <w:tcW w:w="1228" w:type="dxa"/>
            <w:tcBorders>
              <w:top w:val="single" w:sz="4" w:space="0" w:color="auto"/>
              <w:left w:val="nil"/>
              <w:bottom w:val="single" w:sz="4" w:space="0" w:color="auto"/>
              <w:right w:val="single" w:sz="4" w:space="0" w:color="auto"/>
            </w:tcBorders>
            <w:shd w:val="clear" w:color="auto" w:fill="auto"/>
            <w:noWrap/>
          </w:tcPr>
          <w:p w:rsidR="00EA3FD7" w:rsidRPr="006710A1" w:rsidRDefault="00EA3FD7" w:rsidP="00634A2B">
            <w:pPr>
              <w:spacing w:after="0" w:line="240" w:lineRule="auto"/>
              <w:jc w:val="right"/>
              <w:rPr>
                <w:rFonts w:ascii="Arial" w:eastAsia="Times New Roman" w:hAnsi="Arial" w:cs="Arial"/>
                <w:sz w:val="20"/>
                <w:szCs w:val="20"/>
                <w:lang w:val="en-US"/>
              </w:rPr>
            </w:pPr>
          </w:p>
        </w:tc>
      </w:tr>
      <w:tr w:rsidR="00EA3FD7" w:rsidRPr="006710A1" w:rsidTr="00CA2193">
        <w:trPr>
          <w:trHeight w:val="17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Times New Roman" w:hAnsi="Arial" w:cs="Arial"/>
                <w:bCs/>
                <w:sz w:val="20"/>
                <w:szCs w:val="20"/>
                <w:lang w:val="en-US"/>
              </w:rPr>
            </w:pPr>
            <w:r w:rsidRPr="006710A1">
              <w:rPr>
                <w:rFonts w:ascii="Arial" w:eastAsia="Times New Roman" w:hAnsi="Arial" w:cs="Arial"/>
                <w:bCs/>
                <w:sz w:val="20"/>
                <w:szCs w:val="20"/>
                <w:lang w:val="en-US"/>
              </w:rPr>
              <w:t>65+</w:t>
            </w:r>
          </w:p>
        </w:tc>
        <w:tc>
          <w:tcPr>
            <w:tcW w:w="1417" w:type="dxa"/>
            <w:tcBorders>
              <w:top w:val="single" w:sz="4" w:space="0" w:color="auto"/>
              <w:left w:val="nil"/>
              <w:bottom w:val="single" w:sz="4" w:space="0" w:color="auto"/>
              <w:right w:val="single" w:sz="4" w:space="0" w:color="auto"/>
            </w:tcBorders>
            <w:shd w:val="clear" w:color="auto" w:fill="auto"/>
            <w:noWrap/>
          </w:tcPr>
          <w:p w:rsidR="00EA3FD7" w:rsidRPr="006710A1" w:rsidRDefault="00EA3FD7" w:rsidP="00634A2B">
            <w:pPr>
              <w:spacing w:after="0" w:line="240" w:lineRule="auto"/>
              <w:jc w:val="right"/>
              <w:rPr>
                <w:rFonts w:ascii="Arial" w:eastAsia="Times New Roman" w:hAnsi="Arial" w:cs="Arial"/>
                <w:sz w:val="20"/>
                <w:szCs w:val="20"/>
                <w:lang w:val="en-US"/>
              </w:rPr>
            </w:pPr>
            <w:r w:rsidRPr="006710A1">
              <w:rPr>
                <w:rFonts w:ascii="Arial" w:eastAsia="Times New Roman" w:hAnsi="Arial" w:cs="Arial"/>
                <w:sz w:val="20"/>
                <w:szCs w:val="20"/>
                <w:lang w:val="en-US"/>
              </w:rPr>
              <w:t>0,03%</w:t>
            </w:r>
          </w:p>
        </w:tc>
        <w:tc>
          <w:tcPr>
            <w:tcW w:w="1559" w:type="dxa"/>
            <w:tcBorders>
              <w:top w:val="single" w:sz="4" w:space="0" w:color="auto"/>
              <w:left w:val="nil"/>
              <w:bottom w:val="single" w:sz="4" w:space="0" w:color="auto"/>
              <w:right w:val="single" w:sz="4" w:space="0" w:color="auto"/>
            </w:tcBorders>
            <w:shd w:val="clear" w:color="auto" w:fill="auto"/>
            <w:noWrap/>
          </w:tcPr>
          <w:p w:rsidR="00EA3FD7" w:rsidRPr="006710A1" w:rsidRDefault="00EA3FD7" w:rsidP="00634A2B">
            <w:pPr>
              <w:spacing w:after="0" w:line="240" w:lineRule="auto"/>
              <w:jc w:val="right"/>
              <w:rPr>
                <w:rFonts w:ascii="Arial" w:eastAsia="Times New Roman" w:hAnsi="Arial" w:cs="Arial"/>
                <w:sz w:val="20"/>
                <w:szCs w:val="20"/>
                <w:lang w:val="en-US"/>
              </w:rPr>
            </w:pPr>
            <w:r w:rsidRPr="006710A1">
              <w:rPr>
                <w:rFonts w:ascii="Arial" w:eastAsia="Times New Roman" w:hAnsi="Arial" w:cs="Arial"/>
                <w:sz w:val="20"/>
                <w:szCs w:val="20"/>
                <w:lang w:val="en-US"/>
              </w:rPr>
              <w:t>1,40%</w:t>
            </w:r>
          </w:p>
        </w:tc>
        <w:tc>
          <w:tcPr>
            <w:tcW w:w="1348" w:type="dxa"/>
            <w:tcBorders>
              <w:top w:val="single" w:sz="4" w:space="0" w:color="auto"/>
              <w:left w:val="nil"/>
              <w:bottom w:val="single" w:sz="4" w:space="0" w:color="auto"/>
              <w:right w:val="single" w:sz="4" w:space="0" w:color="auto"/>
            </w:tcBorders>
            <w:shd w:val="clear" w:color="auto" w:fill="auto"/>
            <w:noWrap/>
          </w:tcPr>
          <w:p w:rsidR="00EA3FD7" w:rsidRPr="006710A1" w:rsidRDefault="00EA3FD7" w:rsidP="00634A2B">
            <w:pPr>
              <w:spacing w:after="0" w:line="240" w:lineRule="auto"/>
              <w:jc w:val="right"/>
              <w:rPr>
                <w:rFonts w:ascii="Arial" w:eastAsia="Times New Roman" w:hAnsi="Arial" w:cs="Arial"/>
                <w:sz w:val="20"/>
                <w:szCs w:val="20"/>
                <w:lang w:val="en-US"/>
              </w:rPr>
            </w:pPr>
          </w:p>
        </w:tc>
        <w:tc>
          <w:tcPr>
            <w:tcW w:w="1550" w:type="dxa"/>
            <w:tcBorders>
              <w:top w:val="single" w:sz="4" w:space="0" w:color="auto"/>
              <w:left w:val="nil"/>
              <w:bottom w:val="single" w:sz="4" w:space="0" w:color="auto"/>
              <w:right w:val="single" w:sz="4" w:space="0" w:color="auto"/>
            </w:tcBorders>
            <w:shd w:val="clear" w:color="auto" w:fill="auto"/>
            <w:noWrap/>
          </w:tcPr>
          <w:p w:rsidR="00EA3FD7" w:rsidRPr="006710A1" w:rsidRDefault="00EA3FD7" w:rsidP="00634A2B">
            <w:pPr>
              <w:spacing w:after="0" w:line="240" w:lineRule="auto"/>
              <w:jc w:val="right"/>
              <w:rPr>
                <w:rFonts w:ascii="Arial" w:eastAsia="Times New Roman" w:hAnsi="Arial" w:cs="Arial"/>
                <w:sz w:val="20"/>
                <w:szCs w:val="20"/>
                <w:lang w:val="en-US"/>
              </w:rPr>
            </w:pPr>
          </w:p>
        </w:tc>
        <w:tc>
          <w:tcPr>
            <w:tcW w:w="1228" w:type="dxa"/>
            <w:tcBorders>
              <w:top w:val="single" w:sz="4" w:space="0" w:color="auto"/>
              <w:left w:val="nil"/>
              <w:bottom w:val="single" w:sz="4" w:space="0" w:color="auto"/>
              <w:right w:val="single" w:sz="4" w:space="0" w:color="auto"/>
            </w:tcBorders>
            <w:shd w:val="clear" w:color="auto" w:fill="auto"/>
            <w:noWrap/>
          </w:tcPr>
          <w:p w:rsidR="00EA3FD7" w:rsidRPr="006710A1" w:rsidRDefault="00EA3FD7" w:rsidP="00634A2B">
            <w:pPr>
              <w:spacing w:after="0" w:line="240" w:lineRule="auto"/>
              <w:jc w:val="right"/>
              <w:rPr>
                <w:rFonts w:ascii="Arial" w:eastAsia="Times New Roman" w:hAnsi="Arial" w:cs="Arial"/>
                <w:sz w:val="20"/>
                <w:szCs w:val="20"/>
                <w:lang w:val="en-US"/>
              </w:rPr>
            </w:pPr>
          </w:p>
        </w:tc>
      </w:tr>
      <w:tr w:rsidR="00EA3FD7" w:rsidRPr="006710A1" w:rsidTr="00CA2193">
        <w:trPr>
          <w:trHeight w:val="17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Times New Roman" w:hAnsi="Arial" w:cs="Arial"/>
                <w:bCs/>
                <w:sz w:val="20"/>
                <w:szCs w:val="20"/>
                <w:lang w:val="en-US"/>
              </w:rPr>
            </w:pPr>
            <w:r w:rsidRPr="006710A1">
              <w:rPr>
                <w:rFonts w:ascii="Arial" w:eastAsia="Times New Roman" w:hAnsi="Arial" w:cs="Arial"/>
                <w:bCs/>
                <w:sz w:val="20"/>
                <w:szCs w:val="20"/>
                <w:lang w:val="en-US"/>
              </w:rPr>
              <w:t>NULL</w:t>
            </w:r>
          </w:p>
        </w:tc>
        <w:tc>
          <w:tcPr>
            <w:tcW w:w="1417" w:type="dxa"/>
            <w:tcBorders>
              <w:top w:val="single" w:sz="4" w:space="0" w:color="auto"/>
              <w:left w:val="nil"/>
              <w:bottom w:val="single" w:sz="4" w:space="0" w:color="auto"/>
              <w:right w:val="single" w:sz="4" w:space="0" w:color="auto"/>
            </w:tcBorders>
            <w:shd w:val="clear" w:color="auto" w:fill="auto"/>
            <w:noWrap/>
          </w:tcPr>
          <w:p w:rsidR="00EA3FD7" w:rsidRPr="006710A1" w:rsidRDefault="00EA3FD7" w:rsidP="00634A2B">
            <w:pPr>
              <w:spacing w:after="0" w:line="240" w:lineRule="auto"/>
              <w:jc w:val="right"/>
              <w:rPr>
                <w:rFonts w:ascii="Arial" w:eastAsia="Times New Roman" w:hAnsi="Arial" w:cs="Arial"/>
                <w:sz w:val="20"/>
                <w:szCs w:val="20"/>
                <w:lang w:val="en-US"/>
              </w:rPr>
            </w:pPr>
            <w:r w:rsidRPr="006710A1">
              <w:rPr>
                <w:rFonts w:ascii="Arial" w:eastAsia="Times New Roman" w:hAnsi="Arial" w:cs="Arial"/>
                <w:sz w:val="20"/>
                <w:szCs w:val="20"/>
                <w:lang w:val="en-US"/>
              </w:rPr>
              <w:t>0,10%</w:t>
            </w:r>
          </w:p>
        </w:tc>
        <w:tc>
          <w:tcPr>
            <w:tcW w:w="1559" w:type="dxa"/>
            <w:tcBorders>
              <w:top w:val="single" w:sz="4" w:space="0" w:color="auto"/>
              <w:left w:val="nil"/>
              <w:bottom w:val="single" w:sz="4" w:space="0" w:color="auto"/>
              <w:right w:val="single" w:sz="4" w:space="0" w:color="auto"/>
            </w:tcBorders>
            <w:shd w:val="clear" w:color="auto" w:fill="auto"/>
            <w:noWrap/>
          </w:tcPr>
          <w:p w:rsidR="00EA3FD7" w:rsidRPr="006710A1" w:rsidRDefault="00EA3FD7" w:rsidP="00634A2B">
            <w:pPr>
              <w:spacing w:after="0" w:line="240" w:lineRule="auto"/>
              <w:jc w:val="right"/>
              <w:rPr>
                <w:rFonts w:ascii="Arial" w:eastAsia="Times New Roman" w:hAnsi="Arial" w:cs="Arial"/>
                <w:sz w:val="20"/>
                <w:szCs w:val="20"/>
                <w:lang w:val="en-US"/>
              </w:rPr>
            </w:pPr>
            <w:r w:rsidRPr="006710A1">
              <w:rPr>
                <w:rFonts w:ascii="Arial" w:eastAsia="Times New Roman" w:hAnsi="Arial" w:cs="Arial"/>
                <w:sz w:val="20"/>
                <w:szCs w:val="20"/>
                <w:lang w:val="en-US"/>
              </w:rPr>
              <w:t>52,04%</w:t>
            </w:r>
          </w:p>
        </w:tc>
        <w:tc>
          <w:tcPr>
            <w:tcW w:w="1348" w:type="dxa"/>
            <w:tcBorders>
              <w:top w:val="single" w:sz="4" w:space="0" w:color="auto"/>
              <w:left w:val="nil"/>
              <w:bottom w:val="single" w:sz="4" w:space="0" w:color="auto"/>
              <w:right w:val="single" w:sz="4" w:space="0" w:color="auto"/>
            </w:tcBorders>
            <w:shd w:val="clear" w:color="auto" w:fill="auto"/>
            <w:noWrap/>
          </w:tcPr>
          <w:p w:rsidR="00EA3FD7" w:rsidRPr="006710A1" w:rsidRDefault="00EA3FD7" w:rsidP="00634A2B">
            <w:pPr>
              <w:spacing w:after="0" w:line="240" w:lineRule="auto"/>
              <w:jc w:val="right"/>
              <w:rPr>
                <w:rFonts w:ascii="Arial" w:eastAsia="Times New Roman" w:hAnsi="Arial" w:cs="Arial"/>
                <w:sz w:val="20"/>
                <w:szCs w:val="20"/>
                <w:lang w:val="en-US"/>
              </w:rPr>
            </w:pPr>
          </w:p>
        </w:tc>
        <w:tc>
          <w:tcPr>
            <w:tcW w:w="1550" w:type="dxa"/>
            <w:tcBorders>
              <w:top w:val="single" w:sz="4" w:space="0" w:color="auto"/>
              <w:left w:val="nil"/>
              <w:bottom w:val="single" w:sz="4" w:space="0" w:color="auto"/>
              <w:right w:val="single" w:sz="4" w:space="0" w:color="auto"/>
            </w:tcBorders>
            <w:shd w:val="clear" w:color="auto" w:fill="auto"/>
            <w:noWrap/>
          </w:tcPr>
          <w:p w:rsidR="00EA3FD7" w:rsidRPr="006710A1" w:rsidRDefault="00EA3FD7" w:rsidP="00634A2B">
            <w:pPr>
              <w:spacing w:after="0" w:line="240" w:lineRule="auto"/>
              <w:jc w:val="right"/>
              <w:rPr>
                <w:rFonts w:ascii="Arial" w:eastAsia="Times New Roman" w:hAnsi="Arial" w:cs="Arial"/>
                <w:sz w:val="20"/>
                <w:szCs w:val="20"/>
                <w:lang w:val="en-US"/>
              </w:rPr>
            </w:pPr>
          </w:p>
        </w:tc>
        <w:tc>
          <w:tcPr>
            <w:tcW w:w="1228" w:type="dxa"/>
            <w:tcBorders>
              <w:top w:val="single" w:sz="4" w:space="0" w:color="auto"/>
              <w:left w:val="nil"/>
              <w:bottom w:val="single" w:sz="4" w:space="0" w:color="auto"/>
              <w:right w:val="single" w:sz="4" w:space="0" w:color="auto"/>
            </w:tcBorders>
            <w:shd w:val="clear" w:color="auto" w:fill="auto"/>
            <w:noWrap/>
          </w:tcPr>
          <w:p w:rsidR="00EA3FD7" w:rsidRPr="006710A1" w:rsidRDefault="00EA3FD7" w:rsidP="00634A2B">
            <w:pPr>
              <w:spacing w:after="0" w:line="240" w:lineRule="auto"/>
              <w:jc w:val="right"/>
              <w:rPr>
                <w:rFonts w:ascii="Arial" w:eastAsia="Times New Roman" w:hAnsi="Arial" w:cs="Arial"/>
                <w:sz w:val="20"/>
                <w:szCs w:val="20"/>
                <w:lang w:val="en-US"/>
              </w:rPr>
            </w:pPr>
          </w:p>
        </w:tc>
      </w:tr>
      <w:tr w:rsidR="00EA3FD7" w:rsidRPr="006710A1" w:rsidTr="00CA2193">
        <w:trPr>
          <w:trHeight w:val="17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Times New Roman" w:hAnsi="Arial" w:cs="Arial"/>
                <w:bCs/>
                <w:sz w:val="20"/>
                <w:szCs w:val="20"/>
                <w:lang w:val="en-US"/>
              </w:rPr>
            </w:pPr>
            <w:r w:rsidRPr="006710A1">
              <w:rPr>
                <w:rFonts w:ascii="Arial" w:eastAsia="Times New Roman" w:hAnsi="Arial" w:cs="Arial"/>
                <w:bCs/>
                <w:sz w:val="20"/>
                <w:szCs w:val="20"/>
                <w:lang w:val="en-US"/>
              </w:rPr>
              <w:t>Total</w:t>
            </w:r>
          </w:p>
        </w:tc>
        <w:tc>
          <w:tcPr>
            <w:tcW w:w="1417" w:type="dxa"/>
            <w:tcBorders>
              <w:top w:val="single" w:sz="4" w:space="0" w:color="auto"/>
              <w:left w:val="nil"/>
              <w:bottom w:val="single" w:sz="4" w:space="0" w:color="auto"/>
              <w:right w:val="single" w:sz="4" w:space="0" w:color="auto"/>
            </w:tcBorders>
            <w:shd w:val="clear" w:color="auto" w:fill="auto"/>
            <w:noWrap/>
          </w:tcPr>
          <w:p w:rsidR="00EA3FD7" w:rsidRPr="006710A1" w:rsidRDefault="00EA3FD7" w:rsidP="00634A2B">
            <w:pPr>
              <w:spacing w:after="0" w:line="240" w:lineRule="auto"/>
              <w:jc w:val="right"/>
              <w:rPr>
                <w:rFonts w:ascii="Arial" w:eastAsia="Times New Roman" w:hAnsi="Arial" w:cs="Arial"/>
                <w:sz w:val="20"/>
                <w:szCs w:val="20"/>
                <w:lang w:val="en-US"/>
              </w:rPr>
            </w:pPr>
          </w:p>
        </w:tc>
        <w:tc>
          <w:tcPr>
            <w:tcW w:w="1559" w:type="dxa"/>
            <w:tcBorders>
              <w:top w:val="single" w:sz="4" w:space="0" w:color="auto"/>
              <w:left w:val="nil"/>
              <w:bottom w:val="single" w:sz="4" w:space="0" w:color="auto"/>
              <w:right w:val="single" w:sz="4" w:space="0" w:color="auto"/>
            </w:tcBorders>
            <w:shd w:val="clear" w:color="auto" w:fill="auto"/>
            <w:noWrap/>
          </w:tcPr>
          <w:p w:rsidR="00EA3FD7" w:rsidRPr="006710A1" w:rsidRDefault="00EA3FD7" w:rsidP="00634A2B">
            <w:pPr>
              <w:spacing w:after="0" w:line="240" w:lineRule="auto"/>
              <w:jc w:val="right"/>
              <w:rPr>
                <w:rFonts w:ascii="Arial" w:eastAsia="Times New Roman" w:hAnsi="Arial" w:cs="Arial"/>
                <w:sz w:val="20"/>
                <w:szCs w:val="20"/>
                <w:lang w:val="en-US"/>
              </w:rPr>
            </w:pPr>
          </w:p>
        </w:tc>
        <w:tc>
          <w:tcPr>
            <w:tcW w:w="1348" w:type="dxa"/>
            <w:tcBorders>
              <w:top w:val="single" w:sz="4" w:space="0" w:color="auto"/>
              <w:left w:val="nil"/>
              <w:bottom w:val="single" w:sz="4" w:space="0" w:color="auto"/>
              <w:right w:val="single" w:sz="4" w:space="0" w:color="auto"/>
            </w:tcBorders>
            <w:shd w:val="clear" w:color="auto" w:fill="auto"/>
            <w:noWrap/>
          </w:tcPr>
          <w:p w:rsidR="00EA3FD7" w:rsidRPr="006710A1" w:rsidRDefault="00EA3FD7" w:rsidP="00634A2B">
            <w:pPr>
              <w:spacing w:after="0" w:line="240" w:lineRule="auto"/>
              <w:jc w:val="right"/>
              <w:rPr>
                <w:rFonts w:ascii="Arial" w:eastAsia="Times New Roman" w:hAnsi="Arial" w:cs="Arial"/>
                <w:sz w:val="20"/>
                <w:szCs w:val="20"/>
                <w:lang w:val="en-US"/>
              </w:rPr>
            </w:pPr>
            <w:r w:rsidRPr="006710A1">
              <w:rPr>
                <w:rFonts w:ascii="Arial" w:eastAsia="Times New Roman" w:hAnsi="Arial" w:cs="Arial"/>
                <w:sz w:val="20"/>
                <w:szCs w:val="20"/>
                <w:lang w:val="en-US"/>
              </w:rPr>
              <w:t>1,13%</w:t>
            </w:r>
          </w:p>
        </w:tc>
        <w:tc>
          <w:tcPr>
            <w:tcW w:w="1550" w:type="dxa"/>
            <w:tcBorders>
              <w:top w:val="single" w:sz="4" w:space="0" w:color="auto"/>
              <w:left w:val="nil"/>
              <w:bottom w:val="single" w:sz="4" w:space="0" w:color="auto"/>
              <w:right w:val="single" w:sz="4" w:space="0" w:color="auto"/>
            </w:tcBorders>
            <w:shd w:val="clear" w:color="auto" w:fill="auto"/>
            <w:noWrap/>
          </w:tcPr>
          <w:p w:rsidR="00EA3FD7" w:rsidRPr="006710A1" w:rsidRDefault="00EA3FD7" w:rsidP="00634A2B">
            <w:pPr>
              <w:spacing w:after="0" w:line="240" w:lineRule="auto"/>
              <w:jc w:val="right"/>
              <w:rPr>
                <w:rFonts w:ascii="Arial" w:eastAsia="Times New Roman" w:hAnsi="Arial" w:cs="Arial"/>
                <w:sz w:val="20"/>
                <w:szCs w:val="20"/>
                <w:lang w:val="en-US"/>
              </w:rPr>
            </w:pPr>
            <w:r w:rsidRPr="006710A1">
              <w:rPr>
                <w:rFonts w:ascii="Arial" w:eastAsia="Times New Roman" w:hAnsi="Arial" w:cs="Arial"/>
                <w:sz w:val="20"/>
                <w:szCs w:val="20"/>
                <w:lang w:val="en-US"/>
              </w:rPr>
              <w:t>1,72%</w:t>
            </w:r>
          </w:p>
        </w:tc>
        <w:tc>
          <w:tcPr>
            <w:tcW w:w="1228" w:type="dxa"/>
            <w:tcBorders>
              <w:top w:val="single" w:sz="4" w:space="0" w:color="auto"/>
              <w:left w:val="nil"/>
              <w:bottom w:val="single" w:sz="4" w:space="0" w:color="auto"/>
              <w:right w:val="single" w:sz="4" w:space="0" w:color="auto"/>
            </w:tcBorders>
            <w:shd w:val="clear" w:color="auto" w:fill="auto"/>
            <w:noWrap/>
          </w:tcPr>
          <w:p w:rsidR="00EA3FD7" w:rsidRPr="006710A1" w:rsidRDefault="00EA3FD7" w:rsidP="00634A2B">
            <w:pPr>
              <w:spacing w:after="0" w:line="240" w:lineRule="auto"/>
              <w:jc w:val="right"/>
              <w:rPr>
                <w:rFonts w:ascii="Arial" w:eastAsia="Times New Roman" w:hAnsi="Arial" w:cs="Arial"/>
                <w:sz w:val="20"/>
                <w:szCs w:val="20"/>
                <w:lang w:val="en-US"/>
              </w:rPr>
            </w:pPr>
            <w:r w:rsidRPr="006710A1">
              <w:rPr>
                <w:rFonts w:ascii="Arial" w:eastAsia="Times New Roman" w:hAnsi="Arial" w:cs="Arial"/>
                <w:sz w:val="20"/>
                <w:szCs w:val="20"/>
                <w:lang w:val="en-US"/>
              </w:rPr>
              <w:t>98,87%</w:t>
            </w:r>
          </w:p>
        </w:tc>
      </w:tr>
      <w:tr w:rsidR="00EA3FD7" w:rsidRPr="006710A1" w:rsidTr="00CA2193">
        <w:trPr>
          <w:trHeight w:val="170"/>
        </w:trPr>
        <w:tc>
          <w:tcPr>
            <w:tcW w:w="9229"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EA3FD7" w:rsidRPr="006710A1" w:rsidRDefault="00EA3FD7" w:rsidP="00634A2B">
            <w:pPr>
              <w:spacing w:after="0" w:line="240" w:lineRule="auto"/>
              <w:rPr>
                <w:rFonts w:ascii="Arial" w:eastAsia="Calibri" w:hAnsi="Arial" w:cs="Arial"/>
                <w:sz w:val="20"/>
                <w:szCs w:val="20"/>
              </w:rPr>
            </w:pPr>
            <w:r w:rsidRPr="006710A1">
              <w:rPr>
                <w:rFonts w:ascii="Arial" w:eastAsia="Times New Roman" w:hAnsi="Arial" w:cs="Arial"/>
                <w:b/>
                <w:sz w:val="20"/>
                <w:szCs w:val="20"/>
                <w:lang w:val="en-US"/>
              </w:rPr>
              <w:t>Marital status</w:t>
            </w:r>
          </w:p>
        </w:tc>
      </w:tr>
      <w:tr w:rsidR="00EA3FD7" w:rsidRPr="006710A1" w:rsidTr="00CA2193">
        <w:trPr>
          <w:trHeight w:val="17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3FD7" w:rsidRPr="006710A1" w:rsidRDefault="00EA3FD7" w:rsidP="00634A2B">
            <w:pPr>
              <w:spacing w:after="0" w:line="240" w:lineRule="auto"/>
              <w:rPr>
                <w:rFonts w:ascii="Arial" w:eastAsia="Calibri" w:hAnsi="Arial" w:cs="Arial"/>
                <w:sz w:val="20"/>
                <w:szCs w:val="20"/>
              </w:rPr>
            </w:pPr>
            <w:r w:rsidRPr="006710A1">
              <w:rPr>
                <w:rFonts w:ascii="Arial" w:eastAsia="Calibri" w:hAnsi="Arial" w:cs="Arial"/>
                <w:sz w:val="20"/>
                <w:szCs w:val="20"/>
              </w:rPr>
              <w:t>Never Married</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jc w:val="right"/>
              <w:rPr>
                <w:rFonts w:ascii="Arial" w:eastAsia="Calibri" w:hAnsi="Arial" w:cs="Arial"/>
                <w:sz w:val="20"/>
                <w:szCs w:val="20"/>
              </w:rPr>
            </w:pPr>
            <w:r w:rsidRPr="006710A1">
              <w:rPr>
                <w:rFonts w:ascii="Arial" w:eastAsia="Calibri" w:hAnsi="Arial" w:cs="Arial"/>
                <w:sz w:val="20"/>
                <w:szCs w:val="20"/>
              </w:rPr>
              <w:t>-1.74%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jc w:val="right"/>
              <w:rPr>
                <w:rFonts w:ascii="Arial" w:eastAsia="Calibri" w:hAnsi="Arial" w:cs="Arial"/>
                <w:sz w:val="20"/>
                <w:szCs w:val="20"/>
              </w:rPr>
            </w:pPr>
            <w:r w:rsidRPr="006710A1">
              <w:rPr>
                <w:rFonts w:ascii="Arial" w:eastAsia="Calibri" w:hAnsi="Arial" w:cs="Arial"/>
                <w:sz w:val="20"/>
                <w:szCs w:val="20"/>
              </w:rPr>
              <w:t>10.69%</w:t>
            </w: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Calibri" w:hAnsi="Arial" w:cs="Arial"/>
                <w:sz w:val="20"/>
                <w:szCs w:val="20"/>
              </w:rPr>
            </w:pPr>
            <w:r w:rsidRPr="006710A1">
              <w:rPr>
                <w:rFonts w:ascii="Arial" w:eastAsia="Calibri" w:hAnsi="Arial" w:cs="Arial"/>
                <w:sz w:val="20"/>
                <w:szCs w:val="20"/>
              </w:rPr>
              <w:t> </w:t>
            </w:r>
          </w:p>
        </w:tc>
        <w:tc>
          <w:tcPr>
            <w:tcW w:w="1550"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Calibri" w:hAnsi="Arial" w:cs="Arial"/>
                <w:sz w:val="20"/>
                <w:szCs w:val="20"/>
              </w:rPr>
            </w:pPr>
            <w:r w:rsidRPr="006710A1">
              <w:rPr>
                <w:rFonts w:ascii="Arial" w:eastAsia="Calibri" w:hAnsi="Arial" w:cs="Arial"/>
                <w:sz w:val="20"/>
                <w:szCs w:val="20"/>
              </w:rPr>
              <w:t> </w:t>
            </w:r>
          </w:p>
        </w:tc>
        <w:tc>
          <w:tcPr>
            <w:tcW w:w="1228"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Calibri" w:hAnsi="Arial" w:cs="Arial"/>
                <w:sz w:val="20"/>
                <w:szCs w:val="20"/>
              </w:rPr>
            </w:pPr>
            <w:r w:rsidRPr="006710A1">
              <w:rPr>
                <w:rFonts w:ascii="Arial" w:eastAsia="Calibri" w:hAnsi="Arial" w:cs="Arial"/>
                <w:sz w:val="20"/>
                <w:szCs w:val="20"/>
              </w:rPr>
              <w:t> </w:t>
            </w:r>
          </w:p>
        </w:tc>
      </w:tr>
      <w:tr w:rsidR="00EA3FD7" w:rsidRPr="006710A1" w:rsidTr="00CA2193">
        <w:trPr>
          <w:trHeight w:val="17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3FD7" w:rsidRPr="006710A1" w:rsidRDefault="00EA3FD7" w:rsidP="00634A2B">
            <w:pPr>
              <w:spacing w:after="0" w:line="240" w:lineRule="auto"/>
              <w:rPr>
                <w:rFonts w:ascii="Arial" w:eastAsia="Calibri" w:hAnsi="Arial" w:cs="Arial"/>
                <w:sz w:val="20"/>
                <w:szCs w:val="20"/>
              </w:rPr>
            </w:pPr>
            <w:r w:rsidRPr="006710A1">
              <w:rPr>
                <w:rFonts w:ascii="Arial" w:eastAsia="Calibri" w:hAnsi="Arial" w:cs="Arial"/>
                <w:sz w:val="20"/>
                <w:szCs w:val="20"/>
              </w:rPr>
              <w:t>Married</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jc w:val="right"/>
              <w:rPr>
                <w:rFonts w:ascii="Arial" w:eastAsia="Calibri" w:hAnsi="Arial" w:cs="Arial"/>
                <w:sz w:val="20"/>
                <w:szCs w:val="20"/>
              </w:rPr>
            </w:pPr>
            <w:r w:rsidRPr="006710A1">
              <w:rPr>
                <w:rFonts w:ascii="Arial" w:eastAsia="Calibri" w:hAnsi="Arial" w:cs="Arial"/>
                <w:sz w:val="20"/>
                <w:szCs w:val="20"/>
              </w:rPr>
              <w:t>0.39%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jc w:val="right"/>
              <w:rPr>
                <w:rFonts w:ascii="Arial" w:eastAsia="Calibri" w:hAnsi="Arial" w:cs="Arial"/>
                <w:sz w:val="20"/>
                <w:szCs w:val="20"/>
              </w:rPr>
            </w:pPr>
            <w:r w:rsidRPr="006710A1">
              <w:rPr>
                <w:rFonts w:ascii="Arial" w:eastAsia="Calibri" w:hAnsi="Arial" w:cs="Arial"/>
                <w:sz w:val="20"/>
                <w:szCs w:val="20"/>
              </w:rPr>
              <w:t>5.56%</w:t>
            </w: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Calibri" w:hAnsi="Arial" w:cs="Arial"/>
                <w:sz w:val="20"/>
                <w:szCs w:val="20"/>
              </w:rPr>
            </w:pPr>
            <w:r w:rsidRPr="006710A1">
              <w:rPr>
                <w:rFonts w:ascii="Arial" w:eastAsia="Calibri" w:hAnsi="Arial" w:cs="Arial"/>
                <w:sz w:val="20"/>
                <w:szCs w:val="20"/>
              </w:rPr>
              <w:t> </w:t>
            </w:r>
          </w:p>
        </w:tc>
        <w:tc>
          <w:tcPr>
            <w:tcW w:w="1550"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Calibri" w:hAnsi="Arial" w:cs="Arial"/>
                <w:sz w:val="20"/>
                <w:szCs w:val="20"/>
              </w:rPr>
            </w:pPr>
            <w:r w:rsidRPr="006710A1">
              <w:rPr>
                <w:rFonts w:ascii="Arial" w:eastAsia="Calibri" w:hAnsi="Arial" w:cs="Arial"/>
                <w:sz w:val="20"/>
                <w:szCs w:val="20"/>
              </w:rPr>
              <w:t> </w:t>
            </w:r>
          </w:p>
        </w:tc>
        <w:tc>
          <w:tcPr>
            <w:tcW w:w="1228"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Calibri" w:hAnsi="Arial" w:cs="Arial"/>
                <w:sz w:val="20"/>
                <w:szCs w:val="20"/>
              </w:rPr>
            </w:pPr>
            <w:r w:rsidRPr="006710A1">
              <w:rPr>
                <w:rFonts w:ascii="Arial" w:eastAsia="Calibri" w:hAnsi="Arial" w:cs="Arial"/>
                <w:sz w:val="20"/>
                <w:szCs w:val="20"/>
              </w:rPr>
              <w:t> </w:t>
            </w:r>
          </w:p>
        </w:tc>
      </w:tr>
      <w:tr w:rsidR="00EA3FD7" w:rsidRPr="006710A1" w:rsidTr="00CA2193">
        <w:trPr>
          <w:trHeight w:val="17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3FD7" w:rsidRPr="006710A1" w:rsidRDefault="00EA3FD7" w:rsidP="00634A2B">
            <w:pPr>
              <w:spacing w:after="0" w:line="240" w:lineRule="auto"/>
              <w:rPr>
                <w:rFonts w:ascii="Arial" w:eastAsia="Calibri" w:hAnsi="Arial" w:cs="Arial"/>
                <w:sz w:val="20"/>
                <w:szCs w:val="20"/>
              </w:rPr>
            </w:pPr>
            <w:r w:rsidRPr="006710A1">
              <w:rPr>
                <w:rFonts w:ascii="Arial" w:eastAsia="Calibri" w:hAnsi="Arial" w:cs="Arial"/>
                <w:sz w:val="20"/>
                <w:szCs w:val="20"/>
              </w:rPr>
              <w:t>Divorced</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jc w:val="right"/>
              <w:rPr>
                <w:rFonts w:ascii="Arial" w:eastAsia="Calibri" w:hAnsi="Arial" w:cs="Arial"/>
                <w:sz w:val="20"/>
                <w:szCs w:val="20"/>
              </w:rPr>
            </w:pPr>
            <w:r w:rsidRPr="006710A1">
              <w:rPr>
                <w:rFonts w:ascii="Arial" w:eastAsia="Calibri" w:hAnsi="Arial" w:cs="Arial"/>
                <w:sz w:val="20"/>
                <w:szCs w:val="20"/>
              </w:rPr>
              <w:t>0.00%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jc w:val="right"/>
              <w:rPr>
                <w:rFonts w:ascii="Arial" w:eastAsia="Calibri" w:hAnsi="Arial" w:cs="Arial"/>
                <w:sz w:val="20"/>
                <w:szCs w:val="20"/>
              </w:rPr>
            </w:pPr>
            <w:r w:rsidRPr="006710A1">
              <w:rPr>
                <w:rFonts w:ascii="Arial" w:eastAsia="Calibri" w:hAnsi="Arial" w:cs="Arial"/>
                <w:sz w:val="20"/>
                <w:szCs w:val="20"/>
              </w:rPr>
              <w:t>27.96%</w:t>
            </w: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Calibri" w:hAnsi="Arial" w:cs="Arial"/>
                <w:sz w:val="20"/>
                <w:szCs w:val="20"/>
              </w:rPr>
            </w:pPr>
            <w:r w:rsidRPr="006710A1">
              <w:rPr>
                <w:rFonts w:ascii="Arial" w:eastAsia="Calibri" w:hAnsi="Arial" w:cs="Arial"/>
                <w:sz w:val="20"/>
                <w:szCs w:val="20"/>
              </w:rPr>
              <w:t> </w:t>
            </w:r>
          </w:p>
        </w:tc>
        <w:tc>
          <w:tcPr>
            <w:tcW w:w="1550"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Calibri" w:hAnsi="Arial" w:cs="Arial"/>
                <w:sz w:val="20"/>
                <w:szCs w:val="20"/>
              </w:rPr>
            </w:pPr>
            <w:r w:rsidRPr="006710A1">
              <w:rPr>
                <w:rFonts w:ascii="Arial" w:eastAsia="Calibri" w:hAnsi="Arial" w:cs="Arial"/>
                <w:sz w:val="20"/>
                <w:szCs w:val="20"/>
              </w:rPr>
              <w:t> </w:t>
            </w:r>
          </w:p>
        </w:tc>
        <w:tc>
          <w:tcPr>
            <w:tcW w:w="1228"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Calibri" w:hAnsi="Arial" w:cs="Arial"/>
                <w:sz w:val="20"/>
                <w:szCs w:val="20"/>
              </w:rPr>
            </w:pPr>
            <w:r w:rsidRPr="006710A1">
              <w:rPr>
                <w:rFonts w:ascii="Arial" w:eastAsia="Calibri" w:hAnsi="Arial" w:cs="Arial"/>
                <w:sz w:val="20"/>
                <w:szCs w:val="20"/>
              </w:rPr>
              <w:t> </w:t>
            </w:r>
          </w:p>
        </w:tc>
      </w:tr>
      <w:tr w:rsidR="00EA3FD7" w:rsidRPr="006710A1" w:rsidTr="00CA2193">
        <w:trPr>
          <w:trHeight w:val="17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3FD7" w:rsidRPr="006710A1" w:rsidRDefault="00EA3FD7" w:rsidP="00634A2B">
            <w:pPr>
              <w:spacing w:after="0" w:line="240" w:lineRule="auto"/>
              <w:rPr>
                <w:rFonts w:ascii="Arial" w:eastAsia="Calibri" w:hAnsi="Arial" w:cs="Arial"/>
                <w:sz w:val="20"/>
                <w:szCs w:val="20"/>
              </w:rPr>
            </w:pPr>
            <w:r w:rsidRPr="006710A1">
              <w:rPr>
                <w:rFonts w:ascii="Arial" w:eastAsia="Calibri" w:hAnsi="Arial" w:cs="Arial"/>
                <w:sz w:val="20"/>
                <w:szCs w:val="20"/>
              </w:rPr>
              <w:t>Widow/ Widower</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jc w:val="right"/>
              <w:rPr>
                <w:rFonts w:ascii="Arial" w:eastAsia="Calibri" w:hAnsi="Arial" w:cs="Arial"/>
                <w:sz w:val="20"/>
                <w:szCs w:val="20"/>
              </w:rPr>
            </w:pPr>
            <w:r w:rsidRPr="006710A1">
              <w:rPr>
                <w:rFonts w:ascii="Arial" w:eastAsia="Calibri" w:hAnsi="Arial" w:cs="Arial"/>
                <w:sz w:val="20"/>
                <w:szCs w:val="20"/>
              </w:rPr>
              <w:t>-0.08%</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jc w:val="right"/>
              <w:rPr>
                <w:rFonts w:ascii="Arial" w:eastAsia="Calibri" w:hAnsi="Arial" w:cs="Arial"/>
                <w:sz w:val="20"/>
                <w:szCs w:val="20"/>
              </w:rPr>
            </w:pPr>
            <w:r w:rsidRPr="006710A1">
              <w:rPr>
                <w:rFonts w:ascii="Arial" w:eastAsia="Calibri" w:hAnsi="Arial" w:cs="Arial"/>
                <w:sz w:val="20"/>
                <w:szCs w:val="20"/>
              </w:rPr>
              <w:t>3.62%</w:t>
            </w: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Calibri" w:hAnsi="Arial" w:cs="Arial"/>
                <w:sz w:val="20"/>
                <w:szCs w:val="20"/>
              </w:rPr>
            </w:pPr>
            <w:r w:rsidRPr="006710A1">
              <w:rPr>
                <w:rFonts w:ascii="Arial" w:eastAsia="Calibri" w:hAnsi="Arial" w:cs="Arial"/>
                <w:sz w:val="20"/>
                <w:szCs w:val="20"/>
              </w:rPr>
              <w:t> </w:t>
            </w:r>
          </w:p>
        </w:tc>
        <w:tc>
          <w:tcPr>
            <w:tcW w:w="1550"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Calibri" w:hAnsi="Arial" w:cs="Arial"/>
                <w:sz w:val="20"/>
                <w:szCs w:val="20"/>
              </w:rPr>
            </w:pPr>
            <w:r w:rsidRPr="006710A1">
              <w:rPr>
                <w:rFonts w:ascii="Arial" w:eastAsia="Calibri" w:hAnsi="Arial" w:cs="Arial"/>
                <w:sz w:val="20"/>
                <w:szCs w:val="20"/>
              </w:rPr>
              <w:t> </w:t>
            </w:r>
          </w:p>
        </w:tc>
        <w:tc>
          <w:tcPr>
            <w:tcW w:w="1228"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Calibri" w:hAnsi="Arial" w:cs="Arial"/>
                <w:sz w:val="20"/>
                <w:szCs w:val="20"/>
              </w:rPr>
            </w:pPr>
            <w:r w:rsidRPr="006710A1">
              <w:rPr>
                <w:rFonts w:ascii="Arial" w:eastAsia="Calibri" w:hAnsi="Arial" w:cs="Arial"/>
                <w:sz w:val="20"/>
                <w:szCs w:val="20"/>
              </w:rPr>
              <w:t> </w:t>
            </w:r>
          </w:p>
        </w:tc>
      </w:tr>
      <w:tr w:rsidR="00EA3FD7" w:rsidRPr="006710A1" w:rsidTr="00CA2193">
        <w:trPr>
          <w:trHeight w:val="17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Calibri" w:hAnsi="Arial" w:cs="Arial"/>
                <w:sz w:val="20"/>
                <w:szCs w:val="20"/>
              </w:rPr>
            </w:pPr>
            <w:r w:rsidRPr="006710A1">
              <w:rPr>
                <w:rFonts w:ascii="Arial" w:eastAsia="Calibri" w:hAnsi="Arial" w:cs="Arial"/>
                <w:sz w:val="20"/>
                <w:szCs w:val="20"/>
              </w:rPr>
              <w:t>Not applicable</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jc w:val="right"/>
              <w:rPr>
                <w:rFonts w:ascii="Arial" w:eastAsia="Calibri" w:hAnsi="Arial" w:cs="Arial"/>
                <w:sz w:val="20"/>
                <w:szCs w:val="20"/>
              </w:rPr>
            </w:pPr>
            <w:r w:rsidRPr="006710A1">
              <w:rPr>
                <w:rFonts w:ascii="Arial" w:eastAsia="Calibri" w:hAnsi="Arial" w:cs="Arial"/>
                <w:sz w:val="20"/>
                <w:szCs w:val="20"/>
              </w:rPr>
              <w:t>-0.07%</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jc w:val="right"/>
              <w:rPr>
                <w:rFonts w:ascii="Arial" w:eastAsia="Calibri" w:hAnsi="Arial" w:cs="Arial"/>
                <w:sz w:val="20"/>
                <w:szCs w:val="20"/>
              </w:rPr>
            </w:pPr>
            <w:r w:rsidRPr="006710A1">
              <w:rPr>
                <w:rFonts w:ascii="Arial" w:eastAsia="Calibri" w:hAnsi="Arial" w:cs="Arial"/>
                <w:sz w:val="20"/>
                <w:szCs w:val="20"/>
              </w:rPr>
              <w:t>0.80%</w:t>
            </w: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Calibri" w:hAnsi="Arial" w:cs="Arial"/>
                <w:sz w:val="20"/>
                <w:szCs w:val="20"/>
              </w:rPr>
            </w:pPr>
            <w:r w:rsidRPr="006710A1">
              <w:rPr>
                <w:rFonts w:ascii="Arial" w:eastAsia="Calibri" w:hAnsi="Arial" w:cs="Arial"/>
                <w:sz w:val="20"/>
                <w:szCs w:val="20"/>
              </w:rPr>
              <w:t> </w:t>
            </w:r>
          </w:p>
        </w:tc>
        <w:tc>
          <w:tcPr>
            <w:tcW w:w="1550"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Calibri" w:hAnsi="Arial" w:cs="Arial"/>
                <w:sz w:val="20"/>
                <w:szCs w:val="20"/>
              </w:rPr>
            </w:pPr>
            <w:r w:rsidRPr="006710A1">
              <w:rPr>
                <w:rFonts w:ascii="Arial" w:eastAsia="Calibri" w:hAnsi="Arial" w:cs="Arial"/>
                <w:sz w:val="20"/>
                <w:szCs w:val="20"/>
              </w:rPr>
              <w:t> </w:t>
            </w:r>
          </w:p>
        </w:tc>
        <w:tc>
          <w:tcPr>
            <w:tcW w:w="1228"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Calibri" w:hAnsi="Arial" w:cs="Arial"/>
                <w:sz w:val="20"/>
                <w:szCs w:val="20"/>
              </w:rPr>
            </w:pPr>
            <w:r w:rsidRPr="006710A1">
              <w:rPr>
                <w:rFonts w:ascii="Arial" w:eastAsia="Calibri" w:hAnsi="Arial" w:cs="Arial"/>
                <w:sz w:val="20"/>
                <w:szCs w:val="20"/>
              </w:rPr>
              <w:t> </w:t>
            </w:r>
          </w:p>
        </w:tc>
      </w:tr>
      <w:tr w:rsidR="00EA3FD7" w:rsidRPr="006710A1" w:rsidTr="00CA2193">
        <w:trPr>
          <w:trHeight w:val="17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Calibri" w:hAnsi="Arial" w:cs="Arial"/>
                <w:sz w:val="20"/>
                <w:szCs w:val="20"/>
              </w:rPr>
            </w:pPr>
            <w:r w:rsidRPr="006710A1">
              <w:rPr>
                <w:rFonts w:ascii="Arial" w:eastAsia="Calibri" w:hAnsi="Arial" w:cs="Arial"/>
                <w:sz w:val="20"/>
                <w:szCs w:val="20"/>
              </w:rPr>
              <w:t>NULL</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jc w:val="right"/>
              <w:rPr>
                <w:rFonts w:ascii="Arial" w:eastAsia="Calibri" w:hAnsi="Arial" w:cs="Arial"/>
                <w:sz w:val="20"/>
                <w:szCs w:val="20"/>
              </w:rPr>
            </w:pPr>
            <w:r w:rsidRPr="006710A1">
              <w:rPr>
                <w:rFonts w:ascii="Arial" w:eastAsia="Calibri" w:hAnsi="Arial" w:cs="Arial"/>
                <w:sz w:val="20"/>
                <w:szCs w:val="20"/>
              </w:rPr>
              <w:t>1.49%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jc w:val="right"/>
              <w:rPr>
                <w:rFonts w:ascii="Arial" w:eastAsia="Calibri" w:hAnsi="Arial" w:cs="Arial"/>
                <w:sz w:val="20"/>
                <w:szCs w:val="20"/>
              </w:rPr>
            </w:pPr>
            <w:r w:rsidRPr="006710A1">
              <w:rPr>
                <w:rFonts w:ascii="Arial" w:eastAsia="Calibri" w:hAnsi="Arial" w:cs="Arial"/>
                <w:sz w:val="20"/>
                <w:szCs w:val="20"/>
              </w:rPr>
              <w:t>94.14%</w:t>
            </w: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Calibri" w:hAnsi="Arial" w:cs="Arial"/>
                <w:sz w:val="20"/>
                <w:szCs w:val="20"/>
              </w:rPr>
            </w:pPr>
            <w:r w:rsidRPr="006710A1">
              <w:rPr>
                <w:rFonts w:ascii="Arial" w:eastAsia="Calibri" w:hAnsi="Arial" w:cs="Arial"/>
                <w:sz w:val="20"/>
                <w:szCs w:val="20"/>
              </w:rPr>
              <w:t> </w:t>
            </w:r>
          </w:p>
        </w:tc>
        <w:tc>
          <w:tcPr>
            <w:tcW w:w="1550"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Calibri" w:hAnsi="Arial" w:cs="Arial"/>
                <w:sz w:val="20"/>
                <w:szCs w:val="20"/>
              </w:rPr>
            </w:pPr>
            <w:r w:rsidRPr="006710A1">
              <w:rPr>
                <w:rFonts w:ascii="Arial" w:eastAsia="Calibri" w:hAnsi="Arial" w:cs="Arial"/>
                <w:sz w:val="20"/>
                <w:szCs w:val="20"/>
              </w:rPr>
              <w:t> </w:t>
            </w:r>
          </w:p>
        </w:tc>
        <w:tc>
          <w:tcPr>
            <w:tcW w:w="1228"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Calibri" w:hAnsi="Arial" w:cs="Arial"/>
                <w:sz w:val="20"/>
                <w:szCs w:val="20"/>
              </w:rPr>
            </w:pPr>
            <w:r w:rsidRPr="006710A1">
              <w:rPr>
                <w:rFonts w:ascii="Arial" w:eastAsia="Calibri" w:hAnsi="Arial" w:cs="Arial"/>
                <w:sz w:val="20"/>
                <w:szCs w:val="20"/>
              </w:rPr>
              <w:t> </w:t>
            </w:r>
          </w:p>
        </w:tc>
      </w:tr>
      <w:tr w:rsidR="00EA3FD7" w:rsidRPr="006710A1" w:rsidTr="00CA2193">
        <w:trPr>
          <w:trHeight w:val="17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Calibri" w:hAnsi="Arial" w:cs="Arial"/>
                <w:sz w:val="20"/>
                <w:szCs w:val="20"/>
              </w:rPr>
            </w:pPr>
            <w:r w:rsidRPr="006710A1">
              <w:rPr>
                <w:rFonts w:ascii="Arial" w:eastAsia="Times New Roman" w:hAnsi="Arial" w:cs="Arial"/>
                <w:bCs/>
                <w:sz w:val="20"/>
                <w:szCs w:val="20"/>
                <w:lang w:val="en-US"/>
              </w:rPr>
              <w:t>Total</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Calibri" w:hAnsi="Arial" w:cs="Arial"/>
                <w:sz w:val="20"/>
                <w:szCs w:val="20"/>
              </w:rPr>
            </w:pPr>
            <w:r w:rsidRPr="006710A1">
              <w:rPr>
                <w:rFonts w:ascii="Arial" w:eastAsia="Calibri" w:hAnsi="Arial" w:cs="Arial"/>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Calibri" w:hAnsi="Arial" w:cs="Arial"/>
                <w:sz w:val="20"/>
                <w:szCs w:val="20"/>
              </w:rPr>
            </w:pPr>
            <w:r w:rsidRPr="006710A1">
              <w:rPr>
                <w:rFonts w:ascii="Arial" w:eastAsia="Calibri" w:hAnsi="Arial" w:cs="Arial"/>
                <w:sz w:val="20"/>
                <w:szCs w:val="20"/>
              </w:rPr>
              <w:t> </w:t>
            </w: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jc w:val="right"/>
              <w:rPr>
                <w:rFonts w:ascii="Arial" w:eastAsia="Calibri" w:hAnsi="Arial" w:cs="Arial"/>
                <w:sz w:val="20"/>
                <w:szCs w:val="20"/>
              </w:rPr>
            </w:pPr>
            <w:r w:rsidRPr="006710A1">
              <w:rPr>
                <w:rFonts w:ascii="Arial" w:eastAsia="Calibri" w:hAnsi="Arial" w:cs="Arial"/>
                <w:sz w:val="20"/>
                <w:szCs w:val="20"/>
              </w:rPr>
              <w:t>5.15%</w:t>
            </w:r>
          </w:p>
        </w:tc>
        <w:tc>
          <w:tcPr>
            <w:tcW w:w="1550"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jc w:val="right"/>
              <w:rPr>
                <w:rFonts w:ascii="Arial" w:eastAsia="Calibri" w:hAnsi="Arial" w:cs="Arial"/>
                <w:sz w:val="20"/>
                <w:szCs w:val="20"/>
              </w:rPr>
            </w:pPr>
            <w:r w:rsidRPr="006710A1">
              <w:rPr>
                <w:rFonts w:ascii="Arial" w:eastAsia="Calibri" w:hAnsi="Arial" w:cs="Arial"/>
                <w:sz w:val="20"/>
                <w:szCs w:val="20"/>
              </w:rPr>
              <w:t>7.66%</w:t>
            </w:r>
          </w:p>
        </w:tc>
        <w:tc>
          <w:tcPr>
            <w:tcW w:w="1228"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jc w:val="right"/>
              <w:rPr>
                <w:rFonts w:ascii="Arial" w:eastAsia="Calibri" w:hAnsi="Arial" w:cs="Arial"/>
                <w:sz w:val="20"/>
                <w:szCs w:val="20"/>
              </w:rPr>
            </w:pPr>
            <w:r w:rsidRPr="006710A1">
              <w:rPr>
                <w:rFonts w:ascii="Arial" w:eastAsia="Calibri" w:hAnsi="Arial" w:cs="Arial"/>
                <w:sz w:val="20"/>
                <w:szCs w:val="20"/>
              </w:rPr>
              <w:t>94.85%</w:t>
            </w:r>
          </w:p>
        </w:tc>
      </w:tr>
      <w:tr w:rsidR="00EA3FD7" w:rsidRPr="006710A1" w:rsidTr="00CA2193">
        <w:trPr>
          <w:trHeight w:val="170"/>
        </w:trPr>
        <w:tc>
          <w:tcPr>
            <w:tcW w:w="9229"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EA3FD7" w:rsidRPr="006710A1" w:rsidRDefault="00EA3FD7" w:rsidP="00634A2B">
            <w:pPr>
              <w:spacing w:after="0" w:line="240" w:lineRule="auto"/>
              <w:rPr>
                <w:rFonts w:ascii="Arial" w:eastAsia="Times New Roman" w:hAnsi="Arial" w:cs="Arial"/>
                <w:sz w:val="20"/>
                <w:szCs w:val="20"/>
                <w:lang w:val="en-US"/>
              </w:rPr>
            </w:pPr>
            <w:r w:rsidRPr="006710A1">
              <w:rPr>
                <w:rFonts w:ascii="Arial" w:eastAsia="Calibri" w:hAnsi="Arial" w:cs="Arial"/>
                <w:b/>
                <w:sz w:val="20"/>
                <w:szCs w:val="20"/>
                <w:lang w:val="en-US"/>
              </w:rPr>
              <w:t>Highest completed education</w:t>
            </w:r>
          </w:p>
        </w:tc>
      </w:tr>
      <w:tr w:rsidR="00EA3FD7" w:rsidRPr="006710A1" w:rsidTr="00CA2193">
        <w:trPr>
          <w:trHeight w:val="17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3FD7" w:rsidRPr="006710A1" w:rsidRDefault="00EA3FD7" w:rsidP="00634A2B">
            <w:pPr>
              <w:widowControl w:val="0"/>
              <w:numPr>
                <w:ilvl w:val="12"/>
                <w:numId w:val="0"/>
              </w:numPr>
              <w:autoSpaceDE w:val="0"/>
              <w:autoSpaceDN w:val="0"/>
              <w:adjustRightInd w:val="0"/>
              <w:spacing w:after="0" w:line="240" w:lineRule="auto"/>
              <w:rPr>
                <w:rFonts w:ascii="Arial" w:hAnsi="Arial" w:cs="Arial"/>
                <w:sz w:val="20"/>
                <w:szCs w:val="20"/>
                <w:lang w:val="it"/>
              </w:rPr>
            </w:pPr>
            <w:r w:rsidRPr="006710A1">
              <w:rPr>
                <w:rFonts w:ascii="Arial" w:hAnsi="Arial" w:cs="Arial"/>
                <w:bCs/>
                <w:sz w:val="20"/>
                <w:szCs w:val="20"/>
                <w:lang w:val="it"/>
              </w:rPr>
              <w:t>No education</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jc w:val="right"/>
              <w:rPr>
                <w:rFonts w:ascii="Arial" w:eastAsia="Times New Roman" w:hAnsi="Arial" w:cs="Arial"/>
                <w:sz w:val="20"/>
                <w:szCs w:val="20"/>
                <w:lang w:val="en-US"/>
              </w:rPr>
            </w:pPr>
            <w:r w:rsidRPr="006710A1">
              <w:rPr>
                <w:rFonts w:ascii="Arial" w:eastAsia="Times New Roman" w:hAnsi="Arial" w:cs="Arial"/>
                <w:sz w:val="20"/>
                <w:szCs w:val="20"/>
                <w:lang w:val="en-US"/>
              </w:rPr>
              <w:t>0.14%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jc w:val="right"/>
              <w:rPr>
                <w:rFonts w:ascii="Arial" w:eastAsia="Times New Roman" w:hAnsi="Arial" w:cs="Arial"/>
                <w:sz w:val="20"/>
                <w:szCs w:val="20"/>
                <w:lang w:val="en-US"/>
              </w:rPr>
            </w:pPr>
            <w:r w:rsidRPr="006710A1">
              <w:rPr>
                <w:rFonts w:ascii="Arial" w:eastAsia="Times New Roman" w:hAnsi="Arial" w:cs="Arial"/>
                <w:sz w:val="20"/>
                <w:szCs w:val="20"/>
                <w:lang w:val="en-US"/>
              </w:rPr>
              <w:t>15.83%</w:t>
            </w: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Times New Roman" w:hAnsi="Arial" w:cs="Arial"/>
                <w:sz w:val="20"/>
                <w:szCs w:val="20"/>
                <w:lang w:val="en-US"/>
              </w:rPr>
            </w:pPr>
            <w:r w:rsidRPr="006710A1">
              <w:rPr>
                <w:rFonts w:ascii="Arial" w:eastAsia="Times New Roman" w:hAnsi="Arial" w:cs="Arial"/>
                <w:sz w:val="20"/>
                <w:szCs w:val="20"/>
                <w:lang w:val="en-US"/>
              </w:rPr>
              <w:t> </w:t>
            </w:r>
          </w:p>
        </w:tc>
        <w:tc>
          <w:tcPr>
            <w:tcW w:w="1550"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Times New Roman" w:hAnsi="Arial" w:cs="Arial"/>
                <w:sz w:val="20"/>
                <w:szCs w:val="20"/>
                <w:lang w:val="en-US"/>
              </w:rPr>
            </w:pPr>
            <w:r w:rsidRPr="006710A1">
              <w:rPr>
                <w:rFonts w:ascii="Arial" w:eastAsia="Times New Roman" w:hAnsi="Arial" w:cs="Arial"/>
                <w:sz w:val="20"/>
                <w:szCs w:val="20"/>
                <w:lang w:val="en-US"/>
              </w:rPr>
              <w:t> </w:t>
            </w:r>
          </w:p>
        </w:tc>
        <w:tc>
          <w:tcPr>
            <w:tcW w:w="1228"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Times New Roman" w:hAnsi="Arial" w:cs="Arial"/>
                <w:sz w:val="20"/>
                <w:szCs w:val="20"/>
                <w:lang w:val="en-US"/>
              </w:rPr>
            </w:pPr>
            <w:r w:rsidRPr="006710A1">
              <w:rPr>
                <w:rFonts w:ascii="Arial" w:eastAsia="Times New Roman" w:hAnsi="Arial" w:cs="Arial"/>
                <w:sz w:val="20"/>
                <w:szCs w:val="20"/>
                <w:lang w:val="en-US"/>
              </w:rPr>
              <w:t> </w:t>
            </w:r>
          </w:p>
        </w:tc>
      </w:tr>
      <w:tr w:rsidR="00EA3FD7" w:rsidRPr="006710A1" w:rsidTr="00CA2193">
        <w:trPr>
          <w:trHeight w:val="17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3FD7" w:rsidRPr="006710A1" w:rsidRDefault="00EA3FD7" w:rsidP="00634A2B">
            <w:pPr>
              <w:widowControl w:val="0"/>
              <w:numPr>
                <w:ilvl w:val="12"/>
                <w:numId w:val="0"/>
              </w:numPr>
              <w:autoSpaceDE w:val="0"/>
              <w:autoSpaceDN w:val="0"/>
              <w:adjustRightInd w:val="0"/>
              <w:spacing w:after="0" w:line="240" w:lineRule="auto"/>
              <w:rPr>
                <w:rFonts w:ascii="Arial" w:hAnsi="Arial" w:cs="Arial"/>
                <w:sz w:val="20"/>
                <w:szCs w:val="20"/>
                <w:lang w:val="it"/>
              </w:rPr>
            </w:pPr>
            <w:r w:rsidRPr="006710A1">
              <w:rPr>
                <w:rFonts w:ascii="Arial" w:hAnsi="Arial" w:cs="Arial"/>
                <w:bCs/>
                <w:sz w:val="20"/>
                <w:szCs w:val="20"/>
                <w:lang w:val="it"/>
              </w:rPr>
              <w:t>Uncompleted basic education</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jc w:val="right"/>
              <w:rPr>
                <w:rFonts w:ascii="Arial" w:eastAsia="Times New Roman" w:hAnsi="Arial" w:cs="Arial"/>
                <w:sz w:val="20"/>
                <w:szCs w:val="20"/>
                <w:lang w:val="en-US"/>
              </w:rPr>
            </w:pPr>
            <w:r w:rsidRPr="006710A1">
              <w:rPr>
                <w:rFonts w:ascii="Arial" w:eastAsia="Times New Roman" w:hAnsi="Arial" w:cs="Arial"/>
                <w:sz w:val="20"/>
                <w:szCs w:val="20"/>
                <w:lang w:val="en-US"/>
              </w:rPr>
              <w:t>0.25%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jc w:val="right"/>
              <w:rPr>
                <w:rFonts w:ascii="Arial" w:eastAsia="Times New Roman" w:hAnsi="Arial" w:cs="Arial"/>
                <w:sz w:val="20"/>
                <w:szCs w:val="20"/>
                <w:lang w:val="en-US"/>
              </w:rPr>
            </w:pPr>
            <w:r w:rsidRPr="006710A1">
              <w:rPr>
                <w:rFonts w:ascii="Arial" w:eastAsia="Times New Roman" w:hAnsi="Arial" w:cs="Arial"/>
                <w:sz w:val="20"/>
                <w:szCs w:val="20"/>
                <w:lang w:val="en-US"/>
              </w:rPr>
              <w:t>32.25%</w:t>
            </w: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Times New Roman" w:hAnsi="Arial" w:cs="Arial"/>
                <w:sz w:val="20"/>
                <w:szCs w:val="20"/>
                <w:lang w:val="en-US"/>
              </w:rPr>
            </w:pPr>
            <w:r w:rsidRPr="006710A1">
              <w:rPr>
                <w:rFonts w:ascii="Arial" w:eastAsia="Times New Roman" w:hAnsi="Arial" w:cs="Arial"/>
                <w:sz w:val="20"/>
                <w:szCs w:val="20"/>
                <w:lang w:val="en-US"/>
              </w:rPr>
              <w:t> </w:t>
            </w:r>
          </w:p>
        </w:tc>
        <w:tc>
          <w:tcPr>
            <w:tcW w:w="1550"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Times New Roman" w:hAnsi="Arial" w:cs="Arial"/>
                <w:sz w:val="20"/>
                <w:szCs w:val="20"/>
                <w:lang w:val="en-US"/>
              </w:rPr>
            </w:pPr>
            <w:r w:rsidRPr="006710A1">
              <w:rPr>
                <w:rFonts w:ascii="Arial" w:eastAsia="Times New Roman" w:hAnsi="Arial" w:cs="Arial"/>
                <w:sz w:val="20"/>
                <w:szCs w:val="20"/>
                <w:lang w:val="en-US"/>
              </w:rPr>
              <w:t> </w:t>
            </w:r>
          </w:p>
        </w:tc>
        <w:tc>
          <w:tcPr>
            <w:tcW w:w="1228"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Times New Roman" w:hAnsi="Arial" w:cs="Arial"/>
                <w:sz w:val="20"/>
                <w:szCs w:val="20"/>
                <w:lang w:val="en-US"/>
              </w:rPr>
            </w:pPr>
            <w:r w:rsidRPr="006710A1">
              <w:rPr>
                <w:rFonts w:ascii="Arial" w:eastAsia="Times New Roman" w:hAnsi="Arial" w:cs="Arial"/>
                <w:sz w:val="20"/>
                <w:szCs w:val="20"/>
                <w:lang w:val="en-US"/>
              </w:rPr>
              <w:t> </w:t>
            </w:r>
          </w:p>
        </w:tc>
      </w:tr>
      <w:tr w:rsidR="00EA3FD7" w:rsidRPr="006710A1" w:rsidTr="00CA2193">
        <w:trPr>
          <w:trHeight w:val="17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3FD7" w:rsidRPr="006710A1" w:rsidRDefault="00EA3FD7" w:rsidP="00634A2B">
            <w:pPr>
              <w:widowControl w:val="0"/>
              <w:numPr>
                <w:ilvl w:val="12"/>
                <w:numId w:val="0"/>
              </w:numPr>
              <w:autoSpaceDE w:val="0"/>
              <w:autoSpaceDN w:val="0"/>
              <w:adjustRightInd w:val="0"/>
              <w:spacing w:after="0" w:line="240" w:lineRule="auto"/>
              <w:rPr>
                <w:rFonts w:ascii="Arial" w:hAnsi="Arial" w:cs="Arial"/>
                <w:sz w:val="20"/>
                <w:szCs w:val="20"/>
                <w:lang w:val="it"/>
              </w:rPr>
            </w:pPr>
            <w:r w:rsidRPr="006710A1">
              <w:rPr>
                <w:rFonts w:ascii="Arial" w:hAnsi="Arial" w:cs="Arial"/>
                <w:bCs/>
                <w:sz w:val="20"/>
                <w:szCs w:val="20"/>
                <w:lang w:val="it"/>
              </w:rPr>
              <w:t>Primary school</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jc w:val="right"/>
              <w:rPr>
                <w:rFonts w:ascii="Arial" w:eastAsia="Times New Roman" w:hAnsi="Arial" w:cs="Arial"/>
                <w:sz w:val="20"/>
                <w:szCs w:val="20"/>
                <w:lang w:val="en-US"/>
              </w:rPr>
            </w:pPr>
            <w:r w:rsidRPr="006710A1">
              <w:rPr>
                <w:rFonts w:ascii="Arial" w:eastAsia="Times New Roman" w:hAnsi="Arial" w:cs="Arial"/>
                <w:sz w:val="20"/>
                <w:szCs w:val="20"/>
                <w:lang w:val="en-US"/>
              </w:rPr>
              <w:t>-1.15%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jc w:val="right"/>
              <w:rPr>
                <w:rFonts w:ascii="Arial" w:eastAsia="Times New Roman" w:hAnsi="Arial" w:cs="Arial"/>
                <w:sz w:val="20"/>
                <w:szCs w:val="20"/>
                <w:lang w:val="en-US"/>
              </w:rPr>
            </w:pPr>
            <w:r w:rsidRPr="006710A1">
              <w:rPr>
                <w:rFonts w:ascii="Arial" w:eastAsia="Times New Roman" w:hAnsi="Arial" w:cs="Arial"/>
                <w:sz w:val="20"/>
                <w:szCs w:val="20"/>
                <w:lang w:val="en-US"/>
              </w:rPr>
              <w:t>34.45%</w:t>
            </w: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Times New Roman" w:hAnsi="Arial" w:cs="Arial"/>
                <w:sz w:val="20"/>
                <w:szCs w:val="20"/>
                <w:lang w:val="en-US"/>
              </w:rPr>
            </w:pPr>
            <w:r w:rsidRPr="006710A1">
              <w:rPr>
                <w:rFonts w:ascii="Arial" w:eastAsia="Times New Roman" w:hAnsi="Arial" w:cs="Arial"/>
                <w:sz w:val="20"/>
                <w:szCs w:val="20"/>
                <w:lang w:val="en-US"/>
              </w:rPr>
              <w:t> </w:t>
            </w:r>
          </w:p>
        </w:tc>
        <w:tc>
          <w:tcPr>
            <w:tcW w:w="1550"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Times New Roman" w:hAnsi="Arial" w:cs="Arial"/>
                <w:sz w:val="20"/>
                <w:szCs w:val="20"/>
                <w:lang w:val="en-US"/>
              </w:rPr>
            </w:pPr>
            <w:r w:rsidRPr="006710A1">
              <w:rPr>
                <w:rFonts w:ascii="Arial" w:eastAsia="Times New Roman" w:hAnsi="Arial" w:cs="Arial"/>
                <w:sz w:val="20"/>
                <w:szCs w:val="20"/>
                <w:lang w:val="en-US"/>
              </w:rPr>
              <w:t> </w:t>
            </w:r>
          </w:p>
        </w:tc>
        <w:tc>
          <w:tcPr>
            <w:tcW w:w="1228"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Times New Roman" w:hAnsi="Arial" w:cs="Arial"/>
                <w:sz w:val="20"/>
                <w:szCs w:val="20"/>
                <w:lang w:val="en-US"/>
              </w:rPr>
            </w:pPr>
            <w:r w:rsidRPr="006710A1">
              <w:rPr>
                <w:rFonts w:ascii="Arial" w:eastAsia="Times New Roman" w:hAnsi="Arial" w:cs="Arial"/>
                <w:sz w:val="20"/>
                <w:szCs w:val="20"/>
                <w:lang w:val="en-US"/>
              </w:rPr>
              <w:t> </w:t>
            </w:r>
          </w:p>
        </w:tc>
      </w:tr>
      <w:tr w:rsidR="00EA3FD7" w:rsidRPr="006710A1" w:rsidTr="00CA2193">
        <w:trPr>
          <w:trHeight w:val="17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3FD7" w:rsidRPr="006710A1" w:rsidRDefault="00EA3FD7" w:rsidP="00634A2B">
            <w:pPr>
              <w:widowControl w:val="0"/>
              <w:numPr>
                <w:ilvl w:val="12"/>
                <w:numId w:val="0"/>
              </w:numPr>
              <w:autoSpaceDE w:val="0"/>
              <w:autoSpaceDN w:val="0"/>
              <w:adjustRightInd w:val="0"/>
              <w:spacing w:after="0" w:line="240" w:lineRule="auto"/>
              <w:rPr>
                <w:rFonts w:ascii="Arial" w:hAnsi="Arial" w:cs="Arial"/>
                <w:sz w:val="20"/>
                <w:szCs w:val="20"/>
                <w:lang w:val="it"/>
              </w:rPr>
            </w:pPr>
            <w:r w:rsidRPr="006710A1">
              <w:rPr>
                <w:rFonts w:ascii="Arial" w:hAnsi="Arial" w:cs="Arial"/>
                <w:bCs/>
                <w:sz w:val="20"/>
                <w:szCs w:val="20"/>
                <w:lang w:val="it"/>
              </w:rPr>
              <w:t>Lower secondary school</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jc w:val="right"/>
              <w:rPr>
                <w:rFonts w:ascii="Arial" w:eastAsia="Times New Roman" w:hAnsi="Arial" w:cs="Arial"/>
                <w:sz w:val="20"/>
                <w:szCs w:val="20"/>
                <w:lang w:val="en-US"/>
              </w:rPr>
            </w:pPr>
            <w:r w:rsidRPr="006710A1">
              <w:rPr>
                <w:rFonts w:ascii="Arial" w:eastAsia="Times New Roman" w:hAnsi="Arial" w:cs="Arial"/>
                <w:sz w:val="20"/>
                <w:szCs w:val="20"/>
                <w:lang w:val="en-US"/>
              </w:rPr>
              <w:t>-0.16%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jc w:val="right"/>
              <w:rPr>
                <w:rFonts w:ascii="Arial" w:eastAsia="Times New Roman" w:hAnsi="Arial" w:cs="Arial"/>
                <w:sz w:val="20"/>
                <w:szCs w:val="20"/>
                <w:lang w:val="en-US"/>
              </w:rPr>
            </w:pPr>
            <w:r w:rsidRPr="006710A1">
              <w:rPr>
                <w:rFonts w:ascii="Arial" w:eastAsia="Times New Roman" w:hAnsi="Arial" w:cs="Arial"/>
                <w:sz w:val="20"/>
                <w:szCs w:val="20"/>
                <w:lang w:val="en-US"/>
              </w:rPr>
              <w:t>11.82%</w:t>
            </w: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Times New Roman" w:hAnsi="Arial" w:cs="Arial"/>
                <w:sz w:val="20"/>
                <w:szCs w:val="20"/>
                <w:lang w:val="en-US"/>
              </w:rPr>
            </w:pPr>
            <w:r w:rsidRPr="006710A1">
              <w:rPr>
                <w:rFonts w:ascii="Arial" w:eastAsia="Times New Roman" w:hAnsi="Arial" w:cs="Arial"/>
                <w:sz w:val="20"/>
                <w:szCs w:val="20"/>
                <w:lang w:val="en-US"/>
              </w:rPr>
              <w:t> </w:t>
            </w:r>
          </w:p>
        </w:tc>
        <w:tc>
          <w:tcPr>
            <w:tcW w:w="1550"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Times New Roman" w:hAnsi="Arial" w:cs="Arial"/>
                <w:sz w:val="20"/>
                <w:szCs w:val="20"/>
                <w:lang w:val="en-US"/>
              </w:rPr>
            </w:pPr>
            <w:r w:rsidRPr="006710A1">
              <w:rPr>
                <w:rFonts w:ascii="Arial" w:eastAsia="Times New Roman" w:hAnsi="Arial" w:cs="Arial"/>
                <w:sz w:val="20"/>
                <w:szCs w:val="20"/>
                <w:lang w:val="en-US"/>
              </w:rPr>
              <w:t> </w:t>
            </w:r>
          </w:p>
        </w:tc>
        <w:tc>
          <w:tcPr>
            <w:tcW w:w="1228"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Times New Roman" w:hAnsi="Arial" w:cs="Arial"/>
                <w:sz w:val="20"/>
                <w:szCs w:val="20"/>
                <w:lang w:val="en-US"/>
              </w:rPr>
            </w:pPr>
            <w:r w:rsidRPr="006710A1">
              <w:rPr>
                <w:rFonts w:ascii="Arial" w:eastAsia="Times New Roman" w:hAnsi="Arial" w:cs="Arial"/>
                <w:sz w:val="20"/>
                <w:szCs w:val="20"/>
                <w:lang w:val="en-US"/>
              </w:rPr>
              <w:t> </w:t>
            </w:r>
          </w:p>
        </w:tc>
      </w:tr>
      <w:tr w:rsidR="00EA3FD7" w:rsidRPr="006710A1" w:rsidTr="00CA2193">
        <w:trPr>
          <w:trHeight w:val="17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3FD7" w:rsidRPr="006710A1" w:rsidRDefault="00EA3FD7" w:rsidP="00634A2B">
            <w:pPr>
              <w:widowControl w:val="0"/>
              <w:numPr>
                <w:ilvl w:val="12"/>
                <w:numId w:val="0"/>
              </w:numPr>
              <w:autoSpaceDE w:val="0"/>
              <w:autoSpaceDN w:val="0"/>
              <w:adjustRightInd w:val="0"/>
              <w:spacing w:after="0" w:line="240" w:lineRule="auto"/>
              <w:rPr>
                <w:rFonts w:ascii="Arial" w:hAnsi="Arial" w:cs="Arial"/>
                <w:sz w:val="20"/>
                <w:szCs w:val="20"/>
                <w:lang w:val="it"/>
              </w:rPr>
            </w:pPr>
            <w:r w:rsidRPr="006710A1">
              <w:rPr>
                <w:rFonts w:ascii="Arial" w:hAnsi="Arial" w:cs="Arial"/>
                <w:bCs/>
                <w:sz w:val="20"/>
                <w:szCs w:val="20"/>
                <w:lang w:val="it"/>
              </w:rPr>
              <w:t>Post-secondary school</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jc w:val="right"/>
              <w:rPr>
                <w:rFonts w:ascii="Arial" w:eastAsia="Times New Roman" w:hAnsi="Arial" w:cs="Arial"/>
                <w:sz w:val="20"/>
                <w:szCs w:val="20"/>
                <w:lang w:val="en-US"/>
              </w:rPr>
            </w:pPr>
            <w:r w:rsidRPr="006710A1">
              <w:rPr>
                <w:rFonts w:ascii="Arial" w:eastAsia="Times New Roman" w:hAnsi="Arial" w:cs="Arial"/>
                <w:sz w:val="20"/>
                <w:szCs w:val="20"/>
                <w:lang w:val="en-US"/>
              </w:rPr>
              <w:t>-0.05%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jc w:val="right"/>
              <w:rPr>
                <w:rFonts w:ascii="Arial" w:eastAsia="Times New Roman" w:hAnsi="Arial" w:cs="Arial"/>
                <w:sz w:val="20"/>
                <w:szCs w:val="20"/>
                <w:lang w:val="en-US"/>
              </w:rPr>
            </w:pPr>
            <w:r w:rsidRPr="006710A1">
              <w:rPr>
                <w:rFonts w:ascii="Arial" w:eastAsia="Times New Roman" w:hAnsi="Arial" w:cs="Arial"/>
                <w:sz w:val="20"/>
                <w:szCs w:val="20"/>
                <w:lang w:val="en-US"/>
              </w:rPr>
              <w:t>1.76%</w:t>
            </w: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Times New Roman" w:hAnsi="Arial" w:cs="Arial"/>
                <w:sz w:val="20"/>
                <w:szCs w:val="20"/>
                <w:lang w:val="en-US"/>
              </w:rPr>
            </w:pPr>
            <w:r w:rsidRPr="006710A1">
              <w:rPr>
                <w:rFonts w:ascii="Arial" w:eastAsia="Times New Roman" w:hAnsi="Arial" w:cs="Arial"/>
                <w:sz w:val="20"/>
                <w:szCs w:val="20"/>
                <w:lang w:val="en-US"/>
              </w:rPr>
              <w:t> </w:t>
            </w:r>
          </w:p>
        </w:tc>
        <w:tc>
          <w:tcPr>
            <w:tcW w:w="1550"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Times New Roman" w:hAnsi="Arial" w:cs="Arial"/>
                <w:sz w:val="20"/>
                <w:szCs w:val="20"/>
                <w:lang w:val="en-US"/>
              </w:rPr>
            </w:pPr>
            <w:r w:rsidRPr="006710A1">
              <w:rPr>
                <w:rFonts w:ascii="Arial" w:eastAsia="Times New Roman" w:hAnsi="Arial" w:cs="Arial"/>
                <w:sz w:val="20"/>
                <w:szCs w:val="20"/>
                <w:lang w:val="en-US"/>
              </w:rPr>
              <w:t> </w:t>
            </w:r>
          </w:p>
        </w:tc>
        <w:tc>
          <w:tcPr>
            <w:tcW w:w="1228"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Times New Roman" w:hAnsi="Arial" w:cs="Arial"/>
                <w:sz w:val="20"/>
                <w:szCs w:val="20"/>
                <w:lang w:val="en-US"/>
              </w:rPr>
            </w:pPr>
            <w:r w:rsidRPr="006710A1">
              <w:rPr>
                <w:rFonts w:ascii="Arial" w:eastAsia="Times New Roman" w:hAnsi="Arial" w:cs="Arial"/>
                <w:sz w:val="20"/>
                <w:szCs w:val="20"/>
                <w:lang w:val="en-US"/>
              </w:rPr>
              <w:t> </w:t>
            </w:r>
          </w:p>
        </w:tc>
      </w:tr>
      <w:tr w:rsidR="00EA3FD7" w:rsidRPr="006710A1" w:rsidTr="00CA2193">
        <w:trPr>
          <w:trHeight w:val="17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3FD7" w:rsidRPr="006710A1" w:rsidRDefault="00EA3FD7" w:rsidP="00634A2B">
            <w:pPr>
              <w:widowControl w:val="0"/>
              <w:numPr>
                <w:ilvl w:val="12"/>
                <w:numId w:val="0"/>
              </w:numPr>
              <w:autoSpaceDE w:val="0"/>
              <w:autoSpaceDN w:val="0"/>
              <w:adjustRightInd w:val="0"/>
              <w:spacing w:after="0" w:line="240" w:lineRule="auto"/>
              <w:rPr>
                <w:rFonts w:ascii="Arial" w:hAnsi="Arial" w:cs="Arial"/>
                <w:sz w:val="20"/>
                <w:szCs w:val="20"/>
                <w:lang w:val="it"/>
              </w:rPr>
            </w:pPr>
            <w:r w:rsidRPr="006710A1">
              <w:rPr>
                <w:rFonts w:ascii="Arial" w:hAnsi="Arial" w:cs="Arial"/>
                <w:bCs/>
                <w:sz w:val="20"/>
                <w:szCs w:val="20"/>
                <w:lang w:val="it"/>
              </w:rPr>
              <w:t>High school</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jc w:val="right"/>
              <w:rPr>
                <w:rFonts w:ascii="Arial" w:eastAsia="Times New Roman" w:hAnsi="Arial" w:cs="Arial"/>
                <w:sz w:val="20"/>
                <w:szCs w:val="20"/>
                <w:lang w:val="en-US"/>
              </w:rPr>
            </w:pPr>
            <w:r w:rsidRPr="006710A1">
              <w:rPr>
                <w:rFonts w:ascii="Arial" w:eastAsia="Times New Roman" w:hAnsi="Arial" w:cs="Arial"/>
                <w:sz w:val="20"/>
                <w:szCs w:val="20"/>
                <w:lang w:val="en-US"/>
              </w:rPr>
              <w:t>0.24%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jc w:val="right"/>
              <w:rPr>
                <w:rFonts w:ascii="Arial" w:eastAsia="Times New Roman" w:hAnsi="Arial" w:cs="Arial"/>
                <w:sz w:val="20"/>
                <w:szCs w:val="20"/>
                <w:lang w:val="en-US"/>
              </w:rPr>
            </w:pPr>
            <w:r w:rsidRPr="006710A1">
              <w:rPr>
                <w:rFonts w:ascii="Arial" w:eastAsia="Times New Roman" w:hAnsi="Arial" w:cs="Arial"/>
                <w:sz w:val="20"/>
                <w:szCs w:val="20"/>
                <w:lang w:val="en-US"/>
              </w:rPr>
              <w:t>38.42%</w:t>
            </w: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Times New Roman" w:hAnsi="Arial" w:cs="Arial"/>
                <w:sz w:val="20"/>
                <w:szCs w:val="20"/>
                <w:lang w:val="en-US"/>
              </w:rPr>
            </w:pPr>
            <w:r w:rsidRPr="006710A1">
              <w:rPr>
                <w:rFonts w:ascii="Arial" w:eastAsia="Times New Roman" w:hAnsi="Arial" w:cs="Arial"/>
                <w:sz w:val="20"/>
                <w:szCs w:val="20"/>
                <w:lang w:val="en-US"/>
              </w:rPr>
              <w:t> </w:t>
            </w:r>
          </w:p>
        </w:tc>
        <w:tc>
          <w:tcPr>
            <w:tcW w:w="1550"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Times New Roman" w:hAnsi="Arial" w:cs="Arial"/>
                <w:sz w:val="20"/>
                <w:szCs w:val="20"/>
                <w:lang w:val="en-US"/>
              </w:rPr>
            </w:pPr>
            <w:r w:rsidRPr="006710A1">
              <w:rPr>
                <w:rFonts w:ascii="Arial" w:eastAsia="Times New Roman" w:hAnsi="Arial" w:cs="Arial"/>
                <w:sz w:val="20"/>
                <w:szCs w:val="20"/>
                <w:lang w:val="en-US"/>
              </w:rPr>
              <w:t> </w:t>
            </w:r>
          </w:p>
        </w:tc>
        <w:tc>
          <w:tcPr>
            <w:tcW w:w="1228"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Times New Roman" w:hAnsi="Arial" w:cs="Arial"/>
                <w:sz w:val="20"/>
                <w:szCs w:val="20"/>
                <w:lang w:val="en-US"/>
              </w:rPr>
            </w:pPr>
            <w:r w:rsidRPr="006710A1">
              <w:rPr>
                <w:rFonts w:ascii="Arial" w:eastAsia="Times New Roman" w:hAnsi="Arial" w:cs="Arial"/>
                <w:sz w:val="20"/>
                <w:szCs w:val="20"/>
                <w:lang w:val="en-US"/>
              </w:rPr>
              <w:t> </w:t>
            </w:r>
          </w:p>
        </w:tc>
      </w:tr>
      <w:tr w:rsidR="00EA3FD7" w:rsidRPr="006710A1" w:rsidTr="00CA2193">
        <w:trPr>
          <w:trHeight w:val="17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3FD7" w:rsidRPr="006710A1" w:rsidRDefault="00EA3FD7" w:rsidP="00634A2B">
            <w:pPr>
              <w:widowControl w:val="0"/>
              <w:numPr>
                <w:ilvl w:val="12"/>
                <w:numId w:val="0"/>
              </w:numPr>
              <w:autoSpaceDE w:val="0"/>
              <w:autoSpaceDN w:val="0"/>
              <w:adjustRightInd w:val="0"/>
              <w:spacing w:after="0" w:line="240" w:lineRule="auto"/>
              <w:rPr>
                <w:rFonts w:ascii="Arial" w:hAnsi="Arial" w:cs="Arial"/>
                <w:sz w:val="20"/>
                <w:szCs w:val="20"/>
                <w:lang w:val="it"/>
              </w:rPr>
            </w:pPr>
            <w:r w:rsidRPr="006710A1">
              <w:rPr>
                <w:rFonts w:ascii="Arial" w:hAnsi="Arial" w:cs="Arial"/>
                <w:bCs/>
                <w:sz w:val="20"/>
                <w:szCs w:val="20"/>
                <w:lang w:val="it"/>
              </w:rPr>
              <w:t>Tertiary education</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jc w:val="right"/>
              <w:rPr>
                <w:rFonts w:ascii="Arial" w:eastAsia="Times New Roman" w:hAnsi="Arial" w:cs="Arial"/>
                <w:sz w:val="20"/>
                <w:szCs w:val="20"/>
                <w:lang w:val="en-US"/>
              </w:rPr>
            </w:pPr>
            <w:r w:rsidRPr="006710A1">
              <w:rPr>
                <w:rFonts w:ascii="Arial" w:eastAsia="Times New Roman" w:hAnsi="Arial" w:cs="Arial"/>
                <w:sz w:val="20"/>
                <w:szCs w:val="20"/>
                <w:lang w:val="en-US"/>
              </w:rPr>
              <w:t>-0.16%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jc w:val="right"/>
              <w:rPr>
                <w:rFonts w:ascii="Arial" w:eastAsia="Times New Roman" w:hAnsi="Arial" w:cs="Arial"/>
                <w:sz w:val="20"/>
                <w:szCs w:val="20"/>
                <w:lang w:val="en-US"/>
              </w:rPr>
            </w:pPr>
            <w:r w:rsidRPr="006710A1">
              <w:rPr>
                <w:rFonts w:ascii="Arial" w:eastAsia="Times New Roman" w:hAnsi="Arial" w:cs="Arial"/>
                <w:sz w:val="20"/>
                <w:szCs w:val="20"/>
                <w:lang w:val="en-US"/>
              </w:rPr>
              <w:t>17.13%</w:t>
            </w: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Times New Roman" w:hAnsi="Arial" w:cs="Arial"/>
                <w:sz w:val="20"/>
                <w:szCs w:val="20"/>
                <w:lang w:val="en-US"/>
              </w:rPr>
            </w:pPr>
            <w:r w:rsidRPr="006710A1">
              <w:rPr>
                <w:rFonts w:ascii="Arial" w:eastAsia="Times New Roman" w:hAnsi="Arial" w:cs="Arial"/>
                <w:sz w:val="20"/>
                <w:szCs w:val="20"/>
                <w:lang w:val="en-US"/>
              </w:rPr>
              <w:t> </w:t>
            </w:r>
          </w:p>
        </w:tc>
        <w:tc>
          <w:tcPr>
            <w:tcW w:w="1550"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Times New Roman" w:hAnsi="Arial" w:cs="Arial"/>
                <w:sz w:val="20"/>
                <w:szCs w:val="20"/>
                <w:lang w:val="en-US"/>
              </w:rPr>
            </w:pPr>
            <w:r w:rsidRPr="006710A1">
              <w:rPr>
                <w:rFonts w:ascii="Arial" w:eastAsia="Times New Roman" w:hAnsi="Arial" w:cs="Arial"/>
                <w:sz w:val="20"/>
                <w:szCs w:val="20"/>
                <w:lang w:val="en-US"/>
              </w:rPr>
              <w:t> </w:t>
            </w:r>
          </w:p>
        </w:tc>
        <w:tc>
          <w:tcPr>
            <w:tcW w:w="1228"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Times New Roman" w:hAnsi="Arial" w:cs="Arial"/>
                <w:sz w:val="20"/>
                <w:szCs w:val="20"/>
                <w:lang w:val="en-US"/>
              </w:rPr>
            </w:pPr>
            <w:r w:rsidRPr="006710A1">
              <w:rPr>
                <w:rFonts w:ascii="Arial" w:eastAsia="Times New Roman" w:hAnsi="Arial" w:cs="Arial"/>
                <w:sz w:val="20"/>
                <w:szCs w:val="20"/>
                <w:lang w:val="en-US"/>
              </w:rPr>
              <w:t> </w:t>
            </w:r>
          </w:p>
        </w:tc>
      </w:tr>
      <w:tr w:rsidR="00EA3FD7" w:rsidRPr="006710A1" w:rsidTr="00CA2193">
        <w:trPr>
          <w:trHeight w:val="17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FD7" w:rsidRPr="006710A1" w:rsidRDefault="00EA3FD7" w:rsidP="00634A2B">
            <w:pPr>
              <w:widowControl w:val="0"/>
              <w:numPr>
                <w:ilvl w:val="12"/>
                <w:numId w:val="0"/>
              </w:numPr>
              <w:autoSpaceDE w:val="0"/>
              <w:autoSpaceDN w:val="0"/>
              <w:adjustRightInd w:val="0"/>
              <w:spacing w:after="0" w:line="240" w:lineRule="auto"/>
              <w:rPr>
                <w:rFonts w:ascii="Arial" w:hAnsi="Arial" w:cs="Arial"/>
                <w:sz w:val="20"/>
                <w:szCs w:val="20"/>
                <w:lang w:val="it"/>
              </w:rPr>
            </w:pPr>
            <w:r w:rsidRPr="006710A1">
              <w:rPr>
                <w:rFonts w:ascii="Arial" w:hAnsi="Arial" w:cs="Arial"/>
                <w:sz w:val="20"/>
                <w:szCs w:val="20"/>
                <w:lang w:val="it"/>
              </w:rPr>
              <w:t>Not applicable</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jc w:val="right"/>
              <w:rPr>
                <w:rFonts w:ascii="Arial" w:eastAsia="Times New Roman" w:hAnsi="Arial" w:cs="Arial"/>
                <w:sz w:val="20"/>
                <w:szCs w:val="20"/>
                <w:lang w:val="en-US"/>
              </w:rPr>
            </w:pPr>
            <w:r w:rsidRPr="006710A1">
              <w:rPr>
                <w:rFonts w:ascii="Arial" w:eastAsia="Times New Roman" w:hAnsi="Arial" w:cs="Arial"/>
                <w:sz w:val="20"/>
                <w:szCs w:val="20"/>
                <w:lang w:val="en-US"/>
              </w:rPr>
              <w:t>-0.07%</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jc w:val="right"/>
              <w:rPr>
                <w:rFonts w:ascii="Arial" w:eastAsia="Times New Roman" w:hAnsi="Arial" w:cs="Arial"/>
                <w:sz w:val="20"/>
                <w:szCs w:val="20"/>
                <w:lang w:val="en-US"/>
              </w:rPr>
            </w:pPr>
            <w:r w:rsidRPr="006710A1">
              <w:rPr>
                <w:rFonts w:ascii="Arial" w:eastAsia="Times New Roman" w:hAnsi="Arial" w:cs="Arial"/>
                <w:sz w:val="20"/>
                <w:szCs w:val="20"/>
                <w:lang w:val="en-US"/>
              </w:rPr>
              <w:t>0.80%</w:t>
            </w: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Times New Roman" w:hAnsi="Arial" w:cs="Arial"/>
                <w:sz w:val="20"/>
                <w:szCs w:val="20"/>
                <w:lang w:val="en-US"/>
              </w:rPr>
            </w:pPr>
            <w:r w:rsidRPr="006710A1">
              <w:rPr>
                <w:rFonts w:ascii="Arial" w:eastAsia="Times New Roman" w:hAnsi="Arial" w:cs="Arial"/>
                <w:sz w:val="20"/>
                <w:szCs w:val="20"/>
                <w:lang w:val="en-US"/>
              </w:rPr>
              <w:t> </w:t>
            </w:r>
          </w:p>
        </w:tc>
        <w:tc>
          <w:tcPr>
            <w:tcW w:w="1550"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Times New Roman" w:hAnsi="Arial" w:cs="Arial"/>
                <w:sz w:val="20"/>
                <w:szCs w:val="20"/>
                <w:lang w:val="en-US"/>
              </w:rPr>
            </w:pPr>
            <w:r w:rsidRPr="006710A1">
              <w:rPr>
                <w:rFonts w:ascii="Arial" w:eastAsia="Times New Roman" w:hAnsi="Arial" w:cs="Arial"/>
                <w:sz w:val="20"/>
                <w:szCs w:val="20"/>
                <w:lang w:val="en-US"/>
              </w:rPr>
              <w:t> </w:t>
            </w:r>
          </w:p>
        </w:tc>
        <w:tc>
          <w:tcPr>
            <w:tcW w:w="1228"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Times New Roman" w:hAnsi="Arial" w:cs="Arial"/>
                <w:sz w:val="20"/>
                <w:szCs w:val="20"/>
                <w:lang w:val="en-US"/>
              </w:rPr>
            </w:pPr>
            <w:r w:rsidRPr="006710A1">
              <w:rPr>
                <w:rFonts w:ascii="Arial" w:eastAsia="Times New Roman" w:hAnsi="Arial" w:cs="Arial"/>
                <w:sz w:val="20"/>
                <w:szCs w:val="20"/>
                <w:lang w:val="en-US"/>
              </w:rPr>
              <w:t> </w:t>
            </w:r>
          </w:p>
        </w:tc>
      </w:tr>
      <w:tr w:rsidR="00EA3FD7" w:rsidRPr="006710A1" w:rsidTr="00CA2193">
        <w:trPr>
          <w:trHeight w:val="17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FD7" w:rsidRPr="006710A1" w:rsidRDefault="00EA3FD7" w:rsidP="00634A2B">
            <w:pPr>
              <w:widowControl w:val="0"/>
              <w:numPr>
                <w:ilvl w:val="12"/>
                <w:numId w:val="0"/>
              </w:numPr>
              <w:autoSpaceDE w:val="0"/>
              <w:autoSpaceDN w:val="0"/>
              <w:adjustRightInd w:val="0"/>
              <w:spacing w:after="0" w:line="240" w:lineRule="auto"/>
              <w:rPr>
                <w:rFonts w:ascii="Arial" w:hAnsi="Arial" w:cs="Arial"/>
                <w:sz w:val="20"/>
                <w:szCs w:val="20"/>
                <w:lang w:val="it"/>
              </w:rPr>
            </w:pPr>
            <w:r w:rsidRPr="006710A1">
              <w:rPr>
                <w:rFonts w:ascii="Arial" w:hAnsi="Arial" w:cs="Arial"/>
                <w:sz w:val="20"/>
                <w:szCs w:val="20"/>
                <w:lang w:val="it"/>
              </w:rPr>
              <w:t>NULL</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jc w:val="right"/>
              <w:rPr>
                <w:rFonts w:ascii="Arial" w:eastAsia="Times New Roman" w:hAnsi="Arial" w:cs="Arial"/>
                <w:sz w:val="20"/>
                <w:szCs w:val="20"/>
                <w:lang w:val="en-US"/>
              </w:rPr>
            </w:pPr>
            <w:r w:rsidRPr="006710A1">
              <w:rPr>
                <w:rFonts w:ascii="Arial" w:eastAsia="Times New Roman" w:hAnsi="Arial" w:cs="Arial"/>
                <w:sz w:val="20"/>
                <w:szCs w:val="20"/>
                <w:lang w:val="en-US"/>
              </w:rPr>
              <w:t>0.96%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jc w:val="right"/>
              <w:rPr>
                <w:rFonts w:ascii="Arial" w:eastAsia="Times New Roman" w:hAnsi="Arial" w:cs="Arial"/>
                <w:sz w:val="20"/>
                <w:szCs w:val="20"/>
                <w:lang w:val="en-US"/>
              </w:rPr>
            </w:pPr>
            <w:r w:rsidRPr="006710A1">
              <w:rPr>
                <w:rFonts w:ascii="Arial" w:eastAsia="Times New Roman" w:hAnsi="Arial" w:cs="Arial"/>
                <w:sz w:val="20"/>
                <w:szCs w:val="20"/>
                <w:lang w:val="en-US"/>
              </w:rPr>
              <w:t>100.02%</w:t>
            </w: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Times New Roman" w:hAnsi="Arial" w:cs="Arial"/>
                <w:sz w:val="20"/>
                <w:szCs w:val="20"/>
                <w:lang w:val="en-US"/>
              </w:rPr>
            </w:pPr>
            <w:r w:rsidRPr="006710A1">
              <w:rPr>
                <w:rFonts w:ascii="Arial" w:eastAsia="Times New Roman" w:hAnsi="Arial" w:cs="Arial"/>
                <w:sz w:val="20"/>
                <w:szCs w:val="20"/>
                <w:lang w:val="en-US"/>
              </w:rPr>
              <w:t> </w:t>
            </w:r>
          </w:p>
        </w:tc>
        <w:tc>
          <w:tcPr>
            <w:tcW w:w="1550"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Times New Roman" w:hAnsi="Arial" w:cs="Arial"/>
                <w:sz w:val="20"/>
                <w:szCs w:val="20"/>
                <w:lang w:val="en-US"/>
              </w:rPr>
            </w:pPr>
            <w:r w:rsidRPr="006710A1">
              <w:rPr>
                <w:rFonts w:ascii="Arial" w:eastAsia="Times New Roman" w:hAnsi="Arial" w:cs="Arial"/>
                <w:sz w:val="20"/>
                <w:szCs w:val="20"/>
                <w:lang w:val="en-US"/>
              </w:rPr>
              <w:t> </w:t>
            </w:r>
          </w:p>
        </w:tc>
        <w:tc>
          <w:tcPr>
            <w:tcW w:w="1228"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Times New Roman" w:hAnsi="Arial" w:cs="Arial"/>
                <w:sz w:val="20"/>
                <w:szCs w:val="20"/>
                <w:lang w:val="en-US"/>
              </w:rPr>
            </w:pPr>
            <w:r w:rsidRPr="006710A1">
              <w:rPr>
                <w:rFonts w:ascii="Arial" w:eastAsia="Times New Roman" w:hAnsi="Arial" w:cs="Arial"/>
                <w:sz w:val="20"/>
                <w:szCs w:val="20"/>
                <w:lang w:val="en-US"/>
              </w:rPr>
              <w:t> </w:t>
            </w:r>
          </w:p>
        </w:tc>
      </w:tr>
      <w:tr w:rsidR="00EA3FD7" w:rsidRPr="006710A1" w:rsidTr="00CA2193">
        <w:trPr>
          <w:trHeight w:val="17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FD7" w:rsidRPr="006710A1" w:rsidRDefault="00EA3FD7" w:rsidP="00634A2B">
            <w:pPr>
              <w:widowControl w:val="0"/>
              <w:numPr>
                <w:ilvl w:val="12"/>
                <w:numId w:val="0"/>
              </w:numPr>
              <w:autoSpaceDE w:val="0"/>
              <w:autoSpaceDN w:val="0"/>
              <w:adjustRightInd w:val="0"/>
              <w:spacing w:after="0" w:line="240" w:lineRule="auto"/>
              <w:rPr>
                <w:rFonts w:ascii="Arial" w:hAnsi="Arial" w:cs="Arial"/>
                <w:sz w:val="20"/>
                <w:szCs w:val="20"/>
                <w:lang w:val="it"/>
              </w:rPr>
            </w:pPr>
            <w:r w:rsidRPr="006710A1">
              <w:rPr>
                <w:rFonts w:ascii="Arial" w:hAnsi="Arial" w:cs="Arial"/>
                <w:sz w:val="20"/>
                <w:szCs w:val="20"/>
                <w:lang w:val="it"/>
              </w:rPr>
              <w:t>Total</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Times New Roman" w:hAnsi="Arial" w:cs="Arial"/>
                <w:sz w:val="20"/>
                <w:szCs w:val="20"/>
                <w:lang w:val="en-US"/>
              </w:rPr>
            </w:pPr>
            <w:r w:rsidRPr="006710A1">
              <w:rPr>
                <w:rFonts w:ascii="Arial" w:eastAsia="Times New Roman" w:hAnsi="Arial" w:cs="Arial"/>
                <w:sz w:val="20"/>
                <w:szCs w:val="20"/>
                <w:lang w:val="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Times New Roman" w:hAnsi="Arial" w:cs="Arial"/>
                <w:sz w:val="20"/>
                <w:szCs w:val="20"/>
                <w:lang w:val="en-US"/>
              </w:rPr>
            </w:pPr>
            <w:r w:rsidRPr="006710A1">
              <w:rPr>
                <w:rFonts w:ascii="Arial" w:eastAsia="Times New Roman" w:hAnsi="Arial" w:cs="Arial"/>
                <w:sz w:val="20"/>
                <w:szCs w:val="20"/>
                <w:lang w:val="en-US"/>
              </w:rPr>
              <w:t> </w:t>
            </w: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jc w:val="right"/>
              <w:rPr>
                <w:rFonts w:ascii="Arial" w:eastAsia="Times New Roman" w:hAnsi="Arial" w:cs="Arial"/>
                <w:sz w:val="20"/>
                <w:szCs w:val="20"/>
                <w:lang w:val="en-US"/>
              </w:rPr>
            </w:pPr>
            <w:r w:rsidRPr="006710A1">
              <w:rPr>
                <w:rFonts w:ascii="Arial" w:eastAsia="Times New Roman" w:hAnsi="Arial" w:cs="Arial"/>
                <w:sz w:val="20"/>
                <w:szCs w:val="20"/>
                <w:lang w:val="en-US"/>
              </w:rPr>
              <w:t>12.31%</w:t>
            </w:r>
          </w:p>
        </w:tc>
        <w:tc>
          <w:tcPr>
            <w:tcW w:w="1550"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jc w:val="right"/>
              <w:rPr>
                <w:rFonts w:ascii="Arial" w:eastAsia="Times New Roman" w:hAnsi="Arial" w:cs="Arial"/>
                <w:sz w:val="20"/>
                <w:szCs w:val="20"/>
                <w:lang w:val="en-US"/>
              </w:rPr>
            </w:pPr>
            <w:r w:rsidRPr="006710A1">
              <w:rPr>
                <w:rFonts w:ascii="Arial" w:eastAsia="Times New Roman" w:hAnsi="Arial" w:cs="Arial"/>
                <w:sz w:val="20"/>
                <w:szCs w:val="20"/>
                <w:lang w:val="en-US"/>
              </w:rPr>
              <w:t>16.45%</w:t>
            </w:r>
          </w:p>
        </w:tc>
        <w:tc>
          <w:tcPr>
            <w:tcW w:w="1228"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jc w:val="right"/>
              <w:rPr>
                <w:rFonts w:ascii="Arial" w:eastAsia="Times New Roman" w:hAnsi="Arial" w:cs="Arial"/>
                <w:sz w:val="20"/>
                <w:szCs w:val="20"/>
                <w:lang w:val="en-US"/>
              </w:rPr>
            </w:pPr>
            <w:r w:rsidRPr="006710A1">
              <w:rPr>
                <w:rFonts w:ascii="Arial" w:eastAsia="Times New Roman" w:hAnsi="Arial" w:cs="Arial"/>
                <w:sz w:val="20"/>
                <w:szCs w:val="20"/>
                <w:lang w:val="en-US"/>
              </w:rPr>
              <w:t>87.69%</w:t>
            </w:r>
          </w:p>
        </w:tc>
      </w:tr>
      <w:tr w:rsidR="00EA3FD7" w:rsidRPr="006710A1" w:rsidTr="00CA2193">
        <w:trPr>
          <w:trHeight w:val="170"/>
        </w:trPr>
        <w:tc>
          <w:tcPr>
            <w:tcW w:w="9229"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EA3FD7" w:rsidRPr="006710A1" w:rsidRDefault="00EA3FD7" w:rsidP="00634A2B">
            <w:pPr>
              <w:spacing w:after="0" w:line="240" w:lineRule="auto"/>
              <w:rPr>
                <w:rFonts w:ascii="Arial" w:eastAsia="Calibri" w:hAnsi="Arial" w:cs="Arial"/>
                <w:sz w:val="20"/>
                <w:szCs w:val="20"/>
              </w:rPr>
            </w:pPr>
            <w:r w:rsidRPr="006710A1">
              <w:rPr>
                <w:rFonts w:ascii="Arial" w:eastAsia="Calibri" w:hAnsi="Arial" w:cs="Arial"/>
                <w:b/>
                <w:sz w:val="20"/>
                <w:szCs w:val="20"/>
                <w:lang w:val="en-US"/>
              </w:rPr>
              <w:t>Activity status</w:t>
            </w:r>
          </w:p>
        </w:tc>
      </w:tr>
      <w:tr w:rsidR="00EA3FD7" w:rsidRPr="006710A1" w:rsidTr="00CA2193">
        <w:trPr>
          <w:trHeight w:val="17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3FD7" w:rsidRPr="006710A1" w:rsidRDefault="00EA3FD7" w:rsidP="00634A2B">
            <w:pPr>
              <w:spacing w:after="0" w:line="240" w:lineRule="auto"/>
              <w:rPr>
                <w:rFonts w:ascii="Arial" w:eastAsia="Calibri" w:hAnsi="Arial" w:cs="Arial"/>
                <w:sz w:val="20"/>
                <w:szCs w:val="20"/>
              </w:rPr>
            </w:pPr>
            <w:r w:rsidRPr="006710A1">
              <w:rPr>
                <w:rFonts w:ascii="Arial" w:eastAsia="Calibri" w:hAnsi="Arial" w:cs="Arial"/>
                <w:sz w:val="20"/>
                <w:szCs w:val="20"/>
              </w:rPr>
              <w:t>Employed</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jc w:val="right"/>
              <w:rPr>
                <w:rFonts w:ascii="Arial" w:eastAsia="Calibri" w:hAnsi="Arial" w:cs="Arial"/>
                <w:sz w:val="20"/>
                <w:szCs w:val="20"/>
              </w:rPr>
            </w:pPr>
            <w:r w:rsidRPr="006710A1">
              <w:rPr>
                <w:rFonts w:ascii="Arial" w:eastAsia="Calibri" w:hAnsi="Arial" w:cs="Arial"/>
                <w:sz w:val="20"/>
                <w:szCs w:val="20"/>
              </w:rPr>
              <w:t>-0.59%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jc w:val="right"/>
              <w:rPr>
                <w:rFonts w:ascii="Arial" w:eastAsia="Calibri" w:hAnsi="Arial" w:cs="Arial"/>
                <w:sz w:val="20"/>
                <w:szCs w:val="20"/>
              </w:rPr>
            </w:pPr>
            <w:r w:rsidRPr="006710A1">
              <w:rPr>
                <w:rFonts w:ascii="Arial" w:eastAsia="Calibri" w:hAnsi="Arial" w:cs="Arial"/>
                <w:sz w:val="20"/>
                <w:szCs w:val="20"/>
              </w:rPr>
              <w:t>16.93%</w:t>
            </w: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Calibri" w:hAnsi="Arial" w:cs="Arial"/>
                <w:sz w:val="20"/>
                <w:szCs w:val="20"/>
              </w:rPr>
            </w:pPr>
            <w:r w:rsidRPr="006710A1">
              <w:rPr>
                <w:rFonts w:ascii="Arial" w:eastAsia="Calibri" w:hAnsi="Arial" w:cs="Arial"/>
                <w:sz w:val="20"/>
                <w:szCs w:val="20"/>
              </w:rPr>
              <w:t> </w:t>
            </w:r>
          </w:p>
        </w:tc>
        <w:tc>
          <w:tcPr>
            <w:tcW w:w="1550"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Calibri" w:hAnsi="Arial" w:cs="Arial"/>
                <w:sz w:val="20"/>
                <w:szCs w:val="20"/>
              </w:rPr>
            </w:pPr>
            <w:r w:rsidRPr="006710A1">
              <w:rPr>
                <w:rFonts w:ascii="Arial" w:eastAsia="Calibri" w:hAnsi="Arial" w:cs="Arial"/>
                <w:sz w:val="20"/>
                <w:szCs w:val="20"/>
              </w:rPr>
              <w:t> </w:t>
            </w:r>
          </w:p>
        </w:tc>
        <w:tc>
          <w:tcPr>
            <w:tcW w:w="1228"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Calibri" w:hAnsi="Arial" w:cs="Arial"/>
                <w:sz w:val="20"/>
                <w:szCs w:val="20"/>
              </w:rPr>
            </w:pPr>
            <w:r w:rsidRPr="006710A1">
              <w:rPr>
                <w:rFonts w:ascii="Arial" w:eastAsia="Calibri" w:hAnsi="Arial" w:cs="Arial"/>
                <w:sz w:val="20"/>
                <w:szCs w:val="20"/>
              </w:rPr>
              <w:t> </w:t>
            </w:r>
          </w:p>
        </w:tc>
      </w:tr>
      <w:tr w:rsidR="00EA3FD7" w:rsidRPr="006710A1" w:rsidTr="00CA2193">
        <w:trPr>
          <w:trHeight w:val="17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3FD7" w:rsidRPr="006710A1" w:rsidRDefault="00EA3FD7" w:rsidP="00634A2B">
            <w:pPr>
              <w:spacing w:after="0" w:line="240" w:lineRule="auto"/>
              <w:rPr>
                <w:rFonts w:ascii="Arial" w:eastAsia="Calibri" w:hAnsi="Arial" w:cs="Arial"/>
                <w:sz w:val="20"/>
                <w:szCs w:val="20"/>
                <w:lang w:val="en-US"/>
              </w:rPr>
            </w:pPr>
            <w:r w:rsidRPr="006710A1">
              <w:rPr>
                <w:rFonts w:ascii="Arial" w:eastAsia="Calibri" w:hAnsi="Arial" w:cs="Arial"/>
                <w:sz w:val="20"/>
                <w:szCs w:val="20"/>
                <w:lang w:val="en-US"/>
              </w:rPr>
              <w:t>Didn't work but has a job to return to</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jc w:val="right"/>
              <w:rPr>
                <w:rFonts w:ascii="Arial" w:eastAsia="Calibri" w:hAnsi="Arial" w:cs="Arial"/>
                <w:sz w:val="20"/>
                <w:szCs w:val="20"/>
              </w:rPr>
            </w:pPr>
            <w:r w:rsidRPr="006710A1">
              <w:rPr>
                <w:rFonts w:ascii="Arial" w:eastAsia="Calibri" w:hAnsi="Arial" w:cs="Arial"/>
                <w:sz w:val="20"/>
                <w:szCs w:val="20"/>
              </w:rPr>
              <w:t>0.20%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jc w:val="right"/>
              <w:rPr>
                <w:rFonts w:ascii="Arial" w:eastAsia="Calibri" w:hAnsi="Arial" w:cs="Arial"/>
                <w:sz w:val="20"/>
                <w:szCs w:val="20"/>
              </w:rPr>
            </w:pPr>
            <w:r w:rsidRPr="006710A1">
              <w:rPr>
                <w:rFonts w:ascii="Arial" w:eastAsia="Calibri" w:hAnsi="Arial" w:cs="Arial"/>
                <w:sz w:val="20"/>
                <w:szCs w:val="20"/>
              </w:rPr>
              <w:t>82.02%</w:t>
            </w: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Calibri" w:hAnsi="Arial" w:cs="Arial"/>
                <w:sz w:val="20"/>
                <w:szCs w:val="20"/>
              </w:rPr>
            </w:pPr>
            <w:r w:rsidRPr="006710A1">
              <w:rPr>
                <w:rFonts w:ascii="Arial" w:eastAsia="Calibri" w:hAnsi="Arial" w:cs="Arial"/>
                <w:sz w:val="20"/>
                <w:szCs w:val="20"/>
              </w:rPr>
              <w:t> </w:t>
            </w:r>
          </w:p>
        </w:tc>
        <w:tc>
          <w:tcPr>
            <w:tcW w:w="1550"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Calibri" w:hAnsi="Arial" w:cs="Arial"/>
                <w:sz w:val="20"/>
                <w:szCs w:val="20"/>
              </w:rPr>
            </w:pPr>
            <w:r w:rsidRPr="006710A1">
              <w:rPr>
                <w:rFonts w:ascii="Arial" w:eastAsia="Calibri" w:hAnsi="Arial" w:cs="Arial"/>
                <w:sz w:val="20"/>
                <w:szCs w:val="20"/>
              </w:rPr>
              <w:t> </w:t>
            </w:r>
          </w:p>
        </w:tc>
        <w:tc>
          <w:tcPr>
            <w:tcW w:w="1228"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Calibri" w:hAnsi="Arial" w:cs="Arial"/>
                <w:sz w:val="20"/>
                <w:szCs w:val="20"/>
              </w:rPr>
            </w:pPr>
            <w:r w:rsidRPr="006710A1">
              <w:rPr>
                <w:rFonts w:ascii="Arial" w:eastAsia="Calibri" w:hAnsi="Arial" w:cs="Arial"/>
                <w:sz w:val="20"/>
                <w:szCs w:val="20"/>
              </w:rPr>
              <w:t> </w:t>
            </w:r>
          </w:p>
        </w:tc>
      </w:tr>
      <w:tr w:rsidR="00EA3FD7" w:rsidRPr="006710A1" w:rsidTr="00CA2193">
        <w:trPr>
          <w:trHeight w:val="17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3FD7" w:rsidRPr="006710A1" w:rsidRDefault="00EA3FD7" w:rsidP="00634A2B">
            <w:pPr>
              <w:spacing w:after="0" w:line="240" w:lineRule="auto"/>
              <w:rPr>
                <w:rFonts w:ascii="Arial" w:eastAsia="Calibri" w:hAnsi="Arial" w:cs="Arial"/>
                <w:sz w:val="20"/>
                <w:szCs w:val="20"/>
              </w:rPr>
            </w:pPr>
            <w:r w:rsidRPr="006710A1">
              <w:rPr>
                <w:rFonts w:ascii="Arial" w:eastAsia="Calibri" w:hAnsi="Arial" w:cs="Arial"/>
                <w:sz w:val="20"/>
                <w:szCs w:val="20"/>
              </w:rPr>
              <w:t>Unemployed</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jc w:val="right"/>
              <w:rPr>
                <w:rFonts w:ascii="Arial" w:eastAsia="Calibri" w:hAnsi="Arial" w:cs="Arial"/>
                <w:sz w:val="20"/>
                <w:szCs w:val="20"/>
              </w:rPr>
            </w:pPr>
            <w:r w:rsidRPr="006710A1">
              <w:rPr>
                <w:rFonts w:ascii="Arial" w:eastAsia="Calibri" w:hAnsi="Arial" w:cs="Arial"/>
                <w:sz w:val="20"/>
                <w:szCs w:val="20"/>
              </w:rPr>
              <w:t>-0.24%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jc w:val="right"/>
              <w:rPr>
                <w:rFonts w:ascii="Arial" w:eastAsia="Calibri" w:hAnsi="Arial" w:cs="Arial"/>
                <w:sz w:val="20"/>
                <w:szCs w:val="20"/>
              </w:rPr>
            </w:pPr>
            <w:r w:rsidRPr="006710A1">
              <w:rPr>
                <w:rFonts w:ascii="Arial" w:eastAsia="Calibri" w:hAnsi="Arial" w:cs="Arial"/>
                <w:sz w:val="20"/>
                <w:szCs w:val="20"/>
              </w:rPr>
              <w:t>19.67%</w:t>
            </w: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Calibri" w:hAnsi="Arial" w:cs="Arial"/>
                <w:sz w:val="20"/>
                <w:szCs w:val="20"/>
              </w:rPr>
            </w:pPr>
            <w:r w:rsidRPr="006710A1">
              <w:rPr>
                <w:rFonts w:ascii="Arial" w:eastAsia="Calibri" w:hAnsi="Arial" w:cs="Arial"/>
                <w:sz w:val="20"/>
                <w:szCs w:val="20"/>
              </w:rPr>
              <w:t> </w:t>
            </w:r>
          </w:p>
        </w:tc>
        <w:tc>
          <w:tcPr>
            <w:tcW w:w="1550"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Calibri" w:hAnsi="Arial" w:cs="Arial"/>
                <w:sz w:val="20"/>
                <w:szCs w:val="20"/>
              </w:rPr>
            </w:pPr>
            <w:r w:rsidRPr="006710A1">
              <w:rPr>
                <w:rFonts w:ascii="Arial" w:eastAsia="Calibri" w:hAnsi="Arial" w:cs="Arial"/>
                <w:sz w:val="20"/>
                <w:szCs w:val="20"/>
              </w:rPr>
              <w:t> </w:t>
            </w:r>
          </w:p>
        </w:tc>
        <w:tc>
          <w:tcPr>
            <w:tcW w:w="1228"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Calibri" w:hAnsi="Arial" w:cs="Arial"/>
                <w:sz w:val="20"/>
                <w:szCs w:val="20"/>
              </w:rPr>
            </w:pPr>
            <w:r w:rsidRPr="006710A1">
              <w:rPr>
                <w:rFonts w:ascii="Arial" w:eastAsia="Calibri" w:hAnsi="Arial" w:cs="Arial"/>
                <w:sz w:val="20"/>
                <w:szCs w:val="20"/>
              </w:rPr>
              <w:t> </w:t>
            </w:r>
          </w:p>
        </w:tc>
      </w:tr>
      <w:tr w:rsidR="00EA3FD7" w:rsidRPr="006710A1" w:rsidTr="00CA2193">
        <w:trPr>
          <w:trHeight w:val="17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Calibri" w:hAnsi="Arial" w:cs="Arial"/>
                <w:sz w:val="20"/>
                <w:szCs w:val="20"/>
              </w:rPr>
            </w:pPr>
            <w:r w:rsidRPr="006710A1">
              <w:rPr>
                <w:rFonts w:ascii="Arial" w:eastAsia="Calibri" w:hAnsi="Arial" w:cs="Arial"/>
                <w:sz w:val="20"/>
                <w:szCs w:val="20"/>
              </w:rPr>
              <w:t>Not applicable</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jc w:val="right"/>
              <w:rPr>
                <w:rFonts w:ascii="Arial" w:eastAsia="Calibri" w:hAnsi="Arial" w:cs="Arial"/>
                <w:sz w:val="20"/>
                <w:szCs w:val="20"/>
              </w:rPr>
            </w:pPr>
            <w:r w:rsidRPr="006710A1">
              <w:rPr>
                <w:rFonts w:ascii="Arial" w:eastAsia="Calibri" w:hAnsi="Arial" w:cs="Arial"/>
                <w:sz w:val="20"/>
                <w:szCs w:val="20"/>
              </w:rPr>
              <w:t>-0.07%</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jc w:val="right"/>
              <w:rPr>
                <w:rFonts w:ascii="Arial" w:eastAsia="Calibri" w:hAnsi="Arial" w:cs="Arial"/>
                <w:sz w:val="20"/>
                <w:szCs w:val="20"/>
              </w:rPr>
            </w:pPr>
            <w:r w:rsidRPr="006710A1">
              <w:rPr>
                <w:rFonts w:ascii="Arial" w:eastAsia="Calibri" w:hAnsi="Arial" w:cs="Arial"/>
                <w:sz w:val="20"/>
                <w:szCs w:val="20"/>
              </w:rPr>
              <w:t>0.65%</w:t>
            </w: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Calibri" w:hAnsi="Arial" w:cs="Arial"/>
                <w:sz w:val="20"/>
                <w:szCs w:val="20"/>
              </w:rPr>
            </w:pPr>
            <w:r w:rsidRPr="006710A1">
              <w:rPr>
                <w:rFonts w:ascii="Arial" w:eastAsia="Calibri" w:hAnsi="Arial" w:cs="Arial"/>
                <w:sz w:val="20"/>
                <w:szCs w:val="20"/>
              </w:rPr>
              <w:t> </w:t>
            </w:r>
          </w:p>
        </w:tc>
        <w:tc>
          <w:tcPr>
            <w:tcW w:w="1550"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Calibri" w:hAnsi="Arial" w:cs="Arial"/>
                <w:sz w:val="20"/>
                <w:szCs w:val="20"/>
              </w:rPr>
            </w:pPr>
            <w:r w:rsidRPr="006710A1">
              <w:rPr>
                <w:rFonts w:ascii="Arial" w:eastAsia="Calibri" w:hAnsi="Arial" w:cs="Arial"/>
                <w:sz w:val="20"/>
                <w:szCs w:val="20"/>
              </w:rPr>
              <w:t> </w:t>
            </w:r>
          </w:p>
        </w:tc>
        <w:tc>
          <w:tcPr>
            <w:tcW w:w="1228"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Calibri" w:hAnsi="Arial" w:cs="Arial"/>
                <w:sz w:val="20"/>
                <w:szCs w:val="20"/>
              </w:rPr>
            </w:pPr>
            <w:r w:rsidRPr="006710A1">
              <w:rPr>
                <w:rFonts w:ascii="Arial" w:eastAsia="Calibri" w:hAnsi="Arial" w:cs="Arial"/>
                <w:sz w:val="20"/>
                <w:szCs w:val="20"/>
              </w:rPr>
              <w:t> </w:t>
            </w:r>
          </w:p>
        </w:tc>
      </w:tr>
      <w:tr w:rsidR="00EA3FD7" w:rsidRPr="006710A1" w:rsidTr="00CA2193">
        <w:trPr>
          <w:trHeight w:val="17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3FD7" w:rsidRPr="006710A1" w:rsidRDefault="00EA3FD7" w:rsidP="00634A2B">
            <w:pPr>
              <w:spacing w:after="0" w:line="240" w:lineRule="auto"/>
              <w:rPr>
                <w:rFonts w:ascii="Arial" w:eastAsia="Calibri" w:hAnsi="Arial" w:cs="Arial"/>
                <w:sz w:val="20"/>
                <w:szCs w:val="20"/>
              </w:rPr>
            </w:pPr>
            <w:r w:rsidRPr="006710A1">
              <w:rPr>
                <w:rFonts w:ascii="Arial" w:eastAsia="Calibri" w:hAnsi="Arial" w:cs="Arial"/>
                <w:sz w:val="20"/>
                <w:szCs w:val="20"/>
              </w:rPr>
              <w:t>NULL</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jc w:val="right"/>
              <w:rPr>
                <w:rFonts w:ascii="Arial" w:eastAsia="Calibri" w:hAnsi="Arial" w:cs="Arial"/>
                <w:sz w:val="20"/>
                <w:szCs w:val="20"/>
              </w:rPr>
            </w:pPr>
            <w:r w:rsidRPr="006710A1">
              <w:rPr>
                <w:rFonts w:ascii="Arial" w:eastAsia="Calibri" w:hAnsi="Arial" w:cs="Arial"/>
                <w:sz w:val="20"/>
                <w:szCs w:val="20"/>
              </w:rPr>
              <w:t>0.69%</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jc w:val="right"/>
              <w:rPr>
                <w:rFonts w:ascii="Arial" w:eastAsia="Calibri" w:hAnsi="Arial" w:cs="Arial"/>
                <w:sz w:val="20"/>
                <w:szCs w:val="20"/>
              </w:rPr>
            </w:pPr>
            <w:r w:rsidRPr="006710A1">
              <w:rPr>
                <w:rFonts w:ascii="Arial" w:eastAsia="Calibri" w:hAnsi="Arial" w:cs="Arial"/>
                <w:sz w:val="20"/>
                <w:szCs w:val="20"/>
              </w:rPr>
              <w:t>100.00%</w:t>
            </w: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Calibri" w:hAnsi="Arial" w:cs="Arial"/>
                <w:sz w:val="20"/>
                <w:szCs w:val="20"/>
              </w:rPr>
            </w:pPr>
            <w:r w:rsidRPr="006710A1">
              <w:rPr>
                <w:rFonts w:ascii="Arial" w:eastAsia="Calibri" w:hAnsi="Arial" w:cs="Arial"/>
                <w:sz w:val="20"/>
                <w:szCs w:val="20"/>
              </w:rPr>
              <w:t> </w:t>
            </w:r>
          </w:p>
        </w:tc>
        <w:tc>
          <w:tcPr>
            <w:tcW w:w="1550"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Calibri" w:hAnsi="Arial" w:cs="Arial"/>
                <w:sz w:val="20"/>
                <w:szCs w:val="20"/>
              </w:rPr>
            </w:pPr>
            <w:r w:rsidRPr="006710A1">
              <w:rPr>
                <w:rFonts w:ascii="Arial" w:eastAsia="Calibri" w:hAnsi="Arial" w:cs="Arial"/>
                <w:sz w:val="20"/>
                <w:szCs w:val="20"/>
              </w:rPr>
              <w:t> </w:t>
            </w:r>
          </w:p>
        </w:tc>
        <w:tc>
          <w:tcPr>
            <w:tcW w:w="1228"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Calibri" w:hAnsi="Arial" w:cs="Arial"/>
                <w:sz w:val="20"/>
                <w:szCs w:val="20"/>
              </w:rPr>
            </w:pPr>
            <w:r w:rsidRPr="006710A1">
              <w:rPr>
                <w:rFonts w:ascii="Arial" w:eastAsia="Calibri" w:hAnsi="Arial" w:cs="Arial"/>
                <w:sz w:val="20"/>
                <w:szCs w:val="20"/>
              </w:rPr>
              <w:t> </w:t>
            </w:r>
          </w:p>
        </w:tc>
      </w:tr>
      <w:tr w:rsidR="00EA3FD7" w:rsidRPr="006710A1" w:rsidTr="00CA2193">
        <w:trPr>
          <w:trHeight w:val="17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3FD7" w:rsidRPr="006710A1" w:rsidRDefault="00EA3FD7" w:rsidP="00634A2B">
            <w:pPr>
              <w:spacing w:after="0" w:line="240" w:lineRule="auto"/>
              <w:rPr>
                <w:rFonts w:ascii="Arial" w:eastAsia="Calibri" w:hAnsi="Arial" w:cs="Arial"/>
                <w:sz w:val="20"/>
                <w:szCs w:val="20"/>
              </w:rPr>
            </w:pPr>
            <w:r w:rsidRPr="006710A1">
              <w:rPr>
                <w:rFonts w:ascii="Arial" w:eastAsia="Times New Roman" w:hAnsi="Arial" w:cs="Arial"/>
                <w:bCs/>
                <w:sz w:val="20"/>
                <w:szCs w:val="20"/>
                <w:lang w:val="en-US"/>
              </w:rPr>
              <w:t>Total</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Calibri" w:hAnsi="Arial" w:cs="Arial"/>
                <w:sz w:val="20"/>
                <w:szCs w:val="20"/>
              </w:rPr>
            </w:pPr>
            <w:r w:rsidRPr="006710A1">
              <w:rPr>
                <w:rFonts w:ascii="Arial" w:eastAsia="Calibri" w:hAnsi="Arial" w:cs="Arial"/>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Calibri" w:hAnsi="Arial" w:cs="Arial"/>
                <w:sz w:val="20"/>
                <w:szCs w:val="20"/>
              </w:rPr>
            </w:pPr>
            <w:r w:rsidRPr="006710A1">
              <w:rPr>
                <w:rFonts w:ascii="Arial" w:eastAsia="Calibri" w:hAnsi="Arial" w:cs="Arial"/>
                <w:sz w:val="20"/>
                <w:szCs w:val="20"/>
              </w:rPr>
              <w:t> </w:t>
            </w: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jc w:val="right"/>
              <w:rPr>
                <w:rFonts w:ascii="Arial" w:eastAsia="Calibri" w:hAnsi="Arial" w:cs="Arial"/>
                <w:sz w:val="20"/>
                <w:szCs w:val="20"/>
              </w:rPr>
            </w:pPr>
            <w:r w:rsidRPr="006710A1">
              <w:rPr>
                <w:rFonts w:ascii="Arial" w:eastAsia="Calibri" w:hAnsi="Arial" w:cs="Arial"/>
                <w:sz w:val="20"/>
                <w:szCs w:val="20"/>
              </w:rPr>
              <w:t>11.06%</w:t>
            </w:r>
          </w:p>
        </w:tc>
        <w:tc>
          <w:tcPr>
            <w:tcW w:w="1550"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jc w:val="right"/>
              <w:rPr>
                <w:rFonts w:ascii="Arial" w:eastAsia="Calibri" w:hAnsi="Arial" w:cs="Arial"/>
                <w:sz w:val="20"/>
                <w:szCs w:val="20"/>
              </w:rPr>
            </w:pPr>
            <w:r w:rsidRPr="006710A1">
              <w:rPr>
                <w:rFonts w:ascii="Arial" w:eastAsia="Calibri" w:hAnsi="Arial" w:cs="Arial"/>
                <w:sz w:val="20"/>
                <w:szCs w:val="20"/>
              </w:rPr>
              <w:t>17.76%</w:t>
            </w:r>
          </w:p>
        </w:tc>
        <w:tc>
          <w:tcPr>
            <w:tcW w:w="1228"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jc w:val="right"/>
              <w:rPr>
                <w:rFonts w:ascii="Arial" w:eastAsia="Calibri" w:hAnsi="Arial" w:cs="Arial"/>
                <w:sz w:val="20"/>
                <w:szCs w:val="20"/>
              </w:rPr>
            </w:pPr>
            <w:r w:rsidRPr="006710A1">
              <w:rPr>
                <w:rFonts w:ascii="Arial" w:eastAsia="Calibri" w:hAnsi="Arial" w:cs="Arial"/>
                <w:sz w:val="20"/>
                <w:szCs w:val="20"/>
              </w:rPr>
              <w:t>88.94%</w:t>
            </w:r>
          </w:p>
        </w:tc>
      </w:tr>
      <w:tr w:rsidR="00EA3FD7" w:rsidRPr="006710A1" w:rsidTr="00CA2193">
        <w:trPr>
          <w:trHeight w:val="170"/>
        </w:trPr>
        <w:tc>
          <w:tcPr>
            <w:tcW w:w="9229"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Times New Roman" w:hAnsi="Arial" w:cs="Arial"/>
                <w:sz w:val="20"/>
                <w:szCs w:val="20"/>
                <w:lang w:val="en-US"/>
              </w:rPr>
            </w:pPr>
            <w:r w:rsidRPr="006710A1">
              <w:rPr>
                <w:rFonts w:ascii="Arial" w:eastAsia="Calibri" w:hAnsi="Arial" w:cs="Arial"/>
                <w:b/>
                <w:sz w:val="20"/>
                <w:szCs w:val="20"/>
                <w:lang w:val="en-US"/>
              </w:rPr>
              <w:t>Citizenship</w:t>
            </w:r>
          </w:p>
        </w:tc>
      </w:tr>
      <w:tr w:rsidR="00EA3FD7" w:rsidRPr="006710A1" w:rsidTr="00CA2193">
        <w:trPr>
          <w:trHeight w:val="17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FD7" w:rsidRPr="006710A1" w:rsidRDefault="00EA3FD7" w:rsidP="00634A2B">
            <w:pPr>
              <w:widowControl w:val="0"/>
              <w:numPr>
                <w:ilvl w:val="12"/>
                <w:numId w:val="0"/>
              </w:numPr>
              <w:autoSpaceDE w:val="0"/>
              <w:autoSpaceDN w:val="0"/>
              <w:adjustRightInd w:val="0"/>
              <w:spacing w:after="0" w:line="240" w:lineRule="auto"/>
              <w:rPr>
                <w:rFonts w:ascii="Arial" w:hAnsi="Arial" w:cs="Arial"/>
                <w:sz w:val="20"/>
                <w:szCs w:val="20"/>
                <w:lang w:val="it"/>
              </w:rPr>
            </w:pPr>
            <w:r w:rsidRPr="006710A1">
              <w:rPr>
                <w:rFonts w:ascii="Arial" w:hAnsi="Arial" w:cs="Arial"/>
                <w:sz w:val="20"/>
                <w:szCs w:val="20"/>
                <w:lang w:val="it"/>
              </w:rPr>
              <w:t>BiH</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jc w:val="right"/>
              <w:rPr>
                <w:rFonts w:ascii="Arial" w:eastAsia="Times New Roman" w:hAnsi="Arial" w:cs="Arial"/>
                <w:sz w:val="20"/>
                <w:szCs w:val="20"/>
                <w:lang w:val="en-US"/>
              </w:rPr>
            </w:pPr>
            <w:r w:rsidRPr="006710A1">
              <w:rPr>
                <w:rFonts w:ascii="Arial" w:eastAsia="Times New Roman" w:hAnsi="Arial" w:cs="Arial"/>
                <w:sz w:val="20"/>
                <w:szCs w:val="20"/>
                <w:lang w:val="en-US"/>
              </w:rPr>
              <w:t>0.64%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jc w:val="right"/>
              <w:rPr>
                <w:rFonts w:ascii="Arial" w:eastAsia="Times New Roman" w:hAnsi="Arial" w:cs="Arial"/>
                <w:sz w:val="20"/>
                <w:szCs w:val="20"/>
                <w:lang w:val="en-US"/>
              </w:rPr>
            </w:pPr>
            <w:r w:rsidRPr="006710A1">
              <w:rPr>
                <w:rFonts w:ascii="Arial" w:eastAsia="Times New Roman" w:hAnsi="Arial" w:cs="Arial"/>
                <w:sz w:val="20"/>
                <w:szCs w:val="20"/>
                <w:lang w:val="en-US"/>
              </w:rPr>
              <w:t>19.58%</w:t>
            </w: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Times New Roman" w:hAnsi="Arial" w:cs="Arial"/>
                <w:sz w:val="20"/>
                <w:szCs w:val="20"/>
                <w:lang w:val="en-US"/>
              </w:rPr>
            </w:pPr>
            <w:r w:rsidRPr="006710A1">
              <w:rPr>
                <w:rFonts w:ascii="Arial" w:eastAsia="Times New Roman" w:hAnsi="Arial" w:cs="Arial"/>
                <w:sz w:val="20"/>
                <w:szCs w:val="20"/>
                <w:lang w:val="en-US"/>
              </w:rPr>
              <w:t> </w:t>
            </w:r>
          </w:p>
        </w:tc>
        <w:tc>
          <w:tcPr>
            <w:tcW w:w="1550"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Times New Roman" w:hAnsi="Arial" w:cs="Arial"/>
                <w:sz w:val="20"/>
                <w:szCs w:val="20"/>
                <w:lang w:val="en-US"/>
              </w:rPr>
            </w:pPr>
            <w:r w:rsidRPr="006710A1">
              <w:rPr>
                <w:rFonts w:ascii="Arial" w:eastAsia="Times New Roman" w:hAnsi="Arial" w:cs="Arial"/>
                <w:sz w:val="20"/>
                <w:szCs w:val="20"/>
                <w:lang w:val="en-US"/>
              </w:rPr>
              <w:t> </w:t>
            </w:r>
          </w:p>
        </w:tc>
        <w:tc>
          <w:tcPr>
            <w:tcW w:w="1228"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Times New Roman" w:hAnsi="Arial" w:cs="Arial"/>
                <w:sz w:val="20"/>
                <w:szCs w:val="20"/>
                <w:lang w:val="en-US"/>
              </w:rPr>
            </w:pPr>
            <w:r w:rsidRPr="006710A1">
              <w:rPr>
                <w:rFonts w:ascii="Arial" w:eastAsia="Times New Roman" w:hAnsi="Arial" w:cs="Arial"/>
                <w:sz w:val="20"/>
                <w:szCs w:val="20"/>
                <w:lang w:val="en-US"/>
              </w:rPr>
              <w:t> </w:t>
            </w:r>
          </w:p>
        </w:tc>
      </w:tr>
      <w:tr w:rsidR="00EA3FD7" w:rsidRPr="006710A1" w:rsidTr="00CA2193">
        <w:trPr>
          <w:trHeight w:val="17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FD7" w:rsidRPr="006710A1" w:rsidRDefault="00EA3FD7" w:rsidP="00634A2B">
            <w:pPr>
              <w:widowControl w:val="0"/>
              <w:numPr>
                <w:ilvl w:val="12"/>
                <w:numId w:val="0"/>
              </w:numPr>
              <w:autoSpaceDE w:val="0"/>
              <w:autoSpaceDN w:val="0"/>
              <w:adjustRightInd w:val="0"/>
              <w:spacing w:after="0" w:line="240" w:lineRule="auto"/>
              <w:rPr>
                <w:rFonts w:ascii="Arial" w:hAnsi="Arial" w:cs="Arial"/>
                <w:sz w:val="20"/>
                <w:szCs w:val="20"/>
                <w:lang w:val="it"/>
              </w:rPr>
            </w:pPr>
            <w:r w:rsidRPr="006710A1">
              <w:rPr>
                <w:rFonts w:ascii="Arial" w:hAnsi="Arial" w:cs="Arial"/>
                <w:sz w:val="20"/>
                <w:szCs w:val="20"/>
                <w:lang w:val="it"/>
              </w:rPr>
              <w:t>BiH and other country</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jc w:val="right"/>
              <w:rPr>
                <w:rFonts w:ascii="Arial" w:eastAsia="Times New Roman" w:hAnsi="Arial" w:cs="Arial"/>
                <w:sz w:val="20"/>
                <w:szCs w:val="20"/>
                <w:lang w:val="en-US"/>
              </w:rPr>
            </w:pPr>
            <w:r w:rsidRPr="006710A1">
              <w:rPr>
                <w:rFonts w:ascii="Arial" w:eastAsia="Times New Roman" w:hAnsi="Arial" w:cs="Arial"/>
                <w:sz w:val="20"/>
                <w:szCs w:val="20"/>
                <w:lang w:val="en-US"/>
              </w:rPr>
              <w:t>-1.11%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jc w:val="right"/>
              <w:rPr>
                <w:rFonts w:ascii="Arial" w:eastAsia="Times New Roman" w:hAnsi="Arial" w:cs="Arial"/>
                <w:sz w:val="20"/>
                <w:szCs w:val="20"/>
                <w:lang w:val="en-US"/>
              </w:rPr>
            </w:pPr>
            <w:r w:rsidRPr="006710A1">
              <w:rPr>
                <w:rFonts w:ascii="Arial" w:eastAsia="Times New Roman" w:hAnsi="Arial" w:cs="Arial"/>
                <w:sz w:val="20"/>
                <w:szCs w:val="20"/>
                <w:lang w:val="en-US"/>
              </w:rPr>
              <w:t>20.16%</w:t>
            </w: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Times New Roman" w:hAnsi="Arial" w:cs="Arial"/>
                <w:sz w:val="20"/>
                <w:szCs w:val="20"/>
                <w:lang w:val="en-US"/>
              </w:rPr>
            </w:pPr>
            <w:r w:rsidRPr="006710A1">
              <w:rPr>
                <w:rFonts w:ascii="Arial" w:eastAsia="Times New Roman" w:hAnsi="Arial" w:cs="Arial"/>
                <w:sz w:val="20"/>
                <w:szCs w:val="20"/>
                <w:lang w:val="en-US"/>
              </w:rPr>
              <w:t> </w:t>
            </w:r>
          </w:p>
        </w:tc>
        <w:tc>
          <w:tcPr>
            <w:tcW w:w="1550"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Times New Roman" w:hAnsi="Arial" w:cs="Arial"/>
                <w:sz w:val="20"/>
                <w:szCs w:val="20"/>
                <w:lang w:val="en-US"/>
              </w:rPr>
            </w:pPr>
            <w:r w:rsidRPr="006710A1">
              <w:rPr>
                <w:rFonts w:ascii="Arial" w:eastAsia="Times New Roman" w:hAnsi="Arial" w:cs="Arial"/>
                <w:sz w:val="20"/>
                <w:szCs w:val="20"/>
                <w:lang w:val="en-US"/>
              </w:rPr>
              <w:t> </w:t>
            </w:r>
          </w:p>
        </w:tc>
        <w:tc>
          <w:tcPr>
            <w:tcW w:w="1228"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Times New Roman" w:hAnsi="Arial" w:cs="Arial"/>
                <w:sz w:val="20"/>
                <w:szCs w:val="20"/>
                <w:lang w:val="en-US"/>
              </w:rPr>
            </w:pPr>
            <w:r w:rsidRPr="006710A1">
              <w:rPr>
                <w:rFonts w:ascii="Arial" w:eastAsia="Times New Roman" w:hAnsi="Arial" w:cs="Arial"/>
                <w:sz w:val="20"/>
                <w:szCs w:val="20"/>
                <w:lang w:val="en-US"/>
              </w:rPr>
              <w:t> </w:t>
            </w:r>
          </w:p>
        </w:tc>
      </w:tr>
      <w:tr w:rsidR="00EA3FD7" w:rsidRPr="006710A1" w:rsidTr="00CA2193">
        <w:trPr>
          <w:trHeight w:val="17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FD7" w:rsidRPr="006710A1" w:rsidRDefault="00EA3FD7" w:rsidP="00634A2B">
            <w:pPr>
              <w:widowControl w:val="0"/>
              <w:numPr>
                <w:ilvl w:val="12"/>
                <w:numId w:val="0"/>
              </w:numPr>
              <w:autoSpaceDE w:val="0"/>
              <w:autoSpaceDN w:val="0"/>
              <w:adjustRightInd w:val="0"/>
              <w:spacing w:after="0" w:line="240" w:lineRule="auto"/>
              <w:rPr>
                <w:rFonts w:ascii="Arial" w:hAnsi="Arial" w:cs="Arial"/>
                <w:sz w:val="20"/>
                <w:szCs w:val="20"/>
                <w:lang w:val="it"/>
              </w:rPr>
            </w:pPr>
            <w:r w:rsidRPr="006710A1">
              <w:rPr>
                <w:rFonts w:ascii="Arial" w:hAnsi="Arial" w:cs="Arial"/>
                <w:sz w:val="20"/>
                <w:szCs w:val="20"/>
                <w:lang w:val="it"/>
              </w:rPr>
              <w:t>Other country</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jc w:val="right"/>
              <w:rPr>
                <w:rFonts w:ascii="Arial" w:eastAsia="Times New Roman" w:hAnsi="Arial" w:cs="Arial"/>
                <w:sz w:val="20"/>
                <w:szCs w:val="20"/>
                <w:lang w:val="en-US"/>
              </w:rPr>
            </w:pPr>
            <w:r w:rsidRPr="006710A1">
              <w:rPr>
                <w:rFonts w:ascii="Arial" w:eastAsia="Times New Roman" w:hAnsi="Arial" w:cs="Arial"/>
                <w:sz w:val="20"/>
                <w:szCs w:val="20"/>
                <w:lang w:val="en-US"/>
              </w:rPr>
              <w:t>0.03%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jc w:val="right"/>
              <w:rPr>
                <w:rFonts w:ascii="Arial" w:eastAsia="Times New Roman" w:hAnsi="Arial" w:cs="Arial"/>
                <w:sz w:val="20"/>
                <w:szCs w:val="20"/>
                <w:lang w:val="en-US"/>
              </w:rPr>
            </w:pPr>
            <w:r w:rsidRPr="006710A1">
              <w:rPr>
                <w:rFonts w:ascii="Arial" w:eastAsia="Times New Roman" w:hAnsi="Arial" w:cs="Arial"/>
                <w:sz w:val="20"/>
                <w:szCs w:val="20"/>
                <w:lang w:val="en-US"/>
              </w:rPr>
              <w:t>48.97%</w:t>
            </w: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Times New Roman" w:hAnsi="Arial" w:cs="Arial"/>
                <w:sz w:val="20"/>
                <w:szCs w:val="20"/>
                <w:lang w:val="en-US"/>
              </w:rPr>
            </w:pPr>
            <w:r w:rsidRPr="006710A1">
              <w:rPr>
                <w:rFonts w:ascii="Arial" w:eastAsia="Times New Roman" w:hAnsi="Arial" w:cs="Arial"/>
                <w:sz w:val="20"/>
                <w:szCs w:val="20"/>
                <w:lang w:val="en-US"/>
              </w:rPr>
              <w:t> </w:t>
            </w:r>
          </w:p>
        </w:tc>
        <w:tc>
          <w:tcPr>
            <w:tcW w:w="1550"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Times New Roman" w:hAnsi="Arial" w:cs="Arial"/>
                <w:sz w:val="20"/>
                <w:szCs w:val="20"/>
                <w:lang w:val="en-US"/>
              </w:rPr>
            </w:pPr>
            <w:r w:rsidRPr="006710A1">
              <w:rPr>
                <w:rFonts w:ascii="Arial" w:eastAsia="Times New Roman" w:hAnsi="Arial" w:cs="Arial"/>
                <w:sz w:val="20"/>
                <w:szCs w:val="20"/>
                <w:lang w:val="en-US"/>
              </w:rPr>
              <w:t> </w:t>
            </w:r>
          </w:p>
        </w:tc>
        <w:tc>
          <w:tcPr>
            <w:tcW w:w="1228"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Times New Roman" w:hAnsi="Arial" w:cs="Arial"/>
                <w:sz w:val="20"/>
                <w:szCs w:val="20"/>
                <w:lang w:val="en-US"/>
              </w:rPr>
            </w:pPr>
            <w:r w:rsidRPr="006710A1">
              <w:rPr>
                <w:rFonts w:ascii="Arial" w:eastAsia="Times New Roman" w:hAnsi="Arial" w:cs="Arial"/>
                <w:sz w:val="20"/>
                <w:szCs w:val="20"/>
                <w:lang w:val="en-US"/>
              </w:rPr>
              <w:t> </w:t>
            </w:r>
          </w:p>
        </w:tc>
      </w:tr>
      <w:tr w:rsidR="00EA3FD7" w:rsidRPr="006710A1" w:rsidTr="00CA2193">
        <w:trPr>
          <w:trHeight w:val="17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FD7" w:rsidRPr="006710A1" w:rsidRDefault="00EA3FD7" w:rsidP="00634A2B">
            <w:pPr>
              <w:widowControl w:val="0"/>
              <w:numPr>
                <w:ilvl w:val="12"/>
                <w:numId w:val="0"/>
              </w:numPr>
              <w:autoSpaceDE w:val="0"/>
              <w:autoSpaceDN w:val="0"/>
              <w:adjustRightInd w:val="0"/>
              <w:spacing w:after="0" w:line="240" w:lineRule="auto"/>
              <w:rPr>
                <w:rFonts w:ascii="Arial" w:hAnsi="Arial" w:cs="Arial"/>
                <w:sz w:val="20"/>
                <w:szCs w:val="20"/>
                <w:lang w:val="it"/>
              </w:rPr>
            </w:pPr>
            <w:r w:rsidRPr="006710A1">
              <w:rPr>
                <w:rFonts w:ascii="Arial" w:hAnsi="Arial" w:cs="Arial"/>
                <w:sz w:val="20"/>
                <w:szCs w:val="20"/>
                <w:lang w:val="it"/>
              </w:rPr>
              <w:t xml:space="preserve">Without citizenship </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jc w:val="right"/>
              <w:rPr>
                <w:rFonts w:ascii="Arial" w:eastAsia="Times New Roman" w:hAnsi="Arial" w:cs="Arial"/>
                <w:sz w:val="20"/>
                <w:szCs w:val="20"/>
                <w:lang w:val="en-US"/>
              </w:rPr>
            </w:pPr>
            <w:r w:rsidRPr="006710A1">
              <w:rPr>
                <w:rFonts w:ascii="Arial" w:eastAsia="Times New Roman" w:hAnsi="Arial" w:cs="Arial"/>
                <w:sz w:val="20"/>
                <w:szCs w:val="20"/>
                <w:lang w:val="en-US"/>
              </w:rPr>
              <w:t>0.04%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jc w:val="right"/>
              <w:rPr>
                <w:rFonts w:ascii="Arial" w:eastAsia="Times New Roman" w:hAnsi="Arial" w:cs="Arial"/>
                <w:sz w:val="20"/>
                <w:szCs w:val="20"/>
                <w:lang w:val="en-US"/>
              </w:rPr>
            </w:pPr>
            <w:r w:rsidRPr="006710A1">
              <w:rPr>
                <w:rFonts w:ascii="Arial" w:eastAsia="Times New Roman" w:hAnsi="Arial" w:cs="Arial"/>
                <w:sz w:val="20"/>
                <w:szCs w:val="20"/>
                <w:lang w:val="en-US"/>
              </w:rPr>
              <w:t>100.00%</w:t>
            </w: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Times New Roman" w:hAnsi="Arial" w:cs="Arial"/>
                <w:sz w:val="20"/>
                <w:szCs w:val="20"/>
                <w:lang w:val="en-US"/>
              </w:rPr>
            </w:pPr>
            <w:r w:rsidRPr="006710A1">
              <w:rPr>
                <w:rFonts w:ascii="Arial" w:eastAsia="Times New Roman" w:hAnsi="Arial" w:cs="Arial"/>
                <w:sz w:val="20"/>
                <w:szCs w:val="20"/>
                <w:lang w:val="en-US"/>
              </w:rPr>
              <w:t> </w:t>
            </w:r>
          </w:p>
        </w:tc>
        <w:tc>
          <w:tcPr>
            <w:tcW w:w="1550"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Times New Roman" w:hAnsi="Arial" w:cs="Arial"/>
                <w:sz w:val="20"/>
                <w:szCs w:val="20"/>
                <w:lang w:val="en-US"/>
              </w:rPr>
            </w:pPr>
            <w:r w:rsidRPr="006710A1">
              <w:rPr>
                <w:rFonts w:ascii="Arial" w:eastAsia="Times New Roman" w:hAnsi="Arial" w:cs="Arial"/>
                <w:sz w:val="20"/>
                <w:szCs w:val="20"/>
                <w:lang w:val="en-US"/>
              </w:rPr>
              <w:t> </w:t>
            </w:r>
          </w:p>
        </w:tc>
        <w:tc>
          <w:tcPr>
            <w:tcW w:w="1228"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Times New Roman" w:hAnsi="Arial" w:cs="Arial"/>
                <w:sz w:val="20"/>
                <w:szCs w:val="20"/>
                <w:lang w:val="en-US"/>
              </w:rPr>
            </w:pPr>
            <w:r w:rsidRPr="006710A1">
              <w:rPr>
                <w:rFonts w:ascii="Arial" w:eastAsia="Times New Roman" w:hAnsi="Arial" w:cs="Arial"/>
                <w:sz w:val="20"/>
                <w:szCs w:val="20"/>
                <w:lang w:val="en-US"/>
              </w:rPr>
              <w:t> </w:t>
            </w:r>
          </w:p>
        </w:tc>
      </w:tr>
      <w:tr w:rsidR="00EA3FD7" w:rsidRPr="006710A1" w:rsidTr="00CA2193">
        <w:trPr>
          <w:trHeight w:val="17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FD7" w:rsidRPr="006710A1" w:rsidRDefault="00EA3FD7" w:rsidP="00634A2B">
            <w:pPr>
              <w:widowControl w:val="0"/>
              <w:numPr>
                <w:ilvl w:val="12"/>
                <w:numId w:val="0"/>
              </w:numPr>
              <w:autoSpaceDE w:val="0"/>
              <w:autoSpaceDN w:val="0"/>
              <w:adjustRightInd w:val="0"/>
              <w:spacing w:after="0" w:line="240" w:lineRule="auto"/>
              <w:rPr>
                <w:rFonts w:ascii="Arial" w:hAnsi="Arial" w:cs="Arial"/>
                <w:sz w:val="20"/>
                <w:szCs w:val="20"/>
                <w:lang w:val="it"/>
              </w:rPr>
            </w:pPr>
            <w:r w:rsidRPr="006710A1">
              <w:rPr>
                <w:rFonts w:ascii="Arial" w:hAnsi="Arial" w:cs="Arial"/>
                <w:sz w:val="20"/>
                <w:szCs w:val="20"/>
                <w:lang w:val="it"/>
              </w:rPr>
              <w:t>NULL</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jc w:val="right"/>
              <w:rPr>
                <w:rFonts w:ascii="Arial" w:eastAsia="Times New Roman" w:hAnsi="Arial" w:cs="Arial"/>
                <w:sz w:val="20"/>
                <w:szCs w:val="20"/>
                <w:lang w:val="en-US"/>
              </w:rPr>
            </w:pPr>
            <w:r w:rsidRPr="006710A1">
              <w:rPr>
                <w:rFonts w:ascii="Arial" w:eastAsia="Times New Roman" w:hAnsi="Arial" w:cs="Arial"/>
                <w:sz w:val="20"/>
                <w:szCs w:val="20"/>
                <w:lang w:val="en-US"/>
              </w:rPr>
              <w:t>0.41%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jc w:val="right"/>
              <w:rPr>
                <w:rFonts w:ascii="Arial" w:eastAsia="Times New Roman" w:hAnsi="Arial" w:cs="Arial"/>
                <w:sz w:val="20"/>
                <w:szCs w:val="20"/>
                <w:lang w:val="en-US"/>
              </w:rPr>
            </w:pPr>
            <w:r w:rsidRPr="006710A1">
              <w:rPr>
                <w:rFonts w:ascii="Arial" w:eastAsia="Times New Roman" w:hAnsi="Arial" w:cs="Arial"/>
                <w:sz w:val="20"/>
                <w:szCs w:val="20"/>
                <w:lang w:val="en-US"/>
              </w:rPr>
              <w:t>100.00%</w:t>
            </w: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Times New Roman" w:hAnsi="Arial" w:cs="Arial"/>
                <w:sz w:val="20"/>
                <w:szCs w:val="20"/>
                <w:lang w:val="en-US"/>
              </w:rPr>
            </w:pPr>
            <w:r w:rsidRPr="006710A1">
              <w:rPr>
                <w:rFonts w:ascii="Arial" w:eastAsia="Times New Roman" w:hAnsi="Arial" w:cs="Arial"/>
                <w:sz w:val="20"/>
                <w:szCs w:val="20"/>
                <w:lang w:val="en-US"/>
              </w:rPr>
              <w:t> </w:t>
            </w:r>
          </w:p>
        </w:tc>
        <w:tc>
          <w:tcPr>
            <w:tcW w:w="1550"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Times New Roman" w:hAnsi="Arial" w:cs="Arial"/>
                <w:sz w:val="20"/>
                <w:szCs w:val="20"/>
                <w:lang w:val="en-US"/>
              </w:rPr>
            </w:pPr>
            <w:r w:rsidRPr="006710A1">
              <w:rPr>
                <w:rFonts w:ascii="Arial" w:eastAsia="Times New Roman" w:hAnsi="Arial" w:cs="Arial"/>
                <w:sz w:val="20"/>
                <w:szCs w:val="20"/>
                <w:lang w:val="en-US"/>
              </w:rPr>
              <w:t> </w:t>
            </w:r>
          </w:p>
        </w:tc>
        <w:tc>
          <w:tcPr>
            <w:tcW w:w="1228"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Times New Roman" w:hAnsi="Arial" w:cs="Arial"/>
                <w:sz w:val="20"/>
                <w:szCs w:val="20"/>
                <w:lang w:val="en-US"/>
              </w:rPr>
            </w:pPr>
            <w:r w:rsidRPr="006710A1">
              <w:rPr>
                <w:rFonts w:ascii="Arial" w:eastAsia="Times New Roman" w:hAnsi="Arial" w:cs="Arial"/>
                <w:sz w:val="20"/>
                <w:szCs w:val="20"/>
                <w:lang w:val="en-US"/>
              </w:rPr>
              <w:t> </w:t>
            </w:r>
          </w:p>
        </w:tc>
      </w:tr>
      <w:tr w:rsidR="00EA3FD7" w:rsidRPr="006710A1" w:rsidTr="00CA2193">
        <w:trPr>
          <w:trHeight w:val="17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3FD7" w:rsidRPr="006710A1" w:rsidRDefault="00EA3FD7" w:rsidP="00634A2B">
            <w:pPr>
              <w:widowControl w:val="0"/>
              <w:numPr>
                <w:ilvl w:val="12"/>
                <w:numId w:val="0"/>
              </w:numPr>
              <w:autoSpaceDE w:val="0"/>
              <w:autoSpaceDN w:val="0"/>
              <w:adjustRightInd w:val="0"/>
              <w:spacing w:after="0" w:line="240" w:lineRule="auto"/>
              <w:rPr>
                <w:rFonts w:ascii="Arial" w:hAnsi="Arial" w:cs="Arial"/>
                <w:sz w:val="20"/>
                <w:szCs w:val="20"/>
                <w:lang w:val="it"/>
              </w:rPr>
            </w:pPr>
            <w:r w:rsidRPr="006710A1">
              <w:rPr>
                <w:rFonts w:ascii="Arial" w:eastAsia="Times New Roman" w:hAnsi="Arial" w:cs="Arial"/>
                <w:bCs/>
                <w:sz w:val="20"/>
                <w:szCs w:val="20"/>
                <w:lang w:val="en-US"/>
              </w:rPr>
              <w:t>Total</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Times New Roman" w:hAnsi="Arial" w:cs="Arial"/>
                <w:sz w:val="20"/>
                <w:szCs w:val="20"/>
                <w:lang w:val="en-US"/>
              </w:rPr>
            </w:pPr>
            <w:r w:rsidRPr="006710A1">
              <w:rPr>
                <w:rFonts w:ascii="Arial" w:eastAsia="Times New Roman" w:hAnsi="Arial" w:cs="Arial"/>
                <w:sz w:val="20"/>
                <w:szCs w:val="20"/>
                <w:lang w:val="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rPr>
                <w:rFonts w:ascii="Arial" w:eastAsia="Times New Roman" w:hAnsi="Arial" w:cs="Arial"/>
                <w:sz w:val="20"/>
                <w:szCs w:val="20"/>
                <w:lang w:val="en-US"/>
              </w:rPr>
            </w:pPr>
            <w:r w:rsidRPr="006710A1">
              <w:rPr>
                <w:rFonts w:ascii="Arial" w:eastAsia="Times New Roman" w:hAnsi="Arial" w:cs="Arial"/>
                <w:sz w:val="20"/>
                <w:szCs w:val="20"/>
                <w:lang w:val="en-US"/>
              </w:rPr>
              <w:t> </w:t>
            </w: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jc w:val="right"/>
              <w:rPr>
                <w:rFonts w:ascii="Arial" w:eastAsia="Times New Roman" w:hAnsi="Arial" w:cs="Arial"/>
                <w:sz w:val="20"/>
                <w:szCs w:val="20"/>
                <w:lang w:val="en-US"/>
              </w:rPr>
            </w:pPr>
            <w:r w:rsidRPr="006710A1">
              <w:rPr>
                <w:rFonts w:ascii="Arial" w:eastAsia="Times New Roman" w:hAnsi="Arial" w:cs="Arial"/>
                <w:sz w:val="20"/>
                <w:szCs w:val="20"/>
                <w:lang w:val="en-US"/>
              </w:rPr>
              <w:t>5.60%</w:t>
            </w:r>
          </w:p>
        </w:tc>
        <w:tc>
          <w:tcPr>
            <w:tcW w:w="1550"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jc w:val="right"/>
              <w:rPr>
                <w:rFonts w:ascii="Arial" w:eastAsia="Times New Roman" w:hAnsi="Arial" w:cs="Arial"/>
                <w:sz w:val="20"/>
                <w:szCs w:val="20"/>
                <w:lang w:val="en-US"/>
              </w:rPr>
            </w:pPr>
            <w:r w:rsidRPr="006710A1">
              <w:rPr>
                <w:rFonts w:ascii="Arial" w:eastAsia="Times New Roman" w:hAnsi="Arial" w:cs="Arial"/>
                <w:sz w:val="20"/>
                <w:szCs w:val="20"/>
                <w:lang w:val="en-US"/>
              </w:rPr>
              <w:t>21.35%</w:t>
            </w:r>
          </w:p>
        </w:tc>
        <w:tc>
          <w:tcPr>
            <w:tcW w:w="1228" w:type="dxa"/>
            <w:tcBorders>
              <w:top w:val="single" w:sz="4" w:space="0" w:color="auto"/>
              <w:left w:val="nil"/>
              <w:bottom w:val="single" w:sz="4" w:space="0" w:color="auto"/>
              <w:right w:val="single" w:sz="4" w:space="0" w:color="auto"/>
            </w:tcBorders>
            <w:shd w:val="clear" w:color="auto" w:fill="auto"/>
            <w:noWrap/>
            <w:vAlign w:val="bottom"/>
          </w:tcPr>
          <w:p w:rsidR="00EA3FD7" w:rsidRPr="006710A1" w:rsidRDefault="00EA3FD7" w:rsidP="00634A2B">
            <w:pPr>
              <w:spacing w:after="0" w:line="240" w:lineRule="auto"/>
              <w:jc w:val="right"/>
              <w:rPr>
                <w:rFonts w:ascii="Arial" w:eastAsia="Times New Roman" w:hAnsi="Arial" w:cs="Arial"/>
                <w:sz w:val="20"/>
                <w:szCs w:val="20"/>
                <w:lang w:val="en-US"/>
              </w:rPr>
            </w:pPr>
            <w:r w:rsidRPr="006710A1">
              <w:rPr>
                <w:rFonts w:ascii="Arial" w:eastAsia="Times New Roman" w:hAnsi="Arial" w:cs="Arial"/>
                <w:sz w:val="20"/>
                <w:szCs w:val="20"/>
                <w:lang w:val="en-US"/>
              </w:rPr>
              <w:t>94.40%</w:t>
            </w:r>
          </w:p>
        </w:tc>
      </w:tr>
    </w:tbl>
    <w:p w:rsidR="00EA3FD7" w:rsidRDefault="00EA3FD7" w:rsidP="00EA3FD7">
      <w:pPr>
        <w:spacing w:after="0" w:line="360" w:lineRule="auto"/>
        <w:jc w:val="both"/>
        <w:rPr>
          <w:rFonts w:ascii="Arial" w:hAnsi="Arial" w:cs="Arial"/>
          <w:sz w:val="20"/>
          <w:szCs w:val="20"/>
          <w:lang w:val="en-US"/>
        </w:rPr>
      </w:pPr>
      <w:r w:rsidRPr="00EA3FD7">
        <w:rPr>
          <w:rFonts w:ascii="Arial" w:hAnsi="Arial" w:cs="Arial"/>
          <w:sz w:val="20"/>
          <w:szCs w:val="20"/>
          <w:lang w:val="en-GB"/>
        </w:rPr>
        <w:t>Source: BHAS, 2017.</w:t>
      </w:r>
    </w:p>
    <w:p w:rsidR="00EA3FD7" w:rsidRDefault="00EA3FD7" w:rsidP="00CA2193">
      <w:pPr>
        <w:spacing w:before="100" w:beforeAutospacing="1" w:after="0" w:line="360" w:lineRule="auto"/>
        <w:jc w:val="both"/>
        <w:rPr>
          <w:rFonts w:ascii="Arial" w:hAnsi="Arial" w:cs="Arial"/>
          <w:sz w:val="24"/>
          <w:szCs w:val="24"/>
        </w:rPr>
      </w:pPr>
      <w:r w:rsidRPr="00C420CA">
        <w:rPr>
          <w:rFonts w:ascii="Arial" w:hAnsi="Arial" w:cs="Arial"/>
          <w:sz w:val="24"/>
          <w:szCs w:val="24"/>
        </w:rPr>
        <w:t xml:space="preserve">Generally, content errors for </w:t>
      </w:r>
      <w:r>
        <w:rPr>
          <w:rFonts w:ascii="Arial" w:hAnsi="Arial" w:cs="Arial"/>
          <w:sz w:val="24"/>
          <w:szCs w:val="24"/>
        </w:rPr>
        <w:t>analysed</w:t>
      </w:r>
      <w:r w:rsidRPr="00C420CA">
        <w:rPr>
          <w:rFonts w:ascii="Arial" w:hAnsi="Arial" w:cs="Arial"/>
          <w:sz w:val="24"/>
          <w:szCs w:val="24"/>
        </w:rPr>
        <w:t xml:space="preserve"> variables are considered reasonably low according UN thresholds (UN, 2010).  Modest inconsistencies are evident only by few categories of </w:t>
      </w:r>
      <w:r>
        <w:rPr>
          <w:rFonts w:ascii="Arial" w:hAnsi="Arial" w:cs="Arial"/>
          <w:sz w:val="24"/>
          <w:szCs w:val="24"/>
        </w:rPr>
        <w:t xml:space="preserve">the variables. </w:t>
      </w:r>
    </w:p>
    <w:p w:rsidR="00EA3FD7" w:rsidRDefault="004F196E" w:rsidP="00CA2193">
      <w:pPr>
        <w:spacing w:before="100" w:beforeAutospacing="1" w:after="0" w:line="360" w:lineRule="auto"/>
        <w:jc w:val="both"/>
        <w:rPr>
          <w:rFonts w:ascii="Arial" w:hAnsi="Arial" w:cs="Arial"/>
          <w:b/>
          <w:sz w:val="24"/>
          <w:szCs w:val="24"/>
          <w:lang w:val="en-GB"/>
        </w:rPr>
      </w:pPr>
      <w:r>
        <w:rPr>
          <w:rFonts w:ascii="Arial" w:hAnsi="Arial" w:cs="Arial"/>
          <w:b/>
          <w:sz w:val="24"/>
          <w:szCs w:val="24"/>
          <w:lang w:val="en-GB"/>
        </w:rPr>
        <w:t>4. Acceptance of c</w:t>
      </w:r>
      <w:r w:rsidR="00EA3FD7" w:rsidRPr="00EA3FD7">
        <w:rPr>
          <w:rFonts w:ascii="Arial" w:hAnsi="Arial" w:cs="Arial"/>
          <w:b/>
          <w:sz w:val="24"/>
          <w:szCs w:val="24"/>
          <w:lang w:val="en-GB"/>
        </w:rPr>
        <w:t>ensus results by users</w:t>
      </w:r>
    </w:p>
    <w:p w:rsidR="00EA3FD7" w:rsidRPr="00F47145" w:rsidRDefault="003C2904" w:rsidP="002B535F">
      <w:pPr>
        <w:spacing w:before="100" w:beforeAutospacing="1" w:after="0" w:line="360" w:lineRule="auto"/>
        <w:jc w:val="both"/>
        <w:rPr>
          <w:rFonts w:ascii="Arial" w:hAnsi="Arial" w:cs="Arial"/>
          <w:sz w:val="24"/>
          <w:szCs w:val="24"/>
          <w:lang w:val="en-US"/>
        </w:rPr>
      </w:pPr>
      <w:r>
        <w:rPr>
          <w:rFonts w:ascii="Arial" w:hAnsi="Arial" w:cs="Arial"/>
          <w:sz w:val="24"/>
          <w:szCs w:val="24"/>
          <w:lang w:val="en-US"/>
        </w:rPr>
        <w:t>The 2013 c</w:t>
      </w:r>
      <w:r w:rsidR="00EA3FD7" w:rsidRPr="00F47145">
        <w:rPr>
          <w:rFonts w:ascii="Arial" w:hAnsi="Arial" w:cs="Arial"/>
          <w:sz w:val="24"/>
          <w:szCs w:val="24"/>
          <w:lang w:val="en-US"/>
        </w:rPr>
        <w:t>ensus in B</w:t>
      </w:r>
      <w:r w:rsidR="0030216D">
        <w:rPr>
          <w:rFonts w:ascii="Arial" w:hAnsi="Arial" w:cs="Arial"/>
          <w:sz w:val="24"/>
          <w:szCs w:val="24"/>
          <w:lang w:val="en-US"/>
        </w:rPr>
        <w:t>&amp;H</w:t>
      </w:r>
      <w:r w:rsidR="00EA3FD7" w:rsidRPr="00F47145">
        <w:rPr>
          <w:rFonts w:ascii="Arial" w:hAnsi="Arial" w:cs="Arial"/>
          <w:sz w:val="24"/>
          <w:szCs w:val="24"/>
          <w:lang w:val="en-US"/>
        </w:rPr>
        <w:t xml:space="preserve"> was given huge political importance and</w:t>
      </w:r>
      <w:r w:rsidR="00EA3FD7">
        <w:rPr>
          <w:rFonts w:ascii="Arial" w:hAnsi="Arial" w:cs="Arial"/>
          <w:sz w:val="24"/>
          <w:szCs w:val="24"/>
          <w:lang w:val="en-US"/>
        </w:rPr>
        <w:t xml:space="preserve"> it was presented </w:t>
      </w:r>
      <w:r w:rsidR="00EA3FD7" w:rsidRPr="00F47145">
        <w:rPr>
          <w:rFonts w:ascii="Arial" w:hAnsi="Arial" w:cs="Arial"/>
          <w:sz w:val="24"/>
          <w:szCs w:val="24"/>
          <w:lang w:val="en-US"/>
        </w:rPr>
        <w:t xml:space="preserve">as one of the most important political issues. </w:t>
      </w:r>
      <w:r w:rsidR="00EA3FD7">
        <w:rPr>
          <w:rFonts w:ascii="Arial" w:hAnsi="Arial" w:cs="Arial"/>
          <w:sz w:val="24"/>
          <w:szCs w:val="24"/>
          <w:lang w:val="en-US"/>
        </w:rPr>
        <w:t>Such</w:t>
      </w:r>
      <w:r w:rsidR="00EA3FD7" w:rsidRPr="00F47145">
        <w:rPr>
          <w:rFonts w:ascii="Arial" w:hAnsi="Arial" w:cs="Arial"/>
          <w:sz w:val="24"/>
          <w:szCs w:val="24"/>
          <w:lang w:val="en-US"/>
        </w:rPr>
        <w:t xml:space="preserve"> presentations</w:t>
      </w:r>
      <w:r w:rsidR="0030216D">
        <w:rPr>
          <w:rFonts w:ascii="Arial" w:hAnsi="Arial" w:cs="Arial"/>
          <w:sz w:val="24"/>
          <w:szCs w:val="24"/>
          <w:lang w:val="en-US"/>
        </w:rPr>
        <w:t xml:space="preserve"> of several interest groups</w:t>
      </w:r>
      <w:r w:rsidR="00EA3FD7" w:rsidRPr="00F47145">
        <w:rPr>
          <w:rFonts w:ascii="Arial" w:hAnsi="Arial" w:cs="Arial"/>
          <w:sz w:val="24"/>
          <w:szCs w:val="24"/>
          <w:lang w:val="en-US"/>
        </w:rPr>
        <w:t xml:space="preserve"> were stronger than the official </w:t>
      </w:r>
      <w:r w:rsidR="00C90A98">
        <w:rPr>
          <w:rFonts w:ascii="Arial" w:hAnsi="Arial" w:cs="Arial"/>
          <w:sz w:val="24"/>
          <w:szCs w:val="24"/>
          <w:lang w:val="en-US"/>
        </w:rPr>
        <w:t xml:space="preserve">census </w:t>
      </w:r>
      <w:r w:rsidR="00EA3FD7" w:rsidRPr="00F47145">
        <w:rPr>
          <w:rFonts w:ascii="Arial" w:hAnsi="Arial" w:cs="Arial"/>
          <w:sz w:val="24"/>
          <w:szCs w:val="24"/>
          <w:lang w:val="en-US"/>
        </w:rPr>
        <w:t xml:space="preserve">public </w:t>
      </w:r>
      <w:r w:rsidR="00EA3FD7" w:rsidRPr="00AD254D">
        <w:rPr>
          <w:rFonts w:ascii="Arial" w:hAnsi="Arial" w:cs="Arial"/>
          <w:sz w:val="24"/>
          <w:szCs w:val="24"/>
          <w:lang w:val="en-US"/>
        </w:rPr>
        <w:t>campaign. These gro</w:t>
      </w:r>
      <w:r w:rsidR="0030216D">
        <w:rPr>
          <w:rFonts w:ascii="Arial" w:hAnsi="Arial" w:cs="Arial"/>
          <w:sz w:val="24"/>
          <w:szCs w:val="24"/>
          <w:lang w:val="en-US"/>
        </w:rPr>
        <w:t>ups</w:t>
      </w:r>
      <w:r w:rsidR="00EA3FD7" w:rsidRPr="00F47145">
        <w:rPr>
          <w:rFonts w:ascii="Arial" w:hAnsi="Arial" w:cs="Arial"/>
          <w:sz w:val="24"/>
          <w:szCs w:val="24"/>
          <w:lang w:val="en-US"/>
        </w:rPr>
        <w:t xml:space="preserve"> focus</w:t>
      </w:r>
      <w:r w:rsidR="0030216D">
        <w:rPr>
          <w:rFonts w:ascii="Arial" w:hAnsi="Arial" w:cs="Arial"/>
          <w:sz w:val="24"/>
          <w:szCs w:val="24"/>
          <w:lang w:val="en-US"/>
        </w:rPr>
        <w:t>ed</w:t>
      </w:r>
      <w:r w:rsidR="00EA3FD7" w:rsidRPr="00F47145">
        <w:rPr>
          <w:rFonts w:ascii="Arial" w:hAnsi="Arial" w:cs="Arial"/>
          <w:sz w:val="24"/>
          <w:szCs w:val="24"/>
          <w:lang w:val="en-US"/>
        </w:rPr>
        <w:t xml:space="preserve"> the attention only on three sensitive questions by presenting them as the greatest “ethnic” interest. </w:t>
      </w:r>
      <w:r w:rsidR="00EA3FD7" w:rsidRPr="008009E9">
        <w:rPr>
          <w:rFonts w:ascii="Arial" w:hAnsi="Arial" w:cs="Arial"/>
          <w:sz w:val="24"/>
          <w:szCs w:val="24"/>
          <w:lang w:val="en-US"/>
        </w:rPr>
        <w:t>They wrongly presented the census as a population register, source of data for property management and tax issues or as a potential tool for eliminating specific ethnicities from regions where they live for centuries</w:t>
      </w:r>
      <w:r w:rsidR="0030216D">
        <w:rPr>
          <w:rFonts w:ascii="Arial" w:hAnsi="Arial" w:cs="Arial"/>
          <w:sz w:val="24"/>
          <w:szCs w:val="24"/>
          <w:lang w:val="en-US"/>
        </w:rPr>
        <w:t>.</w:t>
      </w:r>
      <w:r w:rsidR="00EA3FD7" w:rsidRPr="008009E9">
        <w:rPr>
          <w:rFonts w:ascii="Arial" w:hAnsi="Arial" w:cs="Arial"/>
          <w:sz w:val="24"/>
          <w:szCs w:val="24"/>
          <w:lang w:val="en-US"/>
        </w:rPr>
        <w:t xml:space="preserve"> Very few persons or institutions were ta</w:t>
      </w:r>
      <w:r w:rsidR="00EA3FD7" w:rsidRPr="00F47145">
        <w:rPr>
          <w:rFonts w:ascii="Arial" w:hAnsi="Arial" w:cs="Arial"/>
          <w:sz w:val="24"/>
          <w:szCs w:val="24"/>
          <w:lang w:val="en-US"/>
        </w:rPr>
        <w:t xml:space="preserve">lking about the census </w:t>
      </w:r>
      <w:r w:rsidR="00EA3FD7">
        <w:rPr>
          <w:rFonts w:ascii="Arial" w:hAnsi="Arial" w:cs="Arial"/>
          <w:sz w:val="24"/>
          <w:szCs w:val="24"/>
          <w:lang w:val="en-US"/>
        </w:rPr>
        <w:t xml:space="preserve">in </w:t>
      </w:r>
      <w:r w:rsidR="00C07C6C">
        <w:rPr>
          <w:rFonts w:ascii="Arial" w:hAnsi="Arial" w:cs="Arial"/>
          <w:sz w:val="24"/>
          <w:szCs w:val="24"/>
          <w:lang w:val="en-US"/>
        </w:rPr>
        <w:t>the right</w:t>
      </w:r>
      <w:r w:rsidR="00EA3FD7">
        <w:rPr>
          <w:rFonts w:ascii="Arial" w:hAnsi="Arial" w:cs="Arial"/>
          <w:sz w:val="24"/>
          <w:szCs w:val="24"/>
          <w:lang w:val="en-US"/>
        </w:rPr>
        <w:t xml:space="preserve"> way.</w:t>
      </w:r>
      <w:r w:rsidR="00EA3FD7" w:rsidRPr="00F47145">
        <w:rPr>
          <w:rFonts w:ascii="Arial" w:hAnsi="Arial" w:cs="Arial"/>
          <w:sz w:val="24"/>
          <w:szCs w:val="24"/>
          <w:lang w:val="en-US"/>
        </w:rPr>
        <w:t xml:space="preserve"> In favor of the above opinion is also </w:t>
      </w:r>
      <w:r w:rsidR="0055063A">
        <w:rPr>
          <w:rFonts w:ascii="Arial" w:hAnsi="Arial" w:cs="Arial"/>
          <w:sz w:val="24"/>
          <w:szCs w:val="24"/>
          <w:lang w:val="en-US"/>
        </w:rPr>
        <w:t>the</w:t>
      </w:r>
      <w:r w:rsidR="00EA3FD7" w:rsidRPr="00F47145">
        <w:rPr>
          <w:rFonts w:ascii="Arial" w:hAnsi="Arial" w:cs="Arial"/>
          <w:sz w:val="24"/>
          <w:szCs w:val="24"/>
          <w:lang w:val="en-US"/>
        </w:rPr>
        <w:t xml:space="preserve"> fact that most of the attention in the census results was focused on those of ethnic structure of the population. Some institutions and individuals had th</w:t>
      </w:r>
      <w:r w:rsidR="0073137C">
        <w:rPr>
          <w:rFonts w:ascii="Arial" w:hAnsi="Arial" w:cs="Arial"/>
          <w:sz w:val="24"/>
          <w:szCs w:val="24"/>
          <w:lang w:val="en-US"/>
        </w:rPr>
        <w:t>e opinion that the census count</w:t>
      </w:r>
      <w:r w:rsidR="00EA3FD7" w:rsidRPr="00F47145">
        <w:rPr>
          <w:rFonts w:ascii="Arial" w:hAnsi="Arial" w:cs="Arial"/>
          <w:sz w:val="24"/>
          <w:szCs w:val="24"/>
          <w:lang w:val="en-US"/>
        </w:rPr>
        <w:t xml:space="preserve"> should be a result of the agreement between (political) organizations and not a product of the statistical analysis. Among them were also some members of the management</w:t>
      </w:r>
      <w:r w:rsidR="00EA3FD7">
        <w:rPr>
          <w:rFonts w:ascii="Arial" w:hAnsi="Arial" w:cs="Arial"/>
          <w:sz w:val="24"/>
          <w:szCs w:val="24"/>
          <w:lang w:val="en-US"/>
        </w:rPr>
        <w:t>s</w:t>
      </w:r>
      <w:r w:rsidR="00EA3FD7" w:rsidRPr="00F47145">
        <w:rPr>
          <w:rFonts w:ascii="Arial" w:hAnsi="Arial" w:cs="Arial"/>
          <w:sz w:val="24"/>
          <w:szCs w:val="24"/>
          <w:lang w:val="en-US"/>
        </w:rPr>
        <w:t xml:space="preserve"> of statistical institutions, members of Bosnian Presidency and </w:t>
      </w:r>
      <w:r w:rsidR="0030216D">
        <w:rPr>
          <w:rFonts w:ascii="Arial" w:hAnsi="Arial" w:cs="Arial"/>
          <w:sz w:val="24"/>
          <w:szCs w:val="24"/>
          <w:lang w:val="en-US"/>
        </w:rPr>
        <w:t>some</w:t>
      </w:r>
      <w:r w:rsidR="00EA3FD7" w:rsidRPr="00F47145">
        <w:rPr>
          <w:rFonts w:ascii="Arial" w:hAnsi="Arial" w:cs="Arial"/>
          <w:sz w:val="24"/>
          <w:szCs w:val="24"/>
          <w:lang w:val="en-US"/>
        </w:rPr>
        <w:t xml:space="preserve"> politic</w:t>
      </w:r>
      <w:r w:rsidR="0030216D">
        <w:rPr>
          <w:rFonts w:ascii="Arial" w:hAnsi="Arial" w:cs="Arial"/>
          <w:sz w:val="24"/>
          <w:szCs w:val="24"/>
          <w:lang w:val="en-US"/>
        </w:rPr>
        <w:t>ians</w:t>
      </w:r>
      <w:r w:rsidR="00EA3FD7" w:rsidRPr="00F47145">
        <w:rPr>
          <w:rFonts w:ascii="Arial" w:hAnsi="Arial" w:cs="Arial"/>
          <w:sz w:val="24"/>
          <w:szCs w:val="24"/>
          <w:lang w:val="en-US"/>
        </w:rPr>
        <w:t xml:space="preserve">. If we ignore politicians for a </w:t>
      </w:r>
      <w:r w:rsidR="0055063A">
        <w:rPr>
          <w:rFonts w:ascii="Arial" w:hAnsi="Arial" w:cs="Arial"/>
          <w:sz w:val="24"/>
          <w:szCs w:val="24"/>
          <w:lang w:val="en-US"/>
        </w:rPr>
        <w:t>moment</w:t>
      </w:r>
      <w:r w:rsidR="00EA3FD7" w:rsidRPr="00F47145">
        <w:rPr>
          <w:rFonts w:ascii="Arial" w:hAnsi="Arial" w:cs="Arial"/>
          <w:sz w:val="24"/>
          <w:szCs w:val="24"/>
          <w:lang w:val="en-US"/>
        </w:rPr>
        <w:t>, we are surprised by the attitude of some members of the managements of the statistical institutes, whose behavior in producing census results was directly against the principles of the Code of Practice of European Statistics and Law on Statistics of Bosnia and Herzegovina. This is</w:t>
      </w:r>
      <w:r w:rsidR="00EA3FD7">
        <w:rPr>
          <w:rFonts w:ascii="Arial" w:hAnsi="Arial" w:cs="Arial"/>
          <w:sz w:val="24"/>
          <w:szCs w:val="24"/>
          <w:lang w:val="en-US"/>
        </w:rPr>
        <w:t>, among other reasons,</w:t>
      </w:r>
      <w:r w:rsidR="00EA3FD7" w:rsidRPr="00F47145">
        <w:rPr>
          <w:rFonts w:ascii="Arial" w:hAnsi="Arial" w:cs="Arial"/>
          <w:sz w:val="24"/>
          <w:szCs w:val="24"/>
          <w:lang w:val="en-US"/>
        </w:rPr>
        <w:t xml:space="preserve"> a result of the wrong selection of the managements of statistical and other institutions, which prefers politically </w:t>
      </w:r>
      <w:r w:rsidR="00E66B79">
        <w:rPr>
          <w:rFonts w:ascii="Arial" w:hAnsi="Arial" w:cs="Arial"/>
          <w:sz w:val="24"/>
          <w:szCs w:val="24"/>
          <w:lang w:val="en-US"/>
        </w:rPr>
        <w:t>promoted</w:t>
      </w:r>
      <w:r w:rsidR="002E4BDA">
        <w:rPr>
          <w:rFonts w:ascii="Arial" w:hAnsi="Arial" w:cs="Arial"/>
          <w:sz w:val="24"/>
          <w:szCs w:val="24"/>
          <w:lang w:val="en-US"/>
        </w:rPr>
        <w:t xml:space="preserve"> </w:t>
      </w:r>
      <w:r w:rsidR="00EA3FD7" w:rsidRPr="00F47145">
        <w:rPr>
          <w:rFonts w:ascii="Arial" w:hAnsi="Arial" w:cs="Arial"/>
          <w:sz w:val="24"/>
          <w:szCs w:val="24"/>
          <w:lang w:val="en-US"/>
        </w:rPr>
        <w:t xml:space="preserve">persons and ignores experts. In such selection procedures, experts do not have any chance to be appointed because the system is made as a closed circle that promotes in advance predetermined </w:t>
      </w:r>
      <w:r w:rsidR="001A7592" w:rsidRPr="00F47145">
        <w:rPr>
          <w:rFonts w:ascii="Arial" w:hAnsi="Arial" w:cs="Arial"/>
          <w:sz w:val="24"/>
          <w:szCs w:val="24"/>
          <w:lang w:val="en-US"/>
        </w:rPr>
        <w:t>persons. The</w:t>
      </w:r>
      <w:r w:rsidR="00EA3FD7" w:rsidRPr="00F47145">
        <w:rPr>
          <w:rFonts w:ascii="Arial" w:hAnsi="Arial" w:cs="Arial"/>
          <w:sz w:val="24"/>
          <w:szCs w:val="24"/>
          <w:lang w:val="en-US"/>
        </w:rPr>
        <w:t xml:space="preserve"> general impression is that we can talk about decline in confidence of general public and data users in the work of statistical institutions. This is certainly the phenomenon, which should be further investigated by sociologists, psychologists, professors of statistics and statisticians, but also by the highest authorities in the public administration and it is out of the scope of this paper. The aim of this pa</w:t>
      </w:r>
      <w:r w:rsidR="00DB7EC5">
        <w:rPr>
          <w:rFonts w:ascii="Arial" w:hAnsi="Arial" w:cs="Arial"/>
          <w:sz w:val="24"/>
          <w:szCs w:val="24"/>
          <w:lang w:val="en-US"/>
        </w:rPr>
        <w:t>per</w:t>
      </w:r>
      <w:r w:rsidR="00EA3FD7" w:rsidRPr="00F47145">
        <w:rPr>
          <w:rFonts w:ascii="Arial" w:hAnsi="Arial" w:cs="Arial"/>
          <w:sz w:val="24"/>
          <w:szCs w:val="24"/>
          <w:lang w:val="en-US"/>
        </w:rPr>
        <w:t xml:space="preserve"> is to open broader discussion about the general “statistical culture” in Bosnia and Herzegovina, to open </w:t>
      </w:r>
      <w:r w:rsidR="002436A4">
        <w:rPr>
          <w:rFonts w:ascii="Arial" w:hAnsi="Arial" w:cs="Arial"/>
          <w:sz w:val="24"/>
          <w:szCs w:val="24"/>
          <w:lang w:val="en-US"/>
        </w:rPr>
        <w:t>up</w:t>
      </w:r>
      <w:r w:rsidR="00EA3FD7" w:rsidRPr="00F47145">
        <w:rPr>
          <w:rFonts w:ascii="Arial" w:hAnsi="Arial" w:cs="Arial"/>
          <w:sz w:val="24"/>
          <w:szCs w:val="24"/>
          <w:lang w:val="en-US"/>
        </w:rPr>
        <w:t xml:space="preserve"> question</w:t>
      </w:r>
      <w:r w:rsidR="002436A4">
        <w:rPr>
          <w:rFonts w:ascii="Arial" w:hAnsi="Arial" w:cs="Arial"/>
          <w:sz w:val="24"/>
          <w:szCs w:val="24"/>
          <w:lang w:val="en-US"/>
        </w:rPr>
        <w:t>s,</w:t>
      </w:r>
      <w:r w:rsidR="00EA3FD7" w:rsidRPr="00F47145">
        <w:rPr>
          <w:rFonts w:ascii="Arial" w:hAnsi="Arial" w:cs="Arial"/>
          <w:sz w:val="24"/>
          <w:szCs w:val="24"/>
          <w:lang w:val="en-US"/>
        </w:rPr>
        <w:t xml:space="preserve"> what </w:t>
      </w:r>
      <w:r w:rsidR="002436A4">
        <w:rPr>
          <w:rFonts w:ascii="Arial" w:hAnsi="Arial" w:cs="Arial"/>
          <w:sz w:val="24"/>
          <w:szCs w:val="24"/>
          <w:lang w:val="en-US"/>
        </w:rPr>
        <w:t xml:space="preserve">is the </w:t>
      </w:r>
      <w:r w:rsidR="00EA3FD7" w:rsidRPr="00F47145">
        <w:rPr>
          <w:rFonts w:ascii="Arial" w:hAnsi="Arial" w:cs="Arial"/>
          <w:sz w:val="24"/>
          <w:szCs w:val="24"/>
          <w:lang w:val="en-US"/>
        </w:rPr>
        <w:t>statistics, wh</w:t>
      </w:r>
      <w:r w:rsidR="002436A4">
        <w:rPr>
          <w:rFonts w:ascii="Arial" w:hAnsi="Arial" w:cs="Arial"/>
          <w:sz w:val="24"/>
          <w:szCs w:val="24"/>
          <w:lang w:val="en-US"/>
        </w:rPr>
        <w:t>ich</w:t>
      </w:r>
      <w:r w:rsidR="00EA3FD7" w:rsidRPr="00F47145">
        <w:rPr>
          <w:rFonts w:ascii="Arial" w:hAnsi="Arial" w:cs="Arial"/>
          <w:sz w:val="24"/>
          <w:szCs w:val="24"/>
          <w:lang w:val="en-US"/>
        </w:rPr>
        <w:t xml:space="preserve"> is its pu</w:t>
      </w:r>
      <w:r w:rsidR="00176CF5">
        <w:rPr>
          <w:rFonts w:ascii="Arial" w:hAnsi="Arial" w:cs="Arial"/>
          <w:sz w:val="24"/>
          <w:szCs w:val="24"/>
          <w:lang w:val="en-US"/>
        </w:rPr>
        <w:t>rpose and place in the society.</w:t>
      </w:r>
    </w:p>
    <w:p w:rsidR="00A0249E" w:rsidRPr="00781F41" w:rsidRDefault="00EA3FD7" w:rsidP="00232BC1">
      <w:pPr>
        <w:spacing w:before="100" w:beforeAutospacing="1" w:after="0" w:line="360" w:lineRule="auto"/>
        <w:jc w:val="both"/>
        <w:rPr>
          <w:rFonts w:ascii="Arial" w:hAnsi="Arial" w:cs="Arial"/>
          <w:sz w:val="24"/>
          <w:szCs w:val="24"/>
          <w:lang w:val="en-US"/>
        </w:rPr>
      </w:pPr>
      <w:r w:rsidRPr="00F47145">
        <w:rPr>
          <w:rFonts w:ascii="Arial" w:hAnsi="Arial" w:cs="Arial"/>
          <w:sz w:val="24"/>
          <w:szCs w:val="24"/>
          <w:lang w:val="en-US"/>
        </w:rPr>
        <w:t xml:space="preserve">The Agency for Statistics of Bosnia and Herzegovina was aware of the atmosphere in which the census </w:t>
      </w:r>
      <w:r w:rsidR="00D95EDF">
        <w:rPr>
          <w:rFonts w:ascii="Arial" w:hAnsi="Arial" w:cs="Arial"/>
          <w:sz w:val="24"/>
          <w:szCs w:val="24"/>
          <w:lang w:val="en-US"/>
        </w:rPr>
        <w:t>is</w:t>
      </w:r>
      <w:r w:rsidRPr="00F47145">
        <w:rPr>
          <w:rFonts w:ascii="Arial" w:hAnsi="Arial" w:cs="Arial"/>
          <w:sz w:val="24"/>
          <w:szCs w:val="24"/>
          <w:lang w:val="en-US"/>
        </w:rPr>
        <w:t xml:space="preserve"> conducted. It has conducted the </w:t>
      </w:r>
      <w:r w:rsidR="008E45A1">
        <w:rPr>
          <w:rFonts w:ascii="Arial" w:hAnsi="Arial" w:cs="Arial"/>
          <w:sz w:val="24"/>
          <w:szCs w:val="24"/>
          <w:lang w:val="en-US"/>
        </w:rPr>
        <w:t>census and the PES</w:t>
      </w:r>
      <w:r w:rsidRPr="00F47145">
        <w:rPr>
          <w:rFonts w:ascii="Arial" w:hAnsi="Arial" w:cs="Arial"/>
          <w:sz w:val="24"/>
          <w:szCs w:val="24"/>
          <w:lang w:val="en-US"/>
        </w:rPr>
        <w:t xml:space="preserve"> in line with all relevant standards. </w:t>
      </w:r>
      <w:r>
        <w:rPr>
          <w:rFonts w:ascii="Arial" w:hAnsi="Arial" w:cs="Arial"/>
          <w:sz w:val="24"/>
          <w:szCs w:val="24"/>
          <w:lang w:val="en-US"/>
        </w:rPr>
        <w:t xml:space="preserve">The </w:t>
      </w:r>
      <w:r w:rsidRPr="00F47145">
        <w:rPr>
          <w:rFonts w:ascii="Arial" w:hAnsi="Arial" w:cs="Arial"/>
          <w:sz w:val="24"/>
          <w:szCs w:val="24"/>
          <w:lang w:val="en-US"/>
        </w:rPr>
        <w:t>International Monitoring Organizati</w:t>
      </w:r>
      <w:r w:rsidR="0094008A">
        <w:rPr>
          <w:rFonts w:ascii="Arial" w:hAnsi="Arial" w:cs="Arial"/>
          <w:sz w:val="24"/>
          <w:szCs w:val="24"/>
          <w:lang w:val="en-US"/>
        </w:rPr>
        <w:t>on and Eurostat have validated c</w:t>
      </w:r>
      <w:r w:rsidRPr="00F47145">
        <w:rPr>
          <w:rFonts w:ascii="Arial" w:hAnsi="Arial" w:cs="Arial"/>
          <w:sz w:val="24"/>
          <w:szCs w:val="24"/>
          <w:lang w:val="en-US"/>
        </w:rPr>
        <w:t xml:space="preserve">ensus and PES </w:t>
      </w:r>
      <w:r w:rsidRPr="00781F41">
        <w:rPr>
          <w:rFonts w:ascii="Arial" w:hAnsi="Arial" w:cs="Arial"/>
          <w:sz w:val="24"/>
          <w:szCs w:val="24"/>
          <w:lang w:val="en-US"/>
        </w:rPr>
        <w:t xml:space="preserve">results and concluded that they can be used for policy and statistical purposes. But, today, almost five years after the census, its results have neither been used for policy nor statistical purposes. This gives enough evidence about the level of “statistical culture” in Bosnia and Herzegovina, if it exists at all. </w:t>
      </w:r>
    </w:p>
    <w:p w:rsidR="00EA3FD7" w:rsidRDefault="00EA3FD7" w:rsidP="00232BC1">
      <w:pPr>
        <w:spacing w:before="100" w:beforeAutospacing="1" w:after="0" w:line="360" w:lineRule="auto"/>
        <w:jc w:val="both"/>
        <w:rPr>
          <w:rFonts w:ascii="Arial" w:hAnsi="Arial" w:cs="Arial"/>
          <w:b/>
          <w:sz w:val="24"/>
          <w:szCs w:val="24"/>
          <w:lang w:val="en-GB"/>
        </w:rPr>
      </w:pPr>
      <w:r w:rsidRPr="00EA3FD7">
        <w:rPr>
          <w:rFonts w:ascii="Arial" w:hAnsi="Arial" w:cs="Arial"/>
          <w:b/>
          <w:sz w:val="24"/>
          <w:szCs w:val="24"/>
          <w:lang w:val="en-GB"/>
        </w:rPr>
        <w:t>5. Conclusion</w:t>
      </w:r>
    </w:p>
    <w:p w:rsidR="00CA2193" w:rsidRDefault="007D49D9" w:rsidP="00660713">
      <w:pPr>
        <w:spacing w:before="120" w:after="0" w:line="360" w:lineRule="auto"/>
        <w:jc w:val="both"/>
        <w:rPr>
          <w:rFonts w:ascii="Arial" w:hAnsi="Arial" w:cs="Arial"/>
          <w:sz w:val="24"/>
          <w:szCs w:val="24"/>
          <w:lang w:val="en-US"/>
        </w:rPr>
      </w:pPr>
      <w:r w:rsidRPr="00A0249E">
        <w:rPr>
          <w:rFonts w:ascii="Arial" w:hAnsi="Arial" w:cs="Arial"/>
          <w:sz w:val="24"/>
          <w:szCs w:val="24"/>
          <w:lang w:val="en-US"/>
        </w:rPr>
        <w:t>In this paper</w:t>
      </w:r>
      <w:r w:rsidRPr="00781F41">
        <w:rPr>
          <w:rFonts w:ascii="Arial" w:hAnsi="Arial" w:cs="Arial"/>
          <w:sz w:val="24"/>
          <w:szCs w:val="24"/>
          <w:lang w:val="en-US"/>
        </w:rPr>
        <w:t>, we presented the methodology of census quality</w:t>
      </w:r>
      <w:r w:rsidR="005B0DBA">
        <w:rPr>
          <w:rFonts w:ascii="Arial" w:hAnsi="Arial" w:cs="Arial"/>
          <w:sz w:val="24"/>
          <w:szCs w:val="24"/>
          <w:lang w:val="en-US"/>
        </w:rPr>
        <w:t xml:space="preserve"> measurement, which is based on</w:t>
      </w:r>
      <w:r w:rsidRPr="00781F41">
        <w:rPr>
          <w:rFonts w:ascii="Arial" w:hAnsi="Arial" w:cs="Arial"/>
          <w:sz w:val="24"/>
          <w:szCs w:val="24"/>
          <w:lang w:val="en-US"/>
        </w:rPr>
        <w:t xml:space="preserve"> the adjusted </w:t>
      </w:r>
      <w:r w:rsidR="003D572E">
        <w:rPr>
          <w:rFonts w:ascii="Arial" w:hAnsi="Arial" w:cs="Arial"/>
          <w:sz w:val="24"/>
          <w:szCs w:val="24"/>
          <w:lang w:val="en-US"/>
        </w:rPr>
        <w:t>DSE</w:t>
      </w:r>
      <w:r w:rsidRPr="00781F41">
        <w:rPr>
          <w:rFonts w:ascii="Arial" w:hAnsi="Arial" w:cs="Arial"/>
          <w:sz w:val="24"/>
          <w:szCs w:val="24"/>
          <w:lang w:val="en-US"/>
        </w:rPr>
        <w:t>. The estimate of the true resident population has given the evidence that the popu</w:t>
      </w:r>
      <w:r w:rsidR="003D572E">
        <w:rPr>
          <w:rFonts w:ascii="Arial" w:hAnsi="Arial" w:cs="Arial"/>
          <w:sz w:val="24"/>
          <w:szCs w:val="24"/>
          <w:lang w:val="en-US"/>
        </w:rPr>
        <w:t>lation was over-counted in the c</w:t>
      </w:r>
      <w:r w:rsidRPr="00781F41">
        <w:rPr>
          <w:rFonts w:ascii="Arial" w:hAnsi="Arial" w:cs="Arial"/>
          <w:sz w:val="24"/>
          <w:szCs w:val="24"/>
          <w:lang w:val="en-US"/>
        </w:rPr>
        <w:t>ensus and that the over-coverage was a bit unusual or atypical.  The net coverage census error for total population was</w:t>
      </w:r>
      <w:r>
        <w:rPr>
          <w:rFonts w:ascii="Arial" w:hAnsi="Arial" w:cs="Arial"/>
          <w:sz w:val="24"/>
          <w:szCs w:val="24"/>
          <w:lang w:val="en-US"/>
        </w:rPr>
        <w:t xml:space="preserve"> not</w:t>
      </w:r>
      <w:r w:rsidRPr="00781F41">
        <w:rPr>
          <w:rFonts w:ascii="Arial" w:hAnsi="Arial" w:cs="Arial"/>
          <w:sz w:val="24"/>
          <w:szCs w:val="24"/>
          <w:lang w:val="en-US"/>
        </w:rPr>
        <w:t xml:space="preserve"> in the scope to be evaluated as bad quality of census results. Similar evidence was also obtained </w:t>
      </w:r>
      <w:r w:rsidR="003D572E">
        <w:rPr>
          <w:rFonts w:ascii="Arial" w:hAnsi="Arial" w:cs="Arial"/>
          <w:sz w:val="24"/>
          <w:szCs w:val="24"/>
          <w:lang w:val="en-US"/>
        </w:rPr>
        <w:t>for</w:t>
      </w:r>
      <w:r w:rsidRPr="00781F41">
        <w:rPr>
          <w:rFonts w:ascii="Arial" w:hAnsi="Arial" w:cs="Arial"/>
          <w:sz w:val="24"/>
          <w:szCs w:val="24"/>
          <w:lang w:val="en-US"/>
        </w:rPr>
        <w:t xml:space="preserve"> census content quality. Consequentl</w:t>
      </w:r>
      <w:r w:rsidR="004F1D66">
        <w:rPr>
          <w:rFonts w:ascii="Arial" w:hAnsi="Arial" w:cs="Arial"/>
          <w:sz w:val="24"/>
          <w:szCs w:val="24"/>
          <w:lang w:val="en-US"/>
        </w:rPr>
        <w:t>y, the overall quality of 2013 c</w:t>
      </w:r>
      <w:r w:rsidRPr="00781F41">
        <w:rPr>
          <w:rFonts w:ascii="Arial" w:hAnsi="Arial" w:cs="Arial"/>
          <w:sz w:val="24"/>
          <w:szCs w:val="24"/>
          <w:lang w:val="en-US"/>
        </w:rPr>
        <w:t xml:space="preserve">ensus </w:t>
      </w:r>
      <w:r w:rsidR="004F1D66">
        <w:rPr>
          <w:rFonts w:ascii="Arial" w:hAnsi="Arial" w:cs="Arial"/>
          <w:sz w:val="24"/>
          <w:szCs w:val="24"/>
          <w:lang w:val="en-US"/>
        </w:rPr>
        <w:t xml:space="preserve">of population </w:t>
      </w:r>
      <w:r w:rsidRPr="00781F41">
        <w:rPr>
          <w:rFonts w:ascii="Arial" w:hAnsi="Arial" w:cs="Arial"/>
          <w:sz w:val="24"/>
          <w:szCs w:val="24"/>
          <w:lang w:val="en-US"/>
        </w:rPr>
        <w:t xml:space="preserve">could be evaluated as good and usable for statistical purposes and </w:t>
      </w:r>
      <w:r w:rsidR="00890BD8">
        <w:rPr>
          <w:rFonts w:ascii="Arial" w:hAnsi="Arial" w:cs="Arial"/>
          <w:sz w:val="24"/>
          <w:szCs w:val="24"/>
          <w:lang w:val="en-US"/>
        </w:rPr>
        <w:t xml:space="preserve">policy making.  Nevertheless, </w:t>
      </w:r>
      <w:r w:rsidRPr="00781F41">
        <w:rPr>
          <w:rFonts w:ascii="Arial" w:hAnsi="Arial" w:cs="Arial"/>
          <w:sz w:val="24"/>
          <w:szCs w:val="24"/>
          <w:lang w:val="en-US"/>
        </w:rPr>
        <w:t>for political reasons results of the census have remained unused until today, which indicate</w:t>
      </w:r>
      <w:r w:rsidR="00660713">
        <w:rPr>
          <w:rFonts w:ascii="Arial" w:hAnsi="Arial" w:cs="Arial"/>
          <w:sz w:val="24"/>
          <w:szCs w:val="24"/>
          <w:lang w:val="en-US"/>
        </w:rPr>
        <w:t>s</w:t>
      </w:r>
      <w:r w:rsidRPr="00781F41">
        <w:rPr>
          <w:rFonts w:ascii="Arial" w:hAnsi="Arial" w:cs="Arial"/>
          <w:sz w:val="24"/>
          <w:szCs w:val="24"/>
          <w:lang w:val="en-US"/>
        </w:rPr>
        <w:t xml:space="preserve"> a very low statistical culture in the country.  What is most </w:t>
      </w:r>
      <w:r w:rsidR="00660713" w:rsidRPr="00781F41">
        <w:rPr>
          <w:rFonts w:ascii="Arial" w:hAnsi="Arial" w:cs="Arial"/>
          <w:sz w:val="24"/>
          <w:szCs w:val="24"/>
          <w:lang w:val="en-US"/>
        </w:rPr>
        <w:t>surprising</w:t>
      </w:r>
      <w:r>
        <w:rPr>
          <w:rFonts w:ascii="Arial" w:hAnsi="Arial" w:cs="Arial"/>
          <w:sz w:val="24"/>
          <w:szCs w:val="24"/>
          <w:lang w:val="en-US"/>
        </w:rPr>
        <w:t xml:space="preserve"> </w:t>
      </w:r>
      <w:r w:rsidRPr="00781F41">
        <w:rPr>
          <w:rFonts w:ascii="Arial" w:hAnsi="Arial" w:cs="Arial"/>
          <w:sz w:val="24"/>
          <w:szCs w:val="24"/>
          <w:lang w:val="en-US"/>
        </w:rPr>
        <w:t>is that many factors within the statistical system contributed to this position.</w:t>
      </w:r>
      <w:r w:rsidR="00660713">
        <w:rPr>
          <w:rFonts w:ascii="Arial" w:hAnsi="Arial" w:cs="Arial"/>
          <w:sz w:val="24"/>
          <w:szCs w:val="24"/>
          <w:lang w:val="en-US"/>
        </w:rPr>
        <w:t xml:space="preserve"> </w:t>
      </w:r>
      <w:r w:rsidRPr="00781F41">
        <w:rPr>
          <w:rFonts w:ascii="Arial" w:hAnsi="Arial" w:cs="Arial"/>
          <w:sz w:val="24"/>
          <w:szCs w:val="24"/>
          <w:lang w:val="en-US"/>
        </w:rPr>
        <w:t>Lessons learned from the last census should be used in the preparation of the census 2021. For this purpose, three main issues must be discusse</w:t>
      </w:r>
      <w:r w:rsidR="00907F69">
        <w:rPr>
          <w:rFonts w:ascii="Arial" w:hAnsi="Arial" w:cs="Arial"/>
          <w:sz w:val="24"/>
          <w:szCs w:val="24"/>
          <w:lang w:val="en-US"/>
        </w:rPr>
        <w:t xml:space="preserve">d with the greatest attention: </w:t>
      </w:r>
      <w:r>
        <w:rPr>
          <w:rFonts w:ascii="Arial" w:hAnsi="Arial" w:cs="Arial"/>
          <w:sz w:val="24"/>
          <w:szCs w:val="24"/>
          <w:lang w:val="en-US"/>
        </w:rPr>
        <w:t xml:space="preserve">(i) census </w:t>
      </w:r>
      <w:r w:rsidR="0092122D">
        <w:rPr>
          <w:rFonts w:ascii="Arial" w:hAnsi="Arial" w:cs="Arial"/>
          <w:sz w:val="24"/>
          <w:szCs w:val="24"/>
          <w:lang w:val="en-US"/>
        </w:rPr>
        <w:t>is</w:t>
      </w:r>
      <w:r w:rsidRPr="00781F41">
        <w:rPr>
          <w:rFonts w:ascii="Arial" w:hAnsi="Arial" w:cs="Arial"/>
          <w:sz w:val="24"/>
          <w:szCs w:val="24"/>
          <w:lang w:val="en-US"/>
        </w:rPr>
        <w:t xml:space="preserve"> a statistical survey; (ii) </w:t>
      </w:r>
      <w:r w:rsidR="00907F69">
        <w:rPr>
          <w:rFonts w:ascii="Arial" w:hAnsi="Arial" w:cs="Arial"/>
          <w:sz w:val="24"/>
          <w:szCs w:val="24"/>
          <w:lang w:val="en-US"/>
        </w:rPr>
        <w:t xml:space="preserve">removal of </w:t>
      </w:r>
      <w:r w:rsidRPr="00781F41">
        <w:rPr>
          <w:rFonts w:ascii="Arial" w:hAnsi="Arial" w:cs="Arial"/>
          <w:sz w:val="24"/>
          <w:szCs w:val="24"/>
          <w:lang w:val="en-US"/>
        </w:rPr>
        <w:t xml:space="preserve">sensitive questions on ethnicity and religion from </w:t>
      </w:r>
      <w:r>
        <w:rPr>
          <w:rFonts w:ascii="Arial" w:hAnsi="Arial" w:cs="Arial"/>
          <w:sz w:val="24"/>
          <w:szCs w:val="24"/>
          <w:lang w:val="en-US"/>
        </w:rPr>
        <w:t xml:space="preserve">census questionnaires, and </w:t>
      </w:r>
      <w:r w:rsidRPr="00781F41">
        <w:rPr>
          <w:rFonts w:ascii="Arial" w:hAnsi="Arial" w:cs="Arial"/>
          <w:sz w:val="24"/>
          <w:szCs w:val="24"/>
          <w:lang w:val="en-US"/>
        </w:rPr>
        <w:t>(iii) politicians have nothing to deal with census. Only under these assumptions, the quality of the next census will be</w:t>
      </w:r>
      <w:r w:rsidR="0092122D">
        <w:rPr>
          <w:rFonts w:ascii="Arial" w:hAnsi="Arial" w:cs="Arial"/>
          <w:sz w:val="24"/>
          <w:szCs w:val="24"/>
          <w:lang w:val="en-US"/>
        </w:rPr>
        <w:t xml:space="preserve"> improved</w:t>
      </w:r>
      <w:r w:rsidRPr="00781F41">
        <w:rPr>
          <w:rFonts w:ascii="Arial" w:hAnsi="Arial" w:cs="Arial"/>
          <w:sz w:val="24"/>
          <w:szCs w:val="24"/>
          <w:lang w:val="en-US"/>
        </w:rPr>
        <w:t>.</w:t>
      </w:r>
    </w:p>
    <w:p w:rsidR="007D49D9" w:rsidRPr="00CA2193" w:rsidRDefault="007D49D9" w:rsidP="00232BC1">
      <w:pPr>
        <w:spacing w:before="100" w:beforeAutospacing="1" w:after="0" w:line="360" w:lineRule="auto"/>
        <w:jc w:val="both"/>
        <w:rPr>
          <w:rFonts w:ascii="Arial" w:hAnsi="Arial" w:cs="Arial"/>
          <w:b/>
          <w:sz w:val="24"/>
          <w:szCs w:val="24"/>
          <w:lang w:val="en-GB"/>
        </w:rPr>
      </w:pPr>
      <w:r>
        <w:rPr>
          <w:rFonts w:ascii="Arial" w:hAnsi="Arial" w:cs="Arial"/>
          <w:b/>
          <w:sz w:val="24"/>
          <w:szCs w:val="24"/>
          <w:lang w:val="en-GB"/>
        </w:rPr>
        <w:t xml:space="preserve">6. </w:t>
      </w:r>
      <w:r w:rsidRPr="007D49D9">
        <w:rPr>
          <w:rFonts w:ascii="Arial" w:hAnsi="Arial" w:cs="Arial"/>
          <w:b/>
          <w:sz w:val="24"/>
          <w:szCs w:val="24"/>
          <w:lang w:val="en-GB"/>
        </w:rPr>
        <w:t>References</w:t>
      </w:r>
    </w:p>
    <w:p w:rsidR="007D49D9" w:rsidRPr="00C95125" w:rsidRDefault="007D49D9" w:rsidP="00A0249E">
      <w:pPr>
        <w:spacing w:before="120" w:after="0" w:line="360" w:lineRule="auto"/>
        <w:jc w:val="both"/>
        <w:rPr>
          <w:rFonts w:ascii="Arial" w:hAnsi="Arial" w:cs="Arial"/>
          <w:sz w:val="24"/>
          <w:szCs w:val="24"/>
          <w:lang w:val="en-GB"/>
        </w:rPr>
      </w:pPr>
      <w:r w:rsidRPr="00245E2C">
        <w:rPr>
          <w:rFonts w:ascii="Arial" w:hAnsi="Arial" w:cs="Arial"/>
          <w:sz w:val="24"/>
          <w:szCs w:val="24"/>
          <w:lang w:val="en-GB"/>
        </w:rPr>
        <w:t>Agency for</w:t>
      </w:r>
      <w:r w:rsidRPr="00C95125">
        <w:rPr>
          <w:rFonts w:ascii="Arial" w:hAnsi="Arial" w:cs="Arial"/>
          <w:sz w:val="24"/>
          <w:szCs w:val="24"/>
          <w:lang w:val="en-GB"/>
        </w:rPr>
        <w:t xml:space="preserve"> Statistics</w:t>
      </w:r>
      <w:r>
        <w:rPr>
          <w:rFonts w:ascii="Arial" w:hAnsi="Arial" w:cs="Arial"/>
          <w:sz w:val="24"/>
          <w:szCs w:val="24"/>
          <w:lang w:val="en-GB"/>
        </w:rPr>
        <w:t xml:space="preserve"> of Bosnia and Herzegovina-BHAS (</w:t>
      </w:r>
      <w:r w:rsidRPr="00C95125">
        <w:rPr>
          <w:rFonts w:ascii="Arial" w:hAnsi="Arial" w:cs="Arial"/>
          <w:sz w:val="24"/>
          <w:szCs w:val="24"/>
          <w:lang w:val="en-GB"/>
        </w:rPr>
        <w:t>2017</w:t>
      </w:r>
      <w:r>
        <w:rPr>
          <w:rFonts w:ascii="Arial" w:hAnsi="Arial" w:cs="Arial"/>
          <w:sz w:val="24"/>
          <w:szCs w:val="24"/>
          <w:lang w:val="en-GB"/>
        </w:rPr>
        <w:t>),</w:t>
      </w:r>
      <w:r w:rsidRPr="00C95125">
        <w:rPr>
          <w:rFonts w:ascii="Arial" w:hAnsi="Arial" w:cs="Arial"/>
          <w:sz w:val="24"/>
          <w:szCs w:val="24"/>
          <w:lang w:val="en-GB"/>
        </w:rPr>
        <w:t xml:space="preserve"> Post-Enumeration Survey in Bosnia and Herzegovina: Methodology a</w:t>
      </w:r>
      <w:r>
        <w:rPr>
          <w:rFonts w:ascii="Arial" w:hAnsi="Arial" w:cs="Arial"/>
          <w:sz w:val="24"/>
          <w:szCs w:val="24"/>
          <w:lang w:val="en-GB"/>
        </w:rPr>
        <w:t xml:space="preserve">nd Main Results. </w:t>
      </w:r>
    </w:p>
    <w:p w:rsidR="007D49D9" w:rsidRPr="00C95125" w:rsidRDefault="007D49D9" w:rsidP="007D49D9">
      <w:pPr>
        <w:spacing w:before="120" w:after="0" w:line="360" w:lineRule="auto"/>
        <w:jc w:val="both"/>
        <w:rPr>
          <w:rFonts w:ascii="Arial" w:hAnsi="Arial" w:cs="Arial"/>
          <w:sz w:val="24"/>
          <w:szCs w:val="24"/>
          <w:lang w:val="en-GB"/>
        </w:rPr>
      </w:pPr>
      <w:r w:rsidRPr="00C95125">
        <w:rPr>
          <w:rFonts w:ascii="Arial" w:hAnsi="Arial" w:cs="Arial"/>
          <w:sz w:val="24"/>
          <w:szCs w:val="24"/>
          <w:lang w:val="en-GB"/>
        </w:rPr>
        <w:t xml:space="preserve">Biemer, P.P. </w:t>
      </w:r>
      <w:r>
        <w:rPr>
          <w:rFonts w:ascii="Arial" w:hAnsi="Arial" w:cs="Arial"/>
          <w:sz w:val="24"/>
          <w:szCs w:val="24"/>
          <w:lang w:val="en-GB"/>
        </w:rPr>
        <w:t>(</w:t>
      </w:r>
      <w:r w:rsidRPr="00C95125">
        <w:rPr>
          <w:rFonts w:ascii="Arial" w:hAnsi="Arial" w:cs="Arial"/>
          <w:sz w:val="24"/>
          <w:szCs w:val="24"/>
          <w:lang w:val="en-GB"/>
        </w:rPr>
        <w:t>2011</w:t>
      </w:r>
      <w:r>
        <w:rPr>
          <w:rFonts w:ascii="Arial" w:hAnsi="Arial" w:cs="Arial"/>
          <w:sz w:val="24"/>
          <w:szCs w:val="24"/>
          <w:lang w:val="en-GB"/>
        </w:rPr>
        <w:t>),</w:t>
      </w:r>
      <w:r w:rsidRPr="00C95125">
        <w:rPr>
          <w:rFonts w:ascii="Arial" w:hAnsi="Arial" w:cs="Arial"/>
          <w:sz w:val="24"/>
          <w:szCs w:val="24"/>
          <w:lang w:val="en-GB"/>
        </w:rPr>
        <w:t xml:space="preserve"> Latent Class Analysis of Survey Error, Wiley and Sons, Inc., Hoboken, New Jersey</w:t>
      </w:r>
      <w:r>
        <w:rPr>
          <w:rFonts w:ascii="Arial" w:hAnsi="Arial" w:cs="Arial"/>
          <w:sz w:val="24"/>
          <w:szCs w:val="24"/>
          <w:lang w:val="en-GB"/>
        </w:rPr>
        <w:t>.</w:t>
      </w:r>
    </w:p>
    <w:p w:rsidR="007D49D9" w:rsidRPr="00C95125" w:rsidRDefault="007D49D9" w:rsidP="007D49D9">
      <w:pPr>
        <w:spacing w:before="120" w:after="0" w:line="360" w:lineRule="auto"/>
        <w:jc w:val="both"/>
        <w:rPr>
          <w:rFonts w:ascii="Arial" w:hAnsi="Arial" w:cs="Arial"/>
          <w:sz w:val="24"/>
          <w:szCs w:val="24"/>
          <w:lang w:val="en-GB"/>
        </w:rPr>
      </w:pPr>
      <w:r w:rsidRPr="00C95125">
        <w:rPr>
          <w:rFonts w:ascii="Arial" w:hAnsi="Arial" w:cs="Arial"/>
          <w:sz w:val="24"/>
          <w:szCs w:val="24"/>
          <w:lang w:val="en-GB"/>
        </w:rPr>
        <w:t>F</w:t>
      </w:r>
      <w:r>
        <w:rPr>
          <w:rFonts w:ascii="Arial" w:hAnsi="Arial" w:cs="Arial"/>
          <w:sz w:val="24"/>
          <w:szCs w:val="24"/>
          <w:lang w:val="en-GB"/>
        </w:rPr>
        <w:t>ellegi, I. P. and Sunter, A. B.  (</w:t>
      </w:r>
      <w:r w:rsidRPr="00C95125">
        <w:rPr>
          <w:rFonts w:ascii="Arial" w:hAnsi="Arial" w:cs="Arial"/>
          <w:sz w:val="24"/>
          <w:szCs w:val="24"/>
          <w:lang w:val="en-GB"/>
        </w:rPr>
        <w:t>1969</w:t>
      </w:r>
      <w:r>
        <w:rPr>
          <w:rFonts w:ascii="Arial" w:hAnsi="Arial" w:cs="Arial"/>
          <w:sz w:val="24"/>
          <w:szCs w:val="24"/>
          <w:lang w:val="en-GB"/>
        </w:rPr>
        <w:t>), A Theory for Record Linkage,</w:t>
      </w:r>
      <w:r w:rsidRPr="00C95125">
        <w:rPr>
          <w:rFonts w:ascii="Arial" w:hAnsi="Arial" w:cs="Arial"/>
          <w:sz w:val="24"/>
          <w:szCs w:val="24"/>
          <w:lang w:val="en-GB"/>
        </w:rPr>
        <w:t xml:space="preserve"> Journal of the American Statistical Association, Vol. 64, pp. 1183-1210.</w:t>
      </w:r>
    </w:p>
    <w:p w:rsidR="007D49D9" w:rsidRPr="00C95125" w:rsidRDefault="007D49D9" w:rsidP="007D49D9">
      <w:pPr>
        <w:spacing w:before="120" w:after="0" w:line="360" w:lineRule="auto"/>
        <w:jc w:val="both"/>
        <w:rPr>
          <w:rFonts w:ascii="Arial" w:hAnsi="Arial" w:cs="Arial"/>
          <w:sz w:val="24"/>
          <w:szCs w:val="24"/>
          <w:lang w:val="en-GB"/>
        </w:rPr>
      </w:pPr>
      <w:r w:rsidRPr="00C95125">
        <w:rPr>
          <w:rFonts w:ascii="Arial" w:hAnsi="Arial" w:cs="Arial"/>
          <w:sz w:val="24"/>
          <w:szCs w:val="24"/>
          <w:lang w:val="en-GB"/>
        </w:rPr>
        <w:t xml:space="preserve">Goodman, L.A. </w:t>
      </w:r>
      <w:r>
        <w:rPr>
          <w:rFonts w:ascii="Arial" w:hAnsi="Arial" w:cs="Arial"/>
          <w:sz w:val="24"/>
          <w:szCs w:val="24"/>
          <w:lang w:val="en-GB"/>
        </w:rPr>
        <w:t>(</w:t>
      </w:r>
      <w:r w:rsidRPr="00C95125">
        <w:rPr>
          <w:rFonts w:ascii="Arial" w:hAnsi="Arial" w:cs="Arial"/>
          <w:sz w:val="24"/>
          <w:szCs w:val="24"/>
          <w:lang w:val="en-GB"/>
        </w:rPr>
        <w:t>1974</w:t>
      </w:r>
      <w:r>
        <w:rPr>
          <w:rFonts w:ascii="Arial" w:hAnsi="Arial" w:cs="Arial"/>
          <w:sz w:val="24"/>
          <w:szCs w:val="24"/>
          <w:lang w:val="en-GB"/>
        </w:rPr>
        <w:t xml:space="preserve">), </w:t>
      </w:r>
      <w:r w:rsidRPr="00C95125">
        <w:rPr>
          <w:rFonts w:ascii="Arial" w:hAnsi="Arial" w:cs="Arial"/>
          <w:sz w:val="24"/>
          <w:szCs w:val="24"/>
          <w:lang w:val="en-GB"/>
        </w:rPr>
        <w:t xml:space="preserve"> Explanatory Latent Structure Analysis Using Both Id</w:t>
      </w:r>
      <w:r>
        <w:rPr>
          <w:rFonts w:ascii="Arial" w:hAnsi="Arial" w:cs="Arial"/>
          <w:sz w:val="24"/>
          <w:szCs w:val="24"/>
          <w:lang w:val="en-GB"/>
        </w:rPr>
        <w:t xml:space="preserve">entifiable and Unidentifiable </w:t>
      </w:r>
      <w:r w:rsidRPr="00C95125">
        <w:rPr>
          <w:rFonts w:ascii="Arial" w:hAnsi="Arial" w:cs="Arial"/>
          <w:sz w:val="24"/>
          <w:szCs w:val="24"/>
          <w:lang w:val="en-GB"/>
        </w:rPr>
        <w:t>Models, Biometrika, Vol- 61, No 2, pp. 215-231.</w:t>
      </w:r>
    </w:p>
    <w:p w:rsidR="007D49D9" w:rsidRPr="00C95125" w:rsidRDefault="007D49D9" w:rsidP="007D49D9">
      <w:pPr>
        <w:spacing w:before="120" w:after="0" w:line="360" w:lineRule="auto"/>
        <w:jc w:val="both"/>
        <w:rPr>
          <w:rFonts w:ascii="Arial" w:hAnsi="Arial" w:cs="Arial"/>
          <w:sz w:val="24"/>
          <w:szCs w:val="24"/>
          <w:lang w:val="en-GB"/>
        </w:rPr>
      </w:pPr>
      <w:r w:rsidRPr="00C95125">
        <w:rPr>
          <w:rFonts w:ascii="Arial" w:hAnsi="Arial" w:cs="Arial"/>
          <w:sz w:val="24"/>
          <w:szCs w:val="24"/>
          <w:lang w:val="en-GB"/>
        </w:rPr>
        <w:t>Hagenaars</w:t>
      </w:r>
      <w:r>
        <w:rPr>
          <w:rFonts w:ascii="Arial" w:hAnsi="Arial" w:cs="Arial"/>
          <w:sz w:val="24"/>
          <w:szCs w:val="24"/>
          <w:lang w:val="en-GB"/>
        </w:rPr>
        <w:t>,</w:t>
      </w:r>
      <w:r w:rsidRPr="00C95125">
        <w:rPr>
          <w:rFonts w:ascii="Arial" w:hAnsi="Arial" w:cs="Arial"/>
          <w:sz w:val="24"/>
          <w:szCs w:val="24"/>
          <w:lang w:val="en-GB"/>
        </w:rPr>
        <w:t xml:space="preserve"> J.A. </w:t>
      </w:r>
      <w:r>
        <w:rPr>
          <w:rFonts w:ascii="Arial" w:hAnsi="Arial" w:cs="Arial"/>
          <w:sz w:val="24"/>
          <w:szCs w:val="24"/>
          <w:lang w:val="en-GB"/>
        </w:rPr>
        <w:t>(</w:t>
      </w:r>
      <w:r w:rsidRPr="00C95125">
        <w:rPr>
          <w:rFonts w:ascii="Arial" w:hAnsi="Arial" w:cs="Arial"/>
          <w:sz w:val="24"/>
          <w:szCs w:val="24"/>
          <w:lang w:val="en-GB"/>
        </w:rPr>
        <w:t>1993a</w:t>
      </w:r>
      <w:r>
        <w:rPr>
          <w:rFonts w:ascii="Arial" w:hAnsi="Arial" w:cs="Arial"/>
          <w:sz w:val="24"/>
          <w:szCs w:val="24"/>
          <w:lang w:val="en-GB"/>
        </w:rPr>
        <w:t xml:space="preserve">), </w:t>
      </w:r>
      <w:r w:rsidRPr="00C95125">
        <w:rPr>
          <w:rFonts w:ascii="Arial" w:hAnsi="Arial" w:cs="Arial"/>
          <w:sz w:val="24"/>
          <w:szCs w:val="24"/>
          <w:lang w:val="en-GB"/>
        </w:rPr>
        <w:t xml:space="preserve"> Latent Variables in Log-Linear Models of Repeated Observations, Metodološki zvezki, 9, Ljubljana, FDV</w:t>
      </w:r>
      <w:r>
        <w:rPr>
          <w:rFonts w:ascii="Arial" w:hAnsi="Arial" w:cs="Arial"/>
          <w:sz w:val="24"/>
          <w:szCs w:val="24"/>
          <w:lang w:val="en-GB"/>
        </w:rPr>
        <w:t>.</w:t>
      </w:r>
      <w:r w:rsidRPr="00C95125">
        <w:rPr>
          <w:rFonts w:ascii="Arial" w:hAnsi="Arial" w:cs="Arial"/>
          <w:sz w:val="24"/>
          <w:szCs w:val="24"/>
          <w:lang w:val="en-GB"/>
        </w:rPr>
        <w:t xml:space="preserve"> </w:t>
      </w:r>
    </w:p>
    <w:p w:rsidR="007D49D9" w:rsidRPr="00C95125" w:rsidRDefault="007D49D9" w:rsidP="007D49D9">
      <w:pPr>
        <w:spacing w:before="120" w:after="0" w:line="360" w:lineRule="auto"/>
        <w:jc w:val="both"/>
        <w:rPr>
          <w:rFonts w:ascii="Arial" w:hAnsi="Arial" w:cs="Arial"/>
          <w:sz w:val="24"/>
          <w:szCs w:val="24"/>
          <w:lang w:val="en-GB"/>
        </w:rPr>
      </w:pPr>
      <w:r w:rsidRPr="00C95125">
        <w:rPr>
          <w:rFonts w:ascii="Arial" w:hAnsi="Arial" w:cs="Arial"/>
          <w:sz w:val="24"/>
          <w:szCs w:val="24"/>
          <w:lang w:val="en-GB"/>
        </w:rPr>
        <w:t xml:space="preserve">Hagenaars, Jacques A. </w:t>
      </w:r>
      <w:r>
        <w:rPr>
          <w:rFonts w:ascii="Arial" w:hAnsi="Arial" w:cs="Arial"/>
          <w:sz w:val="24"/>
          <w:szCs w:val="24"/>
          <w:lang w:val="en-GB"/>
        </w:rPr>
        <w:t>(</w:t>
      </w:r>
      <w:r w:rsidRPr="00C95125">
        <w:rPr>
          <w:rFonts w:ascii="Arial" w:hAnsi="Arial" w:cs="Arial"/>
          <w:sz w:val="24"/>
          <w:szCs w:val="24"/>
          <w:lang w:val="en-GB"/>
        </w:rPr>
        <w:t>1993b</w:t>
      </w:r>
      <w:r>
        <w:rPr>
          <w:rFonts w:ascii="Arial" w:hAnsi="Arial" w:cs="Arial"/>
          <w:sz w:val="24"/>
          <w:szCs w:val="24"/>
          <w:lang w:val="en-GB"/>
        </w:rPr>
        <w:t xml:space="preserve">), </w:t>
      </w:r>
      <w:r w:rsidRPr="00C95125">
        <w:rPr>
          <w:rFonts w:ascii="Arial" w:hAnsi="Arial" w:cs="Arial"/>
          <w:sz w:val="24"/>
          <w:szCs w:val="24"/>
          <w:lang w:val="en-GB"/>
        </w:rPr>
        <w:t>Loglinear models with latent variables, Sage Publications.</w:t>
      </w:r>
    </w:p>
    <w:p w:rsidR="007D49D9" w:rsidRPr="00C95125" w:rsidRDefault="007D49D9" w:rsidP="007D49D9">
      <w:pPr>
        <w:spacing w:before="120" w:after="0" w:line="360" w:lineRule="auto"/>
        <w:jc w:val="both"/>
        <w:rPr>
          <w:rFonts w:ascii="Arial" w:hAnsi="Arial" w:cs="Arial"/>
          <w:sz w:val="24"/>
          <w:szCs w:val="24"/>
          <w:lang w:val="en-GB"/>
        </w:rPr>
      </w:pPr>
      <w:r w:rsidRPr="00C95125">
        <w:rPr>
          <w:rFonts w:ascii="Arial" w:hAnsi="Arial" w:cs="Arial"/>
          <w:sz w:val="24"/>
          <w:szCs w:val="24"/>
          <w:lang w:val="en-GB"/>
        </w:rPr>
        <w:t xml:space="preserve">Hagenaars, J. A. P. </w:t>
      </w:r>
      <w:r>
        <w:rPr>
          <w:rFonts w:ascii="Arial" w:hAnsi="Arial" w:cs="Arial"/>
          <w:sz w:val="24"/>
          <w:szCs w:val="24"/>
          <w:lang w:val="en-GB"/>
        </w:rPr>
        <w:t>(</w:t>
      </w:r>
      <w:r w:rsidRPr="00C95125">
        <w:rPr>
          <w:rFonts w:ascii="Arial" w:hAnsi="Arial" w:cs="Arial"/>
          <w:sz w:val="24"/>
          <w:szCs w:val="24"/>
          <w:lang w:val="en-GB"/>
        </w:rPr>
        <w:t>1997</w:t>
      </w:r>
      <w:r>
        <w:rPr>
          <w:rFonts w:ascii="Arial" w:hAnsi="Arial" w:cs="Arial"/>
          <w:sz w:val="24"/>
          <w:szCs w:val="24"/>
          <w:lang w:val="en-GB"/>
        </w:rPr>
        <w:t xml:space="preserve">), </w:t>
      </w:r>
      <w:r w:rsidRPr="00C95125">
        <w:rPr>
          <w:rFonts w:ascii="Arial" w:hAnsi="Arial" w:cs="Arial"/>
          <w:sz w:val="24"/>
          <w:szCs w:val="24"/>
          <w:lang w:val="en-GB"/>
        </w:rPr>
        <w:t xml:space="preserve">Categorical causal modeling: Directed loglinear models with latent </w:t>
      </w:r>
      <w:r w:rsidR="00AE11B7">
        <w:rPr>
          <w:rFonts w:ascii="Arial" w:hAnsi="Arial" w:cs="Arial"/>
          <w:sz w:val="24"/>
          <w:szCs w:val="24"/>
          <w:lang w:val="en-GB"/>
        </w:rPr>
        <w:t>Variables, Vol. 9704.002/7</w:t>
      </w:r>
      <w:r>
        <w:rPr>
          <w:rFonts w:ascii="Arial" w:hAnsi="Arial" w:cs="Arial"/>
          <w:sz w:val="24"/>
          <w:szCs w:val="24"/>
          <w:lang w:val="en-GB"/>
        </w:rPr>
        <w:t>, Oldendorff Research Institute.</w:t>
      </w:r>
    </w:p>
    <w:p w:rsidR="007D49D9" w:rsidRPr="00C95125" w:rsidRDefault="007D49D9" w:rsidP="007D49D9">
      <w:pPr>
        <w:spacing w:before="120" w:after="0" w:line="360" w:lineRule="auto"/>
        <w:jc w:val="both"/>
        <w:rPr>
          <w:rFonts w:ascii="Arial" w:hAnsi="Arial" w:cs="Arial"/>
          <w:sz w:val="24"/>
          <w:szCs w:val="24"/>
          <w:lang w:val="en-GB"/>
        </w:rPr>
      </w:pPr>
      <w:r w:rsidRPr="00C95125">
        <w:rPr>
          <w:rFonts w:ascii="Arial" w:hAnsi="Arial" w:cs="Arial"/>
          <w:sz w:val="24"/>
          <w:szCs w:val="24"/>
          <w:lang w:val="en-GB"/>
        </w:rPr>
        <w:t xml:space="preserve">Herzog, T.N. </w:t>
      </w:r>
      <w:r>
        <w:rPr>
          <w:rFonts w:ascii="Arial" w:hAnsi="Arial" w:cs="Arial"/>
          <w:sz w:val="24"/>
          <w:szCs w:val="24"/>
          <w:lang w:val="en-GB"/>
        </w:rPr>
        <w:t>(</w:t>
      </w:r>
      <w:r w:rsidRPr="00C95125">
        <w:rPr>
          <w:rFonts w:ascii="Arial" w:hAnsi="Arial" w:cs="Arial"/>
          <w:sz w:val="24"/>
          <w:szCs w:val="24"/>
          <w:lang w:val="en-GB"/>
        </w:rPr>
        <w:t>2013</w:t>
      </w:r>
      <w:r>
        <w:rPr>
          <w:rFonts w:ascii="Arial" w:hAnsi="Arial" w:cs="Arial"/>
          <w:sz w:val="24"/>
          <w:szCs w:val="24"/>
          <w:lang w:val="en-GB"/>
        </w:rPr>
        <w:t xml:space="preserve">), </w:t>
      </w:r>
      <w:r w:rsidRPr="00C95125">
        <w:rPr>
          <w:rFonts w:ascii="Arial" w:hAnsi="Arial" w:cs="Arial"/>
          <w:sz w:val="24"/>
          <w:szCs w:val="24"/>
          <w:lang w:val="en-GB"/>
        </w:rPr>
        <w:t>Application of Capture-Recapture Methods, FHA/HUD</w:t>
      </w:r>
      <w:r>
        <w:rPr>
          <w:rFonts w:ascii="Arial" w:hAnsi="Arial" w:cs="Arial"/>
          <w:sz w:val="24"/>
          <w:szCs w:val="24"/>
          <w:lang w:val="en-GB"/>
        </w:rPr>
        <w:t>.</w:t>
      </w:r>
    </w:p>
    <w:p w:rsidR="007D49D9" w:rsidRPr="00C95125" w:rsidRDefault="007D49D9" w:rsidP="007D49D9">
      <w:pPr>
        <w:spacing w:before="120" w:after="0" w:line="360" w:lineRule="auto"/>
        <w:jc w:val="both"/>
        <w:rPr>
          <w:rFonts w:ascii="Arial" w:hAnsi="Arial" w:cs="Arial"/>
          <w:sz w:val="24"/>
          <w:szCs w:val="24"/>
          <w:lang w:val="en-GB"/>
        </w:rPr>
      </w:pPr>
      <w:r w:rsidRPr="002C7FA7">
        <w:rPr>
          <w:rFonts w:ascii="Arial" w:hAnsi="Arial" w:cs="Arial"/>
          <w:sz w:val="24"/>
          <w:szCs w:val="24"/>
          <w:lang w:val="en-US"/>
        </w:rPr>
        <w:t xml:space="preserve">Hulliger, B., Alfons, A., Filzmoser, P., Meraner, A., Schoch, T. &amp; Temple, M. (2011), </w:t>
      </w:r>
      <w:r>
        <w:rPr>
          <w:rFonts w:ascii="Arial" w:hAnsi="Arial" w:cs="Arial"/>
          <w:sz w:val="24"/>
          <w:szCs w:val="24"/>
          <w:lang w:val="en-GB"/>
        </w:rPr>
        <w:t xml:space="preserve">Robust </w:t>
      </w:r>
      <w:r w:rsidRPr="00C95125">
        <w:rPr>
          <w:rFonts w:ascii="Arial" w:hAnsi="Arial" w:cs="Arial"/>
          <w:sz w:val="24"/>
          <w:szCs w:val="24"/>
          <w:lang w:val="en-GB"/>
        </w:rPr>
        <w:t xml:space="preserve">Methodology for </w:t>
      </w:r>
      <w:r>
        <w:rPr>
          <w:rFonts w:ascii="Arial" w:hAnsi="Arial" w:cs="Arial"/>
          <w:sz w:val="24"/>
          <w:szCs w:val="24"/>
          <w:lang w:val="en-GB"/>
        </w:rPr>
        <w:t xml:space="preserve">Laeken Indicators, </w:t>
      </w:r>
      <w:r w:rsidRPr="00C95125">
        <w:rPr>
          <w:rFonts w:ascii="Arial" w:hAnsi="Arial" w:cs="Arial"/>
          <w:sz w:val="24"/>
          <w:szCs w:val="24"/>
          <w:lang w:val="en-GB"/>
        </w:rPr>
        <w:t>AMELI, European Commission.</w:t>
      </w:r>
    </w:p>
    <w:p w:rsidR="007D49D9" w:rsidRPr="00C95125" w:rsidRDefault="007D49D9" w:rsidP="007D49D9">
      <w:pPr>
        <w:spacing w:before="120" w:after="0" w:line="360" w:lineRule="auto"/>
        <w:jc w:val="both"/>
        <w:rPr>
          <w:rFonts w:ascii="Arial" w:hAnsi="Arial" w:cs="Arial"/>
          <w:sz w:val="24"/>
          <w:szCs w:val="24"/>
          <w:lang w:val="en-GB"/>
        </w:rPr>
      </w:pPr>
      <w:r w:rsidRPr="00C95125">
        <w:rPr>
          <w:rFonts w:ascii="Arial" w:hAnsi="Arial" w:cs="Arial"/>
          <w:sz w:val="24"/>
          <w:szCs w:val="24"/>
          <w:lang w:val="en-GB"/>
        </w:rPr>
        <w:t>Pfeffermann</w:t>
      </w:r>
      <w:r>
        <w:rPr>
          <w:rFonts w:ascii="Arial" w:hAnsi="Arial" w:cs="Arial"/>
          <w:sz w:val="24"/>
          <w:szCs w:val="24"/>
          <w:lang w:val="en-GB"/>
        </w:rPr>
        <w:t>,</w:t>
      </w:r>
      <w:r w:rsidRPr="00C95125">
        <w:rPr>
          <w:rFonts w:ascii="Arial" w:hAnsi="Arial" w:cs="Arial"/>
          <w:sz w:val="24"/>
          <w:szCs w:val="24"/>
          <w:lang w:val="en-GB"/>
        </w:rPr>
        <w:t xml:space="preserve"> D. and </w:t>
      </w:r>
      <w:r>
        <w:rPr>
          <w:rFonts w:ascii="Arial" w:hAnsi="Arial" w:cs="Arial"/>
          <w:sz w:val="24"/>
          <w:szCs w:val="24"/>
          <w:lang w:val="en-GB"/>
        </w:rPr>
        <w:t xml:space="preserve">Rao, </w:t>
      </w:r>
      <w:r w:rsidRPr="00C95125">
        <w:rPr>
          <w:rFonts w:ascii="Arial" w:hAnsi="Arial" w:cs="Arial"/>
          <w:sz w:val="24"/>
          <w:szCs w:val="24"/>
          <w:lang w:val="en-GB"/>
        </w:rPr>
        <w:t xml:space="preserve">C.R. </w:t>
      </w:r>
      <w:r>
        <w:rPr>
          <w:rFonts w:ascii="Arial" w:hAnsi="Arial" w:cs="Arial"/>
          <w:sz w:val="24"/>
          <w:szCs w:val="24"/>
          <w:lang w:val="en-GB"/>
        </w:rPr>
        <w:t>(</w:t>
      </w:r>
      <w:r w:rsidRPr="00C95125">
        <w:rPr>
          <w:rFonts w:ascii="Arial" w:hAnsi="Arial" w:cs="Arial"/>
          <w:sz w:val="24"/>
          <w:szCs w:val="24"/>
          <w:lang w:val="en-GB"/>
        </w:rPr>
        <w:t>2009</w:t>
      </w:r>
      <w:r>
        <w:rPr>
          <w:rFonts w:ascii="Arial" w:hAnsi="Arial" w:cs="Arial"/>
          <w:sz w:val="24"/>
          <w:szCs w:val="24"/>
          <w:lang w:val="en-GB"/>
        </w:rPr>
        <w:t xml:space="preserve">), </w:t>
      </w:r>
      <w:r w:rsidRPr="00C95125">
        <w:rPr>
          <w:rFonts w:ascii="Arial" w:hAnsi="Arial" w:cs="Arial"/>
          <w:sz w:val="24"/>
          <w:szCs w:val="24"/>
          <w:lang w:val="en-GB"/>
        </w:rPr>
        <w:t>Handbook of statistic</w:t>
      </w:r>
      <w:r>
        <w:rPr>
          <w:rFonts w:ascii="Arial" w:hAnsi="Arial" w:cs="Arial"/>
          <w:sz w:val="24"/>
          <w:szCs w:val="24"/>
          <w:lang w:val="en-GB"/>
        </w:rPr>
        <w:t xml:space="preserve">s 29A, Sample surveys: design, </w:t>
      </w:r>
      <w:r w:rsidRPr="00C95125">
        <w:rPr>
          <w:rFonts w:ascii="Arial" w:hAnsi="Arial" w:cs="Arial"/>
          <w:sz w:val="24"/>
          <w:szCs w:val="24"/>
          <w:lang w:val="en-GB"/>
        </w:rPr>
        <w:t>methods and applications, 21: 541-552.</w:t>
      </w:r>
    </w:p>
    <w:p w:rsidR="007D49D9" w:rsidRPr="003D41FF" w:rsidRDefault="00AE11B7" w:rsidP="007D49D9">
      <w:pPr>
        <w:spacing w:before="120" w:after="0" w:line="360" w:lineRule="auto"/>
        <w:jc w:val="both"/>
        <w:rPr>
          <w:rFonts w:ascii="Arial" w:hAnsi="Arial" w:cs="Arial"/>
          <w:sz w:val="24"/>
          <w:szCs w:val="24"/>
          <w:lang w:val="en-GB"/>
        </w:rPr>
      </w:pPr>
      <w:r>
        <w:rPr>
          <w:rFonts w:ascii="Arial" w:hAnsi="Arial" w:cs="Arial"/>
          <w:sz w:val="24"/>
          <w:szCs w:val="24"/>
          <w:lang w:val="en-GB"/>
        </w:rPr>
        <w:t>RELAIS 2.2</w:t>
      </w:r>
      <w:r w:rsidR="007D49D9" w:rsidRPr="00C95125">
        <w:rPr>
          <w:rFonts w:ascii="Arial" w:hAnsi="Arial" w:cs="Arial"/>
          <w:sz w:val="24"/>
          <w:szCs w:val="24"/>
          <w:lang w:val="en-GB"/>
        </w:rPr>
        <w:t xml:space="preserve">: </w:t>
      </w:r>
      <w:r w:rsidR="007D49D9" w:rsidRPr="003D41FF">
        <w:rPr>
          <w:rStyle w:val="Hipercze"/>
          <w:sz w:val="24"/>
          <w:szCs w:val="24"/>
        </w:rPr>
        <w:t>http://www.istat.it/strumenti/metodi/software/analisi_dati/relais/</w:t>
      </w:r>
      <w:r w:rsidR="007D49D9" w:rsidRPr="003D41FF">
        <w:rPr>
          <w:rFonts w:ascii="Arial" w:hAnsi="Arial" w:cs="Arial"/>
          <w:sz w:val="24"/>
          <w:szCs w:val="24"/>
          <w:lang w:val="en-GB"/>
        </w:rPr>
        <w:t xml:space="preserve"> </w:t>
      </w:r>
    </w:p>
    <w:p w:rsidR="007D49D9" w:rsidRDefault="007D49D9" w:rsidP="007D49D9">
      <w:pPr>
        <w:spacing w:before="120" w:after="0" w:line="360" w:lineRule="auto"/>
        <w:jc w:val="both"/>
        <w:rPr>
          <w:rFonts w:ascii="Arial" w:hAnsi="Arial" w:cs="Arial"/>
          <w:sz w:val="24"/>
          <w:szCs w:val="24"/>
          <w:lang w:val="en-GB"/>
        </w:rPr>
      </w:pPr>
      <w:r>
        <w:rPr>
          <w:rFonts w:ascii="Arial" w:hAnsi="Arial" w:cs="Arial"/>
          <w:sz w:val="24"/>
          <w:szCs w:val="24"/>
          <w:lang w:val="en-GB"/>
        </w:rPr>
        <w:t xml:space="preserve">Sabanovic, E. and Somun-Kapetanovic, R. (2017), </w:t>
      </w:r>
      <w:r w:rsidRPr="003C7DDF">
        <w:rPr>
          <w:rFonts w:ascii="Arial" w:hAnsi="Arial" w:cs="Arial"/>
          <w:sz w:val="24"/>
          <w:szCs w:val="24"/>
          <w:lang w:val="en-GB"/>
        </w:rPr>
        <w:t>About the Quality of the 2013 Census of Population, Households and Dwellings in Bosnia and Herzegovina: Basic Evidence from the Post-Enumeration Survey</w:t>
      </w:r>
      <w:r>
        <w:rPr>
          <w:rFonts w:ascii="Arial" w:hAnsi="Arial" w:cs="Arial"/>
          <w:sz w:val="24"/>
          <w:szCs w:val="24"/>
          <w:lang w:val="en-GB"/>
        </w:rPr>
        <w:t>, ICOS2017</w:t>
      </w:r>
      <w:r w:rsidR="00497B92">
        <w:rPr>
          <w:rFonts w:ascii="Arial" w:hAnsi="Arial" w:cs="Arial"/>
          <w:sz w:val="24"/>
          <w:szCs w:val="24"/>
          <w:lang w:val="en-GB"/>
        </w:rPr>
        <w:t xml:space="preserve">, Sarajevo, </w:t>
      </w:r>
      <w:r>
        <w:rPr>
          <w:rFonts w:ascii="Arial" w:hAnsi="Arial" w:cs="Arial"/>
          <w:sz w:val="24"/>
          <w:szCs w:val="24"/>
          <w:lang w:val="en-GB"/>
        </w:rPr>
        <w:t>B</w:t>
      </w:r>
      <w:r w:rsidR="00AE11B7">
        <w:rPr>
          <w:rFonts w:ascii="Arial" w:hAnsi="Arial" w:cs="Arial"/>
          <w:sz w:val="24"/>
          <w:szCs w:val="24"/>
          <w:lang w:val="en-GB"/>
        </w:rPr>
        <w:t>iH</w:t>
      </w:r>
    </w:p>
    <w:p w:rsidR="007D49D9" w:rsidRPr="00C95125" w:rsidRDefault="007D49D9" w:rsidP="007D49D9">
      <w:pPr>
        <w:spacing w:before="120" w:after="0" w:line="360" w:lineRule="auto"/>
        <w:jc w:val="both"/>
        <w:rPr>
          <w:rFonts w:ascii="Arial" w:hAnsi="Arial" w:cs="Arial"/>
          <w:sz w:val="24"/>
          <w:szCs w:val="24"/>
          <w:lang w:val="en-GB"/>
        </w:rPr>
      </w:pPr>
      <w:r w:rsidRPr="00C95125">
        <w:rPr>
          <w:rFonts w:ascii="Arial" w:hAnsi="Arial" w:cs="Arial"/>
          <w:sz w:val="24"/>
          <w:szCs w:val="24"/>
          <w:lang w:val="en-GB"/>
        </w:rPr>
        <w:t xml:space="preserve">UN </w:t>
      </w:r>
      <w:r>
        <w:rPr>
          <w:rFonts w:ascii="Arial" w:hAnsi="Arial" w:cs="Arial"/>
          <w:sz w:val="24"/>
          <w:szCs w:val="24"/>
          <w:lang w:val="en-GB"/>
        </w:rPr>
        <w:t>(</w:t>
      </w:r>
      <w:r w:rsidRPr="00C95125">
        <w:rPr>
          <w:rFonts w:ascii="Arial" w:hAnsi="Arial" w:cs="Arial"/>
          <w:sz w:val="24"/>
          <w:szCs w:val="24"/>
          <w:lang w:val="en-GB"/>
        </w:rPr>
        <w:t>2007</w:t>
      </w:r>
      <w:r>
        <w:rPr>
          <w:rFonts w:ascii="Arial" w:hAnsi="Arial" w:cs="Arial"/>
          <w:sz w:val="24"/>
          <w:szCs w:val="24"/>
          <w:lang w:val="en-GB"/>
        </w:rPr>
        <w:t xml:space="preserve">), </w:t>
      </w:r>
      <w:r w:rsidRPr="00C95125">
        <w:rPr>
          <w:rFonts w:ascii="Arial" w:hAnsi="Arial" w:cs="Arial"/>
          <w:sz w:val="24"/>
          <w:szCs w:val="24"/>
          <w:lang w:val="en-GB"/>
        </w:rPr>
        <w:t>United Nations Principles and Recommendations for Population and Housing Censuses, Rev.2, U</w:t>
      </w:r>
      <w:r w:rsidR="00AE11B7">
        <w:rPr>
          <w:rFonts w:ascii="Arial" w:hAnsi="Arial" w:cs="Arial"/>
          <w:sz w:val="24"/>
          <w:szCs w:val="24"/>
          <w:lang w:val="en-GB"/>
        </w:rPr>
        <w:t>N</w:t>
      </w:r>
      <w:r w:rsidRPr="00C95125">
        <w:rPr>
          <w:rFonts w:ascii="Arial" w:hAnsi="Arial" w:cs="Arial"/>
          <w:sz w:val="24"/>
          <w:szCs w:val="24"/>
          <w:lang w:val="en-GB"/>
        </w:rPr>
        <w:t xml:space="preserve"> publication: New York, USA.</w:t>
      </w:r>
    </w:p>
    <w:p w:rsidR="007D49D9" w:rsidRPr="00C95125" w:rsidRDefault="007D49D9" w:rsidP="007D49D9">
      <w:pPr>
        <w:spacing w:before="120" w:after="0" w:line="360" w:lineRule="auto"/>
        <w:jc w:val="both"/>
        <w:rPr>
          <w:rFonts w:ascii="Arial" w:hAnsi="Arial" w:cs="Arial"/>
          <w:sz w:val="24"/>
          <w:szCs w:val="24"/>
          <w:lang w:val="en-GB"/>
        </w:rPr>
      </w:pPr>
      <w:r>
        <w:rPr>
          <w:rFonts w:ascii="Arial" w:hAnsi="Arial" w:cs="Arial"/>
          <w:sz w:val="24"/>
          <w:szCs w:val="24"/>
          <w:lang w:val="en-GB"/>
        </w:rPr>
        <w:t>UN</w:t>
      </w:r>
      <w:r w:rsidRPr="00C95125">
        <w:rPr>
          <w:rFonts w:ascii="Arial" w:hAnsi="Arial" w:cs="Arial"/>
          <w:sz w:val="24"/>
          <w:szCs w:val="24"/>
          <w:lang w:val="en-GB"/>
        </w:rPr>
        <w:t xml:space="preserve"> </w:t>
      </w:r>
      <w:r>
        <w:rPr>
          <w:rFonts w:ascii="Arial" w:hAnsi="Arial" w:cs="Arial"/>
          <w:sz w:val="24"/>
          <w:szCs w:val="24"/>
          <w:lang w:val="en-GB"/>
        </w:rPr>
        <w:t>(</w:t>
      </w:r>
      <w:r w:rsidRPr="00C95125">
        <w:rPr>
          <w:rFonts w:ascii="Arial" w:hAnsi="Arial" w:cs="Arial"/>
          <w:sz w:val="24"/>
          <w:szCs w:val="24"/>
          <w:lang w:val="en-GB"/>
        </w:rPr>
        <w:t>2010</w:t>
      </w:r>
      <w:r>
        <w:rPr>
          <w:rFonts w:ascii="Arial" w:hAnsi="Arial" w:cs="Arial"/>
          <w:sz w:val="24"/>
          <w:szCs w:val="24"/>
          <w:lang w:val="en-GB"/>
        </w:rPr>
        <w:t xml:space="preserve">), </w:t>
      </w:r>
      <w:r w:rsidRPr="00C95125">
        <w:rPr>
          <w:rFonts w:ascii="Arial" w:hAnsi="Arial" w:cs="Arial"/>
          <w:sz w:val="24"/>
          <w:szCs w:val="24"/>
          <w:lang w:val="en-GB"/>
        </w:rPr>
        <w:t xml:space="preserve">Post Enumeration Surveys: </w:t>
      </w:r>
      <w:r>
        <w:rPr>
          <w:rFonts w:ascii="Arial" w:hAnsi="Arial" w:cs="Arial"/>
          <w:sz w:val="24"/>
          <w:szCs w:val="24"/>
          <w:lang w:val="en-GB"/>
        </w:rPr>
        <w:t>Operational guidelines,</w:t>
      </w:r>
      <w:r w:rsidRPr="00C95125">
        <w:rPr>
          <w:rFonts w:ascii="Arial" w:hAnsi="Arial" w:cs="Arial"/>
          <w:sz w:val="24"/>
          <w:szCs w:val="24"/>
          <w:lang w:val="en-GB"/>
        </w:rPr>
        <w:t xml:space="preserve"> Tec</w:t>
      </w:r>
      <w:r w:rsidR="00AE11B7">
        <w:rPr>
          <w:rFonts w:ascii="Arial" w:hAnsi="Arial" w:cs="Arial"/>
          <w:sz w:val="24"/>
          <w:szCs w:val="24"/>
          <w:lang w:val="en-GB"/>
        </w:rPr>
        <w:t xml:space="preserve">hnical Report, </w:t>
      </w:r>
      <w:r w:rsidRPr="00C95125">
        <w:rPr>
          <w:rFonts w:ascii="Arial" w:hAnsi="Arial" w:cs="Arial"/>
          <w:sz w:val="24"/>
          <w:szCs w:val="24"/>
          <w:lang w:val="en-GB"/>
        </w:rPr>
        <w:t>U</w:t>
      </w:r>
      <w:r w:rsidR="00AE11B7">
        <w:rPr>
          <w:rFonts w:ascii="Arial" w:hAnsi="Arial" w:cs="Arial"/>
          <w:sz w:val="24"/>
          <w:szCs w:val="24"/>
          <w:lang w:val="en-GB"/>
        </w:rPr>
        <w:t xml:space="preserve">N </w:t>
      </w:r>
      <w:r w:rsidRPr="00C95125">
        <w:rPr>
          <w:rFonts w:ascii="Arial" w:hAnsi="Arial" w:cs="Arial"/>
          <w:sz w:val="24"/>
          <w:szCs w:val="24"/>
          <w:lang w:val="en-GB"/>
        </w:rPr>
        <w:t>Secretariat, Department of Economic and Social Affairs, Statistics Division: New York, April 2010.</w:t>
      </w:r>
    </w:p>
    <w:p w:rsidR="007D49D9" w:rsidRPr="00C95125" w:rsidRDefault="007D49D9" w:rsidP="007D49D9">
      <w:pPr>
        <w:spacing w:before="120" w:after="0" w:line="360" w:lineRule="auto"/>
        <w:jc w:val="both"/>
        <w:rPr>
          <w:rFonts w:ascii="Arial" w:hAnsi="Arial" w:cs="Arial"/>
          <w:sz w:val="24"/>
          <w:szCs w:val="24"/>
          <w:lang w:val="en-GB"/>
        </w:rPr>
      </w:pPr>
      <w:r>
        <w:rPr>
          <w:rFonts w:ascii="Arial" w:hAnsi="Arial" w:cs="Arial"/>
          <w:sz w:val="24"/>
          <w:szCs w:val="24"/>
          <w:lang w:val="en-GB"/>
        </w:rPr>
        <w:t>UNECE (</w:t>
      </w:r>
      <w:r w:rsidRPr="00C95125">
        <w:rPr>
          <w:rFonts w:ascii="Arial" w:hAnsi="Arial" w:cs="Arial"/>
          <w:sz w:val="24"/>
          <w:szCs w:val="24"/>
          <w:lang w:val="en-GB"/>
        </w:rPr>
        <w:t>2006</w:t>
      </w:r>
      <w:r>
        <w:rPr>
          <w:rFonts w:ascii="Arial" w:hAnsi="Arial" w:cs="Arial"/>
          <w:sz w:val="24"/>
          <w:szCs w:val="24"/>
          <w:lang w:val="en-GB"/>
        </w:rPr>
        <w:t xml:space="preserve">), </w:t>
      </w:r>
      <w:r w:rsidRPr="00C95125">
        <w:rPr>
          <w:rFonts w:ascii="Arial" w:hAnsi="Arial" w:cs="Arial"/>
          <w:sz w:val="24"/>
          <w:szCs w:val="24"/>
          <w:lang w:val="en-GB"/>
        </w:rPr>
        <w:t>Conference of European Statisticians Recommendations for t</w:t>
      </w:r>
      <w:r>
        <w:rPr>
          <w:rFonts w:ascii="Arial" w:hAnsi="Arial" w:cs="Arial"/>
          <w:sz w:val="24"/>
          <w:szCs w:val="24"/>
          <w:lang w:val="en-GB"/>
        </w:rPr>
        <w:t xml:space="preserve">he 2010 Censuses </w:t>
      </w:r>
      <w:r w:rsidRPr="00C95125">
        <w:rPr>
          <w:rFonts w:ascii="Arial" w:hAnsi="Arial" w:cs="Arial"/>
          <w:sz w:val="24"/>
          <w:szCs w:val="24"/>
          <w:lang w:val="en-GB"/>
        </w:rPr>
        <w:t>of Population and Hou</w:t>
      </w:r>
      <w:r>
        <w:rPr>
          <w:rFonts w:ascii="Arial" w:hAnsi="Arial" w:cs="Arial"/>
          <w:sz w:val="24"/>
          <w:szCs w:val="24"/>
          <w:lang w:val="en-GB"/>
        </w:rPr>
        <w:t>sing,</w:t>
      </w:r>
      <w:r w:rsidR="00AE11B7">
        <w:rPr>
          <w:rFonts w:ascii="Arial" w:hAnsi="Arial" w:cs="Arial"/>
          <w:sz w:val="24"/>
          <w:szCs w:val="24"/>
          <w:lang w:val="en-GB"/>
        </w:rPr>
        <w:t xml:space="preserve"> </w:t>
      </w:r>
      <w:r w:rsidRPr="00C95125">
        <w:rPr>
          <w:rFonts w:ascii="Arial" w:hAnsi="Arial" w:cs="Arial"/>
          <w:sz w:val="24"/>
          <w:szCs w:val="24"/>
          <w:lang w:val="en-GB"/>
        </w:rPr>
        <w:t>U</w:t>
      </w:r>
      <w:r w:rsidR="00AE11B7">
        <w:rPr>
          <w:rFonts w:ascii="Arial" w:hAnsi="Arial" w:cs="Arial"/>
          <w:sz w:val="24"/>
          <w:szCs w:val="24"/>
          <w:lang w:val="en-GB"/>
        </w:rPr>
        <w:t xml:space="preserve">NECE and </w:t>
      </w:r>
      <w:r>
        <w:rPr>
          <w:rFonts w:ascii="Arial" w:hAnsi="Arial" w:cs="Arial"/>
          <w:sz w:val="24"/>
          <w:szCs w:val="24"/>
          <w:lang w:val="en-GB"/>
        </w:rPr>
        <w:t>Eurostat,</w:t>
      </w:r>
      <w:r w:rsidRPr="00C95125">
        <w:rPr>
          <w:rFonts w:ascii="Arial" w:hAnsi="Arial" w:cs="Arial"/>
          <w:sz w:val="24"/>
          <w:szCs w:val="24"/>
          <w:lang w:val="en-GB"/>
        </w:rPr>
        <w:t xml:space="preserve"> United Nations publication: Geneva, Switzerland.</w:t>
      </w:r>
    </w:p>
    <w:p w:rsidR="007D49D9" w:rsidRPr="00C95125" w:rsidRDefault="007D49D9" w:rsidP="007D49D9">
      <w:pPr>
        <w:spacing w:before="120" w:after="0" w:line="360" w:lineRule="auto"/>
        <w:jc w:val="both"/>
        <w:rPr>
          <w:rFonts w:ascii="Arial" w:hAnsi="Arial" w:cs="Arial"/>
          <w:sz w:val="24"/>
          <w:szCs w:val="24"/>
          <w:lang w:val="en-GB"/>
        </w:rPr>
      </w:pPr>
      <w:r w:rsidRPr="00C95125">
        <w:rPr>
          <w:rFonts w:ascii="Arial" w:hAnsi="Arial" w:cs="Arial"/>
          <w:sz w:val="24"/>
          <w:szCs w:val="24"/>
          <w:lang w:val="en-GB"/>
        </w:rPr>
        <w:t xml:space="preserve">Wolter K. </w:t>
      </w:r>
      <w:r>
        <w:rPr>
          <w:rFonts w:ascii="Arial" w:hAnsi="Arial" w:cs="Arial"/>
          <w:sz w:val="24"/>
          <w:szCs w:val="24"/>
          <w:lang w:val="en-GB"/>
        </w:rPr>
        <w:t>(</w:t>
      </w:r>
      <w:r w:rsidRPr="00C95125">
        <w:rPr>
          <w:rFonts w:ascii="Arial" w:hAnsi="Arial" w:cs="Arial"/>
          <w:sz w:val="24"/>
          <w:szCs w:val="24"/>
          <w:lang w:val="en-GB"/>
        </w:rPr>
        <w:t>1986</w:t>
      </w:r>
      <w:r>
        <w:rPr>
          <w:rFonts w:ascii="Arial" w:hAnsi="Arial" w:cs="Arial"/>
          <w:sz w:val="24"/>
          <w:szCs w:val="24"/>
          <w:lang w:val="en-GB"/>
        </w:rPr>
        <w:t xml:space="preserve">), </w:t>
      </w:r>
      <w:r w:rsidRPr="00C95125">
        <w:rPr>
          <w:rFonts w:ascii="Arial" w:hAnsi="Arial" w:cs="Arial"/>
          <w:sz w:val="24"/>
          <w:szCs w:val="24"/>
          <w:lang w:val="en-GB"/>
        </w:rPr>
        <w:t>Some coverage error models for Census</w:t>
      </w:r>
      <w:r>
        <w:rPr>
          <w:rFonts w:ascii="Arial" w:hAnsi="Arial" w:cs="Arial"/>
          <w:sz w:val="24"/>
          <w:szCs w:val="24"/>
          <w:lang w:val="en-GB"/>
        </w:rPr>
        <w:t xml:space="preserve"> data, Journal of the American </w:t>
      </w:r>
      <w:r w:rsidRPr="00C95125">
        <w:rPr>
          <w:rFonts w:ascii="Arial" w:hAnsi="Arial" w:cs="Arial"/>
          <w:sz w:val="24"/>
          <w:szCs w:val="24"/>
          <w:lang w:val="en-GB"/>
        </w:rPr>
        <w:t>Statistical Association, 81, 338-346.</w:t>
      </w:r>
    </w:p>
    <w:p w:rsidR="00FD6A6E" w:rsidRPr="00FD6A6E" w:rsidRDefault="00FD6A6E" w:rsidP="00FD6A6E">
      <w:pPr>
        <w:rPr>
          <w:lang w:val="en-GB"/>
        </w:rPr>
      </w:pPr>
    </w:p>
    <w:sectPr w:rsidR="00FD6A6E" w:rsidRPr="00FD6A6E" w:rsidSect="0023623C">
      <w:headerReference w:type="even" r:id="rId40"/>
      <w:headerReference w:type="default" r:id="rId41"/>
      <w:footerReference w:type="default" r:id="rId42"/>
      <w:headerReference w:type="first" r:id="rId43"/>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18D" w:rsidRDefault="00D1218D" w:rsidP="00E82B25">
      <w:pPr>
        <w:spacing w:after="0" w:line="240" w:lineRule="auto"/>
      </w:pPr>
      <w:r>
        <w:separator/>
      </w:r>
    </w:p>
  </w:endnote>
  <w:endnote w:type="continuationSeparator" w:id="0">
    <w:p w:rsidR="00D1218D" w:rsidRDefault="00D1218D"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436665"/>
      <w:docPartObj>
        <w:docPartGallery w:val="Page Numbers (Bottom of Page)"/>
        <w:docPartUnique/>
      </w:docPartObj>
    </w:sdtPr>
    <w:sdtEndPr>
      <w:rPr>
        <w:rFonts w:ascii="Arial" w:hAnsi="Arial" w:cs="Arial"/>
        <w:sz w:val="24"/>
        <w:szCs w:val="24"/>
      </w:rPr>
    </w:sdtEndPr>
    <w:sdtContent>
      <w:p w:rsidR="00634A2B" w:rsidRPr="009378F5" w:rsidRDefault="00634A2B" w:rsidP="0035694D">
        <w:pPr>
          <w:pStyle w:val="Stopka"/>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2C7AB4">
          <w:rPr>
            <w:rFonts w:ascii="Arial" w:hAnsi="Arial" w:cs="Arial"/>
            <w:noProof/>
            <w:sz w:val="24"/>
            <w:szCs w:val="24"/>
          </w:rPr>
          <w:t>1</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18D" w:rsidRDefault="00D1218D" w:rsidP="00E82B25">
      <w:pPr>
        <w:spacing w:after="0" w:line="240" w:lineRule="auto"/>
      </w:pPr>
      <w:r>
        <w:separator/>
      </w:r>
    </w:p>
  </w:footnote>
  <w:footnote w:type="continuationSeparator" w:id="0">
    <w:p w:rsidR="00D1218D" w:rsidRDefault="00D1218D" w:rsidP="00E82B25">
      <w:pPr>
        <w:spacing w:after="0" w:line="240" w:lineRule="auto"/>
      </w:pPr>
      <w:r>
        <w:continuationSeparator/>
      </w:r>
    </w:p>
  </w:footnote>
  <w:footnote w:id="1">
    <w:p w:rsidR="00634A2B" w:rsidRPr="00AB6140" w:rsidRDefault="00634A2B" w:rsidP="006F535C">
      <w:pPr>
        <w:pStyle w:val="Tekstprzypisudolnego"/>
      </w:pPr>
      <w:r w:rsidRPr="005B209F">
        <w:rPr>
          <w:rStyle w:val="Odwoanieprzypisudolnego"/>
        </w:rPr>
        <w:footnoteRef/>
      </w:r>
      <w:r w:rsidRPr="005B209F">
        <w:t xml:space="preserve"> </w:t>
      </w:r>
      <w:r w:rsidRPr="004A3ABD">
        <w:rPr>
          <w:rFonts w:ascii="Arial" w:hAnsi="Arial" w:cs="Arial"/>
        </w:rPr>
        <w:t>Dual System Estimation (DSE) Model</w:t>
      </w:r>
    </w:p>
  </w:footnote>
  <w:footnote w:id="2">
    <w:p w:rsidR="004A3ABD" w:rsidRDefault="00634A2B" w:rsidP="00380D50">
      <w:pPr>
        <w:pStyle w:val="Tekstprzypisudolnego"/>
        <w:rPr>
          <w:rFonts w:ascii="Arial" w:hAnsi="Arial" w:cs="Arial"/>
        </w:rPr>
      </w:pPr>
      <w:r>
        <w:rPr>
          <w:rStyle w:val="Odwoanieprzypisudolnego"/>
        </w:rPr>
        <w:footnoteRef/>
      </w:r>
      <w:r>
        <w:t xml:space="preserve"> </w:t>
      </w:r>
      <w:r w:rsidRPr="004A3ABD">
        <w:rPr>
          <w:rFonts w:ascii="Arial" w:hAnsi="Arial" w:cs="Arial"/>
        </w:rPr>
        <w:t>More about PES sampling design and survey instruments, see in Sabanovic, E. and Somun-</w:t>
      </w:r>
      <w:r w:rsidR="004A3ABD">
        <w:rPr>
          <w:rFonts w:ascii="Arial" w:hAnsi="Arial" w:cs="Arial"/>
        </w:rPr>
        <w:t xml:space="preserve">  </w:t>
      </w:r>
    </w:p>
    <w:p w:rsidR="00634A2B" w:rsidRDefault="004A3ABD" w:rsidP="00380D50">
      <w:pPr>
        <w:pStyle w:val="Tekstprzypisudolnego"/>
      </w:pPr>
      <w:r>
        <w:rPr>
          <w:rFonts w:ascii="Arial" w:hAnsi="Arial" w:cs="Arial"/>
        </w:rPr>
        <w:t xml:space="preserve">  </w:t>
      </w:r>
      <w:r w:rsidR="00634A2B" w:rsidRPr="004A3ABD">
        <w:rPr>
          <w:rFonts w:ascii="Arial" w:hAnsi="Arial" w:cs="Arial"/>
        </w:rPr>
        <w:t>Kapetanovic, R., 2017 and BHAS, 2017.</w:t>
      </w:r>
    </w:p>
  </w:footnote>
  <w:footnote w:id="3">
    <w:p w:rsidR="00634A2B" w:rsidRPr="00C7459D" w:rsidRDefault="00634A2B" w:rsidP="00EA3FD7">
      <w:pPr>
        <w:pStyle w:val="Tekstprzypisudolnego"/>
        <w:rPr>
          <w:rFonts w:ascii="Times New Roman" w:hAnsi="Times New Roman" w:cs="Times New Roman"/>
        </w:rPr>
      </w:pPr>
      <w:r w:rsidRPr="0009534B">
        <w:rPr>
          <w:rStyle w:val="Odwoanieprzypisudolnego"/>
        </w:rPr>
        <w:footnoteRef/>
      </w:r>
      <w:r w:rsidRPr="0009534B">
        <w:t xml:space="preserve"> </w:t>
      </w:r>
      <w:r w:rsidRPr="004A3ABD">
        <w:rPr>
          <w:rFonts w:ascii="Arial" w:hAnsi="Arial" w:cs="Arial"/>
        </w:rPr>
        <w:t>Lincoln-</w:t>
      </w:r>
      <w:r w:rsidRPr="004A3ABD">
        <w:rPr>
          <w:rFonts w:ascii="Arial" w:hAnsi="Arial" w:cs="Arial"/>
          <w:color w:val="000000"/>
        </w:rPr>
        <w:t>Peterson estimator  (Herzog, 2013)</w:t>
      </w:r>
    </w:p>
  </w:footnote>
  <w:footnote w:id="4">
    <w:p w:rsidR="00634A2B" w:rsidRPr="009C0F16" w:rsidRDefault="00634A2B" w:rsidP="00EA3FD7">
      <w:pPr>
        <w:pStyle w:val="Tekstprzypisudolnego"/>
        <w:rPr>
          <w:rFonts w:ascii="Arial" w:hAnsi="Arial" w:cs="Arial"/>
        </w:rPr>
      </w:pPr>
      <w:r>
        <w:rPr>
          <w:rStyle w:val="Odwoanieprzypisudolnego"/>
        </w:rPr>
        <w:footnoteRef/>
      </w:r>
      <w:r>
        <w:t xml:space="preserve"> </w:t>
      </w:r>
      <w:r w:rsidRPr="009C0F16">
        <w:rPr>
          <w:rFonts w:ascii="Arial" w:hAnsi="Arial" w:cs="Arial"/>
        </w:rPr>
        <w:t>Measures of goodness of fit of the model: E=</w:t>
      </w:r>
      <w:r w:rsidRPr="009C0F16">
        <w:rPr>
          <w:rFonts w:ascii="Arial" w:hAnsi="Arial" w:cs="Arial"/>
          <w:lang w:val="en-US"/>
        </w:rPr>
        <w:t>0.0001; λ= 0.9992, see (BHAS, 2017).</w:t>
      </w:r>
    </w:p>
  </w:footnote>
  <w:footnote w:id="5">
    <w:p w:rsidR="00634A2B" w:rsidRPr="009C0F16" w:rsidRDefault="00634A2B" w:rsidP="00EA3FD7">
      <w:pPr>
        <w:pStyle w:val="Tekstprzypisudolnego"/>
        <w:rPr>
          <w:rFonts w:ascii="Arial" w:hAnsi="Arial" w:cs="Arial"/>
        </w:rPr>
      </w:pPr>
      <w:r w:rsidRPr="009C0F16">
        <w:rPr>
          <w:rStyle w:val="Odwoanieprzypisudolnego"/>
          <w:rFonts w:ascii="Arial" w:hAnsi="Arial" w:cs="Arial"/>
        </w:rPr>
        <w:footnoteRef/>
      </w:r>
      <w:r w:rsidRPr="009C0F16">
        <w:rPr>
          <w:rFonts w:ascii="Arial" w:hAnsi="Arial" w:cs="Arial"/>
        </w:rPr>
        <w:t xml:space="preserve"> (BHAS, 2017)</w:t>
      </w:r>
    </w:p>
  </w:footnote>
  <w:footnote w:id="6">
    <w:p w:rsidR="00634A2B" w:rsidRPr="009C0F16" w:rsidRDefault="00634A2B" w:rsidP="00EA3FD7">
      <w:pPr>
        <w:pStyle w:val="Tekstprzypisudolnego"/>
        <w:jc w:val="both"/>
        <w:rPr>
          <w:rFonts w:ascii="Arial" w:hAnsi="Arial" w:cs="Arial"/>
        </w:rPr>
      </w:pPr>
      <w:r w:rsidRPr="009C0F16">
        <w:rPr>
          <w:rStyle w:val="Odwoanieprzypisudolnego"/>
          <w:rFonts w:ascii="Arial" w:hAnsi="Arial" w:cs="Arial"/>
        </w:rPr>
        <w:footnoteRef/>
      </w:r>
      <w:r w:rsidRPr="009C0F16">
        <w:rPr>
          <w:rFonts w:ascii="Arial" w:hAnsi="Arial" w:cs="Arial"/>
        </w:rPr>
        <w:t xml:space="preserve"> Under-coverage rate = Omissions/Census Count</w:t>
      </w:r>
    </w:p>
    <w:p w:rsidR="00634A2B" w:rsidRPr="009C0F16" w:rsidRDefault="00634A2B" w:rsidP="00EA3FD7">
      <w:pPr>
        <w:pStyle w:val="Tekstprzypisudolnego"/>
        <w:jc w:val="both"/>
        <w:rPr>
          <w:rFonts w:ascii="Arial" w:hAnsi="Arial" w:cs="Arial"/>
        </w:rPr>
      </w:pPr>
      <w:r w:rsidRPr="009C0F16">
        <w:rPr>
          <w:rFonts w:ascii="Arial" w:hAnsi="Arial" w:cs="Arial"/>
        </w:rPr>
        <w:t xml:space="preserve">  Over-coverage rate = Erroneous inclusions/Census Count</w:t>
      </w:r>
    </w:p>
    <w:p w:rsidR="00634A2B" w:rsidRPr="009C0F16" w:rsidRDefault="00634A2B" w:rsidP="00EA3FD7">
      <w:pPr>
        <w:pStyle w:val="Tekstprzypisudolnego"/>
        <w:jc w:val="both"/>
        <w:rPr>
          <w:rFonts w:ascii="Arial" w:hAnsi="Arial" w:cs="Arial"/>
        </w:rPr>
      </w:pPr>
      <w:r w:rsidRPr="009C0F16">
        <w:rPr>
          <w:rFonts w:ascii="Arial" w:hAnsi="Arial" w:cs="Arial"/>
        </w:rPr>
        <w:t xml:space="preserve">  Net Coverage error Rate = (DSE - Census Count)/ DSE</w:t>
      </w:r>
    </w:p>
    <w:p w:rsidR="00634A2B" w:rsidRPr="009C0F16" w:rsidRDefault="00634A2B" w:rsidP="00EA3FD7">
      <w:pPr>
        <w:pStyle w:val="Tekstprzypisudolnego"/>
        <w:jc w:val="both"/>
        <w:rPr>
          <w:rFonts w:ascii="Arial" w:hAnsi="Arial" w:cs="Arial"/>
        </w:rPr>
      </w:pPr>
      <w:r w:rsidRPr="009C0F16">
        <w:rPr>
          <w:rFonts w:ascii="Arial" w:hAnsi="Arial" w:cs="Arial"/>
        </w:rPr>
        <w:t xml:space="preserve">  Census Omission Rate = Census Omissions/ DSE</w:t>
      </w:r>
    </w:p>
    <w:p w:rsidR="00634A2B" w:rsidRPr="009C0F16" w:rsidRDefault="00634A2B" w:rsidP="00EA3FD7">
      <w:pPr>
        <w:pStyle w:val="Tekstprzypisudolnego"/>
        <w:jc w:val="both"/>
        <w:rPr>
          <w:rFonts w:ascii="Arial" w:hAnsi="Arial" w:cs="Arial"/>
        </w:rPr>
      </w:pPr>
      <w:r w:rsidRPr="009C0F16">
        <w:rPr>
          <w:rFonts w:ascii="Arial" w:hAnsi="Arial" w:cs="Arial"/>
        </w:rPr>
        <w:t xml:space="preserve">  Census Omissions = DSE - Correct Enumerations        </w:t>
      </w:r>
    </w:p>
    <w:p w:rsidR="00634A2B" w:rsidRPr="009C0F16" w:rsidRDefault="00634A2B" w:rsidP="00EA3FD7">
      <w:pPr>
        <w:pStyle w:val="Tekstprzypisudolnego"/>
        <w:jc w:val="both"/>
        <w:rPr>
          <w:rFonts w:ascii="Arial" w:hAnsi="Arial" w:cs="Arial"/>
        </w:rPr>
      </w:pPr>
      <w:r w:rsidRPr="009C0F16">
        <w:rPr>
          <w:rFonts w:ascii="Arial" w:hAnsi="Arial" w:cs="Arial"/>
        </w:rPr>
        <w:t xml:space="preserve">  Erroneous inclusion rate = Erroneous inclusions/Dse</w:t>
      </w:r>
    </w:p>
    <w:p w:rsidR="00634A2B" w:rsidRPr="009C0F16" w:rsidRDefault="00634A2B" w:rsidP="00EA3FD7">
      <w:pPr>
        <w:pStyle w:val="Tekstprzypisudolnego"/>
        <w:jc w:val="both"/>
        <w:rPr>
          <w:rFonts w:ascii="Arial" w:hAnsi="Arial" w:cs="Arial"/>
        </w:rPr>
      </w:pPr>
      <w:r w:rsidRPr="009C0F16">
        <w:rPr>
          <w:rFonts w:ascii="Arial" w:hAnsi="Arial" w:cs="Arial"/>
        </w:rPr>
        <w:t xml:space="preserve">  Erroneous Inclusion = (Census Counts + Omissions) – DSE.</w:t>
      </w:r>
    </w:p>
    <w:p w:rsidR="00634A2B" w:rsidRDefault="00634A2B" w:rsidP="00EA3FD7">
      <w:pPr>
        <w:pStyle w:val="Tekstprzypisudolnego"/>
        <w:jc w:val="both"/>
        <w:rPr>
          <w:rFonts w:ascii="Arial" w:hAnsi="Arial" w:cs="Arial"/>
        </w:rPr>
      </w:pPr>
      <w:r w:rsidRPr="009C0F16">
        <w:rPr>
          <w:rFonts w:ascii="Arial" w:hAnsi="Arial" w:cs="Arial"/>
        </w:rPr>
        <w:t xml:space="preserve">  Only main coverage errors for individuals are presented here. More indicators of census cov</w:t>
      </w:r>
      <w:r>
        <w:rPr>
          <w:rFonts w:ascii="Arial" w:hAnsi="Arial" w:cs="Arial"/>
        </w:rPr>
        <w:t xml:space="preserve">erage   </w:t>
      </w:r>
    </w:p>
    <w:p w:rsidR="00634A2B" w:rsidRPr="009C0F16" w:rsidRDefault="00634A2B" w:rsidP="00EA3FD7">
      <w:pPr>
        <w:pStyle w:val="Tekstprzypisudolnego"/>
        <w:jc w:val="both"/>
        <w:rPr>
          <w:rFonts w:ascii="Arial" w:hAnsi="Arial" w:cs="Arial"/>
        </w:rPr>
      </w:pPr>
      <w:r>
        <w:rPr>
          <w:rFonts w:ascii="Arial" w:hAnsi="Arial" w:cs="Arial"/>
        </w:rPr>
        <w:t xml:space="preserve">  quality are available </w:t>
      </w:r>
      <w:r w:rsidRPr="009C0F16">
        <w:rPr>
          <w:rFonts w:ascii="Arial" w:hAnsi="Arial" w:cs="Arial"/>
        </w:rPr>
        <w:t>in BHAS, 2017.</w:t>
      </w:r>
    </w:p>
  </w:footnote>
  <w:footnote w:id="7">
    <w:p w:rsidR="00347E17" w:rsidRPr="004A3ABD" w:rsidRDefault="00347E17">
      <w:pPr>
        <w:pStyle w:val="Tekstprzypisudolnego"/>
        <w:rPr>
          <w:rFonts w:ascii="Arial" w:hAnsi="Arial" w:cs="Arial"/>
        </w:rPr>
      </w:pPr>
      <w:r>
        <w:rPr>
          <w:rStyle w:val="Odwoanieprzypisudolnego"/>
        </w:rPr>
        <w:footnoteRef/>
      </w:r>
      <w:r>
        <w:t xml:space="preserve"> </w:t>
      </w:r>
      <w:r w:rsidRPr="004A3ABD">
        <w:rPr>
          <w:rFonts w:ascii="Arial" w:hAnsi="Arial" w:cs="Arial"/>
        </w:rPr>
        <w:t>BHAS, 2017.</w:t>
      </w:r>
    </w:p>
  </w:footnote>
  <w:footnote w:id="8">
    <w:p w:rsidR="00634A2B" w:rsidRPr="007D4F55" w:rsidRDefault="00634A2B" w:rsidP="00EA3FD7">
      <w:pPr>
        <w:pStyle w:val="Tekstprzypisudolnego"/>
        <w:rPr>
          <w:rFonts w:ascii="Times New Roman" w:hAnsi="Times New Roman" w:cs="Times New Roman"/>
        </w:rPr>
      </w:pPr>
      <w:r w:rsidRPr="004A3ABD">
        <w:rPr>
          <w:rStyle w:val="Odwoanieprzypisudolnego"/>
          <w:rFonts w:ascii="Arial" w:hAnsi="Arial" w:cs="Arial"/>
        </w:rPr>
        <w:footnoteRef/>
      </w:r>
      <w:r w:rsidRPr="004A3ABD">
        <w:rPr>
          <w:rFonts w:ascii="Arial" w:hAnsi="Arial" w:cs="Arial"/>
        </w:rPr>
        <w:t xml:space="preserve"> See definitions of those indicators in (UN, 2010)</w:t>
      </w:r>
      <w:r w:rsidRPr="00085CB2">
        <w:rPr>
          <w:rFonts w:ascii="Times New Roman" w:hAnsi="Times New Roman" w:cs="Times New Roman"/>
        </w:rPr>
        <w:t xml:space="preserve"> </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A2B" w:rsidRDefault="002C7AB4">
    <w:pPr>
      <w:pStyle w:val="Nagwek"/>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A2B" w:rsidRDefault="002C7AB4">
    <w:pPr>
      <w:pStyle w:val="Nagwek"/>
    </w:pPr>
    <w:r>
      <w:rPr>
        <w:noProof/>
        <w:lang w:eastAsia="pl-PL"/>
      </w:rPr>
      <w:pict w14:anchorId="06770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A2B" w:rsidRDefault="002C7AB4">
    <w:pPr>
      <w:pStyle w:val="Nagwek"/>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A5219"/>
    <w:multiLevelType w:val="multilevel"/>
    <w:tmpl w:val="B204FB0A"/>
    <w:lvl w:ilvl="0">
      <w:start w:val="1"/>
      <w:numFmt w:val="decimal"/>
      <w:lvlText w:val="%1."/>
      <w:lvlJc w:val="left"/>
      <w:pPr>
        <w:ind w:left="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680" w:hanging="2160"/>
      </w:pPr>
      <w:rPr>
        <w:rFonts w:hint="default"/>
      </w:rPr>
    </w:lvl>
  </w:abstractNum>
  <w:abstractNum w:abstractNumId="1" w15:restartNumberingAfterBreak="0">
    <w:nsid w:val="31AB2048"/>
    <w:multiLevelType w:val="hybridMultilevel"/>
    <w:tmpl w:val="CE8EBB5E"/>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F07793D"/>
    <w:multiLevelType w:val="hybridMultilevel"/>
    <w:tmpl w:val="DB62C208"/>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9C"/>
    <w:rsid w:val="00000BCA"/>
    <w:rsid w:val="00015B0E"/>
    <w:rsid w:val="00026CD3"/>
    <w:rsid w:val="00047C24"/>
    <w:rsid w:val="00070925"/>
    <w:rsid w:val="0007704A"/>
    <w:rsid w:val="000957CC"/>
    <w:rsid w:val="000C229A"/>
    <w:rsid w:val="000C24F3"/>
    <w:rsid w:val="000C6472"/>
    <w:rsid w:val="000D705A"/>
    <w:rsid w:val="000F337F"/>
    <w:rsid w:val="0012530B"/>
    <w:rsid w:val="0013104E"/>
    <w:rsid w:val="00133E07"/>
    <w:rsid w:val="00142A8D"/>
    <w:rsid w:val="00157DAD"/>
    <w:rsid w:val="00160406"/>
    <w:rsid w:val="00167305"/>
    <w:rsid w:val="0016743D"/>
    <w:rsid w:val="00176CF5"/>
    <w:rsid w:val="00182357"/>
    <w:rsid w:val="001A7592"/>
    <w:rsid w:val="001A7CE2"/>
    <w:rsid w:val="001E43DC"/>
    <w:rsid w:val="00221F17"/>
    <w:rsid w:val="00232BC1"/>
    <w:rsid w:val="00234927"/>
    <w:rsid w:val="0023623C"/>
    <w:rsid w:val="00242620"/>
    <w:rsid w:val="002436A4"/>
    <w:rsid w:val="00245E2C"/>
    <w:rsid w:val="00270663"/>
    <w:rsid w:val="002745D7"/>
    <w:rsid w:val="0028150C"/>
    <w:rsid w:val="00282B53"/>
    <w:rsid w:val="00293580"/>
    <w:rsid w:val="002B192A"/>
    <w:rsid w:val="002B535F"/>
    <w:rsid w:val="002B6D33"/>
    <w:rsid w:val="002C292F"/>
    <w:rsid w:val="002C7AB4"/>
    <w:rsid w:val="002D1AD5"/>
    <w:rsid w:val="002E4BDA"/>
    <w:rsid w:val="0030216D"/>
    <w:rsid w:val="003035CD"/>
    <w:rsid w:val="00313EAF"/>
    <w:rsid w:val="00321723"/>
    <w:rsid w:val="00336E21"/>
    <w:rsid w:val="003436DA"/>
    <w:rsid w:val="00346DF1"/>
    <w:rsid w:val="00347E17"/>
    <w:rsid w:val="0035694D"/>
    <w:rsid w:val="00362815"/>
    <w:rsid w:val="00380D50"/>
    <w:rsid w:val="00381BA0"/>
    <w:rsid w:val="003A1D16"/>
    <w:rsid w:val="003A392D"/>
    <w:rsid w:val="003A5FC2"/>
    <w:rsid w:val="003C2904"/>
    <w:rsid w:val="003D572E"/>
    <w:rsid w:val="003E1E5D"/>
    <w:rsid w:val="00412BF0"/>
    <w:rsid w:val="00412C78"/>
    <w:rsid w:val="004150F5"/>
    <w:rsid w:val="004740F1"/>
    <w:rsid w:val="004802D9"/>
    <w:rsid w:val="00493026"/>
    <w:rsid w:val="00497B92"/>
    <w:rsid w:val="004A12A7"/>
    <w:rsid w:val="004A1A99"/>
    <w:rsid w:val="004A3ABD"/>
    <w:rsid w:val="004B39C1"/>
    <w:rsid w:val="004B6729"/>
    <w:rsid w:val="004C5048"/>
    <w:rsid w:val="004E7105"/>
    <w:rsid w:val="004F04B4"/>
    <w:rsid w:val="004F196E"/>
    <w:rsid w:val="004F1D66"/>
    <w:rsid w:val="00506397"/>
    <w:rsid w:val="005204B7"/>
    <w:rsid w:val="00520ED4"/>
    <w:rsid w:val="005215E8"/>
    <w:rsid w:val="005263BC"/>
    <w:rsid w:val="00530FD6"/>
    <w:rsid w:val="00547FE8"/>
    <w:rsid w:val="0055063A"/>
    <w:rsid w:val="00555562"/>
    <w:rsid w:val="0057136F"/>
    <w:rsid w:val="005723EB"/>
    <w:rsid w:val="00574D94"/>
    <w:rsid w:val="005812C5"/>
    <w:rsid w:val="005A1F57"/>
    <w:rsid w:val="005B0DBA"/>
    <w:rsid w:val="005B6971"/>
    <w:rsid w:val="006052BF"/>
    <w:rsid w:val="00614871"/>
    <w:rsid w:val="006206A3"/>
    <w:rsid w:val="00624AE9"/>
    <w:rsid w:val="00634A2B"/>
    <w:rsid w:val="00653D6C"/>
    <w:rsid w:val="00660713"/>
    <w:rsid w:val="00667788"/>
    <w:rsid w:val="0069009D"/>
    <w:rsid w:val="00697934"/>
    <w:rsid w:val="006B5A4A"/>
    <w:rsid w:val="006C5879"/>
    <w:rsid w:val="006E558C"/>
    <w:rsid w:val="006F535C"/>
    <w:rsid w:val="0070194D"/>
    <w:rsid w:val="0073137C"/>
    <w:rsid w:val="00752ED9"/>
    <w:rsid w:val="00764355"/>
    <w:rsid w:val="007730C4"/>
    <w:rsid w:val="007743C2"/>
    <w:rsid w:val="00776C97"/>
    <w:rsid w:val="00785DC8"/>
    <w:rsid w:val="007A559A"/>
    <w:rsid w:val="007B75A2"/>
    <w:rsid w:val="007C45B5"/>
    <w:rsid w:val="007C47DE"/>
    <w:rsid w:val="007D49D9"/>
    <w:rsid w:val="007E6D8C"/>
    <w:rsid w:val="008002BB"/>
    <w:rsid w:val="008043AE"/>
    <w:rsid w:val="008216B3"/>
    <w:rsid w:val="0082373C"/>
    <w:rsid w:val="008372AB"/>
    <w:rsid w:val="00867B2C"/>
    <w:rsid w:val="00873330"/>
    <w:rsid w:val="008764C2"/>
    <w:rsid w:val="00882692"/>
    <w:rsid w:val="00883326"/>
    <w:rsid w:val="00884A43"/>
    <w:rsid w:val="00890BD8"/>
    <w:rsid w:val="008947BB"/>
    <w:rsid w:val="008A71D2"/>
    <w:rsid w:val="008A7985"/>
    <w:rsid w:val="008B0935"/>
    <w:rsid w:val="008D3F78"/>
    <w:rsid w:val="008D56E1"/>
    <w:rsid w:val="008D6094"/>
    <w:rsid w:val="008E41C4"/>
    <w:rsid w:val="008E45A1"/>
    <w:rsid w:val="00902A7F"/>
    <w:rsid w:val="00907E40"/>
    <w:rsid w:val="00907F69"/>
    <w:rsid w:val="0092122D"/>
    <w:rsid w:val="00921A60"/>
    <w:rsid w:val="00922A35"/>
    <w:rsid w:val="009266C6"/>
    <w:rsid w:val="009378F5"/>
    <w:rsid w:val="0094008A"/>
    <w:rsid w:val="00943CC9"/>
    <w:rsid w:val="00953766"/>
    <w:rsid w:val="009558FE"/>
    <w:rsid w:val="00973B8D"/>
    <w:rsid w:val="009C0F16"/>
    <w:rsid w:val="009E0A98"/>
    <w:rsid w:val="00A0249E"/>
    <w:rsid w:val="00A16651"/>
    <w:rsid w:val="00A23816"/>
    <w:rsid w:val="00A371A1"/>
    <w:rsid w:val="00A454B6"/>
    <w:rsid w:val="00A4711D"/>
    <w:rsid w:val="00A47971"/>
    <w:rsid w:val="00A531F2"/>
    <w:rsid w:val="00A6013E"/>
    <w:rsid w:val="00A93FED"/>
    <w:rsid w:val="00AC6CF1"/>
    <w:rsid w:val="00AD1423"/>
    <w:rsid w:val="00AD4AEE"/>
    <w:rsid w:val="00AE11B7"/>
    <w:rsid w:val="00B306F6"/>
    <w:rsid w:val="00B47197"/>
    <w:rsid w:val="00B64D76"/>
    <w:rsid w:val="00B72169"/>
    <w:rsid w:val="00B74218"/>
    <w:rsid w:val="00B77A7F"/>
    <w:rsid w:val="00B86FC7"/>
    <w:rsid w:val="00B912C3"/>
    <w:rsid w:val="00B91ED6"/>
    <w:rsid w:val="00BB19AC"/>
    <w:rsid w:val="00BC26CE"/>
    <w:rsid w:val="00BF6DBC"/>
    <w:rsid w:val="00C043C1"/>
    <w:rsid w:val="00C07C6C"/>
    <w:rsid w:val="00C12127"/>
    <w:rsid w:val="00C16E8E"/>
    <w:rsid w:val="00C261EA"/>
    <w:rsid w:val="00C40213"/>
    <w:rsid w:val="00C444A7"/>
    <w:rsid w:val="00C55909"/>
    <w:rsid w:val="00C726EA"/>
    <w:rsid w:val="00C74A1D"/>
    <w:rsid w:val="00C83DD8"/>
    <w:rsid w:val="00C8516E"/>
    <w:rsid w:val="00C86095"/>
    <w:rsid w:val="00C90A98"/>
    <w:rsid w:val="00CA2193"/>
    <w:rsid w:val="00CB2B44"/>
    <w:rsid w:val="00CB4074"/>
    <w:rsid w:val="00CB672A"/>
    <w:rsid w:val="00CC1C1D"/>
    <w:rsid w:val="00CF33AD"/>
    <w:rsid w:val="00CF656A"/>
    <w:rsid w:val="00D0258C"/>
    <w:rsid w:val="00D0270E"/>
    <w:rsid w:val="00D1218D"/>
    <w:rsid w:val="00D20550"/>
    <w:rsid w:val="00D27CB2"/>
    <w:rsid w:val="00D3638C"/>
    <w:rsid w:val="00D439B6"/>
    <w:rsid w:val="00D52194"/>
    <w:rsid w:val="00D65C24"/>
    <w:rsid w:val="00D95EDF"/>
    <w:rsid w:val="00DA74F6"/>
    <w:rsid w:val="00DB7EC5"/>
    <w:rsid w:val="00DB7F46"/>
    <w:rsid w:val="00DD4526"/>
    <w:rsid w:val="00DD4977"/>
    <w:rsid w:val="00DE01B4"/>
    <w:rsid w:val="00DE330E"/>
    <w:rsid w:val="00DE41EF"/>
    <w:rsid w:val="00DF27A8"/>
    <w:rsid w:val="00E02CB8"/>
    <w:rsid w:val="00E261EB"/>
    <w:rsid w:val="00E26219"/>
    <w:rsid w:val="00E4219B"/>
    <w:rsid w:val="00E66B79"/>
    <w:rsid w:val="00E7228E"/>
    <w:rsid w:val="00E73418"/>
    <w:rsid w:val="00E76A42"/>
    <w:rsid w:val="00E77ADE"/>
    <w:rsid w:val="00E82B25"/>
    <w:rsid w:val="00E92831"/>
    <w:rsid w:val="00E9313B"/>
    <w:rsid w:val="00EA3FD7"/>
    <w:rsid w:val="00EB7A63"/>
    <w:rsid w:val="00EC5F5A"/>
    <w:rsid w:val="00EE4A70"/>
    <w:rsid w:val="00EE504B"/>
    <w:rsid w:val="00F15CCC"/>
    <w:rsid w:val="00F30C27"/>
    <w:rsid w:val="00F37447"/>
    <w:rsid w:val="00F40C84"/>
    <w:rsid w:val="00F4161C"/>
    <w:rsid w:val="00F51570"/>
    <w:rsid w:val="00F53A5D"/>
    <w:rsid w:val="00F53C40"/>
    <w:rsid w:val="00F55951"/>
    <w:rsid w:val="00F55E98"/>
    <w:rsid w:val="00F74844"/>
    <w:rsid w:val="00F74EA2"/>
    <w:rsid w:val="00F7518D"/>
    <w:rsid w:val="00FD6A6E"/>
    <w:rsid w:val="00FE369C"/>
    <w:rsid w:val="00FF07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5:docId w15:val="{CBDC7F52-F330-48A0-A370-EBD2CE34C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47197"/>
    <w:pPr>
      <w:spacing w:after="0" w:line="240" w:lineRule="auto"/>
    </w:pPr>
  </w:style>
  <w:style w:type="paragraph" w:styleId="Tekstdymka">
    <w:name w:val="Balloon Text"/>
    <w:basedOn w:val="Normalny"/>
    <w:link w:val="TekstdymkaZnak"/>
    <w:uiPriority w:val="99"/>
    <w:semiHidden/>
    <w:unhideWhenUsed/>
    <w:rsid w:val="00B471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7197"/>
    <w:rPr>
      <w:rFonts w:ascii="Segoe UI" w:hAnsi="Segoe UI" w:cs="Segoe UI"/>
      <w:sz w:val="18"/>
      <w:szCs w:val="18"/>
    </w:rPr>
  </w:style>
  <w:style w:type="paragraph" w:styleId="Nagwek">
    <w:name w:val="header"/>
    <w:basedOn w:val="Normalny"/>
    <w:link w:val="NagwekZnak"/>
    <w:uiPriority w:val="99"/>
    <w:unhideWhenUsed/>
    <w:rsid w:val="00E82B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2B25"/>
  </w:style>
  <w:style w:type="paragraph" w:styleId="Stopka">
    <w:name w:val="footer"/>
    <w:basedOn w:val="Normalny"/>
    <w:link w:val="StopkaZnak"/>
    <w:uiPriority w:val="99"/>
    <w:unhideWhenUsed/>
    <w:rsid w:val="00E82B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2B25"/>
  </w:style>
  <w:style w:type="character" w:styleId="Odwoaniedokomentarza">
    <w:name w:val="annotation reference"/>
    <w:basedOn w:val="Domylnaczcionkaakapitu"/>
    <w:uiPriority w:val="99"/>
    <w:semiHidden/>
    <w:unhideWhenUsed/>
    <w:rsid w:val="00697934"/>
    <w:rPr>
      <w:sz w:val="16"/>
      <w:szCs w:val="16"/>
    </w:rPr>
  </w:style>
  <w:style w:type="paragraph" w:styleId="Tekstkomentarza">
    <w:name w:val="annotation text"/>
    <w:basedOn w:val="Normalny"/>
    <w:link w:val="TekstkomentarzaZnak"/>
    <w:uiPriority w:val="99"/>
    <w:semiHidden/>
    <w:unhideWhenUsed/>
    <w:rsid w:val="006979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7934"/>
    <w:rPr>
      <w:sz w:val="20"/>
      <w:szCs w:val="20"/>
    </w:rPr>
  </w:style>
  <w:style w:type="paragraph" w:styleId="Tematkomentarza">
    <w:name w:val="annotation subject"/>
    <w:basedOn w:val="Tekstkomentarza"/>
    <w:next w:val="Tekstkomentarza"/>
    <w:link w:val="TematkomentarzaZnak"/>
    <w:uiPriority w:val="99"/>
    <w:semiHidden/>
    <w:unhideWhenUsed/>
    <w:rsid w:val="00697934"/>
    <w:rPr>
      <w:b/>
      <w:bCs/>
    </w:rPr>
  </w:style>
  <w:style w:type="character" w:customStyle="1" w:styleId="TematkomentarzaZnak">
    <w:name w:val="Temat komentarza Znak"/>
    <w:basedOn w:val="TekstkomentarzaZnak"/>
    <w:link w:val="Tematkomentarza"/>
    <w:uiPriority w:val="99"/>
    <w:semiHidden/>
    <w:rsid w:val="00697934"/>
    <w:rPr>
      <w:b/>
      <w:bCs/>
      <w:sz w:val="20"/>
      <w:szCs w:val="20"/>
    </w:rPr>
  </w:style>
  <w:style w:type="character" w:styleId="Hipercze">
    <w:name w:val="Hyperlink"/>
    <w:basedOn w:val="Domylnaczcionkaakapitu"/>
    <w:uiPriority w:val="99"/>
    <w:unhideWhenUsed/>
    <w:rsid w:val="00A454B6"/>
    <w:rPr>
      <w:color w:val="0563C1" w:themeColor="hyperlink"/>
      <w:u w:val="single"/>
    </w:rPr>
  </w:style>
  <w:style w:type="paragraph" w:styleId="Tekstprzypisudolnego">
    <w:name w:val="footnote text"/>
    <w:basedOn w:val="Normalny"/>
    <w:link w:val="TekstprzypisudolnegoZnak"/>
    <w:uiPriority w:val="99"/>
    <w:semiHidden/>
    <w:unhideWhenUsed/>
    <w:rsid w:val="00F30C2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30C27"/>
    <w:rPr>
      <w:sz w:val="20"/>
      <w:szCs w:val="20"/>
    </w:rPr>
  </w:style>
  <w:style w:type="character" w:styleId="Odwoanieprzypisudolnego">
    <w:name w:val="footnote reference"/>
    <w:basedOn w:val="Domylnaczcionkaakapitu"/>
    <w:uiPriority w:val="99"/>
    <w:semiHidden/>
    <w:unhideWhenUsed/>
    <w:rsid w:val="00F30C27"/>
    <w:rPr>
      <w:vertAlign w:val="superscript"/>
    </w:rPr>
  </w:style>
  <w:style w:type="paragraph" w:styleId="Legenda">
    <w:name w:val="caption"/>
    <w:basedOn w:val="Normalny"/>
    <w:next w:val="Normalny"/>
    <w:uiPriority w:val="35"/>
    <w:unhideWhenUsed/>
    <w:qFormat/>
    <w:rsid w:val="00AD4AEE"/>
    <w:pPr>
      <w:spacing w:after="200" w:line="240" w:lineRule="auto"/>
    </w:pPr>
    <w:rPr>
      <w:i/>
      <w:iCs/>
      <w:color w:val="44546A" w:themeColor="text2"/>
      <w:sz w:val="18"/>
      <w:szCs w:val="18"/>
    </w:rPr>
  </w:style>
  <w:style w:type="paragraph" w:customStyle="1" w:styleId="Default">
    <w:name w:val="Default"/>
    <w:rsid w:val="006F535C"/>
    <w:pPr>
      <w:autoSpaceDE w:val="0"/>
      <w:autoSpaceDN w:val="0"/>
      <w:adjustRightInd w:val="0"/>
      <w:spacing w:after="0" w:line="240" w:lineRule="auto"/>
    </w:pPr>
    <w:rPr>
      <w:rFonts w:ascii="Arial" w:hAnsi="Arial" w:cs="Arial"/>
      <w:color w:val="000000"/>
      <w:sz w:val="24"/>
      <w:szCs w:val="24"/>
      <w:lang w:val="bs-Latn-BA"/>
    </w:rPr>
  </w:style>
  <w:style w:type="paragraph" w:styleId="Akapitzlist">
    <w:name w:val="List Paragraph"/>
    <w:basedOn w:val="Normalny"/>
    <w:uiPriority w:val="34"/>
    <w:qFormat/>
    <w:rsid w:val="007D49D9"/>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n.sabanovic@bhas.gov.ba" TargetMode="Externa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6.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image" Target="media/image13.wmf"/><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13.bin"/><Relationship Id="rId38" Type="http://schemas.openxmlformats.org/officeDocument/2006/relationships/image" Target="media/image15.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image" Target="media/image12.wmf"/><Relationship Id="rId37" Type="http://schemas.openxmlformats.org/officeDocument/2006/relationships/oleObject" Target="embeddings/oleObject15.bin"/><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image" Target="media/image14.wmf"/><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12.bin"/><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_rels/header2.xml.rels><?xml version="1.0" encoding="UTF-8" standalone="yes"?>
<Relationships xmlns="http://schemas.openxmlformats.org/package/2006/relationships"><Relationship Id="rId1" Type="http://schemas.openxmlformats.org/officeDocument/2006/relationships/image" Target="media/image16.jpeg"/></Relationships>
</file>

<file path=word/_rels/header3.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30E19-D064-4A60-BFE5-B03FA7056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2879</Words>
  <Characters>17277</Characters>
  <Application>Microsoft Office Word</Application>
  <DocSecurity>4</DocSecurity>
  <Lines>143</Lines>
  <Paragraphs>40</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Gawlik Ryszard</dc:creator>
  <cp:lastModifiedBy>Kowacka Anna</cp:lastModifiedBy>
  <cp:revision>2</cp:revision>
  <cp:lastPrinted>2018-05-14T08:46:00Z</cp:lastPrinted>
  <dcterms:created xsi:type="dcterms:W3CDTF">2018-05-15T10:37:00Z</dcterms:created>
  <dcterms:modified xsi:type="dcterms:W3CDTF">2018-05-15T10:37:00Z</dcterms:modified>
</cp:coreProperties>
</file>