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9DA11" w14:textId="77777777" w:rsidR="0015131F" w:rsidRDefault="001C4B67" w:rsidP="0094169C">
      <w:pPr>
        <w:spacing w:before="480" w:after="480" w:line="360" w:lineRule="auto"/>
        <w:jc w:val="center"/>
        <w:rPr>
          <w:rFonts w:ascii="Arial" w:hAnsi="Arial" w:cs="Arial"/>
          <w:b/>
          <w:sz w:val="48"/>
          <w:szCs w:val="48"/>
          <w:lang w:val="en-GB"/>
        </w:rPr>
      </w:pPr>
      <w:bookmarkStart w:id="0" w:name="_GoBack"/>
      <w:bookmarkEnd w:id="0"/>
      <w:r w:rsidRPr="001C4B67">
        <w:rPr>
          <w:rFonts w:ascii="Arial" w:hAnsi="Arial" w:cs="Arial"/>
          <w:b/>
          <w:sz w:val="48"/>
          <w:szCs w:val="48"/>
          <w:lang w:val="en-GB"/>
        </w:rPr>
        <w:t>Maintaining good response rates while changing survey techniques: the case of the Italian Quarterly Business Survey on Job Vacancies and Hours Worked</w:t>
      </w:r>
    </w:p>
    <w:p w14:paraId="412D91CF" w14:textId="77777777" w:rsidR="00BC3497" w:rsidRDefault="00BC3497" w:rsidP="00BC3497">
      <w:pPr>
        <w:spacing w:after="0" w:line="360" w:lineRule="auto"/>
        <w:jc w:val="both"/>
        <w:rPr>
          <w:rFonts w:ascii="Arial" w:hAnsi="Arial" w:cs="Arial"/>
          <w:sz w:val="24"/>
          <w:szCs w:val="24"/>
          <w:lang w:val="it-IT"/>
        </w:rPr>
      </w:pPr>
      <w:r>
        <w:rPr>
          <w:rFonts w:ascii="Arial" w:hAnsi="Arial" w:cs="Arial"/>
          <w:sz w:val="24"/>
          <w:szCs w:val="24"/>
          <w:lang w:val="it-IT"/>
        </w:rPr>
        <w:t xml:space="preserve">Diego Chianella, ISTAT, </w:t>
      </w:r>
      <w:hyperlink r:id="rId8" w:history="1">
        <w:r w:rsidRPr="00DB3679">
          <w:rPr>
            <w:rStyle w:val="Hipercze"/>
            <w:rFonts w:ascii="Arial" w:hAnsi="Arial" w:cs="Arial"/>
            <w:sz w:val="24"/>
            <w:szCs w:val="24"/>
            <w:lang w:val="it-IT"/>
          </w:rPr>
          <w:t>chianella@</w:t>
        </w:r>
        <w:r>
          <w:rPr>
            <w:rStyle w:val="Hipercze"/>
            <w:rFonts w:ascii="Arial" w:hAnsi="Arial" w:cs="Arial"/>
            <w:sz w:val="24"/>
            <w:szCs w:val="24"/>
            <w:lang w:val="it-IT"/>
          </w:rPr>
          <w:t>ISTAT</w:t>
        </w:r>
        <w:r w:rsidRPr="00DB3679">
          <w:rPr>
            <w:rStyle w:val="Hipercze"/>
            <w:rFonts w:ascii="Arial" w:hAnsi="Arial" w:cs="Arial"/>
            <w:sz w:val="24"/>
            <w:szCs w:val="24"/>
            <w:lang w:val="it-IT"/>
          </w:rPr>
          <w:t>.it</w:t>
        </w:r>
      </w:hyperlink>
    </w:p>
    <w:p w14:paraId="42B6D7B2" w14:textId="77777777" w:rsidR="00BC3497" w:rsidRDefault="00BC3497" w:rsidP="00BC3497">
      <w:pPr>
        <w:spacing w:after="0" w:line="360" w:lineRule="auto"/>
        <w:jc w:val="both"/>
        <w:rPr>
          <w:rFonts w:ascii="Arial" w:hAnsi="Arial" w:cs="Arial"/>
          <w:sz w:val="24"/>
          <w:szCs w:val="24"/>
          <w:lang w:val="it-IT"/>
        </w:rPr>
      </w:pPr>
      <w:r>
        <w:rPr>
          <w:rFonts w:ascii="Arial" w:hAnsi="Arial" w:cs="Arial"/>
          <w:sz w:val="24"/>
          <w:szCs w:val="24"/>
          <w:lang w:val="it-IT"/>
        </w:rPr>
        <w:t xml:space="preserve">Giuliano Latini, ISTAT, </w:t>
      </w:r>
      <w:hyperlink r:id="rId9" w:history="1">
        <w:r w:rsidRPr="00DB3679">
          <w:rPr>
            <w:rStyle w:val="Hipercze"/>
            <w:rFonts w:ascii="Arial" w:hAnsi="Arial" w:cs="Arial"/>
            <w:sz w:val="24"/>
            <w:szCs w:val="24"/>
            <w:lang w:val="it-IT"/>
          </w:rPr>
          <w:t>latini@</w:t>
        </w:r>
        <w:r>
          <w:rPr>
            <w:rStyle w:val="Hipercze"/>
            <w:rFonts w:ascii="Arial" w:hAnsi="Arial" w:cs="Arial"/>
            <w:sz w:val="24"/>
            <w:szCs w:val="24"/>
            <w:lang w:val="it-IT"/>
          </w:rPr>
          <w:t>ISTAT</w:t>
        </w:r>
        <w:r w:rsidRPr="00DB3679">
          <w:rPr>
            <w:rStyle w:val="Hipercze"/>
            <w:rFonts w:ascii="Arial" w:hAnsi="Arial" w:cs="Arial"/>
            <w:sz w:val="24"/>
            <w:szCs w:val="24"/>
            <w:lang w:val="it-IT"/>
          </w:rPr>
          <w:t>.it</w:t>
        </w:r>
      </w:hyperlink>
    </w:p>
    <w:p w14:paraId="65E592D4" w14:textId="77777777" w:rsidR="00BC3497" w:rsidRPr="008E69F5" w:rsidRDefault="00BC3497" w:rsidP="00BC3497">
      <w:pPr>
        <w:spacing w:after="0" w:line="360" w:lineRule="auto"/>
        <w:jc w:val="both"/>
        <w:rPr>
          <w:rStyle w:val="Hipercze"/>
        </w:rPr>
      </w:pPr>
      <w:r w:rsidRPr="009F04C8">
        <w:rPr>
          <w:rFonts w:ascii="Arial" w:hAnsi="Arial" w:cs="Arial"/>
          <w:sz w:val="24"/>
          <w:szCs w:val="24"/>
          <w:lang w:val="it-IT"/>
        </w:rPr>
        <w:t xml:space="preserve">Annalisa Lucarelli, </w:t>
      </w:r>
      <w:r>
        <w:rPr>
          <w:rFonts w:ascii="Arial" w:hAnsi="Arial" w:cs="Arial"/>
          <w:sz w:val="24"/>
          <w:szCs w:val="24"/>
          <w:lang w:val="it-IT"/>
        </w:rPr>
        <w:t>ISTAT</w:t>
      </w:r>
      <w:r w:rsidRPr="009F04C8">
        <w:rPr>
          <w:rFonts w:ascii="Arial" w:hAnsi="Arial" w:cs="Arial"/>
          <w:sz w:val="24"/>
          <w:szCs w:val="24"/>
          <w:lang w:val="it-IT"/>
        </w:rPr>
        <w:t xml:space="preserve">, </w:t>
      </w:r>
      <w:hyperlink r:id="rId10" w:history="1">
        <w:r w:rsidRPr="008E69F5">
          <w:rPr>
            <w:rStyle w:val="Hipercze"/>
            <w:rFonts w:ascii="Arial" w:hAnsi="Arial" w:cs="Arial"/>
            <w:sz w:val="24"/>
            <w:szCs w:val="24"/>
            <w:lang w:val="it-IT"/>
          </w:rPr>
          <w:t>anlucare</w:t>
        </w:r>
        <w:r w:rsidRPr="005A1EC0">
          <w:rPr>
            <w:rStyle w:val="Hipercze"/>
            <w:rFonts w:ascii="Arial" w:hAnsi="Arial" w:cs="Arial"/>
            <w:sz w:val="24"/>
            <w:szCs w:val="24"/>
            <w:lang w:val="it-IT"/>
          </w:rPr>
          <w:t>@</w:t>
        </w:r>
        <w:r>
          <w:rPr>
            <w:rStyle w:val="Hipercze"/>
            <w:rFonts w:ascii="Arial" w:hAnsi="Arial" w:cs="Arial"/>
            <w:sz w:val="24"/>
            <w:szCs w:val="24"/>
            <w:lang w:val="it-IT"/>
          </w:rPr>
          <w:t>ISTAT</w:t>
        </w:r>
        <w:r w:rsidRPr="005A1EC0">
          <w:rPr>
            <w:rStyle w:val="Hipercze"/>
            <w:rFonts w:ascii="Arial" w:hAnsi="Arial" w:cs="Arial"/>
            <w:sz w:val="24"/>
            <w:szCs w:val="24"/>
            <w:lang w:val="it-IT"/>
          </w:rPr>
          <w:t>.it</w:t>
        </w:r>
      </w:hyperlink>
    </w:p>
    <w:p w14:paraId="34F39994" w14:textId="77777777" w:rsidR="00A60196" w:rsidRDefault="00A60196" w:rsidP="00A60196">
      <w:pPr>
        <w:spacing w:after="0" w:line="360" w:lineRule="auto"/>
        <w:jc w:val="both"/>
        <w:rPr>
          <w:rFonts w:ascii="Arial" w:hAnsi="Arial" w:cs="Arial"/>
          <w:sz w:val="24"/>
          <w:szCs w:val="24"/>
          <w:lang w:val="it-IT"/>
        </w:rPr>
      </w:pPr>
      <w:r>
        <w:rPr>
          <w:rFonts w:ascii="Arial" w:hAnsi="Arial" w:cs="Arial"/>
          <w:sz w:val="24"/>
          <w:szCs w:val="24"/>
          <w:lang w:val="it-IT"/>
        </w:rPr>
        <w:t xml:space="preserve">Emilia Matera, ISTAT, </w:t>
      </w:r>
      <w:hyperlink r:id="rId11" w:history="1">
        <w:r w:rsidRPr="00DB3679">
          <w:rPr>
            <w:rStyle w:val="Hipercze"/>
            <w:rFonts w:ascii="Arial" w:hAnsi="Arial" w:cs="Arial"/>
            <w:sz w:val="24"/>
            <w:szCs w:val="24"/>
            <w:lang w:val="it-IT"/>
          </w:rPr>
          <w:t>ematera@</w:t>
        </w:r>
        <w:r>
          <w:rPr>
            <w:rStyle w:val="Hipercze"/>
            <w:rFonts w:ascii="Arial" w:hAnsi="Arial" w:cs="Arial"/>
            <w:sz w:val="24"/>
            <w:szCs w:val="24"/>
            <w:lang w:val="it-IT"/>
          </w:rPr>
          <w:t>ISTAT</w:t>
        </w:r>
        <w:r w:rsidRPr="00DB3679">
          <w:rPr>
            <w:rStyle w:val="Hipercze"/>
            <w:rFonts w:ascii="Arial" w:hAnsi="Arial" w:cs="Arial"/>
            <w:sz w:val="24"/>
            <w:szCs w:val="24"/>
            <w:lang w:val="it-IT"/>
          </w:rPr>
          <w:t>.it</w:t>
        </w:r>
      </w:hyperlink>
    </w:p>
    <w:p w14:paraId="2E1F7852" w14:textId="77777777" w:rsidR="0015131F" w:rsidRDefault="0015131F" w:rsidP="00C726EA">
      <w:pPr>
        <w:spacing w:after="0" w:line="360" w:lineRule="auto"/>
        <w:jc w:val="both"/>
        <w:rPr>
          <w:rFonts w:ascii="Arial" w:hAnsi="Arial" w:cs="Arial"/>
          <w:sz w:val="24"/>
          <w:szCs w:val="24"/>
          <w:lang w:val="it-IT"/>
        </w:rPr>
      </w:pPr>
      <w:r w:rsidRPr="009F04C8">
        <w:rPr>
          <w:rFonts w:ascii="Arial" w:hAnsi="Arial" w:cs="Arial"/>
          <w:sz w:val="24"/>
          <w:szCs w:val="24"/>
          <w:lang w:val="it-IT"/>
        </w:rPr>
        <w:t xml:space="preserve">Marina Sorrentino, </w:t>
      </w:r>
      <w:r w:rsidR="00173F51">
        <w:rPr>
          <w:rFonts w:ascii="Arial" w:hAnsi="Arial" w:cs="Arial"/>
          <w:sz w:val="24"/>
          <w:szCs w:val="24"/>
          <w:lang w:val="it-IT"/>
        </w:rPr>
        <w:t>ISTAT</w:t>
      </w:r>
      <w:r w:rsidRPr="009F04C8">
        <w:rPr>
          <w:rFonts w:ascii="Arial" w:hAnsi="Arial" w:cs="Arial"/>
          <w:sz w:val="24"/>
          <w:szCs w:val="24"/>
          <w:lang w:val="it-IT"/>
        </w:rPr>
        <w:t xml:space="preserve">, </w:t>
      </w:r>
      <w:hyperlink r:id="rId12" w:history="1">
        <w:r w:rsidRPr="00DB3679">
          <w:rPr>
            <w:rStyle w:val="Hipercze"/>
            <w:rFonts w:ascii="Arial" w:hAnsi="Arial" w:cs="Arial"/>
            <w:sz w:val="24"/>
            <w:szCs w:val="24"/>
            <w:lang w:val="it-IT"/>
          </w:rPr>
          <w:t>mrsorren@</w:t>
        </w:r>
        <w:r w:rsidR="00173F51">
          <w:rPr>
            <w:rStyle w:val="Hipercze"/>
            <w:rFonts w:ascii="Arial" w:hAnsi="Arial" w:cs="Arial"/>
            <w:sz w:val="24"/>
            <w:szCs w:val="24"/>
            <w:lang w:val="it-IT"/>
          </w:rPr>
          <w:t>ISTAT</w:t>
        </w:r>
        <w:r w:rsidRPr="00DB3679">
          <w:rPr>
            <w:rStyle w:val="Hipercze"/>
            <w:rFonts w:ascii="Arial" w:hAnsi="Arial" w:cs="Arial"/>
            <w:sz w:val="24"/>
            <w:szCs w:val="24"/>
            <w:lang w:val="it-IT"/>
          </w:rPr>
          <w:t>.it</w:t>
        </w:r>
      </w:hyperlink>
    </w:p>
    <w:p w14:paraId="79FE1348" w14:textId="77777777" w:rsidR="0015131F" w:rsidRPr="009F04C8" w:rsidRDefault="0015131F" w:rsidP="00C726EA">
      <w:pPr>
        <w:spacing w:after="0" w:line="360" w:lineRule="auto"/>
        <w:jc w:val="both"/>
        <w:rPr>
          <w:rFonts w:ascii="Arial" w:hAnsi="Arial" w:cs="Arial"/>
          <w:sz w:val="24"/>
          <w:szCs w:val="24"/>
          <w:lang w:val="it-IT"/>
        </w:rPr>
      </w:pPr>
    </w:p>
    <w:p w14:paraId="23369F61"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018D0736" w14:textId="4F4F665A" w:rsidR="001C4B67" w:rsidRPr="009F04C8"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 xml:space="preserve">Response rates in Italian business surveys range from 30-40% in structural more complex ones to a maximum of around 85% in few monthly panel surveys. </w:t>
      </w:r>
    </w:p>
    <w:p w14:paraId="1A5A5439" w14:textId="77777777" w:rsidR="001C4B67" w:rsidRPr="009F04C8"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The Italian Quarterly Business Survey on Job Vacancies and Hours Worked had always had response rates in the higher range of this interval (often around 65-70%). This was achieved through a mixed mode survey technique (CATI for around 70% of respondents and CAWI, or Computer Assisted Web Interview, for the remaining 30%), carefully timed and addressed email reminders and daily interaction with the sample enterprises by survey experts.</w:t>
      </w:r>
    </w:p>
    <w:p w14:paraId="165DCBA1" w14:textId="77777777" w:rsidR="001C4B67" w:rsidRPr="009F04C8"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 xml:space="preserve">Changes in the laws concerning the interactions between enterprises and public administration and financial constraints made it impossible to continue using the CATI technique after 2016 and required the switch to a unique response mode, CAWI. </w:t>
      </w:r>
    </w:p>
    <w:p w14:paraId="275991F4" w14:textId="77777777" w:rsidR="001C4B67" w:rsidRPr="009F04C8"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 xml:space="preserve">This change posed serious risks of a fall in response rates. </w:t>
      </w:r>
    </w:p>
    <w:p w14:paraId="32411126" w14:textId="77777777" w:rsidR="001C4B67" w:rsidRPr="009F04C8"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 xml:space="preserve">A series of measures were taken to avoid this outcome. </w:t>
      </w:r>
    </w:p>
    <w:p w14:paraId="053BB64A" w14:textId="77777777" w:rsidR="001C4B67" w:rsidRPr="009F04C8"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 xml:space="preserve">In particular, email and certified email reminders were intensified, increased resources were dedicated to responses to emails, certified emails and phone calls by sample enterprises so as to improve their already good timeliness and accuracy. </w:t>
      </w:r>
    </w:p>
    <w:p w14:paraId="5ECCD7AF" w14:textId="77777777" w:rsidR="001C4B67"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Furthermore, starting from the survey for the II quarter 2017, telephone reminders carried out by an external provider have been introduced, where the telephone operators can also support the enterprises on the questionnaires requests, access to the relevant website and filling in of the online form.</w:t>
      </w:r>
      <w:r>
        <w:rPr>
          <w:rFonts w:ascii="Arial" w:hAnsi="Arial" w:cs="Arial"/>
          <w:i/>
          <w:sz w:val="20"/>
          <w:szCs w:val="20"/>
        </w:rPr>
        <w:t xml:space="preserve">  </w:t>
      </w:r>
    </w:p>
    <w:p w14:paraId="737B4FDE" w14:textId="77777777" w:rsidR="001C4B67" w:rsidRPr="009F04C8" w:rsidRDefault="001C4B67" w:rsidP="009F04C8">
      <w:pPr>
        <w:spacing w:after="0" w:line="240" w:lineRule="auto"/>
        <w:contextualSpacing/>
        <w:jc w:val="both"/>
        <w:rPr>
          <w:rFonts w:ascii="Arial" w:hAnsi="Arial" w:cs="Arial"/>
          <w:i/>
          <w:sz w:val="20"/>
          <w:szCs w:val="20"/>
        </w:rPr>
      </w:pPr>
      <w:r w:rsidRPr="009F04C8">
        <w:rPr>
          <w:rFonts w:ascii="Arial" w:hAnsi="Arial" w:cs="Arial"/>
          <w:i/>
          <w:sz w:val="20"/>
          <w:szCs w:val="20"/>
        </w:rPr>
        <w:t>The results in terms of response rates have so far been encouraging.</w:t>
      </w:r>
      <w:r w:rsidRPr="009F04C8" w:rsidDel="00587F70">
        <w:rPr>
          <w:rFonts w:ascii="Arial" w:hAnsi="Arial" w:cs="Arial"/>
          <w:i/>
          <w:sz w:val="20"/>
          <w:szCs w:val="20"/>
        </w:rPr>
        <w:t xml:space="preserve"> </w:t>
      </w:r>
    </w:p>
    <w:p w14:paraId="5CB3E066"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9436E0" w:rsidRPr="009F04C8">
        <w:rPr>
          <w:rFonts w:ascii="Arial" w:hAnsi="Arial" w:cs="Arial"/>
          <w:sz w:val="20"/>
          <w:szCs w:val="20"/>
          <w:lang w:val="en-US"/>
        </w:rPr>
        <w:t>business survey; response rate; survey technique; CATI; CAWI.</w:t>
      </w:r>
    </w:p>
    <w:p w14:paraId="3B4BC563" w14:textId="77777777" w:rsidR="00EA135B" w:rsidRDefault="00EA135B" w:rsidP="00CB4870">
      <w:pPr>
        <w:spacing w:before="360" w:after="0" w:line="360" w:lineRule="auto"/>
        <w:jc w:val="both"/>
        <w:rPr>
          <w:rFonts w:ascii="Arial" w:hAnsi="Arial" w:cs="Arial"/>
          <w:b/>
          <w:sz w:val="24"/>
          <w:szCs w:val="24"/>
          <w:lang w:val="en-US"/>
        </w:rPr>
      </w:pPr>
    </w:p>
    <w:p w14:paraId="64E03ACF" w14:textId="77777777" w:rsidR="00EA135B" w:rsidRDefault="00EA135B" w:rsidP="00CB4870">
      <w:pPr>
        <w:spacing w:before="360" w:after="0" w:line="360" w:lineRule="auto"/>
        <w:jc w:val="both"/>
        <w:rPr>
          <w:rFonts w:ascii="Arial" w:hAnsi="Arial" w:cs="Arial"/>
          <w:b/>
          <w:sz w:val="24"/>
          <w:szCs w:val="24"/>
          <w:lang w:val="en-US"/>
        </w:rPr>
      </w:pPr>
    </w:p>
    <w:p w14:paraId="7BB4807E" w14:textId="77777777" w:rsidR="00AA4F8D" w:rsidRDefault="00493026" w:rsidP="00CB4870">
      <w:pPr>
        <w:spacing w:before="360" w:after="0" w:line="360" w:lineRule="auto"/>
        <w:jc w:val="both"/>
        <w:rPr>
          <w:rFonts w:ascii="Arial" w:hAnsi="Arial" w:cs="Arial"/>
          <w:b/>
          <w:sz w:val="24"/>
          <w:szCs w:val="24"/>
          <w:lang w:val="en-US"/>
        </w:rPr>
      </w:pPr>
      <w:r w:rsidRPr="009F04C8">
        <w:rPr>
          <w:rFonts w:ascii="Arial" w:hAnsi="Arial" w:cs="Arial"/>
          <w:b/>
          <w:sz w:val="24"/>
          <w:szCs w:val="24"/>
          <w:lang w:val="en-US"/>
        </w:rPr>
        <w:t xml:space="preserve">1. </w:t>
      </w:r>
      <w:r w:rsidR="00AA4F8D">
        <w:rPr>
          <w:rFonts w:ascii="Arial" w:hAnsi="Arial" w:cs="Arial"/>
          <w:b/>
          <w:sz w:val="24"/>
          <w:szCs w:val="24"/>
          <w:lang w:val="en-US"/>
        </w:rPr>
        <w:t xml:space="preserve">Introduction and short </w:t>
      </w:r>
      <w:r w:rsidR="00AA4F8D" w:rsidRPr="00AA4F8D">
        <w:rPr>
          <w:rFonts w:ascii="Arial" w:hAnsi="Arial" w:cs="Arial"/>
          <w:b/>
          <w:sz w:val="24"/>
          <w:szCs w:val="24"/>
          <w:lang w:val="en-US"/>
        </w:rPr>
        <w:t>description of the survey</w:t>
      </w:r>
    </w:p>
    <w:p w14:paraId="56B26100" w14:textId="302E5073" w:rsidR="000F12B5" w:rsidRDefault="00CB4870" w:rsidP="00123167">
      <w:pPr>
        <w:spacing w:before="360" w:after="0" w:line="360" w:lineRule="auto"/>
        <w:jc w:val="both"/>
        <w:rPr>
          <w:rFonts w:ascii="Arial" w:hAnsi="Arial" w:cs="Arial"/>
          <w:sz w:val="24"/>
          <w:szCs w:val="24"/>
          <w:lang w:val="en-US"/>
        </w:rPr>
      </w:pPr>
      <w:r w:rsidRPr="00CB4870">
        <w:rPr>
          <w:rFonts w:ascii="Arial" w:hAnsi="Arial" w:cs="Arial"/>
          <w:sz w:val="24"/>
          <w:szCs w:val="24"/>
          <w:lang w:val="en-US"/>
        </w:rPr>
        <w:t xml:space="preserve">The purpose of the </w:t>
      </w:r>
      <w:r w:rsidR="00B15A4B">
        <w:rPr>
          <w:rFonts w:ascii="Arial" w:hAnsi="Arial" w:cs="Arial"/>
          <w:sz w:val="24"/>
          <w:szCs w:val="24"/>
          <w:lang w:val="en-US"/>
        </w:rPr>
        <w:t xml:space="preserve">quarterly </w:t>
      </w:r>
      <w:r w:rsidR="00173F51">
        <w:rPr>
          <w:rFonts w:ascii="Arial" w:hAnsi="Arial" w:cs="Arial"/>
          <w:sz w:val="24"/>
          <w:szCs w:val="24"/>
          <w:lang w:val="en-US"/>
        </w:rPr>
        <w:t>ISTAT</w:t>
      </w:r>
      <w:r w:rsidR="00B15A4B">
        <w:rPr>
          <w:rFonts w:ascii="Arial" w:hAnsi="Arial" w:cs="Arial"/>
          <w:sz w:val="24"/>
          <w:szCs w:val="24"/>
          <w:lang w:val="en-US"/>
        </w:rPr>
        <w:t xml:space="preserve"> </w:t>
      </w:r>
      <w:r w:rsidRPr="00CB4870">
        <w:rPr>
          <w:rFonts w:ascii="Arial" w:hAnsi="Arial" w:cs="Arial"/>
          <w:sz w:val="24"/>
          <w:szCs w:val="24"/>
          <w:lang w:val="en-US"/>
        </w:rPr>
        <w:t xml:space="preserve">survey </w:t>
      </w:r>
      <w:r w:rsidR="00303F4B">
        <w:rPr>
          <w:rFonts w:ascii="Arial" w:hAnsi="Arial" w:cs="Arial"/>
          <w:sz w:val="24"/>
          <w:szCs w:val="24"/>
          <w:lang w:val="en-US"/>
        </w:rPr>
        <w:t xml:space="preserve">on Job Vacancies and Hours Worked </w:t>
      </w:r>
      <w:r w:rsidR="006A51C1">
        <w:rPr>
          <w:rFonts w:ascii="Arial" w:hAnsi="Arial" w:cs="Arial"/>
          <w:sz w:val="24"/>
          <w:szCs w:val="24"/>
          <w:lang w:val="en-US"/>
        </w:rPr>
        <w:t xml:space="preserve">(in the following, VELA) </w:t>
      </w:r>
      <w:r w:rsidRPr="00CB4870">
        <w:rPr>
          <w:rFonts w:ascii="Arial" w:hAnsi="Arial" w:cs="Arial"/>
          <w:sz w:val="24"/>
          <w:szCs w:val="24"/>
          <w:lang w:val="en-US"/>
        </w:rPr>
        <w:t xml:space="preserve">is to </w:t>
      </w:r>
      <w:r w:rsidR="00B15A4B">
        <w:rPr>
          <w:rFonts w:ascii="Arial" w:hAnsi="Arial" w:cs="Arial"/>
          <w:sz w:val="24"/>
          <w:szCs w:val="24"/>
          <w:lang w:val="en-US"/>
        </w:rPr>
        <w:t xml:space="preserve">contribute to </w:t>
      </w:r>
      <w:r w:rsidR="00303F4B">
        <w:rPr>
          <w:rFonts w:ascii="Arial" w:hAnsi="Arial" w:cs="Arial"/>
          <w:sz w:val="24"/>
          <w:szCs w:val="24"/>
          <w:lang w:val="en-US"/>
        </w:rPr>
        <w:t xml:space="preserve">monitor </w:t>
      </w:r>
      <w:r w:rsidR="00B15A4B">
        <w:rPr>
          <w:rFonts w:ascii="Arial" w:hAnsi="Arial" w:cs="Arial"/>
          <w:sz w:val="24"/>
          <w:szCs w:val="24"/>
          <w:lang w:val="en-US"/>
        </w:rPr>
        <w:t xml:space="preserve">the </w:t>
      </w:r>
      <w:r w:rsidR="00303F4B">
        <w:rPr>
          <w:rFonts w:ascii="Arial" w:hAnsi="Arial" w:cs="Arial"/>
          <w:sz w:val="24"/>
          <w:szCs w:val="24"/>
          <w:lang w:val="en-US"/>
        </w:rPr>
        <w:t xml:space="preserve">dynamics of the </w:t>
      </w:r>
      <w:r w:rsidRPr="00CB4870">
        <w:rPr>
          <w:rFonts w:ascii="Arial" w:hAnsi="Arial" w:cs="Arial"/>
          <w:sz w:val="24"/>
          <w:szCs w:val="24"/>
          <w:lang w:val="en-US"/>
        </w:rPr>
        <w:t>labo</w:t>
      </w:r>
      <w:r w:rsidR="00B15A4B">
        <w:rPr>
          <w:rFonts w:ascii="Arial" w:hAnsi="Arial" w:cs="Arial"/>
          <w:sz w:val="24"/>
          <w:szCs w:val="24"/>
          <w:lang w:val="en-US"/>
        </w:rPr>
        <w:t>u</w:t>
      </w:r>
      <w:r w:rsidRPr="00CB4870">
        <w:rPr>
          <w:rFonts w:ascii="Arial" w:hAnsi="Arial" w:cs="Arial"/>
          <w:sz w:val="24"/>
          <w:szCs w:val="24"/>
          <w:lang w:val="en-US"/>
        </w:rPr>
        <w:t>r market</w:t>
      </w:r>
      <w:r w:rsidR="00FF7189">
        <w:rPr>
          <w:rFonts w:ascii="Arial" w:hAnsi="Arial" w:cs="Arial"/>
          <w:sz w:val="24"/>
          <w:szCs w:val="24"/>
          <w:lang w:val="en-US"/>
        </w:rPr>
        <w:t xml:space="preserve"> (see Baldi et al., 2011, and Bellisai et al., 2013)</w:t>
      </w:r>
      <w:r w:rsidRPr="00CB4870">
        <w:rPr>
          <w:rFonts w:ascii="Arial" w:hAnsi="Arial" w:cs="Arial"/>
          <w:sz w:val="24"/>
          <w:szCs w:val="24"/>
          <w:lang w:val="en-US"/>
        </w:rPr>
        <w:t xml:space="preserve">. </w:t>
      </w:r>
      <w:r w:rsidR="00B15A4B" w:rsidRPr="000F12B5">
        <w:rPr>
          <w:rFonts w:ascii="Arial" w:hAnsi="Arial" w:cs="Arial"/>
          <w:sz w:val="24"/>
          <w:szCs w:val="24"/>
          <w:lang w:val="en-US"/>
        </w:rPr>
        <w:t xml:space="preserve">Hours </w:t>
      </w:r>
      <w:r w:rsidR="000F12B5" w:rsidRPr="000F12B5">
        <w:rPr>
          <w:rFonts w:ascii="Arial" w:hAnsi="Arial" w:cs="Arial"/>
          <w:sz w:val="24"/>
          <w:szCs w:val="24"/>
          <w:lang w:val="en-US"/>
        </w:rPr>
        <w:t xml:space="preserve">worked measure the amount of work </w:t>
      </w:r>
      <w:r w:rsidR="00303F4B">
        <w:rPr>
          <w:rFonts w:ascii="Arial" w:hAnsi="Arial" w:cs="Arial"/>
          <w:sz w:val="24"/>
          <w:szCs w:val="24"/>
          <w:lang w:val="en-US"/>
        </w:rPr>
        <w:t xml:space="preserve">effectively </w:t>
      </w:r>
      <w:r w:rsidR="002073F7">
        <w:rPr>
          <w:rFonts w:ascii="Arial" w:hAnsi="Arial" w:cs="Arial"/>
          <w:sz w:val="24"/>
          <w:szCs w:val="24"/>
          <w:lang w:val="en-US"/>
        </w:rPr>
        <w:t>employed</w:t>
      </w:r>
      <w:r w:rsidR="000F12B5" w:rsidRPr="000F12B5">
        <w:rPr>
          <w:rFonts w:ascii="Arial" w:hAnsi="Arial" w:cs="Arial"/>
          <w:sz w:val="24"/>
          <w:szCs w:val="24"/>
          <w:lang w:val="en-US"/>
        </w:rPr>
        <w:t xml:space="preserve"> by </w:t>
      </w:r>
      <w:r w:rsidR="00B15A4B">
        <w:rPr>
          <w:rFonts w:ascii="Arial" w:hAnsi="Arial" w:cs="Arial"/>
          <w:sz w:val="24"/>
          <w:szCs w:val="24"/>
          <w:lang w:val="en-US"/>
        </w:rPr>
        <w:t>enterprises</w:t>
      </w:r>
      <w:r w:rsidR="000F12B5" w:rsidRPr="000F12B5">
        <w:rPr>
          <w:rFonts w:ascii="Arial" w:hAnsi="Arial" w:cs="Arial"/>
          <w:sz w:val="24"/>
          <w:szCs w:val="24"/>
          <w:lang w:val="en-US"/>
        </w:rPr>
        <w:t xml:space="preserve"> and </w:t>
      </w:r>
      <w:r w:rsidR="002073F7">
        <w:rPr>
          <w:rFonts w:ascii="Arial" w:hAnsi="Arial" w:cs="Arial"/>
          <w:sz w:val="24"/>
          <w:szCs w:val="24"/>
          <w:lang w:val="en-US"/>
        </w:rPr>
        <w:t>are used in</w:t>
      </w:r>
      <w:r w:rsidR="000F12B5" w:rsidRPr="000F12B5">
        <w:rPr>
          <w:rFonts w:ascii="Arial" w:hAnsi="Arial" w:cs="Arial"/>
          <w:sz w:val="24"/>
          <w:szCs w:val="24"/>
          <w:lang w:val="en-US"/>
        </w:rPr>
        <w:t xml:space="preserve"> the calculation of indicators </w:t>
      </w:r>
      <w:r w:rsidR="00B15A4B">
        <w:rPr>
          <w:rFonts w:ascii="Arial" w:hAnsi="Arial" w:cs="Arial"/>
          <w:sz w:val="24"/>
          <w:szCs w:val="24"/>
          <w:lang w:val="en-US"/>
        </w:rPr>
        <w:t>such as</w:t>
      </w:r>
      <w:r w:rsidR="004B5817" w:rsidRPr="000F12B5">
        <w:rPr>
          <w:rFonts w:ascii="Arial" w:hAnsi="Arial" w:cs="Arial"/>
          <w:sz w:val="24"/>
          <w:szCs w:val="24"/>
          <w:lang w:val="en-US"/>
        </w:rPr>
        <w:t xml:space="preserve"> </w:t>
      </w:r>
      <w:r w:rsidR="000F12B5" w:rsidRPr="000F12B5">
        <w:rPr>
          <w:rFonts w:ascii="Arial" w:hAnsi="Arial" w:cs="Arial"/>
          <w:sz w:val="24"/>
          <w:szCs w:val="24"/>
          <w:lang w:val="en-US"/>
        </w:rPr>
        <w:t>hourly wages</w:t>
      </w:r>
      <w:r w:rsidR="004B5817">
        <w:rPr>
          <w:rFonts w:ascii="Arial" w:hAnsi="Arial" w:cs="Arial"/>
          <w:sz w:val="24"/>
          <w:szCs w:val="24"/>
          <w:lang w:val="en-US"/>
        </w:rPr>
        <w:t xml:space="preserve"> </w:t>
      </w:r>
      <w:r w:rsidR="00123167">
        <w:rPr>
          <w:rFonts w:ascii="Arial" w:hAnsi="Arial" w:cs="Arial"/>
          <w:sz w:val="24"/>
          <w:szCs w:val="24"/>
          <w:lang w:val="en-US"/>
        </w:rPr>
        <w:t xml:space="preserve">and labour costs (in particular, in the EU Labour Cost Index) </w:t>
      </w:r>
      <w:r w:rsidR="004B5817">
        <w:rPr>
          <w:rFonts w:ascii="Arial" w:hAnsi="Arial" w:cs="Arial"/>
          <w:sz w:val="24"/>
          <w:szCs w:val="24"/>
          <w:lang w:val="en-US"/>
        </w:rPr>
        <w:t xml:space="preserve">and </w:t>
      </w:r>
      <w:r w:rsidR="000F12B5" w:rsidRPr="000F12B5">
        <w:rPr>
          <w:rFonts w:ascii="Arial" w:hAnsi="Arial" w:cs="Arial"/>
          <w:sz w:val="24"/>
          <w:szCs w:val="24"/>
          <w:lang w:val="en-US"/>
        </w:rPr>
        <w:t>hourly productivity</w:t>
      </w:r>
      <w:r w:rsidR="004B5817">
        <w:rPr>
          <w:rFonts w:ascii="Arial" w:hAnsi="Arial" w:cs="Arial"/>
          <w:sz w:val="24"/>
          <w:szCs w:val="24"/>
          <w:lang w:val="en-US"/>
        </w:rPr>
        <w:t xml:space="preserve">. </w:t>
      </w:r>
      <w:r w:rsidR="00123167">
        <w:rPr>
          <w:rFonts w:ascii="Arial" w:hAnsi="Arial" w:cs="Arial"/>
          <w:sz w:val="24"/>
          <w:szCs w:val="24"/>
          <w:lang w:val="en-US"/>
        </w:rPr>
        <w:t>Job vacancies are included among the PEEIs (Principal European Economic Indicators) on the</w:t>
      </w:r>
      <w:r w:rsidR="00972989">
        <w:rPr>
          <w:rFonts w:ascii="Arial" w:hAnsi="Arial" w:cs="Arial"/>
          <w:sz w:val="24"/>
          <w:szCs w:val="24"/>
          <w:lang w:val="en-US"/>
        </w:rPr>
        <w:t xml:space="preserve"> labour market, for their</w:t>
      </w:r>
      <w:r w:rsidR="00123167">
        <w:rPr>
          <w:rFonts w:ascii="Arial" w:hAnsi="Arial" w:cs="Arial"/>
          <w:sz w:val="24"/>
          <w:szCs w:val="24"/>
          <w:lang w:val="en-US"/>
        </w:rPr>
        <w:t xml:space="preserve"> role as</w:t>
      </w:r>
      <w:r w:rsidR="000F12B5" w:rsidRPr="0056324D">
        <w:rPr>
          <w:rFonts w:ascii="Arial" w:hAnsi="Arial" w:cs="Arial"/>
          <w:sz w:val="24"/>
          <w:szCs w:val="24"/>
          <w:lang w:val="en-US"/>
        </w:rPr>
        <w:t xml:space="preserve"> </w:t>
      </w:r>
      <w:r w:rsidR="000F12B5" w:rsidRPr="009F04C8">
        <w:rPr>
          <w:rFonts w:ascii="Arial" w:hAnsi="Arial" w:cs="Arial"/>
          <w:sz w:val="24"/>
          <w:szCs w:val="24"/>
          <w:lang w:val="en-US"/>
        </w:rPr>
        <w:t>leading</w:t>
      </w:r>
      <w:r w:rsidR="000F12B5" w:rsidRPr="0056324D">
        <w:rPr>
          <w:rFonts w:ascii="Arial" w:hAnsi="Arial" w:cs="Arial"/>
          <w:sz w:val="24"/>
          <w:szCs w:val="24"/>
          <w:lang w:val="en-US"/>
        </w:rPr>
        <w:t xml:space="preserve"> indicator of employment</w:t>
      </w:r>
      <w:r w:rsidR="00390F12">
        <w:rPr>
          <w:rFonts w:ascii="Arial" w:hAnsi="Arial" w:cs="Arial"/>
          <w:sz w:val="24"/>
          <w:szCs w:val="24"/>
          <w:lang w:val="en-US"/>
        </w:rPr>
        <w:t xml:space="preserve"> dynamics</w:t>
      </w:r>
      <w:r w:rsidR="000F12B5" w:rsidRPr="009F04C8">
        <w:rPr>
          <w:rFonts w:ascii="Arial" w:hAnsi="Arial" w:cs="Arial"/>
          <w:sz w:val="24"/>
          <w:szCs w:val="24"/>
          <w:lang w:val="en-US"/>
        </w:rPr>
        <w:t>.</w:t>
      </w:r>
      <w:r w:rsidR="00F606D7">
        <w:rPr>
          <w:rFonts w:ascii="Arial" w:hAnsi="Arial" w:cs="Arial"/>
          <w:sz w:val="24"/>
          <w:szCs w:val="24"/>
          <w:lang w:val="en-US"/>
        </w:rPr>
        <w:t xml:space="preserve"> </w:t>
      </w:r>
    </w:p>
    <w:p w14:paraId="14402754" w14:textId="77777777" w:rsidR="00123167" w:rsidRDefault="00F606D7" w:rsidP="00123167">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survey contributes to produce the statistics required by three EU Regulations: hours worked for </w:t>
      </w:r>
      <w:r w:rsidR="00123167" w:rsidRPr="009F04C8">
        <w:rPr>
          <w:rFonts w:ascii="Arial" w:hAnsi="Arial" w:cs="Arial"/>
          <w:sz w:val="24"/>
          <w:szCs w:val="24"/>
          <w:lang w:val="en-US"/>
        </w:rPr>
        <w:t>short-term statistics</w:t>
      </w:r>
      <w:r>
        <w:rPr>
          <w:rFonts w:ascii="Arial" w:hAnsi="Arial" w:cs="Arial"/>
          <w:sz w:val="24"/>
          <w:szCs w:val="24"/>
          <w:lang w:val="en-US"/>
        </w:rPr>
        <w:t xml:space="preserve"> (Regulation</w:t>
      </w:r>
      <w:r w:rsidRPr="009F04C8">
        <w:rPr>
          <w:rFonts w:ascii="Arial" w:hAnsi="Arial" w:cs="Arial"/>
          <w:sz w:val="24"/>
          <w:szCs w:val="24"/>
          <w:lang w:val="en-US"/>
        </w:rPr>
        <w:t xml:space="preserve"> N</w:t>
      </w:r>
      <w:r>
        <w:rPr>
          <w:rFonts w:ascii="Arial" w:hAnsi="Arial" w:cs="Arial"/>
          <w:sz w:val="24"/>
          <w:szCs w:val="24"/>
          <w:lang w:val="en-US"/>
        </w:rPr>
        <w:t>o</w:t>
      </w:r>
      <w:r w:rsidR="00123167" w:rsidRPr="009F04C8">
        <w:rPr>
          <w:rFonts w:ascii="Arial" w:hAnsi="Arial" w:cs="Arial"/>
          <w:sz w:val="24"/>
          <w:szCs w:val="24"/>
          <w:lang w:val="en-US"/>
        </w:rPr>
        <w:t>. 1165/98</w:t>
      </w:r>
      <w:r>
        <w:rPr>
          <w:rFonts w:ascii="Arial" w:hAnsi="Arial" w:cs="Arial"/>
          <w:sz w:val="24"/>
          <w:szCs w:val="24"/>
          <w:lang w:val="en-US"/>
        </w:rPr>
        <w:t xml:space="preserve">) and as denominator for the </w:t>
      </w:r>
      <w:r w:rsidRPr="00BB6DA9">
        <w:rPr>
          <w:rFonts w:ascii="Arial" w:hAnsi="Arial" w:cs="Arial"/>
          <w:sz w:val="24"/>
          <w:szCs w:val="24"/>
          <w:lang w:val="en-US"/>
        </w:rPr>
        <w:t>Labo</w:t>
      </w:r>
      <w:r>
        <w:rPr>
          <w:rFonts w:ascii="Arial" w:hAnsi="Arial" w:cs="Arial"/>
          <w:sz w:val="24"/>
          <w:szCs w:val="24"/>
          <w:lang w:val="en-US"/>
        </w:rPr>
        <w:t>u</w:t>
      </w:r>
      <w:r w:rsidRPr="00BB6DA9">
        <w:rPr>
          <w:rFonts w:ascii="Arial" w:hAnsi="Arial" w:cs="Arial"/>
          <w:sz w:val="24"/>
          <w:szCs w:val="24"/>
          <w:lang w:val="en-US"/>
        </w:rPr>
        <w:t xml:space="preserve">r Cost Index </w:t>
      </w:r>
      <w:r>
        <w:rPr>
          <w:rFonts w:ascii="Arial" w:hAnsi="Arial" w:cs="Arial"/>
          <w:sz w:val="24"/>
          <w:szCs w:val="24"/>
          <w:lang w:val="en-US"/>
        </w:rPr>
        <w:t>(Regulation</w:t>
      </w:r>
      <w:r w:rsidRPr="009F04C8">
        <w:rPr>
          <w:rFonts w:ascii="Arial" w:hAnsi="Arial" w:cs="Arial"/>
          <w:sz w:val="24"/>
          <w:szCs w:val="24"/>
          <w:lang w:val="en-US"/>
        </w:rPr>
        <w:t xml:space="preserve"> N</w:t>
      </w:r>
      <w:r>
        <w:rPr>
          <w:rFonts w:ascii="Arial" w:hAnsi="Arial" w:cs="Arial"/>
          <w:sz w:val="24"/>
          <w:szCs w:val="24"/>
          <w:lang w:val="en-US"/>
        </w:rPr>
        <w:t xml:space="preserve">o. </w:t>
      </w:r>
      <w:r w:rsidRPr="009F04C8">
        <w:rPr>
          <w:rFonts w:ascii="Arial" w:hAnsi="Arial" w:cs="Arial"/>
          <w:sz w:val="24"/>
          <w:szCs w:val="24"/>
          <w:lang w:val="en-US"/>
        </w:rPr>
        <w:t>450/2003</w:t>
      </w:r>
      <w:r>
        <w:rPr>
          <w:rFonts w:ascii="Arial" w:hAnsi="Arial" w:cs="Arial"/>
          <w:sz w:val="24"/>
          <w:szCs w:val="24"/>
          <w:lang w:val="en-US"/>
        </w:rPr>
        <w:t xml:space="preserve">); and job vacancies </w:t>
      </w:r>
      <w:r w:rsidR="00123167" w:rsidRPr="00BB6DA9">
        <w:rPr>
          <w:rFonts w:ascii="Arial" w:hAnsi="Arial" w:cs="Arial"/>
          <w:sz w:val="24"/>
          <w:szCs w:val="24"/>
          <w:lang w:val="en-US"/>
        </w:rPr>
        <w:t xml:space="preserve">for </w:t>
      </w:r>
      <w:r>
        <w:rPr>
          <w:rFonts w:ascii="Arial" w:hAnsi="Arial" w:cs="Arial"/>
          <w:sz w:val="24"/>
          <w:szCs w:val="24"/>
          <w:lang w:val="en-US"/>
        </w:rPr>
        <w:t>Regulation</w:t>
      </w:r>
      <w:r w:rsidRPr="009F04C8">
        <w:rPr>
          <w:rFonts w:ascii="Arial" w:hAnsi="Arial" w:cs="Arial"/>
          <w:sz w:val="24"/>
          <w:szCs w:val="24"/>
          <w:lang w:val="en-US"/>
        </w:rPr>
        <w:t xml:space="preserve"> N</w:t>
      </w:r>
      <w:r>
        <w:rPr>
          <w:rFonts w:ascii="Arial" w:hAnsi="Arial" w:cs="Arial"/>
          <w:sz w:val="24"/>
          <w:szCs w:val="24"/>
          <w:lang w:val="en-US"/>
        </w:rPr>
        <w:t>o</w:t>
      </w:r>
      <w:r w:rsidRPr="009F04C8">
        <w:rPr>
          <w:rFonts w:ascii="Arial" w:hAnsi="Arial" w:cs="Arial"/>
          <w:sz w:val="24"/>
          <w:szCs w:val="24"/>
          <w:lang w:val="en-US"/>
        </w:rPr>
        <w:t xml:space="preserve">. </w:t>
      </w:r>
      <w:r w:rsidR="00123167" w:rsidRPr="009F04C8">
        <w:rPr>
          <w:rFonts w:ascii="Arial" w:hAnsi="Arial" w:cs="Arial"/>
          <w:sz w:val="24"/>
          <w:szCs w:val="24"/>
          <w:lang w:val="en-US"/>
        </w:rPr>
        <w:t xml:space="preserve">453/2008.  </w:t>
      </w:r>
    </w:p>
    <w:p w14:paraId="7C316B53" w14:textId="77777777" w:rsidR="00CB4870" w:rsidRPr="00454C7A" w:rsidRDefault="00F93B8E" w:rsidP="00CB4870">
      <w:pPr>
        <w:spacing w:before="360" w:after="0" w:line="360" w:lineRule="auto"/>
        <w:jc w:val="both"/>
        <w:rPr>
          <w:rFonts w:ascii="Arial" w:hAnsi="Arial" w:cs="Arial"/>
          <w:sz w:val="24"/>
          <w:szCs w:val="24"/>
          <w:lang w:val="en-US"/>
        </w:rPr>
      </w:pPr>
      <w:r>
        <w:rPr>
          <w:rFonts w:ascii="Arial" w:hAnsi="Arial" w:cs="Arial"/>
          <w:sz w:val="24"/>
          <w:szCs w:val="24"/>
          <w:lang w:val="en-US"/>
        </w:rPr>
        <w:t>To these aim</w:t>
      </w:r>
      <w:r w:rsidR="006A51C1">
        <w:rPr>
          <w:rFonts w:ascii="Arial" w:hAnsi="Arial" w:cs="Arial"/>
          <w:sz w:val="24"/>
          <w:szCs w:val="24"/>
          <w:lang w:val="en-US"/>
        </w:rPr>
        <w:t xml:space="preserve">, </w:t>
      </w:r>
      <w:r w:rsidR="00CB4870" w:rsidRPr="00CB4870">
        <w:rPr>
          <w:rFonts w:ascii="Arial" w:hAnsi="Arial" w:cs="Arial"/>
          <w:sz w:val="24"/>
          <w:szCs w:val="24"/>
          <w:lang w:val="en-US"/>
        </w:rPr>
        <w:t xml:space="preserve">the </w:t>
      </w:r>
      <w:r w:rsidR="006A51C1">
        <w:rPr>
          <w:rFonts w:ascii="Arial" w:hAnsi="Arial" w:cs="Arial"/>
          <w:sz w:val="24"/>
          <w:szCs w:val="24"/>
          <w:lang w:val="en-US"/>
        </w:rPr>
        <w:t>VELA</w:t>
      </w:r>
      <w:r w:rsidR="00CB4870" w:rsidRPr="00CB4870">
        <w:rPr>
          <w:rFonts w:ascii="Arial" w:hAnsi="Arial" w:cs="Arial"/>
          <w:sz w:val="24"/>
          <w:szCs w:val="24"/>
          <w:lang w:val="en-US"/>
        </w:rPr>
        <w:t xml:space="preserve"> survey </w:t>
      </w:r>
      <w:r w:rsidR="008A7C5F">
        <w:rPr>
          <w:rFonts w:ascii="Arial" w:hAnsi="Arial" w:cs="Arial"/>
          <w:sz w:val="24"/>
          <w:szCs w:val="24"/>
          <w:lang w:val="en-US"/>
        </w:rPr>
        <w:t xml:space="preserve">measures </w:t>
      </w:r>
      <w:r w:rsidR="006A51C1">
        <w:rPr>
          <w:rFonts w:ascii="Arial" w:hAnsi="Arial" w:cs="Arial"/>
          <w:sz w:val="24"/>
          <w:szCs w:val="24"/>
          <w:lang w:val="en-US"/>
        </w:rPr>
        <w:t>employees</w:t>
      </w:r>
      <w:r w:rsidR="008A7C5F">
        <w:rPr>
          <w:rFonts w:ascii="Arial" w:hAnsi="Arial" w:cs="Arial"/>
          <w:sz w:val="24"/>
          <w:szCs w:val="24"/>
          <w:lang w:val="en-US"/>
        </w:rPr>
        <w:t>’</w:t>
      </w:r>
      <w:r w:rsidR="006A51C1">
        <w:rPr>
          <w:rFonts w:ascii="Arial" w:hAnsi="Arial" w:cs="Arial"/>
          <w:sz w:val="24"/>
          <w:szCs w:val="24"/>
          <w:lang w:val="en-US"/>
        </w:rPr>
        <w:t xml:space="preserve"> stocks and flows</w:t>
      </w:r>
      <w:r w:rsidR="00CB4870" w:rsidRPr="00CB4870">
        <w:rPr>
          <w:rFonts w:ascii="Arial" w:hAnsi="Arial" w:cs="Arial"/>
          <w:sz w:val="24"/>
          <w:szCs w:val="24"/>
          <w:lang w:val="en-US"/>
        </w:rPr>
        <w:t xml:space="preserve">, </w:t>
      </w:r>
      <w:r w:rsidR="008A7C5F">
        <w:rPr>
          <w:rFonts w:ascii="Arial" w:hAnsi="Arial" w:cs="Arial"/>
          <w:sz w:val="24"/>
          <w:szCs w:val="24"/>
          <w:lang w:val="en-US"/>
        </w:rPr>
        <w:t xml:space="preserve">job vacancies, </w:t>
      </w:r>
      <w:r w:rsidR="008A7C5F" w:rsidRPr="00CB4870">
        <w:rPr>
          <w:rFonts w:ascii="Arial" w:hAnsi="Arial" w:cs="Arial"/>
          <w:sz w:val="24"/>
          <w:szCs w:val="24"/>
          <w:lang w:val="en-US"/>
        </w:rPr>
        <w:t>hours worked and paid</w:t>
      </w:r>
      <w:r w:rsidR="008A7C5F">
        <w:rPr>
          <w:rFonts w:ascii="Arial" w:hAnsi="Arial" w:cs="Arial"/>
          <w:sz w:val="24"/>
          <w:szCs w:val="24"/>
          <w:lang w:val="en-US"/>
        </w:rPr>
        <w:t xml:space="preserve"> but not worked</w:t>
      </w:r>
      <w:r w:rsidR="008A7C5F" w:rsidRPr="00CB4870">
        <w:rPr>
          <w:rFonts w:ascii="Arial" w:hAnsi="Arial" w:cs="Arial"/>
          <w:sz w:val="24"/>
          <w:szCs w:val="24"/>
          <w:lang w:val="en-US"/>
        </w:rPr>
        <w:t xml:space="preserve">, </w:t>
      </w:r>
      <w:r w:rsidR="00CB4870" w:rsidRPr="00CB4870">
        <w:rPr>
          <w:rFonts w:ascii="Arial" w:hAnsi="Arial" w:cs="Arial"/>
          <w:sz w:val="24"/>
          <w:szCs w:val="24"/>
          <w:lang w:val="en-US"/>
        </w:rPr>
        <w:t xml:space="preserve">hours of short-time </w:t>
      </w:r>
      <w:r w:rsidR="008A7C5F">
        <w:rPr>
          <w:rFonts w:ascii="Arial" w:hAnsi="Arial" w:cs="Arial"/>
          <w:sz w:val="24"/>
          <w:szCs w:val="24"/>
          <w:lang w:val="en-US"/>
        </w:rPr>
        <w:t xml:space="preserve">working </w:t>
      </w:r>
      <w:r w:rsidR="00CB4870" w:rsidRPr="00CB4870">
        <w:rPr>
          <w:rFonts w:ascii="Arial" w:hAnsi="Arial" w:cs="Arial"/>
          <w:sz w:val="24"/>
          <w:szCs w:val="24"/>
          <w:lang w:val="en-US"/>
        </w:rPr>
        <w:t xml:space="preserve">allowance. </w:t>
      </w:r>
    </w:p>
    <w:p w14:paraId="0EEF36A2" w14:textId="77777777" w:rsidR="00491874" w:rsidRDefault="00454C7A" w:rsidP="00CB4870">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survey population includes </w:t>
      </w:r>
      <w:r w:rsidRPr="009F04C8">
        <w:rPr>
          <w:rFonts w:ascii="Arial" w:hAnsi="Arial" w:cs="Arial"/>
          <w:sz w:val="24"/>
          <w:szCs w:val="24"/>
          <w:lang w:val="en-US"/>
        </w:rPr>
        <w:t xml:space="preserve">all </w:t>
      </w:r>
      <w:r w:rsidR="00491874" w:rsidRPr="009F04C8">
        <w:rPr>
          <w:rFonts w:ascii="Arial" w:hAnsi="Arial" w:cs="Arial"/>
          <w:sz w:val="24"/>
          <w:szCs w:val="24"/>
          <w:lang w:val="en-US"/>
        </w:rPr>
        <w:t xml:space="preserve">Italian </w:t>
      </w:r>
      <w:r w:rsidR="00A77E54">
        <w:rPr>
          <w:rFonts w:ascii="Arial" w:hAnsi="Arial" w:cs="Arial"/>
          <w:sz w:val="24"/>
          <w:szCs w:val="24"/>
          <w:lang w:val="en-US"/>
        </w:rPr>
        <w:t xml:space="preserve">private </w:t>
      </w:r>
      <w:r w:rsidR="00491874" w:rsidRPr="009F04C8">
        <w:rPr>
          <w:rFonts w:ascii="Arial" w:hAnsi="Arial" w:cs="Arial"/>
          <w:sz w:val="24"/>
          <w:szCs w:val="24"/>
          <w:lang w:val="en-US"/>
        </w:rPr>
        <w:t>enterprises with less than 500 employees</w:t>
      </w:r>
      <w:r>
        <w:rPr>
          <w:rFonts w:ascii="Arial" w:hAnsi="Arial" w:cs="Arial"/>
          <w:sz w:val="24"/>
          <w:szCs w:val="24"/>
          <w:lang w:val="en-US"/>
        </w:rPr>
        <w:t xml:space="preserve"> in Nace Rev. 2 sections B to S (excluding O). The largest enterprises are excluded (apart from few exceptions, considered </w:t>
      </w:r>
      <w:r w:rsidR="00B4129E">
        <w:rPr>
          <w:rFonts w:ascii="Arial" w:hAnsi="Arial" w:cs="Arial"/>
          <w:sz w:val="24"/>
          <w:szCs w:val="24"/>
          <w:lang w:val="en-US"/>
        </w:rPr>
        <w:t xml:space="preserve">by VELA as </w:t>
      </w:r>
      <w:r>
        <w:rPr>
          <w:rFonts w:ascii="Arial" w:hAnsi="Arial" w:cs="Arial"/>
          <w:sz w:val="24"/>
          <w:szCs w:val="24"/>
          <w:lang w:val="en-US"/>
        </w:rPr>
        <w:t xml:space="preserve">belonging to take all strata) because they are all included in the panel of another </w:t>
      </w:r>
      <w:r w:rsidR="00173F51">
        <w:rPr>
          <w:rFonts w:ascii="Arial" w:hAnsi="Arial" w:cs="Arial"/>
          <w:sz w:val="24"/>
          <w:szCs w:val="24"/>
          <w:lang w:val="en-US"/>
        </w:rPr>
        <w:t>ISTAT</w:t>
      </w:r>
      <w:r>
        <w:rPr>
          <w:rFonts w:ascii="Arial" w:hAnsi="Arial" w:cs="Arial"/>
          <w:sz w:val="24"/>
          <w:szCs w:val="24"/>
          <w:lang w:val="en-US"/>
        </w:rPr>
        <w:t xml:space="preserve"> survey that collects data also on the same variables</w:t>
      </w:r>
      <w:r w:rsidR="00B4129E" w:rsidRPr="00B4129E">
        <w:rPr>
          <w:rFonts w:ascii="Arial" w:hAnsi="Arial" w:cs="Arial"/>
          <w:sz w:val="24"/>
          <w:szCs w:val="24"/>
          <w:lang w:val="en-US"/>
        </w:rPr>
        <w:t xml:space="preserve"> </w:t>
      </w:r>
      <w:r w:rsidR="00B4129E">
        <w:rPr>
          <w:rFonts w:ascii="Arial" w:hAnsi="Arial" w:cs="Arial"/>
          <w:sz w:val="24"/>
          <w:szCs w:val="24"/>
          <w:lang w:val="en-US"/>
        </w:rPr>
        <w:t xml:space="preserve">with a monthly </w:t>
      </w:r>
      <w:r w:rsidR="00445C04">
        <w:rPr>
          <w:rFonts w:ascii="Arial" w:hAnsi="Arial" w:cs="Arial"/>
          <w:sz w:val="24"/>
          <w:szCs w:val="24"/>
          <w:lang w:val="en-US"/>
        </w:rPr>
        <w:t>frequency</w:t>
      </w:r>
      <w:r>
        <w:rPr>
          <w:rFonts w:ascii="Arial" w:hAnsi="Arial" w:cs="Arial"/>
          <w:sz w:val="24"/>
          <w:szCs w:val="24"/>
          <w:lang w:val="en-US"/>
        </w:rPr>
        <w:t xml:space="preserve">.  </w:t>
      </w:r>
    </w:p>
    <w:p w14:paraId="0A0F927D" w14:textId="77777777" w:rsidR="00A449C1" w:rsidRDefault="00CB4870" w:rsidP="00CB4870">
      <w:pPr>
        <w:spacing w:before="360" w:after="0" w:line="360" w:lineRule="auto"/>
        <w:jc w:val="both"/>
        <w:rPr>
          <w:rFonts w:ascii="Arial" w:hAnsi="Arial" w:cs="Arial"/>
          <w:sz w:val="24"/>
          <w:szCs w:val="24"/>
          <w:lang w:val="en-US"/>
        </w:rPr>
      </w:pPr>
      <w:r w:rsidRPr="00CB4870">
        <w:rPr>
          <w:rFonts w:ascii="Arial" w:hAnsi="Arial" w:cs="Arial"/>
          <w:sz w:val="24"/>
          <w:szCs w:val="24"/>
          <w:lang w:val="en-US"/>
        </w:rPr>
        <w:t xml:space="preserve">The VELA </w:t>
      </w:r>
      <w:r w:rsidR="00445C04">
        <w:rPr>
          <w:rFonts w:ascii="Arial" w:hAnsi="Arial" w:cs="Arial"/>
          <w:sz w:val="24"/>
          <w:szCs w:val="24"/>
          <w:lang w:val="en-US"/>
        </w:rPr>
        <w:t>sample</w:t>
      </w:r>
      <w:r w:rsidRPr="00CB4870">
        <w:rPr>
          <w:rFonts w:ascii="Arial" w:hAnsi="Arial" w:cs="Arial"/>
          <w:sz w:val="24"/>
          <w:szCs w:val="24"/>
          <w:lang w:val="en-US"/>
        </w:rPr>
        <w:t xml:space="preserve"> </w:t>
      </w:r>
      <w:r w:rsidR="00445C04">
        <w:rPr>
          <w:rFonts w:ascii="Arial" w:hAnsi="Arial" w:cs="Arial"/>
          <w:sz w:val="24"/>
          <w:szCs w:val="24"/>
          <w:lang w:val="en-US"/>
        </w:rPr>
        <w:t>includes around</w:t>
      </w:r>
      <w:r w:rsidR="00AA4F8D">
        <w:rPr>
          <w:rFonts w:ascii="Arial" w:hAnsi="Arial" w:cs="Arial"/>
          <w:sz w:val="24"/>
          <w:szCs w:val="24"/>
          <w:lang w:val="en-US"/>
        </w:rPr>
        <w:t xml:space="preserve"> 26</w:t>
      </w:r>
      <w:r w:rsidRPr="00CB4870">
        <w:rPr>
          <w:rFonts w:ascii="Arial" w:hAnsi="Arial" w:cs="Arial"/>
          <w:sz w:val="24"/>
          <w:szCs w:val="24"/>
          <w:lang w:val="en-US"/>
        </w:rPr>
        <w:t xml:space="preserve">.000 </w:t>
      </w:r>
      <w:r w:rsidR="00445C04">
        <w:rPr>
          <w:rFonts w:ascii="Arial" w:hAnsi="Arial" w:cs="Arial"/>
          <w:sz w:val="24"/>
          <w:szCs w:val="24"/>
          <w:lang w:val="en-US"/>
        </w:rPr>
        <w:t xml:space="preserve">enterprises and it is drawn randomly on the basis of an allocation in strata defined through </w:t>
      </w:r>
      <w:r w:rsidR="00445C04" w:rsidRPr="00CB4870">
        <w:rPr>
          <w:rFonts w:ascii="Arial" w:hAnsi="Arial" w:cs="Arial"/>
          <w:sz w:val="24"/>
          <w:szCs w:val="24"/>
          <w:lang w:val="en-US"/>
        </w:rPr>
        <w:t>economic activity, size and geographical area.</w:t>
      </w:r>
      <w:r w:rsidRPr="00CB4870">
        <w:rPr>
          <w:rFonts w:ascii="Arial" w:hAnsi="Arial" w:cs="Arial"/>
          <w:sz w:val="24"/>
          <w:szCs w:val="24"/>
          <w:lang w:val="en-US"/>
        </w:rPr>
        <w:t xml:space="preserve"> </w:t>
      </w:r>
      <w:r w:rsidR="00445C04">
        <w:rPr>
          <w:rFonts w:ascii="Arial" w:hAnsi="Arial" w:cs="Arial"/>
          <w:sz w:val="24"/>
          <w:szCs w:val="24"/>
          <w:lang w:val="en-US"/>
        </w:rPr>
        <w:t xml:space="preserve">It is rotated by one third each year, for the </w:t>
      </w:r>
      <w:r w:rsidR="00A449C1">
        <w:rPr>
          <w:rFonts w:ascii="Arial" w:hAnsi="Arial" w:cs="Arial"/>
          <w:sz w:val="24"/>
          <w:szCs w:val="24"/>
          <w:lang w:val="en-US"/>
        </w:rPr>
        <w:t>first quarter of the year</w:t>
      </w:r>
      <w:r w:rsidR="00445C04">
        <w:rPr>
          <w:rFonts w:ascii="Arial" w:hAnsi="Arial" w:cs="Arial"/>
          <w:sz w:val="24"/>
          <w:szCs w:val="24"/>
          <w:lang w:val="en-US"/>
        </w:rPr>
        <w:t xml:space="preserve"> wave. </w:t>
      </w:r>
    </w:p>
    <w:p w14:paraId="12736A47" w14:textId="05724C0A" w:rsidR="00A43877" w:rsidRDefault="00A43877" w:rsidP="00CB4870">
      <w:pPr>
        <w:spacing w:before="360" w:after="0" w:line="360" w:lineRule="auto"/>
        <w:jc w:val="both"/>
        <w:rPr>
          <w:rFonts w:ascii="Arial" w:hAnsi="Arial" w:cs="Arial"/>
          <w:sz w:val="24"/>
          <w:szCs w:val="24"/>
          <w:lang w:val="en-US"/>
        </w:rPr>
      </w:pPr>
      <w:r>
        <w:rPr>
          <w:rFonts w:ascii="Arial" w:hAnsi="Arial" w:cs="Arial"/>
          <w:sz w:val="24"/>
          <w:szCs w:val="24"/>
          <w:lang w:val="en-US"/>
        </w:rPr>
        <w:t xml:space="preserve">Up until the fourth quarter of 2016, VELA used a mixed mode data collection, combining </w:t>
      </w:r>
      <w:r w:rsidRPr="009F04C8">
        <w:rPr>
          <w:rFonts w:ascii="Arial" w:hAnsi="Arial" w:cs="Arial"/>
          <w:sz w:val="24"/>
          <w:szCs w:val="24"/>
          <w:lang w:val="en-US"/>
        </w:rPr>
        <w:t xml:space="preserve">CATI </w:t>
      </w:r>
      <w:r>
        <w:rPr>
          <w:rFonts w:ascii="Arial" w:hAnsi="Arial" w:cs="Arial"/>
          <w:sz w:val="24"/>
          <w:szCs w:val="24"/>
          <w:lang w:val="en-US"/>
        </w:rPr>
        <w:t>(</w:t>
      </w:r>
      <w:r w:rsidRPr="000A6D9A">
        <w:rPr>
          <w:rFonts w:ascii="Arial" w:hAnsi="Arial" w:cs="Arial"/>
          <w:sz w:val="24"/>
          <w:szCs w:val="24"/>
          <w:lang w:val="en-US"/>
        </w:rPr>
        <w:t>Computer Assisted Telephone Interviewing</w:t>
      </w:r>
      <w:r w:rsidR="00AF1BF6">
        <w:rPr>
          <w:rFonts w:ascii="Arial" w:hAnsi="Arial" w:cs="Arial"/>
          <w:sz w:val="24"/>
          <w:szCs w:val="24"/>
          <w:lang w:val="en-US"/>
        </w:rPr>
        <w:t>),</w:t>
      </w:r>
      <w:r>
        <w:rPr>
          <w:rFonts w:ascii="Arial" w:hAnsi="Arial" w:cs="Arial"/>
          <w:sz w:val="24"/>
          <w:szCs w:val="24"/>
          <w:lang w:val="en-US"/>
        </w:rPr>
        <w:t xml:space="preserve"> CAWI (</w:t>
      </w:r>
      <w:r w:rsidRPr="009F04C8">
        <w:rPr>
          <w:rFonts w:ascii="Arial" w:hAnsi="Arial" w:cs="Arial"/>
          <w:sz w:val="24"/>
          <w:szCs w:val="24"/>
          <w:lang w:val="en-US"/>
        </w:rPr>
        <w:t xml:space="preserve">Computer </w:t>
      </w:r>
      <w:r w:rsidRPr="009F04C8">
        <w:rPr>
          <w:rFonts w:ascii="Arial" w:hAnsi="Arial" w:cs="Arial"/>
          <w:sz w:val="24"/>
          <w:szCs w:val="24"/>
          <w:lang w:val="en-US"/>
        </w:rPr>
        <w:lastRenderedPageBreak/>
        <w:t>Assisted Web Interviewing</w:t>
      </w:r>
      <w:r>
        <w:rPr>
          <w:rFonts w:ascii="Arial" w:hAnsi="Arial" w:cs="Arial"/>
          <w:sz w:val="24"/>
          <w:szCs w:val="24"/>
          <w:lang w:val="en-US"/>
        </w:rPr>
        <w:t>)</w:t>
      </w:r>
      <w:r w:rsidR="00AF1BF6">
        <w:rPr>
          <w:rFonts w:ascii="Arial" w:hAnsi="Arial" w:cs="Arial"/>
          <w:sz w:val="24"/>
          <w:szCs w:val="24"/>
          <w:lang w:val="en-US"/>
        </w:rPr>
        <w:t xml:space="preserve"> and a residual possibility to send the filled in questionnaire to ISTAT by certified email</w:t>
      </w:r>
      <w:r>
        <w:rPr>
          <w:rFonts w:ascii="Arial" w:hAnsi="Arial" w:cs="Arial"/>
          <w:sz w:val="24"/>
          <w:szCs w:val="24"/>
          <w:lang w:val="en-US"/>
        </w:rPr>
        <w:t>.</w:t>
      </w:r>
      <w:r w:rsidR="00534A8F">
        <w:rPr>
          <w:rFonts w:ascii="Arial" w:hAnsi="Arial" w:cs="Arial"/>
          <w:sz w:val="24"/>
          <w:szCs w:val="24"/>
          <w:lang w:val="en-US"/>
        </w:rPr>
        <w:t xml:space="preserve"> Costs considerations and changes in the laws governing the communications between private individuals and enterprises</w:t>
      </w:r>
      <w:r w:rsidR="004403DD">
        <w:rPr>
          <w:rFonts w:ascii="Arial" w:hAnsi="Arial" w:cs="Arial"/>
          <w:sz w:val="24"/>
          <w:szCs w:val="24"/>
          <w:lang w:val="en-US"/>
        </w:rPr>
        <w:t>, on the one hand,</w:t>
      </w:r>
      <w:r w:rsidR="00534A8F">
        <w:rPr>
          <w:rFonts w:ascii="Arial" w:hAnsi="Arial" w:cs="Arial"/>
          <w:sz w:val="24"/>
          <w:szCs w:val="24"/>
          <w:lang w:val="en-US"/>
        </w:rPr>
        <w:t xml:space="preserve"> and public administration bodies</w:t>
      </w:r>
      <w:r w:rsidR="004403DD">
        <w:rPr>
          <w:rFonts w:ascii="Arial" w:hAnsi="Arial" w:cs="Arial"/>
          <w:sz w:val="24"/>
          <w:szCs w:val="24"/>
          <w:lang w:val="en-US"/>
        </w:rPr>
        <w:t>, on the other,</w:t>
      </w:r>
      <w:r w:rsidR="00534A8F">
        <w:rPr>
          <w:rFonts w:ascii="Arial" w:hAnsi="Arial" w:cs="Arial"/>
          <w:sz w:val="24"/>
          <w:szCs w:val="24"/>
          <w:lang w:val="en-US"/>
        </w:rPr>
        <w:t xml:space="preserve"> led to a switch to only CAWI since the first quarter of 2017. </w:t>
      </w:r>
      <w:r w:rsidR="0098463F">
        <w:rPr>
          <w:rFonts w:ascii="Arial" w:hAnsi="Arial" w:cs="Arial"/>
          <w:sz w:val="24"/>
          <w:szCs w:val="24"/>
          <w:lang w:val="en-US"/>
        </w:rPr>
        <w:t xml:space="preserve">This change risked to produce a remarkable fall in response rates, due to the fact that enterprises were no more reminded of the need to respond to the survey or helped in doing so by the CATI phone interviewers. A number of measures were introduced to avoid this risk. </w:t>
      </w:r>
    </w:p>
    <w:p w14:paraId="70C0E75A" w14:textId="2169370A" w:rsidR="00B902A2" w:rsidRDefault="00B902A2" w:rsidP="00CB4870">
      <w:pPr>
        <w:spacing w:before="360" w:after="0" w:line="360" w:lineRule="auto"/>
        <w:jc w:val="both"/>
        <w:rPr>
          <w:rFonts w:ascii="Arial" w:hAnsi="Arial" w:cs="Arial"/>
          <w:sz w:val="24"/>
          <w:szCs w:val="24"/>
          <w:lang w:val="en-US"/>
        </w:rPr>
      </w:pPr>
      <w:r>
        <w:rPr>
          <w:rFonts w:ascii="Arial" w:hAnsi="Arial" w:cs="Arial"/>
          <w:sz w:val="24"/>
          <w:szCs w:val="24"/>
          <w:lang w:val="en-US"/>
        </w:rPr>
        <w:t xml:space="preserve">In the following, </w:t>
      </w:r>
      <w:r w:rsidR="009C7AF0">
        <w:rPr>
          <w:rFonts w:ascii="Arial" w:hAnsi="Arial" w:cs="Arial"/>
          <w:sz w:val="24"/>
          <w:szCs w:val="24"/>
          <w:lang w:val="en-US"/>
        </w:rPr>
        <w:t>the pattern</w:t>
      </w:r>
      <w:r w:rsidR="00852590">
        <w:rPr>
          <w:rFonts w:ascii="Arial" w:hAnsi="Arial" w:cs="Arial"/>
          <w:sz w:val="24"/>
          <w:szCs w:val="24"/>
          <w:lang w:val="en-US"/>
        </w:rPr>
        <w:t>s</w:t>
      </w:r>
      <w:r w:rsidR="009C7AF0">
        <w:rPr>
          <w:rFonts w:ascii="Arial" w:hAnsi="Arial" w:cs="Arial"/>
          <w:sz w:val="24"/>
          <w:szCs w:val="24"/>
          <w:lang w:val="en-US"/>
        </w:rPr>
        <w:t xml:space="preserve"> of response rates in the last year of the mixed mode data collection technique and the first </w:t>
      </w:r>
      <w:r w:rsidR="008D2CAB">
        <w:rPr>
          <w:rFonts w:ascii="Arial" w:hAnsi="Arial" w:cs="Arial"/>
          <w:sz w:val="24"/>
          <w:szCs w:val="24"/>
          <w:lang w:val="en-US"/>
        </w:rPr>
        <w:t xml:space="preserve">year </w:t>
      </w:r>
      <w:r w:rsidR="009C7AF0">
        <w:rPr>
          <w:rFonts w:ascii="Arial" w:hAnsi="Arial" w:cs="Arial"/>
          <w:sz w:val="24"/>
          <w:szCs w:val="24"/>
          <w:lang w:val="en-US"/>
        </w:rPr>
        <w:t xml:space="preserve">of reliance on CAWI only </w:t>
      </w:r>
      <w:r w:rsidR="00852590">
        <w:rPr>
          <w:rFonts w:ascii="Arial" w:hAnsi="Arial" w:cs="Arial"/>
          <w:sz w:val="24"/>
          <w:szCs w:val="24"/>
          <w:lang w:val="en-US"/>
        </w:rPr>
        <w:t>are</w:t>
      </w:r>
      <w:r w:rsidR="009C7AF0">
        <w:rPr>
          <w:rFonts w:ascii="Arial" w:hAnsi="Arial" w:cs="Arial"/>
          <w:sz w:val="24"/>
          <w:szCs w:val="24"/>
          <w:lang w:val="en-US"/>
        </w:rPr>
        <w:t xml:space="preserve"> analysed, together with the measures implemented to </w:t>
      </w:r>
      <w:r w:rsidR="00F82AC1">
        <w:rPr>
          <w:rFonts w:ascii="Arial" w:hAnsi="Arial" w:cs="Arial"/>
          <w:sz w:val="24"/>
          <w:szCs w:val="24"/>
          <w:lang w:val="en-US"/>
        </w:rPr>
        <w:t xml:space="preserve">boost response rates </w:t>
      </w:r>
      <w:r w:rsidR="00081DEA" w:rsidRPr="00081DEA">
        <w:rPr>
          <w:rFonts w:ascii="Arial" w:hAnsi="Arial" w:cs="Arial"/>
          <w:sz w:val="24"/>
          <w:szCs w:val="24"/>
          <w:lang w:val="en-US"/>
        </w:rPr>
        <w:t>from the point of view of the Istat unit responsible for the prod</w:t>
      </w:r>
      <w:r w:rsidR="00081DEA">
        <w:rPr>
          <w:rFonts w:ascii="Arial" w:hAnsi="Arial" w:cs="Arial"/>
          <w:sz w:val="24"/>
          <w:szCs w:val="24"/>
          <w:lang w:val="en-US"/>
        </w:rPr>
        <w:t>uction of statistical outputs.</w:t>
      </w:r>
    </w:p>
    <w:p w14:paraId="3378656D" w14:textId="77777777" w:rsidR="008D2CAB" w:rsidRDefault="008D2CAB" w:rsidP="009F04C8">
      <w:pPr>
        <w:spacing w:before="120" w:after="0" w:line="360" w:lineRule="auto"/>
        <w:jc w:val="both"/>
        <w:rPr>
          <w:rFonts w:ascii="Arial" w:hAnsi="Arial" w:cs="Arial"/>
          <w:b/>
          <w:sz w:val="24"/>
          <w:szCs w:val="24"/>
          <w:lang w:val="en-US"/>
        </w:rPr>
      </w:pPr>
    </w:p>
    <w:p w14:paraId="2CD7D8A5" w14:textId="77777777" w:rsidR="00D0258C" w:rsidRPr="000102E2" w:rsidRDefault="00D0258C" w:rsidP="009F04C8">
      <w:pPr>
        <w:spacing w:before="120" w:after="0" w:line="360" w:lineRule="auto"/>
        <w:jc w:val="both"/>
        <w:rPr>
          <w:rFonts w:ascii="Arial" w:hAnsi="Arial" w:cs="Arial"/>
          <w:b/>
          <w:sz w:val="24"/>
          <w:szCs w:val="24"/>
          <w:lang w:val="en-US"/>
        </w:rPr>
      </w:pPr>
      <w:r w:rsidRPr="000102E2">
        <w:rPr>
          <w:rFonts w:ascii="Arial" w:hAnsi="Arial" w:cs="Arial"/>
          <w:b/>
          <w:sz w:val="24"/>
          <w:szCs w:val="24"/>
          <w:lang w:val="en-US"/>
        </w:rPr>
        <w:t xml:space="preserve">2. </w:t>
      </w:r>
      <w:r w:rsidR="000102E2" w:rsidRPr="000102E2">
        <w:rPr>
          <w:rFonts w:ascii="Arial" w:hAnsi="Arial" w:cs="Arial"/>
          <w:b/>
          <w:sz w:val="24"/>
          <w:szCs w:val="24"/>
          <w:lang w:val="en-US"/>
        </w:rPr>
        <w:t xml:space="preserve">Impact on response rates of a change in the data collection </w:t>
      </w:r>
      <w:r w:rsidR="000102E2">
        <w:rPr>
          <w:rFonts w:ascii="Arial" w:hAnsi="Arial" w:cs="Arial"/>
          <w:b/>
          <w:sz w:val="24"/>
          <w:szCs w:val="24"/>
          <w:lang w:val="en-US"/>
        </w:rPr>
        <w:t>techniques</w:t>
      </w:r>
    </w:p>
    <w:p w14:paraId="6F9F07CF" w14:textId="37F5FDC5" w:rsidR="002C7B40" w:rsidRDefault="002C7B40" w:rsidP="00CB4870">
      <w:pPr>
        <w:spacing w:before="360" w:after="0" w:line="360" w:lineRule="auto"/>
        <w:jc w:val="both"/>
        <w:rPr>
          <w:rFonts w:ascii="Arial" w:hAnsi="Arial" w:cs="Arial"/>
          <w:sz w:val="24"/>
          <w:szCs w:val="24"/>
          <w:lang w:val="en-US"/>
        </w:rPr>
      </w:pPr>
      <w:r>
        <w:rPr>
          <w:rFonts w:ascii="Arial" w:hAnsi="Arial" w:cs="Arial"/>
          <w:sz w:val="24"/>
          <w:szCs w:val="24"/>
          <w:lang w:val="en-US"/>
        </w:rPr>
        <w:t xml:space="preserve">As mentioned above, </w:t>
      </w:r>
      <w:r w:rsidRPr="009F04C8">
        <w:rPr>
          <w:rFonts w:ascii="Arial" w:hAnsi="Arial" w:cs="Arial"/>
          <w:sz w:val="24"/>
          <w:szCs w:val="24"/>
          <w:lang w:val="en-US"/>
        </w:rPr>
        <w:t xml:space="preserve">until </w:t>
      </w:r>
      <w:r w:rsidR="00AF123C" w:rsidRPr="009F04C8">
        <w:rPr>
          <w:rFonts w:ascii="Arial" w:hAnsi="Arial" w:cs="Arial"/>
          <w:sz w:val="24"/>
          <w:szCs w:val="24"/>
          <w:lang w:val="en-US"/>
        </w:rPr>
        <w:t xml:space="preserve">the fourth quarter of 2016, the VELA survey was </w:t>
      </w:r>
      <w:r w:rsidR="00AF123C" w:rsidRPr="002C7B40">
        <w:rPr>
          <w:rFonts w:ascii="Arial" w:hAnsi="Arial" w:cs="Arial"/>
          <w:sz w:val="24"/>
          <w:szCs w:val="24"/>
          <w:lang w:val="en-US"/>
        </w:rPr>
        <w:t xml:space="preserve">conducted using </w:t>
      </w:r>
      <w:r w:rsidR="00E26CF0" w:rsidRPr="002C7B40">
        <w:rPr>
          <w:rFonts w:ascii="Arial" w:hAnsi="Arial" w:cs="Arial"/>
          <w:sz w:val="24"/>
          <w:szCs w:val="24"/>
          <w:lang w:val="en-US"/>
        </w:rPr>
        <w:t xml:space="preserve">a mixed mode survey </w:t>
      </w:r>
      <w:r w:rsidR="002D01BA" w:rsidRPr="002C7B40">
        <w:rPr>
          <w:rFonts w:ascii="Arial" w:hAnsi="Arial" w:cs="Arial"/>
          <w:sz w:val="24"/>
          <w:szCs w:val="24"/>
          <w:lang w:val="en-US"/>
        </w:rPr>
        <w:t xml:space="preserve">technique </w:t>
      </w:r>
      <w:r w:rsidRPr="002C7B40">
        <w:rPr>
          <w:rFonts w:ascii="Arial" w:hAnsi="Arial" w:cs="Arial"/>
          <w:sz w:val="24"/>
          <w:szCs w:val="24"/>
          <w:lang w:val="en-US"/>
        </w:rPr>
        <w:t>combin</w:t>
      </w:r>
      <w:r>
        <w:rPr>
          <w:rFonts w:ascii="Arial" w:hAnsi="Arial" w:cs="Arial"/>
          <w:sz w:val="24"/>
          <w:szCs w:val="24"/>
          <w:lang w:val="en-US"/>
        </w:rPr>
        <w:t xml:space="preserve">ing </w:t>
      </w:r>
      <w:r w:rsidR="00AF123C" w:rsidRPr="009F04C8">
        <w:rPr>
          <w:rFonts w:ascii="Arial" w:hAnsi="Arial" w:cs="Arial"/>
          <w:sz w:val="24"/>
          <w:szCs w:val="24"/>
          <w:lang w:val="en-US"/>
        </w:rPr>
        <w:t xml:space="preserve">CATI </w:t>
      </w:r>
      <w:r>
        <w:rPr>
          <w:rFonts w:ascii="Arial" w:hAnsi="Arial" w:cs="Arial"/>
          <w:sz w:val="24"/>
          <w:szCs w:val="24"/>
          <w:lang w:val="en-US"/>
        </w:rPr>
        <w:t xml:space="preserve">and </w:t>
      </w:r>
      <w:r w:rsidR="002D01BA">
        <w:rPr>
          <w:rFonts w:ascii="Arial" w:hAnsi="Arial" w:cs="Arial"/>
          <w:sz w:val="24"/>
          <w:szCs w:val="24"/>
          <w:lang w:val="en-US"/>
        </w:rPr>
        <w:t>CAWI</w:t>
      </w:r>
      <w:r w:rsidR="0074335E">
        <w:rPr>
          <w:rFonts w:ascii="Arial" w:hAnsi="Arial" w:cs="Arial"/>
          <w:sz w:val="24"/>
          <w:szCs w:val="24"/>
          <w:lang w:val="en-US"/>
        </w:rPr>
        <w:t xml:space="preserve"> (and</w:t>
      </w:r>
      <w:r w:rsidR="00145FF0">
        <w:rPr>
          <w:rFonts w:ascii="Arial" w:hAnsi="Arial" w:cs="Arial"/>
          <w:sz w:val="24"/>
          <w:szCs w:val="24"/>
          <w:lang w:val="en-US"/>
        </w:rPr>
        <w:t>, for a small share of responses,</w:t>
      </w:r>
      <w:r w:rsidR="0074335E">
        <w:rPr>
          <w:rFonts w:ascii="Arial" w:hAnsi="Arial" w:cs="Arial"/>
          <w:sz w:val="24"/>
          <w:szCs w:val="24"/>
          <w:lang w:val="en-US"/>
        </w:rPr>
        <w:t xml:space="preserve"> certified email)</w:t>
      </w:r>
      <w:r w:rsidR="003F3D9A">
        <w:rPr>
          <w:rFonts w:ascii="Arial" w:hAnsi="Arial" w:cs="Arial"/>
          <w:sz w:val="24"/>
          <w:szCs w:val="24"/>
          <w:lang w:val="en-US"/>
        </w:rPr>
        <w:t>.</w:t>
      </w:r>
    </w:p>
    <w:p w14:paraId="42FB702F" w14:textId="7607770F" w:rsidR="002D01BA" w:rsidRDefault="002C7B40" w:rsidP="00CB4870">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CATI data collection, which made use of a questionnaire including a comprehensive set of consistency checks, contributed to ensure that sample enterprises were reminded of the need to respond and encouraged to fill </w:t>
      </w:r>
      <w:r w:rsidR="0001112A">
        <w:rPr>
          <w:rFonts w:ascii="Arial" w:hAnsi="Arial" w:cs="Arial"/>
          <w:sz w:val="24"/>
          <w:szCs w:val="24"/>
          <w:lang w:val="en-US"/>
        </w:rPr>
        <w:t xml:space="preserve">in </w:t>
      </w:r>
      <w:r>
        <w:rPr>
          <w:rFonts w:ascii="Arial" w:hAnsi="Arial" w:cs="Arial"/>
          <w:sz w:val="24"/>
          <w:szCs w:val="24"/>
          <w:lang w:val="en-US"/>
        </w:rPr>
        <w:t>the questionnaire. Furthermore, the phone interviewers helped the respondents in supplying coherent data. The CAWI data collection cannot rely on the contribution of the phone interviewers</w:t>
      </w:r>
      <w:r w:rsidR="00BB2902">
        <w:rPr>
          <w:rFonts w:ascii="Arial" w:hAnsi="Arial" w:cs="Arial"/>
          <w:sz w:val="24"/>
          <w:szCs w:val="24"/>
          <w:lang w:val="en-US"/>
        </w:rPr>
        <w:t xml:space="preserve"> and restricts the range of consistency checks that can be proposed to the respondent enterprises</w:t>
      </w:r>
      <w:r>
        <w:rPr>
          <w:rFonts w:ascii="Arial" w:hAnsi="Arial" w:cs="Arial"/>
          <w:sz w:val="24"/>
          <w:szCs w:val="24"/>
          <w:lang w:val="en-US"/>
        </w:rPr>
        <w:t xml:space="preserve">. However, it allows more flexibility to the respondents in choosing when to fill in and transmit the questionnaire. </w:t>
      </w:r>
      <w:r w:rsidR="00433084">
        <w:rPr>
          <w:rFonts w:ascii="Arial" w:hAnsi="Arial" w:cs="Arial"/>
          <w:sz w:val="24"/>
          <w:szCs w:val="24"/>
          <w:lang w:val="en-US"/>
        </w:rPr>
        <w:t>M</w:t>
      </w:r>
      <w:r>
        <w:rPr>
          <w:rFonts w:ascii="Arial" w:hAnsi="Arial" w:cs="Arial"/>
          <w:sz w:val="24"/>
          <w:szCs w:val="24"/>
          <w:lang w:val="en-US"/>
        </w:rPr>
        <w:t>ore</w:t>
      </w:r>
      <w:r w:rsidR="00433084">
        <w:rPr>
          <w:rFonts w:ascii="Arial" w:hAnsi="Arial" w:cs="Arial"/>
          <w:sz w:val="24"/>
          <w:szCs w:val="24"/>
          <w:lang w:val="en-US"/>
        </w:rPr>
        <w:t>over</w:t>
      </w:r>
      <w:r>
        <w:rPr>
          <w:rFonts w:ascii="Arial" w:hAnsi="Arial" w:cs="Arial"/>
          <w:sz w:val="24"/>
          <w:szCs w:val="24"/>
          <w:lang w:val="en-US"/>
        </w:rPr>
        <w:t xml:space="preserve">, it </w:t>
      </w:r>
      <w:r w:rsidR="00433084">
        <w:rPr>
          <w:rFonts w:ascii="Arial" w:hAnsi="Arial" w:cs="Arial"/>
          <w:sz w:val="24"/>
          <w:szCs w:val="24"/>
          <w:lang w:val="en-US"/>
        </w:rPr>
        <w:t xml:space="preserve">implies great financial savings for the institution running the survey, compared to the CATI technique. </w:t>
      </w:r>
    </w:p>
    <w:p w14:paraId="430B88C6" w14:textId="77777777" w:rsidR="00433084" w:rsidRDefault="00173F51" w:rsidP="0098463F">
      <w:pPr>
        <w:spacing w:before="360" w:after="0" w:line="360" w:lineRule="auto"/>
        <w:jc w:val="both"/>
        <w:rPr>
          <w:rFonts w:ascii="Arial" w:hAnsi="Arial" w:cs="Arial"/>
          <w:sz w:val="24"/>
          <w:szCs w:val="24"/>
          <w:lang w:val="en-US"/>
        </w:rPr>
      </w:pPr>
      <w:r>
        <w:rPr>
          <w:rFonts w:ascii="Arial" w:hAnsi="Arial" w:cs="Arial"/>
          <w:sz w:val="24"/>
          <w:szCs w:val="24"/>
          <w:lang w:val="en-US"/>
        </w:rPr>
        <w:t>The VELA CAWI questionnaire is included in</w:t>
      </w:r>
      <w:r w:rsidR="00433084">
        <w:rPr>
          <w:rFonts w:ascii="Arial" w:hAnsi="Arial" w:cs="Arial"/>
          <w:sz w:val="24"/>
          <w:szCs w:val="24"/>
          <w:lang w:val="en-US"/>
        </w:rPr>
        <w:t xml:space="preserve"> a Portal </w:t>
      </w:r>
      <w:r>
        <w:rPr>
          <w:rFonts w:ascii="Arial" w:hAnsi="Arial" w:cs="Arial"/>
          <w:sz w:val="24"/>
          <w:szCs w:val="24"/>
          <w:lang w:val="en-US"/>
        </w:rPr>
        <w:t>where</w:t>
      </w:r>
      <w:r w:rsidR="00A258E3">
        <w:rPr>
          <w:rFonts w:ascii="Arial" w:hAnsi="Arial" w:cs="Arial"/>
          <w:sz w:val="24"/>
          <w:szCs w:val="24"/>
          <w:lang w:val="en-US"/>
        </w:rPr>
        <w:t xml:space="preserve"> each enterprise </w:t>
      </w:r>
      <w:r>
        <w:rPr>
          <w:rFonts w:ascii="Arial" w:hAnsi="Arial" w:cs="Arial"/>
          <w:sz w:val="24"/>
          <w:szCs w:val="24"/>
          <w:lang w:val="en-US"/>
        </w:rPr>
        <w:t>belonging to</w:t>
      </w:r>
      <w:r w:rsidR="00A258E3">
        <w:rPr>
          <w:rFonts w:ascii="Arial" w:hAnsi="Arial" w:cs="Arial"/>
          <w:sz w:val="24"/>
          <w:szCs w:val="24"/>
          <w:lang w:val="en-US"/>
        </w:rPr>
        <w:t xml:space="preserve"> one or more </w:t>
      </w:r>
      <w:r>
        <w:rPr>
          <w:rFonts w:ascii="Arial" w:hAnsi="Arial" w:cs="Arial"/>
          <w:sz w:val="24"/>
          <w:szCs w:val="24"/>
          <w:lang w:val="en-US"/>
        </w:rPr>
        <w:t>ISTAT</w:t>
      </w:r>
      <w:r w:rsidR="00A258E3">
        <w:rPr>
          <w:rFonts w:ascii="Arial" w:hAnsi="Arial" w:cs="Arial"/>
          <w:sz w:val="24"/>
          <w:szCs w:val="24"/>
          <w:lang w:val="en-US"/>
        </w:rPr>
        <w:t xml:space="preserve"> </w:t>
      </w:r>
      <w:r>
        <w:rPr>
          <w:rFonts w:ascii="Arial" w:hAnsi="Arial" w:cs="Arial"/>
          <w:sz w:val="24"/>
          <w:szCs w:val="24"/>
          <w:lang w:val="en-US"/>
        </w:rPr>
        <w:t>surveys can find all the questionnaires it is asked to fill</w:t>
      </w:r>
      <w:r w:rsidR="00AD4281">
        <w:rPr>
          <w:rFonts w:ascii="Arial" w:hAnsi="Arial" w:cs="Arial"/>
          <w:sz w:val="24"/>
          <w:szCs w:val="24"/>
          <w:lang w:val="en-US"/>
        </w:rPr>
        <w:t xml:space="preserve"> in</w:t>
      </w:r>
      <w:r>
        <w:rPr>
          <w:rFonts w:ascii="Arial" w:hAnsi="Arial" w:cs="Arial"/>
          <w:sz w:val="24"/>
          <w:szCs w:val="24"/>
          <w:lang w:val="en-US"/>
        </w:rPr>
        <w:t xml:space="preserve">. </w:t>
      </w:r>
    </w:p>
    <w:p w14:paraId="2C8AFBA2" w14:textId="56FA22EC" w:rsidR="0098463F" w:rsidRDefault="00604E39" w:rsidP="0098463F">
      <w:pPr>
        <w:spacing w:before="360" w:after="0" w:line="360" w:lineRule="auto"/>
        <w:jc w:val="both"/>
        <w:rPr>
          <w:rFonts w:ascii="Arial" w:hAnsi="Arial" w:cs="Arial"/>
          <w:sz w:val="24"/>
          <w:szCs w:val="24"/>
          <w:lang w:val="en-US"/>
        </w:rPr>
      </w:pPr>
      <w:r>
        <w:rPr>
          <w:rFonts w:ascii="Arial" w:hAnsi="Arial" w:cs="Arial"/>
          <w:sz w:val="24"/>
          <w:szCs w:val="24"/>
          <w:lang w:val="en-US"/>
        </w:rPr>
        <w:lastRenderedPageBreak/>
        <w:t xml:space="preserve">Each quarter, at the </w:t>
      </w:r>
      <w:r w:rsidR="00C627B8">
        <w:rPr>
          <w:rFonts w:ascii="Arial" w:hAnsi="Arial" w:cs="Arial"/>
          <w:sz w:val="24"/>
          <w:szCs w:val="24"/>
          <w:lang w:val="en-US"/>
        </w:rPr>
        <w:t xml:space="preserve">opening of the </w:t>
      </w:r>
      <w:r>
        <w:rPr>
          <w:rFonts w:ascii="Arial" w:hAnsi="Arial" w:cs="Arial"/>
          <w:sz w:val="24"/>
          <w:szCs w:val="24"/>
          <w:lang w:val="en-US"/>
        </w:rPr>
        <w:t xml:space="preserve">VELA </w:t>
      </w:r>
      <w:r w:rsidR="00C627B8">
        <w:rPr>
          <w:rFonts w:ascii="Arial" w:hAnsi="Arial" w:cs="Arial"/>
          <w:sz w:val="24"/>
          <w:szCs w:val="24"/>
          <w:lang w:val="en-US"/>
        </w:rPr>
        <w:t xml:space="preserve">data collection, </w:t>
      </w:r>
      <w:r>
        <w:rPr>
          <w:rFonts w:ascii="Arial" w:hAnsi="Arial" w:cs="Arial"/>
          <w:sz w:val="24"/>
          <w:szCs w:val="24"/>
          <w:lang w:val="en-US"/>
        </w:rPr>
        <w:t xml:space="preserve">ISTAT sends to all sample enterprises a certified email that formally </w:t>
      </w:r>
      <w:r w:rsidR="00FA2C5D">
        <w:rPr>
          <w:rFonts w:ascii="Arial" w:hAnsi="Arial" w:cs="Arial"/>
          <w:sz w:val="24"/>
          <w:szCs w:val="24"/>
          <w:lang w:val="en-US"/>
        </w:rPr>
        <w:t xml:space="preserve">announces or reminds </w:t>
      </w:r>
      <w:r>
        <w:rPr>
          <w:rFonts w:ascii="Arial" w:hAnsi="Arial" w:cs="Arial"/>
          <w:sz w:val="24"/>
          <w:szCs w:val="24"/>
          <w:lang w:val="en-US"/>
        </w:rPr>
        <w:t xml:space="preserve">the enterprise of its inclusion </w:t>
      </w:r>
      <w:r w:rsidR="00FA2C5D">
        <w:rPr>
          <w:rFonts w:ascii="Arial" w:hAnsi="Arial" w:cs="Arial"/>
          <w:sz w:val="24"/>
          <w:szCs w:val="24"/>
          <w:lang w:val="en-US"/>
        </w:rPr>
        <w:t>in the sample, and describes the purpose of the survey, the rules governing it and the response modes.</w:t>
      </w:r>
      <w:r w:rsidR="00877436">
        <w:rPr>
          <w:rFonts w:ascii="Arial" w:hAnsi="Arial" w:cs="Arial"/>
          <w:sz w:val="24"/>
          <w:szCs w:val="24"/>
          <w:lang w:val="en-US"/>
        </w:rPr>
        <w:t xml:space="preserve"> A deadline is indicated for the response</w:t>
      </w:r>
      <w:r w:rsidR="00911070">
        <w:rPr>
          <w:rFonts w:ascii="Arial" w:hAnsi="Arial" w:cs="Arial"/>
          <w:sz w:val="24"/>
          <w:szCs w:val="24"/>
          <w:lang w:val="en-US"/>
        </w:rPr>
        <w:t>,</w:t>
      </w:r>
      <w:r w:rsidR="00877436">
        <w:rPr>
          <w:rFonts w:ascii="Arial" w:hAnsi="Arial" w:cs="Arial"/>
          <w:sz w:val="24"/>
          <w:szCs w:val="24"/>
          <w:lang w:val="en-US"/>
        </w:rPr>
        <w:t xml:space="preserve"> at 37 days after the end of the reference quarter. However, late respondents are allowed. Moreover, enterprises </w:t>
      </w:r>
      <w:r w:rsidR="0098463F" w:rsidRPr="009F04C8">
        <w:rPr>
          <w:rFonts w:ascii="Arial" w:hAnsi="Arial" w:cs="Arial"/>
          <w:sz w:val="24"/>
          <w:szCs w:val="24"/>
          <w:lang w:val="en-US"/>
        </w:rPr>
        <w:t xml:space="preserve">have an obligation to </w:t>
      </w:r>
      <w:r w:rsidR="00877436">
        <w:rPr>
          <w:rFonts w:ascii="Arial" w:hAnsi="Arial" w:cs="Arial"/>
          <w:sz w:val="24"/>
          <w:szCs w:val="24"/>
          <w:lang w:val="en-US"/>
        </w:rPr>
        <w:t>respond each quarter</w:t>
      </w:r>
      <w:r w:rsidR="0098463F">
        <w:rPr>
          <w:rFonts w:ascii="Arial" w:hAnsi="Arial" w:cs="Arial"/>
          <w:sz w:val="24"/>
          <w:szCs w:val="24"/>
          <w:lang w:val="en-US"/>
        </w:rPr>
        <w:t xml:space="preserve">, </w:t>
      </w:r>
      <w:r w:rsidR="0098463F" w:rsidRPr="009F04C8">
        <w:rPr>
          <w:rFonts w:ascii="Arial" w:hAnsi="Arial" w:cs="Arial"/>
          <w:sz w:val="24"/>
          <w:szCs w:val="24"/>
          <w:lang w:val="en-US"/>
        </w:rPr>
        <w:t xml:space="preserve">but penalties are only foreseen for </w:t>
      </w:r>
      <w:r w:rsidR="0098463F">
        <w:rPr>
          <w:rFonts w:ascii="Arial" w:hAnsi="Arial" w:cs="Arial"/>
          <w:sz w:val="24"/>
          <w:szCs w:val="24"/>
          <w:lang w:val="en-US"/>
        </w:rPr>
        <w:t xml:space="preserve">the </w:t>
      </w:r>
      <w:r w:rsidR="0098463F" w:rsidRPr="009F04C8">
        <w:rPr>
          <w:rFonts w:ascii="Arial" w:hAnsi="Arial" w:cs="Arial"/>
          <w:sz w:val="24"/>
          <w:szCs w:val="24"/>
          <w:lang w:val="en-US"/>
        </w:rPr>
        <w:t>non-response of units with at least 250 employees</w:t>
      </w:r>
      <w:r w:rsidR="0098463F">
        <w:rPr>
          <w:rFonts w:ascii="Arial" w:hAnsi="Arial" w:cs="Arial"/>
          <w:sz w:val="24"/>
          <w:szCs w:val="24"/>
          <w:lang w:val="en-US"/>
        </w:rPr>
        <w:t>.</w:t>
      </w:r>
    </w:p>
    <w:p w14:paraId="6AE43850" w14:textId="37434C17" w:rsidR="00202516" w:rsidRDefault="00D1258A" w:rsidP="00202516">
      <w:pPr>
        <w:spacing w:before="360" w:after="0" w:line="360" w:lineRule="auto"/>
        <w:jc w:val="both"/>
        <w:rPr>
          <w:rFonts w:ascii="Arial" w:hAnsi="Arial" w:cs="Arial"/>
          <w:sz w:val="24"/>
          <w:szCs w:val="24"/>
          <w:lang w:val="en-US"/>
        </w:rPr>
      </w:pPr>
      <w:r w:rsidRPr="00D1258A">
        <w:rPr>
          <w:rFonts w:ascii="Arial" w:hAnsi="Arial" w:cs="Arial"/>
          <w:sz w:val="24"/>
          <w:szCs w:val="24"/>
          <w:lang w:val="en-US"/>
        </w:rPr>
        <w:t xml:space="preserve">The time frame for the enterprises’ responses derives from the deadlines for data transmission in the EU Regulations. In particular, job vacancy statistics are to be delivered to Eurostat within </w:t>
      </w:r>
      <w:r w:rsidR="00202516" w:rsidRPr="00D1258A">
        <w:rPr>
          <w:rFonts w:ascii="Arial" w:hAnsi="Arial" w:cs="Arial"/>
          <w:sz w:val="24"/>
          <w:szCs w:val="24"/>
          <w:lang w:val="en-US"/>
        </w:rPr>
        <w:t xml:space="preserve">45 </w:t>
      </w:r>
      <w:r w:rsidRPr="00D1258A">
        <w:rPr>
          <w:rFonts w:ascii="Arial" w:hAnsi="Arial" w:cs="Arial"/>
          <w:sz w:val="24"/>
          <w:szCs w:val="24"/>
          <w:lang w:val="en-US"/>
        </w:rPr>
        <w:t xml:space="preserve">and </w:t>
      </w:r>
      <w:r w:rsidR="00202516" w:rsidRPr="00D1258A">
        <w:rPr>
          <w:rFonts w:ascii="Arial" w:hAnsi="Arial" w:cs="Arial"/>
          <w:sz w:val="24"/>
          <w:szCs w:val="24"/>
          <w:lang w:val="en-US"/>
        </w:rPr>
        <w:t xml:space="preserve">70 </w:t>
      </w:r>
      <w:r w:rsidRPr="00D1258A">
        <w:rPr>
          <w:rFonts w:ascii="Arial" w:hAnsi="Arial" w:cs="Arial"/>
          <w:sz w:val="24"/>
          <w:szCs w:val="24"/>
          <w:lang w:val="en-US"/>
        </w:rPr>
        <w:t>days after the end of the reference quarter</w:t>
      </w:r>
      <w:r w:rsidR="00202516" w:rsidRPr="00D1258A">
        <w:rPr>
          <w:rFonts w:ascii="Arial" w:hAnsi="Arial" w:cs="Arial"/>
          <w:sz w:val="24"/>
          <w:szCs w:val="24"/>
          <w:lang w:val="en-US"/>
        </w:rPr>
        <w:t>.</w:t>
      </w:r>
      <w:r w:rsidRPr="00D1258A">
        <w:rPr>
          <w:rFonts w:ascii="Arial" w:hAnsi="Arial" w:cs="Arial"/>
          <w:sz w:val="24"/>
          <w:szCs w:val="24"/>
          <w:lang w:val="en-US"/>
        </w:rPr>
        <w:t xml:space="preserve"> Hours worked for the short term statistics Regulation need to be transmitted to Eurostat within 90 days after the end of the reference quarter. The Labour Cost index is requested by 70 days after the end of the reference quarter, which means that hours worked produced also on the basis of VELA need to be made available to the unit producing this indicator within 60 days after the end of the reference quarter. Finally, hours worked are used also by the </w:t>
      </w:r>
      <w:r w:rsidR="00CA1812">
        <w:rPr>
          <w:rFonts w:ascii="Arial" w:hAnsi="Arial" w:cs="Arial"/>
          <w:sz w:val="24"/>
          <w:szCs w:val="24"/>
          <w:lang w:val="en-US"/>
        </w:rPr>
        <w:t xml:space="preserve">ISTAT </w:t>
      </w:r>
      <w:r w:rsidRPr="00D1258A">
        <w:rPr>
          <w:rFonts w:ascii="Arial" w:hAnsi="Arial" w:cs="Arial"/>
          <w:sz w:val="24"/>
          <w:szCs w:val="24"/>
          <w:lang w:val="en-US"/>
        </w:rPr>
        <w:t xml:space="preserve">National Account division, in the production of quarterly hours worked indicators. Also </w:t>
      </w:r>
      <w:r w:rsidR="00DA2589">
        <w:rPr>
          <w:rFonts w:ascii="Arial" w:hAnsi="Arial" w:cs="Arial"/>
          <w:sz w:val="24"/>
          <w:szCs w:val="24"/>
          <w:lang w:val="en-US"/>
        </w:rPr>
        <w:t>to this aim</w:t>
      </w:r>
      <w:r w:rsidRPr="00D1258A">
        <w:rPr>
          <w:rFonts w:ascii="Arial" w:hAnsi="Arial" w:cs="Arial"/>
          <w:sz w:val="24"/>
          <w:szCs w:val="24"/>
          <w:lang w:val="en-US"/>
        </w:rPr>
        <w:t xml:space="preserve">, hours worked </w:t>
      </w:r>
      <w:r w:rsidR="00CA1812">
        <w:rPr>
          <w:rFonts w:ascii="Arial" w:hAnsi="Arial" w:cs="Arial"/>
          <w:sz w:val="24"/>
          <w:szCs w:val="24"/>
          <w:lang w:val="en-US"/>
        </w:rPr>
        <w:t>based also on</w:t>
      </w:r>
      <w:r w:rsidRPr="00D1258A">
        <w:rPr>
          <w:rFonts w:ascii="Arial" w:hAnsi="Arial" w:cs="Arial"/>
          <w:sz w:val="24"/>
          <w:szCs w:val="24"/>
          <w:lang w:val="en-US"/>
        </w:rPr>
        <w:t xml:space="preserve"> VELA need to be made available within 60 days after the end of the reference quarter.</w:t>
      </w:r>
      <w:r w:rsidR="00202516" w:rsidRPr="00D1258A">
        <w:rPr>
          <w:rFonts w:ascii="Arial" w:hAnsi="Arial" w:cs="Arial"/>
          <w:sz w:val="24"/>
          <w:szCs w:val="24"/>
          <w:lang w:val="en-US"/>
        </w:rPr>
        <w:t xml:space="preserve"> </w:t>
      </w:r>
    </w:p>
    <w:p w14:paraId="50513352" w14:textId="030FDC73" w:rsidR="00514654" w:rsidRPr="00514654" w:rsidRDefault="00514654" w:rsidP="00202516">
      <w:pPr>
        <w:spacing w:before="360" w:after="0" w:line="360" w:lineRule="auto"/>
        <w:jc w:val="both"/>
        <w:rPr>
          <w:rFonts w:ascii="Arial" w:hAnsi="Arial" w:cs="Arial"/>
          <w:sz w:val="24"/>
          <w:szCs w:val="24"/>
          <w:lang w:val="en-US"/>
        </w:rPr>
      </w:pPr>
      <w:r>
        <w:rPr>
          <w:rFonts w:ascii="Arial" w:hAnsi="Arial" w:cs="Arial"/>
          <w:sz w:val="24"/>
          <w:szCs w:val="24"/>
          <w:lang w:val="en-US"/>
        </w:rPr>
        <w:t xml:space="preserve">Since April 2016, a wide ranging reorganization of ISTAT has centralized most of the functions connected to carrying out and monitoring data collection in a purposely created directorate. As a consequence, </w:t>
      </w:r>
      <w:r w:rsidR="00914440">
        <w:rPr>
          <w:rFonts w:ascii="Arial" w:hAnsi="Arial" w:cs="Arial"/>
          <w:sz w:val="24"/>
          <w:szCs w:val="24"/>
          <w:lang w:val="en-US"/>
        </w:rPr>
        <w:t xml:space="preserve">the </w:t>
      </w:r>
      <w:r>
        <w:rPr>
          <w:rFonts w:ascii="Arial" w:hAnsi="Arial" w:cs="Arial"/>
          <w:sz w:val="24"/>
          <w:szCs w:val="24"/>
          <w:lang w:val="en-US"/>
        </w:rPr>
        <w:t xml:space="preserve">responsibility for these parts of the VELA survey has been gradually moved to the data collection directorate. The list of tasks carried out for VELA within this directorate includes, in particular: the sending of certified emails at the beginning of the data collection; the monitoring of response rates; the sending of reminders by email and certified email; the contacts </w:t>
      </w:r>
      <w:r w:rsidR="00285782">
        <w:rPr>
          <w:rFonts w:ascii="Arial" w:hAnsi="Arial" w:cs="Arial"/>
          <w:sz w:val="24"/>
          <w:szCs w:val="24"/>
          <w:lang w:val="en-US"/>
        </w:rPr>
        <w:t xml:space="preserve">with </w:t>
      </w:r>
      <w:r>
        <w:rPr>
          <w:rFonts w:ascii="Arial" w:hAnsi="Arial" w:cs="Arial"/>
          <w:sz w:val="24"/>
          <w:szCs w:val="24"/>
          <w:lang w:val="en-US"/>
        </w:rPr>
        <w:t xml:space="preserve">and monitoring of external providers of support services; the reply to emails (certified or not) </w:t>
      </w:r>
      <w:r w:rsidR="000C0114">
        <w:rPr>
          <w:rFonts w:ascii="Arial" w:hAnsi="Arial" w:cs="Arial"/>
          <w:sz w:val="24"/>
          <w:szCs w:val="24"/>
          <w:lang w:val="en-US"/>
        </w:rPr>
        <w:t xml:space="preserve">sent </w:t>
      </w:r>
      <w:r>
        <w:rPr>
          <w:rFonts w:ascii="Arial" w:hAnsi="Arial" w:cs="Arial"/>
          <w:sz w:val="24"/>
          <w:szCs w:val="24"/>
          <w:lang w:val="en-US"/>
        </w:rPr>
        <w:t xml:space="preserve">by enterprises when they do not refer to the VELA questionnaire contents. </w:t>
      </w:r>
    </w:p>
    <w:p w14:paraId="562ABE1C" w14:textId="7C54DB31" w:rsidR="00875CDF" w:rsidRPr="00B54E83" w:rsidRDefault="00B54E83" w:rsidP="002F68C0">
      <w:pPr>
        <w:spacing w:before="120" w:after="0" w:line="360" w:lineRule="auto"/>
        <w:jc w:val="both"/>
        <w:rPr>
          <w:rFonts w:ascii="Arial" w:hAnsi="Arial" w:cs="Arial"/>
          <w:sz w:val="24"/>
          <w:szCs w:val="24"/>
          <w:lang w:val="en-US"/>
        </w:rPr>
      </w:pPr>
      <w:r w:rsidRPr="00B54E83">
        <w:rPr>
          <w:rFonts w:ascii="Arial" w:hAnsi="Arial" w:cs="Arial"/>
          <w:sz w:val="24"/>
          <w:szCs w:val="24"/>
          <w:lang w:val="en-US"/>
        </w:rPr>
        <w:t xml:space="preserve">ISTAT </w:t>
      </w:r>
      <w:r w:rsidR="00D85945" w:rsidRPr="00B54E83">
        <w:rPr>
          <w:rFonts w:ascii="Arial" w:hAnsi="Arial" w:cs="Arial"/>
          <w:sz w:val="24"/>
          <w:szCs w:val="24"/>
          <w:lang w:val="en-US"/>
        </w:rPr>
        <w:t>business surveys</w:t>
      </w:r>
      <w:r w:rsidRPr="00B54E83">
        <w:rPr>
          <w:rFonts w:ascii="Arial" w:hAnsi="Arial" w:cs="Arial"/>
          <w:sz w:val="24"/>
          <w:szCs w:val="24"/>
          <w:lang w:val="en-US"/>
        </w:rPr>
        <w:t>’</w:t>
      </w:r>
      <w:r w:rsidR="00D85945" w:rsidRPr="00B54E83">
        <w:rPr>
          <w:rFonts w:ascii="Arial" w:hAnsi="Arial" w:cs="Arial"/>
          <w:sz w:val="24"/>
          <w:szCs w:val="24"/>
          <w:lang w:val="en-US"/>
        </w:rPr>
        <w:t xml:space="preserve"> </w:t>
      </w:r>
      <w:r w:rsidRPr="00B54E83">
        <w:rPr>
          <w:rFonts w:ascii="Arial" w:hAnsi="Arial" w:cs="Arial"/>
          <w:sz w:val="24"/>
          <w:szCs w:val="24"/>
          <w:lang w:val="en-US"/>
        </w:rPr>
        <w:t>responses rates</w:t>
      </w:r>
      <w:r w:rsidR="00D85945" w:rsidRPr="00B54E83">
        <w:rPr>
          <w:rFonts w:ascii="Arial" w:hAnsi="Arial" w:cs="Arial"/>
          <w:sz w:val="24"/>
          <w:szCs w:val="24"/>
          <w:lang w:val="en-US"/>
        </w:rPr>
        <w:t xml:space="preserve"> </w:t>
      </w:r>
      <w:r w:rsidRPr="00B54E83">
        <w:rPr>
          <w:rFonts w:ascii="Arial" w:hAnsi="Arial" w:cs="Arial"/>
          <w:sz w:val="24"/>
          <w:szCs w:val="24"/>
          <w:lang w:val="en-US"/>
        </w:rPr>
        <w:t>depend</w:t>
      </w:r>
      <w:r>
        <w:rPr>
          <w:rFonts w:ascii="Arial" w:hAnsi="Arial" w:cs="Arial"/>
          <w:sz w:val="24"/>
          <w:szCs w:val="24"/>
          <w:lang w:val="en-US"/>
        </w:rPr>
        <w:t xml:space="preserve">, among other factors, </w:t>
      </w:r>
      <w:r w:rsidRPr="00B54E83">
        <w:rPr>
          <w:rFonts w:ascii="Arial" w:hAnsi="Arial" w:cs="Arial"/>
          <w:sz w:val="24"/>
          <w:szCs w:val="24"/>
          <w:lang w:val="en-US"/>
        </w:rPr>
        <w:t>on the questionnaire complexity</w:t>
      </w:r>
      <w:r>
        <w:rPr>
          <w:rFonts w:ascii="Arial" w:hAnsi="Arial" w:cs="Arial"/>
          <w:sz w:val="24"/>
          <w:szCs w:val="24"/>
          <w:lang w:val="en-US"/>
        </w:rPr>
        <w:t>,</w:t>
      </w:r>
      <w:r w:rsidRPr="00B54E83">
        <w:rPr>
          <w:rFonts w:ascii="Arial" w:hAnsi="Arial" w:cs="Arial"/>
          <w:sz w:val="24"/>
          <w:szCs w:val="24"/>
          <w:lang w:val="en-US"/>
        </w:rPr>
        <w:t xml:space="preserve"> </w:t>
      </w:r>
      <w:r>
        <w:rPr>
          <w:rFonts w:ascii="Arial" w:hAnsi="Arial" w:cs="Arial"/>
          <w:sz w:val="24"/>
          <w:szCs w:val="24"/>
          <w:lang w:val="en-US"/>
        </w:rPr>
        <w:t xml:space="preserve">data collection techniques, reference population and sample structure. They are lower for </w:t>
      </w:r>
      <w:r w:rsidR="0064092F" w:rsidRPr="00B54E83">
        <w:rPr>
          <w:rFonts w:ascii="Arial" w:hAnsi="Arial" w:cs="Arial"/>
          <w:sz w:val="24"/>
          <w:szCs w:val="24"/>
          <w:lang w:val="en-US"/>
        </w:rPr>
        <w:t>complex structural survey</w:t>
      </w:r>
      <w:r>
        <w:rPr>
          <w:rFonts w:ascii="Arial" w:hAnsi="Arial" w:cs="Arial"/>
          <w:sz w:val="24"/>
          <w:szCs w:val="24"/>
          <w:lang w:val="en-US"/>
        </w:rPr>
        <w:t>s</w:t>
      </w:r>
      <w:r w:rsidR="0064092F" w:rsidRPr="00B54E83">
        <w:rPr>
          <w:rFonts w:ascii="Arial" w:hAnsi="Arial" w:cs="Arial"/>
          <w:sz w:val="24"/>
          <w:szCs w:val="24"/>
          <w:lang w:val="en-US"/>
        </w:rPr>
        <w:t xml:space="preserve">, </w:t>
      </w:r>
      <w:r>
        <w:rPr>
          <w:rFonts w:ascii="Arial" w:hAnsi="Arial" w:cs="Arial"/>
          <w:sz w:val="24"/>
          <w:szCs w:val="24"/>
          <w:lang w:val="en-US"/>
        </w:rPr>
        <w:t xml:space="preserve">in particular when </w:t>
      </w:r>
      <w:r w:rsidR="00957AF7">
        <w:rPr>
          <w:rFonts w:ascii="Arial" w:hAnsi="Arial" w:cs="Arial"/>
          <w:sz w:val="24"/>
          <w:szCs w:val="24"/>
          <w:lang w:val="en-US"/>
        </w:rPr>
        <w:t>involving</w:t>
      </w:r>
      <w:r>
        <w:rPr>
          <w:rFonts w:ascii="Arial" w:hAnsi="Arial" w:cs="Arial"/>
          <w:sz w:val="24"/>
          <w:szCs w:val="24"/>
          <w:lang w:val="en-US"/>
        </w:rPr>
        <w:t xml:space="preserve"> </w:t>
      </w:r>
      <w:r w:rsidRPr="00B54E83">
        <w:rPr>
          <w:rFonts w:ascii="Arial" w:hAnsi="Arial" w:cs="Arial"/>
          <w:sz w:val="24"/>
          <w:szCs w:val="24"/>
          <w:lang w:val="en-US"/>
        </w:rPr>
        <w:t xml:space="preserve">small </w:t>
      </w:r>
      <w:r w:rsidR="0064092F" w:rsidRPr="00B54E83">
        <w:rPr>
          <w:rFonts w:ascii="Arial" w:hAnsi="Arial" w:cs="Arial"/>
          <w:sz w:val="24"/>
          <w:szCs w:val="24"/>
          <w:lang w:val="en-US"/>
        </w:rPr>
        <w:t>and medium enterprise</w:t>
      </w:r>
      <w:r>
        <w:rPr>
          <w:rFonts w:ascii="Arial" w:hAnsi="Arial" w:cs="Arial"/>
          <w:sz w:val="24"/>
          <w:szCs w:val="24"/>
          <w:lang w:val="en-US"/>
        </w:rPr>
        <w:t xml:space="preserve">s (around 35% </w:t>
      </w:r>
      <w:r w:rsidR="00957AF7">
        <w:rPr>
          <w:rFonts w:ascii="Arial" w:hAnsi="Arial" w:cs="Arial"/>
          <w:sz w:val="24"/>
          <w:szCs w:val="24"/>
          <w:lang w:val="en-US"/>
        </w:rPr>
        <w:t>in 2015 in</w:t>
      </w:r>
      <w:r>
        <w:rPr>
          <w:rFonts w:ascii="Arial" w:hAnsi="Arial" w:cs="Arial"/>
          <w:sz w:val="24"/>
          <w:szCs w:val="24"/>
          <w:lang w:val="en-US"/>
        </w:rPr>
        <w:t xml:space="preserve"> the survey on </w:t>
      </w:r>
      <w:r>
        <w:rPr>
          <w:rFonts w:ascii="Arial" w:hAnsi="Arial" w:cs="Arial"/>
          <w:sz w:val="24"/>
          <w:szCs w:val="24"/>
          <w:lang w:val="en-US"/>
        </w:rPr>
        <w:lastRenderedPageBreak/>
        <w:t xml:space="preserve">enterprises with less than 100 job holders </w:t>
      </w:r>
      <w:r w:rsidR="00957AF7">
        <w:rPr>
          <w:rFonts w:ascii="Arial" w:hAnsi="Arial" w:cs="Arial"/>
          <w:sz w:val="24"/>
          <w:szCs w:val="24"/>
          <w:lang w:val="en-US"/>
        </w:rPr>
        <w:t xml:space="preserve">carried out to comply with </w:t>
      </w:r>
      <w:r>
        <w:rPr>
          <w:rFonts w:ascii="Arial" w:hAnsi="Arial" w:cs="Arial"/>
          <w:sz w:val="24"/>
          <w:szCs w:val="24"/>
          <w:lang w:val="en-US"/>
        </w:rPr>
        <w:t xml:space="preserve">the structural </w:t>
      </w:r>
      <w:r w:rsidRPr="00513302">
        <w:rPr>
          <w:rFonts w:ascii="Arial" w:hAnsi="Arial" w:cs="Arial"/>
          <w:sz w:val="24"/>
          <w:szCs w:val="24"/>
          <w:lang w:val="en-US"/>
        </w:rPr>
        <w:t>business statistics EU Regulation</w:t>
      </w:r>
      <w:r w:rsidR="009F1D69" w:rsidRPr="00513302">
        <w:rPr>
          <w:rFonts w:ascii="Arial" w:hAnsi="Arial" w:cs="Arial"/>
          <w:sz w:val="24"/>
          <w:szCs w:val="24"/>
          <w:lang w:val="en-US"/>
        </w:rPr>
        <w:t>s</w:t>
      </w:r>
      <w:r w:rsidRPr="00513302">
        <w:rPr>
          <w:rFonts w:ascii="Arial" w:hAnsi="Arial" w:cs="Arial"/>
          <w:sz w:val="24"/>
          <w:szCs w:val="24"/>
          <w:lang w:val="en-US"/>
        </w:rPr>
        <w:t xml:space="preserve">, No. </w:t>
      </w:r>
      <w:r w:rsidR="009F1D69" w:rsidRPr="00513302">
        <w:rPr>
          <w:rFonts w:ascii="Arial" w:hAnsi="Arial" w:cs="Arial"/>
          <w:sz w:val="24"/>
          <w:szCs w:val="24"/>
          <w:lang w:val="en-US"/>
        </w:rPr>
        <w:t>295/2008 and 446/2014</w:t>
      </w:r>
      <w:r w:rsidRPr="00513302">
        <w:rPr>
          <w:rFonts w:ascii="Arial" w:hAnsi="Arial" w:cs="Arial"/>
          <w:sz w:val="24"/>
          <w:szCs w:val="24"/>
          <w:lang w:val="en-US"/>
        </w:rPr>
        <w:t>)</w:t>
      </w:r>
      <w:r w:rsidR="0064092F" w:rsidRPr="00513302">
        <w:rPr>
          <w:rFonts w:ascii="Arial" w:hAnsi="Arial" w:cs="Arial"/>
          <w:sz w:val="24"/>
          <w:szCs w:val="24"/>
          <w:lang w:val="en-US"/>
        </w:rPr>
        <w:t>.</w:t>
      </w:r>
      <w:r w:rsidR="00BC2791" w:rsidRPr="00513302">
        <w:rPr>
          <w:rFonts w:ascii="Arial" w:hAnsi="Arial" w:cs="Arial"/>
          <w:sz w:val="24"/>
          <w:szCs w:val="24"/>
          <w:lang w:val="en-US"/>
        </w:rPr>
        <w:t xml:space="preserve"> </w:t>
      </w:r>
      <w:r w:rsidRPr="00513302">
        <w:rPr>
          <w:rFonts w:ascii="Arial" w:hAnsi="Arial" w:cs="Arial"/>
          <w:sz w:val="24"/>
          <w:szCs w:val="24"/>
          <w:lang w:val="en-US"/>
        </w:rPr>
        <w:t>However, even</w:t>
      </w:r>
      <w:r>
        <w:rPr>
          <w:rFonts w:ascii="Arial" w:hAnsi="Arial" w:cs="Arial"/>
          <w:sz w:val="24"/>
          <w:szCs w:val="24"/>
          <w:lang w:val="en-US"/>
        </w:rPr>
        <w:t xml:space="preserve"> with similarly complex questionnaires, surveys on larger enterprises can reach higher response </w:t>
      </w:r>
      <w:r w:rsidR="00957AF7">
        <w:rPr>
          <w:rFonts w:ascii="Arial" w:hAnsi="Arial" w:cs="Arial"/>
          <w:sz w:val="24"/>
          <w:szCs w:val="24"/>
          <w:lang w:val="en-US"/>
        </w:rPr>
        <w:t>rates (around 74% in 2015 in the survey on enterprises with at least 100 job holders carried out to comply with the same Regulation</w:t>
      </w:r>
      <w:r w:rsidR="00BC2791" w:rsidRPr="00B54E83">
        <w:rPr>
          <w:rFonts w:ascii="Arial" w:hAnsi="Arial" w:cs="Arial"/>
          <w:sz w:val="24"/>
          <w:szCs w:val="24"/>
          <w:lang w:val="en-US"/>
        </w:rPr>
        <w:t xml:space="preserve">). </w:t>
      </w:r>
      <w:r w:rsidR="00FB5473">
        <w:rPr>
          <w:rFonts w:ascii="Arial" w:hAnsi="Arial" w:cs="Arial"/>
          <w:sz w:val="24"/>
          <w:szCs w:val="24"/>
          <w:lang w:val="en-US"/>
        </w:rPr>
        <w:t>Moreover, t</w:t>
      </w:r>
      <w:r w:rsidR="00513302">
        <w:rPr>
          <w:rFonts w:ascii="Arial" w:hAnsi="Arial" w:cs="Arial"/>
          <w:sz w:val="24"/>
          <w:szCs w:val="24"/>
          <w:lang w:val="en-US"/>
        </w:rPr>
        <w:t xml:space="preserve">he response rates </w:t>
      </w:r>
      <w:r w:rsidR="00BE0081">
        <w:rPr>
          <w:rFonts w:ascii="Arial" w:hAnsi="Arial" w:cs="Arial"/>
          <w:sz w:val="24"/>
          <w:szCs w:val="24"/>
          <w:lang w:val="en-US"/>
        </w:rPr>
        <w:t xml:space="preserve">are generally higher for </w:t>
      </w:r>
      <w:r w:rsidR="00513302">
        <w:rPr>
          <w:rFonts w:ascii="Arial" w:hAnsi="Arial" w:cs="Arial"/>
          <w:sz w:val="24"/>
          <w:szCs w:val="24"/>
          <w:lang w:val="en-US"/>
        </w:rPr>
        <w:t xml:space="preserve">surveys with </w:t>
      </w:r>
      <w:r w:rsidR="00BE0081">
        <w:rPr>
          <w:rFonts w:ascii="Arial" w:hAnsi="Arial" w:cs="Arial"/>
          <w:sz w:val="24"/>
          <w:szCs w:val="24"/>
          <w:lang w:val="en-US"/>
        </w:rPr>
        <w:t>simpler questionnaires</w:t>
      </w:r>
      <w:r w:rsidR="00513302">
        <w:rPr>
          <w:rFonts w:ascii="Arial" w:hAnsi="Arial" w:cs="Arial"/>
          <w:sz w:val="24"/>
          <w:szCs w:val="24"/>
          <w:lang w:val="en-US"/>
        </w:rPr>
        <w:t xml:space="preserve"> </w:t>
      </w:r>
      <w:r w:rsidR="00BE0081">
        <w:rPr>
          <w:rFonts w:ascii="Arial" w:hAnsi="Arial" w:cs="Arial"/>
          <w:sz w:val="24"/>
          <w:szCs w:val="24"/>
          <w:lang w:val="en-US"/>
        </w:rPr>
        <w:t>and panel samples</w:t>
      </w:r>
      <w:r w:rsidR="00513302">
        <w:rPr>
          <w:rFonts w:ascii="Arial" w:hAnsi="Arial" w:cs="Arial"/>
          <w:sz w:val="24"/>
          <w:szCs w:val="24"/>
          <w:lang w:val="en-US"/>
        </w:rPr>
        <w:t xml:space="preserve">: </w:t>
      </w:r>
      <w:r w:rsidR="00044C80">
        <w:rPr>
          <w:rFonts w:ascii="Arial" w:hAnsi="Arial" w:cs="Arial"/>
          <w:sz w:val="24"/>
          <w:szCs w:val="24"/>
          <w:lang w:val="en-US"/>
        </w:rPr>
        <w:t xml:space="preserve">on average </w:t>
      </w:r>
      <w:r w:rsidR="00513302">
        <w:rPr>
          <w:rFonts w:ascii="Arial" w:hAnsi="Arial" w:cs="Arial"/>
          <w:sz w:val="24"/>
          <w:szCs w:val="24"/>
          <w:lang w:val="en-US"/>
        </w:rPr>
        <w:t xml:space="preserve">in 2017, </w:t>
      </w:r>
      <w:r w:rsidR="00044C80">
        <w:rPr>
          <w:rFonts w:ascii="Arial" w:hAnsi="Arial" w:cs="Arial"/>
          <w:sz w:val="24"/>
          <w:szCs w:val="24"/>
          <w:lang w:val="en-US"/>
        </w:rPr>
        <w:t>they were</w:t>
      </w:r>
      <w:r w:rsidR="00513302">
        <w:rPr>
          <w:rFonts w:ascii="Arial" w:hAnsi="Arial" w:cs="Arial"/>
          <w:sz w:val="24"/>
          <w:szCs w:val="24"/>
          <w:lang w:val="en-US"/>
        </w:rPr>
        <w:t xml:space="preserve"> equal to </w:t>
      </w:r>
      <w:r w:rsidR="00D85945" w:rsidRPr="00513302">
        <w:rPr>
          <w:rFonts w:ascii="Arial" w:hAnsi="Arial" w:cs="Arial"/>
          <w:sz w:val="24"/>
          <w:szCs w:val="24"/>
          <w:lang w:val="en-US"/>
        </w:rPr>
        <w:t>8</w:t>
      </w:r>
      <w:r w:rsidR="00BC2791" w:rsidRPr="00513302">
        <w:rPr>
          <w:rFonts w:ascii="Arial" w:hAnsi="Arial" w:cs="Arial"/>
          <w:sz w:val="24"/>
          <w:szCs w:val="24"/>
          <w:lang w:val="en-US"/>
        </w:rPr>
        <w:t>6</w:t>
      </w:r>
      <w:r w:rsidR="00D85945" w:rsidRPr="00513302">
        <w:rPr>
          <w:rFonts w:ascii="Arial" w:hAnsi="Arial" w:cs="Arial"/>
          <w:sz w:val="24"/>
          <w:szCs w:val="24"/>
          <w:lang w:val="en-US"/>
        </w:rPr>
        <w:t>%</w:t>
      </w:r>
      <w:r w:rsidR="00BC2791" w:rsidRPr="00513302">
        <w:rPr>
          <w:rFonts w:ascii="Arial" w:hAnsi="Arial" w:cs="Arial"/>
          <w:sz w:val="24"/>
          <w:szCs w:val="24"/>
          <w:lang w:val="en-US"/>
        </w:rPr>
        <w:t xml:space="preserve"> </w:t>
      </w:r>
      <w:r w:rsidR="00513302">
        <w:rPr>
          <w:rFonts w:ascii="Arial" w:hAnsi="Arial" w:cs="Arial"/>
          <w:sz w:val="24"/>
          <w:szCs w:val="24"/>
          <w:lang w:val="en-US"/>
        </w:rPr>
        <w:t>for</w:t>
      </w:r>
      <w:r w:rsidR="00BC2791" w:rsidRPr="00513302">
        <w:rPr>
          <w:rFonts w:ascii="Arial" w:hAnsi="Arial" w:cs="Arial"/>
          <w:sz w:val="24"/>
          <w:szCs w:val="24"/>
          <w:lang w:val="en-US"/>
        </w:rPr>
        <w:t xml:space="preserve"> </w:t>
      </w:r>
      <w:r w:rsidR="00BE0081">
        <w:rPr>
          <w:rFonts w:ascii="Arial" w:hAnsi="Arial" w:cs="Arial"/>
          <w:sz w:val="24"/>
          <w:szCs w:val="24"/>
          <w:lang w:val="en-US"/>
        </w:rPr>
        <w:t xml:space="preserve">the </w:t>
      </w:r>
      <w:r w:rsidR="00BE0081" w:rsidRPr="00513302">
        <w:rPr>
          <w:rFonts w:ascii="Arial" w:hAnsi="Arial" w:cs="Arial"/>
          <w:sz w:val="24"/>
          <w:szCs w:val="24"/>
          <w:lang w:val="en-US"/>
        </w:rPr>
        <w:t xml:space="preserve">monthly </w:t>
      </w:r>
      <w:r w:rsidR="00BC2791" w:rsidRPr="00513302">
        <w:rPr>
          <w:rFonts w:ascii="Arial" w:hAnsi="Arial" w:cs="Arial"/>
          <w:sz w:val="24"/>
          <w:szCs w:val="24"/>
          <w:lang w:val="en-US"/>
        </w:rPr>
        <w:t xml:space="preserve">survey on </w:t>
      </w:r>
      <w:r w:rsidR="00BE0081">
        <w:rPr>
          <w:rFonts w:ascii="Arial" w:hAnsi="Arial" w:cs="Arial"/>
          <w:sz w:val="24"/>
          <w:szCs w:val="24"/>
          <w:lang w:val="en-US"/>
        </w:rPr>
        <w:t>turnover</w:t>
      </w:r>
      <w:r w:rsidR="00BC2791" w:rsidRPr="00513302">
        <w:rPr>
          <w:rFonts w:ascii="Arial" w:hAnsi="Arial" w:cs="Arial"/>
          <w:sz w:val="24"/>
          <w:szCs w:val="24"/>
          <w:lang w:val="en-US"/>
        </w:rPr>
        <w:t xml:space="preserve"> and orders</w:t>
      </w:r>
      <w:r w:rsidR="00D85945" w:rsidRPr="00513302">
        <w:rPr>
          <w:rFonts w:ascii="Arial" w:hAnsi="Arial" w:cs="Arial"/>
          <w:sz w:val="24"/>
          <w:szCs w:val="24"/>
          <w:lang w:val="en-US"/>
        </w:rPr>
        <w:t xml:space="preserve"> </w:t>
      </w:r>
      <w:r w:rsidR="00044C80">
        <w:rPr>
          <w:rFonts w:ascii="Arial" w:hAnsi="Arial" w:cs="Arial"/>
          <w:sz w:val="24"/>
          <w:szCs w:val="24"/>
          <w:lang w:val="en-US"/>
        </w:rPr>
        <w:t xml:space="preserve">and </w:t>
      </w:r>
      <w:r w:rsidR="00BE0081">
        <w:rPr>
          <w:rFonts w:ascii="Arial" w:hAnsi="Arial" w:cs="Arial"/>
          <w:sz w:val="24"/>
          <w:szCs w:val="24"/>
          <w:lang w:val="en-US"/>
        </w:rPr>
        <w:t>to</w:t>
      </w:r>
      <w:r w:rsidR="00D85945" w:rsidRPr="00513302">
        <w:rPr>
          <w:rFonts w:ascii="Arial" w:hAnsi="Arial" w:cs="Arial"/>
          <w:sz w:val="24"/>
          <w:szCs w:val="24"/>
          <w:lang w:val="en-US"/>
        </w:rPr>
        <w:t xml:space="preserve"> 87% </w:t>
      </w:r>
      <w:r w:rsidR="00BE0081">
        <w:rPr>
          <w:rFonts w:ascii="Arial" w:hAnsi="Arial" w:cs="Arial"/>
          <w:sz w:val="24"/>
          <w:szCs w:val="24"/>
          <w:lang w:val="en-US"/>
        </w:rPr>
        <w:t xml:space="preserve">for the </w:t>
      </w:r>
      <w:r w:rsidR="00BE0081" w:rsidRPr="00513302">
        <w:rPr>
          <w:rFonts w:ascii="Arial" w:hAnsi="Arial" w:cs="Arial"/>
          <w:sz w:val="24"/>
          <w:szCs w:val="24"/>
          <w:lang w:val="en-US"/>
        </w:rPr>
        <w:t xml:space="preserve">monthly </w:t>
      </w:r>
      <w:r w:rsidR="00D85945" w:rsidRPr="00513302">
        <w:rPr>
          <w:rFonts w:ascii="Arial" w:hAnsi="Arial" w:cs="Arial"/>
          <w:sz w:val="24"/>
          <w:szCs w:val="24"/>
          <w:lang w:val="en-US"/>
        </w:rPr>
        <w:t xml:space="preserve">survey on industrial production. </w:t>
      </w:r>
      <w:r w:rsidR="00D85945" w:rsidRPr="00B54E83">
        <w:rPr>
          <w:rFonts w:ascii="Arial" w:hAnsi="Arial" w:cs="Arial"/>
          <w:sz w:val="24"/>
          <w:szCs w:val="24"/>
          <w:lang w:val="en-US"/>
        </w:rPr>
        <w:t xml:space="preserve">In all </w:t>
      </w:r>
      <w:r w:rsidR="00BE0081">
        <w:rPr>
          <w:rFonts w:ascii="Arial" w:hAnsi="Arial" w:cs="Arial"/>
          <w:sz w:val="24"/>
          <w:szCs w:val="24"/>
          <w:lang w:val="en-US"/>
        </w:rPr>
        <w:t xml:space="preserve">these </w:t>
      </w:r>
      <w:r w:rsidR="00D85945" w:rsidRPr="00B54E83">
        <w:rPr>
          <w:rFonts w:ascii="Arial" w:hAnsi="Arial" w:cs="Arial"/>
          <w:sz w:val="24"/>
          <w:szCs w:val="24"/>
          <w:lang w:val="en-US"/>
        </w:rPr>
        <w:t xml:space="preserve">cases, </w:t>
      </w:r>
      <w:r w:rsidR="00BE0081">
        <w:rPr>
          <w:rFonts w:ascii="Arial" w:hAnsi="Arial" w:cs="Arial"/>
          <w:sz w:val="24"/>
          <w:szCs w:val="24"/>
          <w:lang w:val="en-US"/>
        </w:rPr>
        <w:t xml:space="preserve">the </w:t>
      </w:r>
      <w:r w:rsidR="00D85945" w:rsidRPr="00B54E83">
        <w:rPr>
          <w:rFonts w:ascii="Arial" w:hAnsi="Arial" w:cs="Arial"/>
          <w:sz w:val="24"/>
          <w:szCs w:val="24"/>
          <w:lang w:val="en-US"/>
        </w:rPr>
        <w:t>data</w:t>
      </w:r>
      <w:r w:rsidR="00C7494E" w:rsidRPr="00B54E83">
        <w:rPr>
          <w:rFonts w:ascii="Arial" w:hAnsi="Arial" w:cs="Arial"/>
          <w:sz w:val="24"/>
          <w:szCs w:val="24"/>
          <w:lang w:val="en-US"/>
        </w:rPr>
        <w:t xml:space="preserve"> collection mode is CAWI</w:t>
      </w:r>
      <w:r w:rsidR="00D85945" w:rsidRPr="00B54E83">
        <w:rPr>
          <w:rFonts w:ascii="Arial" w:hAnsi="Arial" w:cs="Arial"/>
          <w:sz w:val="24"/>
          <w:szCs w:val="24"/>
          <w:lang w:val="en-US"/>
        </w:rPr>
        <w:t>.</w:t>
      </w:r>
    </w:p>
    <w:p w14:paraId="40CC1289" w14:textId="44D8592A" w:rsidR="000D53BC" w:rsidRDefault="00392630" w:rsidP="000D53BC">
      <w:pPr>
        <w:spacing w:before="120" w:after="0" w:line="360" w:lineRule="auto"/>
        <w:jc w:val="both"/>
        <w:rPr>
          <w:rFonts w:ascii="Arial" w:hAnsi="Arial" w:cs="Arial"/>
          <w:sz w:val="24"/>
          <w:szCs w:val="24"/>
          <w:lang w:val="en-US"/>
        </w:rPr>
      </w:pPr>
      <w:r>
        <w:rPr>
          <w:rFonts w:ascii="Arial" w:hAnsi="Arial" w:cs="Arial"/>
          <w:sz w:val="24"/>
          <w:szCs w:val="24"/>
          <w:lang w:val="en-US"/>
        </w:rPr>
        <w:t xml:space="preserve">As mentioned above, starting from the </w:t>
      </w:r>
      <w:r w:rsidR="000D53BC" w:rsidRPr="009F04C8">
        <w:rPr>
          <w:rFonts w:ascii="Arial" w:hAnsi="Arial" w:cs="Arial"/>
          <w:sz w:val="24"/>
          <w:szCs w:val="24"/>
          <w:lang w:val="en-US"/>
        </w:rPr>
        <w:t xml:space="preserve">first quarter of 2017, the VELA survey </w:t>
      </w:r>
      <w:r w:rsidR="000D53BC">
        <w:rPr>
          <w:rFonts w:ascii="Arial" w:hAnsi="Arial" w:cs="Arial"/>
          <w:sz w:val="24"/>
          <w:szCs w:val="24"/>
          <w:lang w:val="en-US"/>
        </w:rPr>
        <w:t xml:space="preserve">was conducted with a unique CAWI response mode. </w:t>
      </w:r>
      <w:r w:rsidR="000D53BC" w:rsidRPr="009F04C8">
        <w:rPr>
          <w:rFonts w:ascii="Arial" w:hAnsi="Arial" w:cs="Arial"/>
          <w:sz w:val="24"/>
          <w:szCs w:val="24"/>
          <w:lang w:val="en-US"/>
        </w:rPr>
        <w:t>Th</w:t>
      </w:r>
      <w:r w:rsidR="000D53BC">
        <w:rPr>
          <w:rFonts w:ascii="Arial" w:hAnsi="Arial" w:cs="Arial"/>
          <w:sz w:val="24"/>
          <w:szCs w:val="24"/>
          <w:lang w:val="en-US"/>
        </w:rPr>
        <w:t xml:space="preserve">is change </w:t>
      </w:r>
      <w:r w:rsidR="000D53BC" w:rsidRPr="009F04C8">
        <w:rPr>
          <w:rFonts w:ascii="Arial" w:hAnsi="Arial" w:cs="Arial"/>
          <w:sz w:val="24"/>
          <w:szCs w:val="24"/>
          <w:lang w:val="en-US"/>
        </w:rPr>
        <w:t>was reflected in the  response rate</w:t>
      </w:r>
      <w:r w:rsidR="002304C2">
        <w:rPr>
          <w:rFonts w:ascii="Arial" w:hAnsi="Arial" w:cs="Arial"/>
          <w:sz w:val="24"/>
          <w:szCs w:val="24"/>
          <w:lang w:val="en-US"/>
        </w:rPr>
        <w:t>s</w:t>
      </w:r>
      <w:r>
        <w:rPr>
          <w:rFonts w:ascii="Arial" w:hAnsi="Arial" w:cs="Arial"/>
          <w:sz w:val="24"/>
          <w:szCs w:val="24"/>
          <w:lang w:val="en-US"/>
        </w:rPr>
        <w:t>, which declined from 2016 to 2017 (see Table 1)</w:t>
      </w:r>
      <w:r w:rsidR="000D53BC">
        <w:rPr>
          <w:rFonts w:ascii="Arial" w:hAnsi="Arial" w:cs="Arial"/>
          <w:sz w:val="24"/>
          <w:szCs w:val="24"/>
          <w:lang w:val="en-US"/>
        </w:rPr>
        <w:t xml:space="preserve">. </w:t>
      </w:r>
    </w:p>
    <w:p w14:paraId="09091899" w14:textId="77777777" w:rsidR="00446C21" w:rsidRDefault="00446C21" w:rsidP="002F68C0">
      <w:pPr>
        <w:pStyle w:val="Legenda"/>
        <w:keepNext/>
        <w:rPr>
          <w:rFonts w:ascii="Arial" w:hAnsi="Arial" w:cs="Arial"/>
          <w:b/>
          <w:i w:val="0"/>
          <w:color w:val="auto"/>
          <w:sz w:val="20"/>
          <w:szCs w:val="20"/>
          <w:lang w:val="en-GB"/>
        </w:rPr>
      </w:pPr>
    </w:p>
    <w:p w14:paraId="6284CD76" w14:textId="77777777" w:rsidR="002F68C0" w:rsidRPr="00EC5F5A" w:rsidRDefault="002F68C0" w:rsidP="002F68C0">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4174E4">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Response </w:t>
      </w:r>
      <w:r w:rsidR="0015406E">
        <w:rPr>
          <w:rFonts w:ascii="Arial" w:hAnsi="Arial" w:cs="Arial"/>
          <w:b/>
          <w:i w:val="0"/>
          <w:color w:val="auto"/>
          <w:sz w:val="20"/>
          <w:szCs w:val="20"/>
          <w:lang w:val="en-GB"/>
        </w:rPr>
        <w:t xml:space="preserve">rate by quarter </w:t>
      </w:r>
      <w:r w:rsidR="00433ACF">
        <w:rPr>
          <w:rFonts w:ascii="Arial" w:hAnsi="Arial" w:cs="Arial"/>
          <w:b/>
          <w:i w:val="0"/>
          <w:color w:val="auto"/>
          <w:sz w:val="20"/>
          <w:szCs w:val="20"/>
          <w:lang w:val="en-GB"/>
        </w:rPr>
        <w:t xml:space="preserve">– Years 2016-2017 </w:t>
      </w:r>
      <w:r w:rsidR="0015406E" w:rsidRPr="0015406E">
        <w:rPr>
          <w:rFonts w:ascii="Arial" w:hAnsi="Arial" w:cs="Arial"/>
          <w:i w:val="0"/>
          <w:color w:val="auto"/>
          <w:sz w:val="20"/>
          <w:szCs w:val="20"/>
          <w:lang w:val="en-GB"/>
        </w:rPr>
        <w:t>(percentage)</w:t>
      </w:r>
    </w:p>
    <w:tbl>
      <w:tblPr>
        <w:tblStyle w:val="Tabela-Siatka"/>
        <w:tblW w:w="5000" w:type="pct"/>
        <w:tblLook w:val="04A0" w:firstRow="1" w:lastRow="0" w:firstColumn="1" w:lastColumn="0" w:noHBand="0" w:noVBand="1"/>
      </w:tblPr>
      <w:tblGrid>
        <w:gridCol w:w="1719"/>
        <w:gridCol w:w="1939"/>
        <w:gridCol w:w="1947"/>
        <w:gridCol w:w="1915"/>
        <w:gridCol w:w="1768"/>
      </w:tblGrid>
      <w:tr w:rsidR="002F68C0" w:rsidRPr="00D4017B" w14:paraId="2829E8F9" w14:textId="77777777" w:rsidTr="003055E7">
        <w:trPr>
          <w:cantSplit/>
        </w:trPr>
        <w:tc>
          <w:tcPr>
            <w:tcW w:w="925" w:type="pct"/>
          </w:tcPr>
          <w:p w14:paraId="1BCB1F15" w14:textId="77777777" w:rsidR="002F68C0" w:rsidRPr="00D4017B" w:rsidRDefault="002F68C0" w:rsidP="00515105">
            <w:pPr>
              <w:spacing w:before="120" w:line="360" w:lineRule="auto"/>
              <w:jc w:val="center"/>
              <w:rPr>
                <w:rFonts w:ascii="Arial" w:hAnsi="Arial" w:cs="Arial"/>
                <w:b/>
                <w:sz w:val="20"/>
                <w:szCs w:val="20"/>
                <w:lang w:val="en-GB"/>
              </w:rPr>
            </w:pPr>
          </w:p>
        </w:tc>
        <w:tc>
          <w:tcPr>
            <w:tcW w:w="1044" w:type="pct"/>
          </w:tcPr>
          <w:p w14:paraId="5A741BBB" w14:textId="77777777" w:rsidR="002F68C0" w:rsidRPr="00D4017B" w:rsidRDefault="002F68C0" w:rsidP="00515105">
            <w:pPr>
              <w:spacing w:before="120" w:line="360" w:lineRule="auto"/>
              <w:jc w:val="center"/>
              <w:rPr>
                <w:rFonts w:ascii="Arial" w:hAnsi="Arial" w:cs="Arial"/>
                <w:sz w:val="20"/>
                <w:szCs w:val="20"/>
                <w:lang w:val="en-GB"/>
              </w:rPr>
            </w:pPr>
            <w:r w:rsidRPr="00D4017B">
              <w:rPr>
                <w:rFonts w:ascii="Arial" w:hAnsi="Arial" w:cs="Arial"/>
                <w:b/>
                <w:sz w:val="20"/>
                <w:szCs w:val="20"/>
                <w:lang w:val="en-GB"/>
              </w:rPr>
              <w:t>I</w:t>
            </w:r>
          </w:p>
        </w:tc>
        <w:tc>
          <w:tcPr>
            <w:tcW w:w="1048" w:type="pct"/>
          </w:tcPr>
          <w:p w14:paraId="3358AA21" w14:textId="77777777" w:rsidR="002F68C0" w:rsidRPr="00D4017B" w:rsidRDefault="002F68C0" w:rsidP="00515105">
            <w:pPr>
              <w:spacing w:before="120" w:line="360" w:lineRule="auto"/>
              <w:jc w:val="center"/>
              <w:rPr>
                <w:rFonts w:ascii="Arial" w:hAnsi="Arial" w:cs="Arial"/>
                <w:sz w:val="20"/>
                <w:szCs w:val="20"/>
                <w:lang w:val="en-GB"/>
              </w:rPr>
            </w:pPr>
            <w:r w:rsidRPr="00D4017B">
              <w:rPr>
                <w:rFonts w:ascii="Arial" w:hAnsi="Arial" w:cs="Arial"/>
                <w:b/>
                <w:sz w:val="20"/>
                <w:szCs w:val="20"/>
                <w:lang w:val="en-GB"/>
              </w:rPr>
              <w:t>II</w:t>
            </w:r>
          </w:p>
        </w:tc>
        <w:tc>
          <w:tcPr>
            <w:tcW w:w="1031" w:type="pct"/>
          </w:tcPr>
          <w:p w14:paraId="6B837B9E" w14:textId="77777777" w:rsidR="002F68C0" w:rsidRPr="00D4017B" w:rsidRDefault="002F68C0" w:rsidP="00515105">
            <w:pPr>
              <w:spacing w:before="120" w:line="360" w:lineRule="auto"/>
              <w:jc w:val="center"/>
              <w:rPr>
                <w:rFonts w:ascii="Arial" w:hAnsi="Arial" w:cs="Arial"/>
                <w:sz w:val="20"/>
                <w:szCs w:val="20"/>
                <w:lang w:val="en-GB"/>
              </w:rPr>
            </w:pPr>
            <w:r w:rsidRPr="00D4017B">
              <w:rPr>
                <w:rFonts w:ascii="Arial" w:hAnsi="Arial" w:cs="Arial"/>
                <w:b/>
                <w:sz w:val="20"/>
                <w:szCs w:val="20"/>
                <w:lang w:val="en-GB"/>
              </w:rPr>
              <w:t>III</w:t>
            </w:r>
          </w:p>
        </w:tc>
        <w:tc>
          <w:tcPr>
            <w:tcW w:w="952" w:type="pct"/>
          </w:tcPr>
          <w:p w14:paraId="2E2A4F1D" w14:textId="77777777" w:rsidR="002F68C0" w:rsidRPr="00D4017B" w:rsidRDefault="002F68C0" w:rsidP="00515105">
            <w:pPr>
              <w:spacing w:before="120" w:line="360" w:lineRule="auto"/>
              <w:jc w:val="center"/>
              <w:rPr>
                <w:rFonts w:ascii="Arial" w:hAnsi="Arial" w:cs="Arial"/>
                <w:sz w:val="20"/>
                <w:szCs w:val="20"/>
                <w:lang w:val="en-GB"/>
              </w:rPr>
            </w:pPr>
            <w:r w:rsidRPr="00D4017B">
              <w:rPr>
                <w:rFonts w:ascii="Arial" w:hAnsi="Arial" w:cs="Arial"/>
                <w:b/>
                <w:sz w:val="20"/>
                <w:szCs w:val="20"/>
                <w:lang w:val="en-GB"/>
              </w:rPr>
              <w:t>IV</w:t>
            </w:r>
          </w:p>
        </w:tc>
      </w:tr>
      <w:tr w:rsidR="002F68C0" w:rsidRPr="00D4017B" w14:paraId="529F3021" w14:textId="77777777" w:rsidTr="003055E7">
        <w:trPr>
          <w:cantSplit/>
        </w:trPr>
        <w:tc>
          <w:tcPr>
            <w:tcW w:w="925" w:type="pct"/>
          </w:tcPr>
          <w:p w14:paraId="6ADB5F56" w14:textId="77777777" w:rsidR="002F68C0" w:rsidRPr="00D4017B" w:rsidRDefault="002F68C0" w:rsidP="002F68C0">
            <w:pPr>
              <w:spacing w:before="120" w:line="360" w:lineRule="auto"/>
              <w:jc w:val="center"/>
              <w:rPr>
                <w:rFonts w:ascii="Arial" w:hAnsi="Arial" w:cs="Arial"/>
                <w:sz w:val="20"/>
                <w:szCs w:val="20"/>
                <w:lang w:val="en-GB"/>
              </w:rPr>
            </w:pPr>
            <w:r w:rsidRPr="00D4017B">
              <w:rPr>
                <w:rFonts w:ascii="Arial" w:hAnsi="Arial" w:cs="Arial"/>
                <w:sz w:val="20"/>
                <w:szCs w:val="20"/>
                <w:lang w:val="en-GB"/>
              </w:rPr>
              <w:t>2016</w:t>
            </w:r>
          </w:p>
        </w:tc>
        <w:tc>
          <w:tcPr>
            <w:tcW w:w="1044" w:type="pct"/>
            <w:vAlign w:val="bottom"/>
          </w:tcPr>
          <w:p w14:paraId="7CE55FFF" w14:textId="7A9212B5" w:rsidR="002F68C0" w:rsidRPr="00D4017B" w:rsidRDefault="002F68C0" w:rsidP="00C857A7">
            <w:pPr>
              <w:spacing w:before="120" w:line="360" w:lineRule="auto"/>
              <w:jc w:val="center"/>
              <w:rPr>
                <w:rFonts w:ascii="Arial" w:hAnsi="Arial" w:cs="Arial"/>
                <w:sz w:val="20"/>
                <w:szCs w:val="20"/>
                <w:lang w:val="en-GB"/>
              </w:rPr>
            </w:pPr>
            <w:r w:rsidRPr="00D4017B">
              <w:rPr>
                <w:rFonts w:ascii="Arial" w:eastAsia="Times New Roman" w:hAnsi="Arial" w:cs="Arial"/>
                <w:color w:val="000000"/>
                <w:sz w:val="20"/>
                <w:szCs w:val="20"/>
                <w:lang w:eastAsia="it-IT"/>
              </w:rPr>
              <w:t>68.</w:t>
            </w:r>
            <w:r w:rsidR="00C857A7">
              <w:rPr>
                <w:rFonts w:ascii="Arial" w:eastAsia="Times New Roman" w:hAnsi="Arial" w:cs="Arial"/>
                <w:color w:val="000000"/>
                <w:sz w:val="20"/>
                <w:szCs w:val="20"/>
                <w:lang w:eastAsia="it-IT"/>
              </w:rPr>
              <w:t>0</w:t>
            </w:r>
          </w:p>
        </w:tc>
        <w:tc>
          <w:tcPr>
            <w:tcW w:w="1048" w:type="pct"/>
            <w:vAlign w:val="bottom"/>
          </w:tcPr>
          <w:p w14:paraId="06A0C049" w14:textId="50E49F04" w:rsidR="002F68C0" w:rsidRPr="00D4017B" w:rsidRDefault="002F68C0" w:rsidP="00C857A7">
            <w:pPr>
              <w:spacing w:before="120" w:line="360" w:lineRule="auto"/>
              <w:jc w:val="center"/>
              <w:rPr>
                <w:rFonts w:ascii="Arial" w:hAnsi="Arial" w:cs="Arial"/>
                <w:sz w:val="20"/>
                <w:szCs w:val="20"/>
                <w:lang w:val="en-GB"/>
              </w:rPr>
            </w:pPr>
            <w:r w:rsidRPr="00D4017B">
              <w:rPr>
                <w:rFonts w:ascii="Arial" w:eastAsia="Times New Roman" w:hAnsi="Arial" w:cs="Arial"/>
                <w:color w:val="000000"/>
                <w:sz w:val="20"/>
                <w:szCs w:val="20"/>
                <w:lang w:eastAsia="it-IT"/>
              </w:rPr>
              <w:t>71.7</w:t>
            </w:r>
          </w:p>
        </w:tc>
        <w:tc>
          <w:tcPr>
            <w:tcW w:w="1031" w:type="pct"/>
            <w:vAlign w:val="bottom"/>
          </w:tcPr>
          <w:p w14:paraId="5FFD73BB" w14:textId="6DB540A1" w:rsidR="002F68C0" w:rsidRPr="00D4017B" w:rsidRDefault="002F68C0" w:rsidP="00C857A7">
            <w:pPr>
              <w:spacing w:before="120" w:line="360" w:lineRule="auto"/>
              <w:jc w:val="center"/>
              <w:rPr>
                <w:rFonts w:ascii="Arial" w:hAnsi="Arial" w:cs="Arial"/>
                <w:sz w:val="20"/>
                <w:szCs w:val="20"/>
                <w:lang w:val="en-GB"/>
              </w:rPr>
            </w:pPr>
            <w:r w:rsidRPr="00D4017B">
              <w:rPr>
                <w:rFonts w:ascii="Arial" w:hAnsi="Arial" w:cs="Arial"/>
                <w:sz w:val="20"/>
                <w:szCs w:val="20"/>
                <w:lang w:val="en-GB"/>
              </w:rPr>
              <w:t>68.2</w:t>
            </w:r>
          </w:p>
        </w:tc>
        <w:tc>
          <w:tcPr>
            <w:tcW w:w="952" w:type="pct"/>
            <w:vAlign w:val="bottom"/>
          </w:tcPr>
          <w:p w14:paraId="194DA427" w14:textId="18161F0D" w:rsidR="002F68C0" w:rsidRPr="00D4017B" w:rsidRDefault="00C857A7" w:rsidP="00C857A7">
            <w:pPr>
              <w:spacing w:before="120" w:line="360" w:lineRule="auto"/>
              <w:jc w:val="center"/>
              <w:rPr>
                <w:rFonts w:ascii="Arial" w:hAnsi="Arial" w:cs="Arial"/>
                <w:sz w:val="20"/>
                <w:szCs w:val="20"/>
                <w:lang w:val="en-GB"/>
              </w:rPr>
            </w:pPr>
            <w:r>
              <w:rPr>
                <w:rFonts w:ascii="Arial" w:hAnsi="Arial" w:cs="Arial"/>
                <w:sz w:val="20"/>
                <w:szCs w:val="20"/>
                <w:lang w:val="en-GB"/>
              </w:rPr>
              <w:t>71.6</w:t>
            </w:r>
          </w:p>
        </w:tc>
      </w:tr>
      <w:tr w:rsidR="002F68C0" w:rsidRPr="00D4017B" w14:paraId="39A15157" w14:textId="77777777" w:rsidTr="003055E7">
        <w:trPr>
          <w:cantSplit/>
        </w:trPr>
        <w:tc>
          <w:tcPr>
            <w:tcW w:w="925" w:type="pct"/>
          </w:tcPr>
          <w:p w14:paraId="40063229" w14:textId="77777777" w:rsidR="002F68C0" w:rsidRPr="00D4017B" w:rsidRDefault="002F68C0" w:rsidP="00515105">
            <w:pPr>
              <w:spacing w:before="120" w:line="360" w:lineRule="auto"/>
              <w:jc w:val="center"/>
              <w:rPr>
                <w:rFonts w:ascii="Arial" w:hAnsi="Arial" w:cs="Arial"/>
                <w:sz w:val="20"/>
                <w:szCs w:val="20"/>
                <w:lang w:val="en-GB"/>
              </w:rPr>
            </w:pPr>
            <w:r w:rsidRPr="00D4017B">
              <w:rPr>
                <w:rFonts w:ascii="Arial" w:hAnsi="Arial" w:cs="Arial"/>
                <w:sz w:val="20"/>
                <w:szCs w:val="20"/>
                <w:lang w:val="en-GB"/>
              </w:rPr>
              <w:t>2017</w:t>
            </w:r>
          </w:p>
        </w:tc>
        <w:tc>
          <w:tcPr>
            <w:tcW w:w="1044" w:type="pct"/>
          </w:tcPr>
          <w:p w14:paraId="48BF365F" w14:textId="7B185D86" w:rsidR="002F68C0" w:rsidRPr="00D4017B" w:rsidRDefault="002F68C0" w:rsidP="00C857A7">
            <w:pPr>
              <w:spacing w:before="120" w:line="360" w:lineRule="auto"/>
              <w:jc w:val="center"/>
              <w:rPr>
                <w:rFonts w:ascii="Arial" w:hAnsi="Arial" w:cs="Arial"/>
                <w:sz w:val="20"/>
                <w:szCs w:val="20"/>
                <w:lang w:val="en-GB"/>
              </w:rPr>
            </w:pPr>
            <w:r w:rsidRPr="00D4017B">
              <w:rPr>
                <w:rFonts w:ascii="Arial" w:hAnsi="Arial" w:cs="Arial"/>
                <w:sz w:val="20"/>
                <w:szCs w:val="20"/>
                <w:lang w:val="en-GB"/>
              </w:rPr>
              <w:t>64.</w:t>
            </w:r>
            <w:r w:rsidR="00C857A7">
              <w:rPr>
                <w:rFonts w:ascii="Arial" w:hAnsi="Arial" w:cs="Arial"/>
                <w:sz w:val="20"/>
                <w:szCs w:val="20"/>
                <w:lang w:val="en-GB"/>
              </w:rPr>
              <w:t>7</w:t>
            </w:r>
          </w:p>
        </w:tc>
        <w:tc>
          <w:tcPr>
            <w:tcW w:w="1048" w:type="pct"/>
          </w:tcPr>
          <w:p w14:paraId="6A95AE6E" w14:textId="6481FE05" w:rsidR="002F68C0" w:rsidRPr="00D4017B" w:rsidRDefault="002F68C0" w:rsidP="00C857A7">
            <w:pPr>
              <w:spacing w:before="120" w:line="360" w:lineRule="auto"/>
              <w:jc w:val="center"/>
              <w:rPr>
                <w:rFonts w:ascii="Arial" w:hAnsi="Arial" w:cs="Arial"/>
                <w:sz w:val="20"/>
                <w:szCs w:val="20"/>
                <w:lang w:val="en-GB"/>
              </w:rPr>
            </w:pPr>
            <w:r w:rsidRPr="00D4017B">
              <w:rPr>
                <w:rFonts w:ascii="Arial" w:hAnsi="Arial" w:cs="Arial"/>
                <w:sz w:val="20"/>
                <w:szCs w:val="20"/>
                <w:lang w:val="en-GB"/>
              </w:rPr>
              <w:t>66.</w:t>
            </w:r>
            <w:r w:rsidR="00C857A7">
              <w:rPr>
                <w:rFonts w:ascii="Arial" w:hAnsi="Arial" w:cs="Arial"/>
                <w:sz w:val="20"/>
                <w:szCs w:val="20"/>
                <w:lang w:val="en-GB"/>
              </w:rPr>
              <w:t>8</w:t>
            </w:r>
          </w:p>
        </w:tc>
        <w:tc>
          <w:tcPr>
            <w:tcW w:w="1031" w:type="pct"/>
          </w:tcPr>
          <w:p w14:paraId="0B519C96" w14:textId="69FAF1A3" w:rsidR="002F68C0" w:rsidRPr="00D4017B" w:rsidRDefault="002F68C0" w:rsidP="00C857A7">
            <w:pPr>
              <w:spacing w:before="120" w:line="360" w:lineRule="auto"/>
              <w:jc w:val="center"/>
              <w:rPr>
                <w:rFonts w:ascii="Arial" w:hAnsi="Arial" w:cs="Arial"/>
                <w:sz w:val="20"/>
                <w:szCs w:val="20"/>
                <w:lang w:val="en-GB"/>
              </w:rPr>
            </w:pPr>
            <w:r w:rsidRPr="00D4017B">
              <w:rPr>
                <w:rFonts w:ascii="Arial" w:hAnsi="Arial" w:cs="Arial"/>
                <w:sz w:val="20"/>
                <w:szCs w:val="20"/>
                <w:lang w:val="en-GB"/>
              </w:rPr>
              <w:t>66.8</w:t>
            </w:r>
          </w:p>
        </w:tc>
        <w:tc>
          <w:tcPr>
            <w:tcW w:w="952" w:type="pct"/>
          </w:tcPr>
          <w:p w14:paraId="54F0EC2D" w14:textId="5B14E2AA" w:rsidR="002F68C0" w:rsidRPr="00D4017B" w:rsidRDefault="002F68C0" w:rsidP="00C857A7">
            <w:pPr>
              <w:spacing w:before="120" w:line="360" w:lineRule="auto"/>
              <w:jc w:val="center"/>
              <w:rPr>
                <w:rFonts w:ascii="Arial" w:hAnsi="Arial" w:cs="Arial"/>
                <w:sz w:val="20"/>
                <w:szCs w:val="20"/>
                <w:lang w:val="en-GB"/>
              </w:rPr>
            </w:pPr>
            <w:r w:rsidRPr="00D4017B">
              <w:rPr>
                <w:rFonts w:ascii="Arial" w:hAnsi="Arial" w:cs="Arial"/>
                <w:sz w:val="20"/>
                <w:szCs w:val="20"/>
                <w:lang w:val="en-GB"/>
              </w:rPr>
              <w:t>65.6</w:t>
            </w:r>
          </w:p>
        </w:tc>
      </w:tr>
    </w:tbl>
    <w:p w14:paraId="0F85146D" w14:textId="77777777" w:rsidR="0051620F" w:rsidRDefault="0051620F" w:rsidP="0051620F">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ISTAT</w:t>
      </w:r>
    </w:p>
    <w:p w14:paraId="12035EB8" w14:textId="77777777" w:rsidR="00A41AF2" w:rsidRPr="00EC5F5A" w:rsidRDefault="00A41AF2" w:rsidP="002F68C0">
      <w:pPr>
        <w:spacing w:after="0" w:line="360" w:lineRule="auto"/>
        <w:jc w:val="both"/>
        <w:rPr>
          <w:rFonts w:ascii="Arial" w:hAnsi="Arial" w:cs="Arial"/>
          <w:sz w:val="20"/>
          <w:szCs w:val="20"/>
          <w:lang w:val="en-GB"/>
        </w:rPr>
      </w:pPr>
    </w:p>
    <w:p w14:paraId="265578E9" w14:textId="4B13A845" w:rsidR="00EE6FD5" w:rsidRPr="00433ACF" w:rsidRDefault="00EE6FD5" w:rsidP="00EE6FD5">
      <w:pPr>
        <w:pStyle w:val="Legenda"/>
        <w:keepNext/>
        <w:rPr>
          <w:rFonts w:ascii="Arial" w:hAnsi="Arial" w:cs="Arial"/>
          <w:b/>
          <w:i w:val="0"/>
          <w:color w:val="auto"/>
          <w:sz w:val="20"/>
          <w:szCs w:val="20"/>
          <w:lang w:val="en-US"/>
        </w:rPr>
      </w:pPr>
      <w:r w:rsidRPr="003316A8">
        <w:rPr>
          <w:rFonts w:ascii="Arial" w:hAnsi="Arial" w:cs="Arial"/>
          <w:b/>
          <w:i w:val="0"/>
          <w:color w:val="auto"/>
          <w:sz w:val="20"/>
          <w:szCs w:val="20"/>
          <w:lang w:val="en-US"/>
        </w:rPr>
        <w:t xml:space="preserve">Table </w:t>
      </w:r>
      <w:r w:rsidR="00E51F0D" w:rsidRPr="003316A8">
        <w:rPr>
          <w:rFonts w:ascii="Arial" w:hAnsi="Arial" w:cs="Arial"/>
          <w:b/>
          <w:i w:val="0"/>
          <w:color w:val="auto"/>
          <w:sz w:val="20"/>
          <w:szCs w:val="20"/>
          <w:lang w:val="en-US"/>
        </w:rPr>
        <w:t>2</w:t>
      </w:r>
      <w:r w:rsidRPr="003316A8">
        <w:rPr>
          <w:rFonts w:ascii="Arial" w:hAnsi="Arial" w:cs="Arial"/>
          <w:b/>
          <w:i w:val="0"/>
          <w:color w:val="auto"/>
          <w:sz w:val="20"/>
          <w:szCs w:val="20"/>
          <w:lang w:val="en-US"/>
        </w:rPr>
        <w:t xml:space="preserve">. </w:t>
      </w:r>
      <w:r w:rsidR="00E51F0D" w:rsidRPr="00433ACF">
        <w:rPr>
          <w:rFonts w:ascii="Arial" w:hAnsi="Arial" w:cs="Arial"/>
          <w:b/>
          <w:i w:val="0"/>
          <w:color w:val="auto"/>
          <w:sz w:val="20"/>
          <w:szCs w:val="20"/>
          <w:lang w:val="en-US"/>
        </w:rPr>
        <w:t>Num</w:t>
      </w:r>
      <w:r w:rsidR="0015406E" w:rsidRPr="00433ACF">
        <w:rPr>
          <w:rFonts w:ascii="Arial" w:hAnsi="Arial" w:cs="Arial"/>
          <w:b/>
          <w:i w:val="0"/>
          <w:color w:val="auto"/>
          <w:sz w:val="20"/>
          <w:szCs w:val="20"/>
          <w:lang w:val="en-US"/>
        </w:rPr>
        <w:t>ber of respondents by quarter and mode – Year</w:t>
      </w:r>
      <w:r w:rsidR="0051620F">
        <w:rPr>
          <w:rFonts w:ascii="Arial" w:hAnsi="Arial" w:cs="Arial"/>
          <w:b/>
          <w:i w:val="0"/>
          <w:color w:val="auto"/>
          <w:sz w:val="20"/>
          <w:szCs w:val="20"/>
          <w:lang w:val="en-US"/>
        </w:rPr>
        <w:t>s</w:t>
      </w:r>
      <w:r w:rsidR="0015406E" w:rsidRPr="00433ACF">
        <w:rPr>
          <w:rFonts w:ascii="Arial" w:hAnsi="Arial" w:cs="Arial"/>
          <w:b/>
          <w:i w:val="0"/>
          <w:color w:val="auto"/>
          <w:sz w:val="20"/>
          <w:szCs w:val="20"/>
          <w:lang w:val="en-US"/>
        </w:rPr>
        <w:t xml:space="preserve"> 2016</w:t>
      </w:r>
      <w:r w:rsidR="0051620F">
        <w:rPr>
          <w:rFonts w:ascii="Arial" w:hAnsi="Arial" w:cs="Arial"/>
          <w:b/>
          <w:i w:val="0"/>
          <w:color w:val="auto"/>
          <w:sz w:val="20"/>
          <w:szCs w:val="20"/>
          <w:lang w:val="en-US"/>
        </w:rPr>
        <w:t>-2017</w:t>
      </w:r>
    </w:p>
    <w:tbl>
      <w:tblPr>
        <w:tblW w:w="5000" w:type="pct"/>
        <w:tblCellMar>
          <w:left w:w="70" w:type="dxa"/>
          <w:right w:w="70" w:type="dxa"/>
        </w:tblCellMar>
        <w:tblLook w:val="04A0" w:firstRow="1" w:lastRow="0" w:firstColumn="1" w:lastColumn="0" w:noHBand="0" w:noVBand="1"/>
      </w:tblPr>
      <w:tblGrid>
        <w:gridCol w:w="1455"/>
        <w:gridCol w:w="1442"/>
        <w:gridCol w:w="1447"/>
        <w:gridCol w:w="1689"/>
        <w:gridCol w:w="1446"/>
        <w:gridCol w:w="287"/>
        <w:gridCol w:w="1446"/>
      </w:tblGrid>
      <w:tr w:rsidR="00A03818" w:rsidRPr="00A03818" w14:paraId="4D837D8B" w14:textId="77777777" w:rsidTr="00A03818">
        <w:trPr>
          <w:trHeight w:val="315"/>
        </w:trPr>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0D67B" w14:textId="77777777" w:rsidR="00A03818" w:rsidRPr="00FF7189" w:rsidRDefault="00A03818" w:rsidP="00A03818">
            <w:pPr>
              <w:spacing w:after="0" w:line="240" w:lineRule="auto"/>
              <w:rPr>
                <w:rFonts w:ascii="Calibri" w:eastAsia="Times New Roman" w:hAnsi="Calibri" w:cs="Times New Roman"/>
                <w:color w:val="000000"/>
                <w:lang w:val="en-US" w:eastAsia="it-IT"/>
              </w:rPr>
            </w:pPr>
            <w:r w:rsidRPr="00FF7189">
              <w:rPr>
                <w:rFonts w:ascii="Calibri" w:eastAsia="Times New Roman" w:hAnsi="Calibri" w:cs="Times New Roman"/>
                <w:color w:val="000000"/>
                <w:lang w:val="en-US" w:eastAsia="it-IT"/>
              </w:rPr>
              <w:t> </w:t>
            </w:r>
          </w:p>
        </w:tc>
        <w:tc>
          <w:tcPr>
            <w:tcW w:w="3269" w:type="pct"/>
            <w:gridSpan w:val="4"/>
            <w:tcBorders>
              <w:top w:val="single" w:sz="4" w:space="0" w:color="auto"/>
              <w:left w:val="nil"/>
              <w:bottom w:val="single" w:sz="4" w:space="0" w:color="auto"/>
              <w:right w:val="single" w:sz="4" w:space="0" w:color="auto"/>
            </w:tcBorders>
            <w:shd w:val="clear" w:color="auto" w:fill="auto"/>
            <w:vAlign w:val="center"/>
            <w:hideMark/>
          </w:tcPr>
          <w:p w14:paraId="66B0E973"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2016</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F8C688" w14:textId="77777777" w:rsidR="00A03818" w:rsidRPr="00A03818" w:rsidRDefault="00A03818" w:rsidP="00A03818">
            <w:pPr>
              <w:spacing w:after="0" w:line="240" w:lineRule="auto"/>
              <w:rPr>
                <w:rFonts w:ascii="Calibri" w:eastAsia="Times New Roman" w:hAnsi="Calibri" w:cs="Times New Roman"/>
                <w:color w:val="000000"/>
                <w:lang w:val="it-IT" w:eastAsia="it-IT"/>
              </w:rPr>
            </w:pPr>
            <w:r w:rsidRPr="00A03818">
              <w:rPr>
                <w:rFonts w:ascii="Calibri" w:eastAsia="Times New Roman" w:hAnsi="Calibri" w:cs="Times New Roman"/>
                <w:color w:val="000000"/>
                <w:lang w:val="it-IT" w:eastAsia="it-IT"/>
              </w:rPr>
              <w:t> </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01E51C83"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2017</w:t>
            </w:r>
          </w:p>
        </w:tc>
      </w:tr>
      <w:tr w:rsidR="00A03818" w:rsidRPr="00A03818" w14:paraId="3162870A" w14:textId="77777777" w:rsidTr="00A03818">
        <w:trPr>
          <w:trHeight w:val="780"/>
        </w:trPr>
        <w:tc>
          <w:tcPr>
            <w:tcW w:w="789" w:type="pct"/>
            <w:tcBorders>
              <w:top w:val="nil"/>
              <w:left w:val="single" w:sz="4" w:space="0" w:color="auto"/>
              <w:bottom w:val="single" w:sz="4" w:space="0" w:color="auto"/>
              <w:right w:val="single" w:sz="4" w:space="0" w:color="auto"/>
            </w:tcBorders>
            <w:shd w:val="clear" w:color="auto" w:fill="auto"/>
            <w:vAlign w:val="center"/>
            <w:hideMark/>
          </w:tcPr>
          <w:p w14:paraId="487420EE"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 </w:t>
            </w:r>
          </w:p>
        </w:tc>
        <w:tc>
          <w:tcPr>
            <w:tcW w:w="782" w:type="pct"/>
            <w:tcBorders>
              <w:top w:val="nil"/>
              <w:left w:val="nil"/>
              <w:bottom w:val="single" w:sz="4" w:space="0" w:color="auto"/>
              <w:right w:val="single" w:sz="4" w:space="0" w:color="auto"/>
            </w:tcBorders>
            <w:shd w:val="clear" w:color="auto" w:fill="auto"/>
            <w:vAlign w:val="center"/>
            <w:hideMark/>
          </w:tcPr>
          <w:p w14:paraId="2A20165D"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Web</w:t>
            </w:r>
          </w:p>
        </w:tc>
        <w:tc>
          <w:tcPr>
            <w:tcW w:w="785" w:type="pct"/>
            <w:tcBorders>
              <w:top w:val="nil"/>
              <w:left w:val="nil"/>
              <w:bottom w:val="single" w:sz="4" w:space="0" w:color="auto"/>
              <w:right w:val="single" w:sz="4" w:space="0" w:color="auto"/>
            </w:tcBorders>
            <w:shd w:val="clear" w:color="auto" w:fill="auto"/>
            <w:vAlign w:val="center"/>
            <w:hideMark/>
          </w:tcPr>
          <w:p w14:paraId="2C06C7B3"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Cati</w:t>
            </w:r>
          </w:p>
        </w:tc>
        <w:tc>
          <w:tcPr>
            <w:tcW w:w="917" w:type="pct"/>
            <w:tcBorders>
              <w:top w:val="nil"/>
              <w:left w:val="nil"/>
              <w:bottom w:val="single" w:sz="4" w:space="0" w:color="auto"/>
              <w:right w:val="single" w:sz="4" w:space="0" w:color="auto"/>
            </w:tcBorders>
            <w:shd w:val="clear" w:color="auto" w:fill="auto"/>
            <w:vAlign w:val="center"/>
            <w:hideMark/>
          </w:tcPr>
          <w:p w14:paraId="1B27F6AC"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Sent by certified email</w:t>
            </w:r>
          </w:p>
        </w:tc>
        <w:tc>
          <w:tcPr>
            <w:tcW w:w="785" w:type="pct"/>
            <w:tcBorders>
              <w:top w:val="nil"/>
              <w:left w:val="nil"/>
              <w:bottom w:val="single" w:sz="4" w:space="0" w:color="auto"/>
              <w:right w:val="single" w:sz="4" w:space="0" w:color="auto"/>
            </w:tcBorders>
            <w:shd w:val="clear" w:color="auto" w:fill="auto"/>
            <w:vAlign w:val="center"/>
            <w:hideMark/>
          </w:tcPr>
          <w:p w14:paraId="672ED363"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Total</w:t>
            </w:r>
          </w:p>
        </w:tc>
        <w:tc>
          <w:tcPr>
            <w:tcW w:w="156" w:type="pct"/>
            <w:tcBorders>
              <w:top w:val="nil"/>
              <w:left w:val="nil"/>
              <w:bottom w:val="single" w:sz="4" w:space="0" w:color="auto"/>
              <w:right w:val="single" w:sz="4" w:space="0" w:color="auto"/>
            </w:tcBorders>
            <w:shd w:val="clear" w:color="auto" w:fill="auto"/>
            <w:noWrap/>
            <w:vAlign w:val="bottom"/>
            <w:hideMark/>
          </w:tcPr>
          <w:p w14:paraId="0A7071EE" w14:textId="77777777" w:rsidR="00A03818" w:rsidRPr="00A03818" w:rsidRDefault="00A03818" w:rsidP="00A03818">
            <w:pPr>
              <w:spacing w:after="0" w:line="240" w:lineRule="auto"/>
              <w:rPr>
                <w:rFonts w:ascii="Calibri" w:eastAsia="Times New Roman" w:hAnsi="Calibri" w:cs="Times New Roman"/>
                <w:b/>
                <w:bCs/>
                <w:color w:val="000000"/>
                <w:lang w:val="it-IT" w:eastAsia="it-IT"/>
              </w:rPr>
            </w:pPr>
            <w:r w:rsidRPr="00A03818">
              <w:rPr>
                <w:rFonts w:ascii="Calibri" w:eastAsia="Times New Roman" w:hAnsi="Calibri" w:cs="Times New Roman"/>
                <w:b/>
                <w:bCs/>
                <w:color w:val="000000"/>
                <w:lang w:val="it-IT" w:eastAsia="it-IT"/>
              </w:rPr>
              <w:t> </w:t>
            </w:r>
          </w:p>
        </w:tc>
        <w:tc>
          <w:tcPr>
            <w:tcW w:w="785" w:type="pct"/>
            <w:tcBorders>
              <w:top w:val="nil"/>
              <w:left w:val="nil"/>
              <w:bottom w:val="single" w:sz="4" w:space="0" w:color="auto"/>
              <w:right w:val="single" w:sz="4" w:space="0" w:color="auto"/>
            </w:tcBorders>
            <w:shd w:val="clear" w:color="auto" w:fill="auto"/>
            <w:vAlign w:val="center"/>
            <w:hideMark/>
          </w:tcPr>
          <w:p w14:paraId="16CF7FB2"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Web</w:t>
            </w:r>
          </w:p>
        </w:tc>
      </w:tr>
      <w:tr w:rsidR="00A03818" w:rsidRPr="00A03818" w14:paraId="02084B8E" w14:textId="77777777" w:rsidTr="00A03818">
        <w:trPr>
          <w:trHeight w:val="315"/>
        </w:trPr>
        <w:tc>
          <w:tcPr>
            <w:tcW w:w="789" w:type="pct"/>
            <w:tcBorders>
              <w:top w:val="nil"/>
              <w:left w:val="single" w:sz="4" w:space="0" w:color="auto"/>
              <w:bottom w:val="single" w:sz="4" w:space="0" w:color="auto"/>
              <w:right w:val="single" w:sz="4" w:space="0" w:color="auto"/>
            </w:tcBorders>
            <w:shd w:val="clear" w:color="auto" w:fill="auto"/>
            <w:vAlign w:val="center"/>
            <w:hideMark/>
          </w:tcPr>
          <w:p w14:paraId="2BE34707"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I</w:t>
            </w:r>
          </w:p>
        </w:tc>
        <w:tc>
          <w:tcPr>
            <w:tcW w:w="782" w:type="pct"/>
            <w:tcBorders>
              <w:top w:val="nil"/>
              <w:left w:val="nil"/>
              <w:bottom w:val="single" w:sz="4" w:space="0" w:color="auto"/>
              <w:right w:val="single" w:sz="4" w:space="0" w:color="auto"/>
            </w:tcBorders>
            <w:shd w:val="clear" w:color="auto" w:fill="auto"/>
            <w:vAlign w:val="center"/>
            <w:hideMark/>
          </w:tcPr>
          <w:p w14:paraId="49289A74"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7,845</w:t>
            </w:r>
          </w:p>
        </w:tc>
        <w:tc>
          <w:tcPr>
            <w:tcW w:w="785" w:type="pct"/>
            <w:tcBorders>
              <w:top w:val="nil"/>
              <w:left w:val="nil"/>
              <w:bottom w:val="single" w:sz="4" w:space="0" w:color="auto"/>
              <w:right w:val="single" w:sz="4" w:space="0" w:color="auto"/>
            </w:tcBorders>
            <w:shd w:val="clear" w:color="auto" w:fill="auto"/>
            <w:vAlign w:val="center"/>
            <w:hideMark/>
          </w:tcPr>
          <w:p w14:paraId="35BA35D9"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9,369</w:t>
            </w:r>
          </w:p>
        </w:tc>
        <w:tc>
          <w:tcPr>
            <w:tcW w:w="917" w:type="pct"/>
            <w:tcBorders>
              <w:top w:val="nil"/>
              <w:left w:val="nil"/>
              <w:bottom w:val="single" w:sz="4" w:space="0" w:color="auto"/>
              <w:right w:val="single" w:sz="4" w:space="0" w:color="auto"/>
            </w:tcBorders>
            <w:shd w:val="clear" w:color="auto" w:fill="auto"/>
            <w:vAlign w:val="center"/>
            <w:hideMark/>
          </w:tcPr>
          <w:p w14:paraId="43B09A47"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90</w:t>
            </w:r>
          </w:p>
        </w:tc>
        <w:tc>
          <w:tcPr>
            <w:tcW w:w="785" w:type="pct"/>
            <w:tcBorders>
              <w:top w:val="nil"/>
              <w:left w:val="nil"/>
              <w:bottom w:val="single" w:sz="4" w:space="0" w:color="auto"/>
              <w:right w:val="single" w:sz="4" w:space="0" w:color="auto"/>
            </w:tcBorders>
            <w:shd w:val="clear" w:color="auto" w:fill="auto"/>
            <w:vAlign w:val="center"/>
            <w:hideMark/>
          </w:tcPr>
          <w:p w14:paraId="691B6477"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17,304</w:t>
            </w:r>
          </w:p>
        </w:tc>
        <w:tc>
          <w:tcPr>
            <w:tcW w:w="156" w:type="pct"/>
            <w:tcBorders>
              <w:top w:val="nil"/>
              <w:left w:val="nil"/>
              <w:bottom w:val="single" w:sz="4" w:space="0" w:color="auto"/>
              <w:right w:val="single" w:sz="4" w:space="0" w:color="auto"/>
            </w:tcBorders>
            <w:shd w:val="clear" w:color="auto" w:fill="auto"/>
            <w:noWrap/>
            <w:vAlign w:val="bottom"/>
            <w:hideMark/>
          </w:tcPr>
          <w:p w14:paraId="5AEA1ECB" w14:textId="77777777" w:rsidR="00A03818" w:rsidRPr="00A03818" w:rsidRDefault="00A03818" w:rsidP="00A03818">
            <w:pPr>
              <w:spacing w:after="0" w:line="240" w:lineRule="auto"/>
              <w:rPr>
                <w:rFonts w:ascii="Calibri" w:eastAsia="Times New Roman" w:hAnsi="Calibri" w:cs="Times New Roman"/>
                <w:color w:val="000000"/>
                <w:lang w:val="it-IT" w:eastAsia="it-IT"/>
              </w:rPr>
            </w:pPr>
            <w:r w:rsidRPr="00A03818">
              <w:rPr>
                <w:rFonts w:ascii="Calibri" w:eastAsia="Times New Roman" w:hAnsi="Calibri" w:cs="Times New Roman"/>
                <w:color w:val="000000"/>
                <w:lang w:val="it-IT" w:eastAsia="it-IT"/>
              </w:rPr>
              <w:t> </w:t>
            </w:r>
          </w:p>
        </w:tc>
        <w:tc>
          <w:tcPr>
            <w:tcW w:w="785" w:type="pct"/>
            <w:tcBorders>
              <w:top w:val="nil"/>
              <w:left w:val="nil"/>
              <w:bottom w:val="single" w:sz="4" w:space="0" w:color="auto"/>
              <w:right w:val="single" w:sz="4" w:space="0" w:color="auto"/>
            </w:tcBorders>
            <w:shd w:val="clear" w:color="auto" w:fill="auto"/>
            <w:vAlign w:val="center"/>
            <w:hideMark/>
          </w:tcPr>
          <w:p w14:paraId="62AC2B5C"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16,479</w:t>
            </w:r>
          </w:p>
        </w:tc>
      </w:tr>
      <w:tr w:rsidR="00A03818" w:rsidRPr="00A03818" w14:paraId="731183D7" w14:textId="77777777" w:rsidTr="00A03818">
        <w:trPr>
          <w:trHeight w:val="300"/>
        </w:trPr>
        <w:tc>
          <w:tcPr>
            <w:tcW w:w="789" w:type="pct"/>
            <w:tcBorders>
              <w:top w:val="nil"/>
              <w:left w:val="single" w:sz="4" w:space="0" w:color="auto"/>
              <w:bottom w:val="single" w:sz="4" w:space="0" w:color="auto"/>
              <w:right w:val="single" w:sz="4" w:space="0" w:color="auto"/>
            </w:tcBorders>
            <w:shd w:val="clear" w:color="auto" w:fill="auto"/>
            <w:vAlign w:val="center"/>
            <w:hideMark/>
          </w:tcPr>
          <w:p w14:paraId="134745FA"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II</w:t>
            </w:r>
          </w:p>
        </w:tc>
        <w:tc>
          <w:tcPr>
            <w:tcW w:w="782" w:type="pct"/>
            <w:tcBorders>
              <w:top w:val="nil"/>
              <w:left w:val="nil"/>
              <w:bottom w:val="single" w:sz="4" w:space="0" w:color="auto"/>
              <w:right w:val="single" w:sz="4" w:space="0" w:color="auto"/>
            </w:tcBorders>
            <w:shd w:val="clear" w:color="auto" w:fill="auto"/>
            <w:vAlign w:val="center"/>
            <w:hideMark/>
          </w:tcPr>
          <w:p w14:paraId="305454ED"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7,363</w:t>
            </w:r>
          </w:p>
        </w:tc>
        <w:tc>
          <w:tcPr>
            <w:tcW w:w="785" w:type="pct"/>
            <w:tcBorders>
              <w:top w:val="nil"/>
              <w:left w:val="nil"/>
              <w:bottom w:val="single" w:sz="4" w:space="0" w:color="auto"/>
              <w:right w:val="single" w:sz="4" w:space="0" w:color="auto"/>
            </w:tcBorders>
            <w:shd w:val="clear" w:color="auto" w:fill="auto"/>
            <w:vAlign w:val="center"/>
            <w:hideMark/>
          </w:tcPr>
          <w:p w14:paraId="2E4ACF0E"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10,491</w:t>
            </w:r>
          </w:p>
        </w:tc>
        <w:tc>
          <w:tcPr>
            <w:tcW w:w="917" w:type="pct"/>
            <w:tcBorders>
              <w:top w:val="nil"/>
              <w:left w:val="nil"/>
              <w:bottom w:val="single" w:sz="4" w:space="0" w:color="auto"/>
              <w:right w:val="single" w:sz="4" w:space="0" w:color="auto"/>
            </w:tcBorders>
            <w:shd w:val="clear" w:color="auto" w:fill="auto"/>
            <w:vAlign w:val="center"/>
            <w:hideMark/>
          </w:tcPr>
          <w:p w14:paraId="06F62674"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202</w:t>
            </w:r>
          </w:p>
        </w:tc>
        <w:tc>
          <w:tcPr>
            <w:tcW w:w="785" w:type="pct"/>
            <w:tcBorders>
              <w:top w:val="nil"/>
              <w:left w:val="nil"/>
              <w:bottom w:val="single" w:sz="4" w:space="0" w:color="auto"/>
              <w:right w:val="single" w:sz="4" w:space="0" w:color="auto"/>
            </w:tcBorders>
            <w:shd w:val="clear" w:color="auto" w:fill="auto"/>
            <w:vAlign w:val="center"/>
            <w:hideMark/>
          </w:tcPr>
          <w:p w14:paraId="2C2DE5DE"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18,056</w:t>
            </w:r>
          </w:p>
        </w:tc>
        <w:tc>
          <w:tcPr>
            <w:tcW w:w="156" w:type="pct"/>
            <w:tcBorders>
              <w:top w:val="nil"/>
              <w:left w:val="nil"/>
              <w:bottom w:val="single" w:sz="4" w:space="0" w:color="auto"/>
              <w:right w:val="single" w:sz="4" w:space="0" w:color="auto"/>
            </w:tcBorders>
            <w:shd w:val="clear" w:color="auto" w:fill="auto"/>
            <w:noWrap/>
            <w:vAlign w:val="bottom"/>
            <w:hideMark/>
          </w:tcPr>
          <w:p w14:paraId="77D83230" w14:textId="77777777" w:rsidR="00A03818" w:rsidRPr="00A03818" w:rsidRDefault="00A03818" w:rsidP="00A03818">
            <w:pPr>
              <w:spacing w:after="0" w:line="240" w:lineRule="auto"/>
              <w:rPr>
                <w:rFonts w:ascii="Calibri" w:eastAsia="Times New Roman" w:hAnsi="Calibri" w:cs="Times New Roman"/>
                <w:color w:val="000000"/>
                <w:lang w:val="it-IT" w:eastAsia="it-IT"/>
              </w:rPr>
            </w:pPr>
            <w:r w:rsidRPr="00A03818">
              <w:rPr>
                <w:rFonts w:ascii="Calibri" w:eastAsia="Times New Roman" w:hAnsi="Calibri" w:cs="Times New Roman"/>
                <w:color w:val="000000"/>
                <w:lang w:val="it-IT" w:eastAsia="it-IT"/>
              </w:rPr>
              <w:t> </w:t>
            </w:r>
          </w:p>
        </w:tc>
        <w:tc>
          <w:tcPr>
            <w:tcW w:w="785" w:type="pct"/>
            <w:tcBorders>
              <w:top w:val="nil"/>
              <w:left w:val="nil"/>
              <w:bottom w:val="single" w:sz="4" w:space="0" w:color="auto"/>
              <w:right w:val="single" w:sz="4" w:space="0" w:color="auto"/>
            </w:tcBorders>
            <w:shd w:val="clear" w:color="auto" w:fill="auto"/>
            <w:vAlign w:val="center"/>
            <w:hideMark/>
          </w:tcPr>
          <w:p w14:paraId="3C0A52A6"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16,899</w:t>
            </w:r>
          </w:p>
        </w:tc>
      </w:tr>
      <w:tr w:rsidR="00A03818" w:rsidRPr="00A03818" w14:paraId="10D9C6CA" w14:textId="77777777" w:rsidTr="00A03818">
        <w:trPr>
          <w:trHeight w:val="315"/>
        </w:trPr>
        <w:tc>
          <w:tcPr>
            <w:tcW w:w="789" w:type="pct"/>
            <w:tcBorders>
              <w:top w:val="nil"/>
              <w:left w:val="single" w:sz="4" w:space="0" w:color="auto"/>
              <w:bottom w:val="single" w:sz="4" w:space="0" w:color="auto"/>
              <w:right w:val="single" w:sz="4" w:space="0" w:color="auto"/>
            </w:tcBorders>
            <w:shd w:val="clear" w:color="auto" w:fill="auto"/>
            <w:vAlign w:val="center"/>
            <w:hideMark/>
          </w:tcPr>
          <w:p w14:paraId="01FBD1A2"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III</w:t>
            </w:r>
          </w:p>
        </w:tc>
        <w:tc>
          <w:tcPr>
            <w:tcW w:w="782" w:type="pct"/>
            <w:tcBorders>
              <w:top w:val="nil"/>
              <w:left w:val="nil"/>
              <w:bottom w:val="single" w:sz="4" w:space="0" w:color="auto"/>
              <w:right w:val="single" w:sz="4" w:space="0" w:color="auto"/>
            </w:tcBorders>
            <w:shd w:val="clear" w:color="auto" w:fill="auto"/>
            <w:vAlign w:val="center"/>
            <w:hideMark/>
          </w:tcPr>
          <w:p w14:paraId="34A5F75D"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7,853</w:t>
            </w:r>
          </w:p>
        </w:tc>
        <w:tc>
          <w:tcPr>
            <w:tcW w:w="785" w:type="pct"/>
            <w:tcBorders>
              <w:top w:val="nil"/>
              <w:left w:val="nil"/>
              <w:bottom w:val="single" w:sz="4" w:space="0" w:color="auto"/>
              <w:right w:val="single" w:sz="4" w:space="0" w:color="auto"/>
            </w:tcBorders>
            <w:shd w:val="clear" w:color="auto" w:fill="auto"/>
            <w:vAlign w:val="center"/>
            <w:hideMark/>
          </w:tcPr>
          <w:p w14:paraId="5E0F7783"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8,298</w:t>
            </w:r>
          </w:p>
        </w:tc>
        <w:tc>
          <w:tcPr>
            <w:tcW w:w="917" w:type="pct"/>
            <w:tcBorders>
              <w:top w:val="nil"/>
              <w:left w:val="nil"/>
              <w:bottom w:val="single" w:sz="4" w:space="0" w:color="auto"/>
              <w:right w:val="single" w:sz="4" w:space="0" w:color="auto"/>
            </w:tcBorders>
            <w:shd w:val="clear" w:color="auto" w:fill="auto"/>
            <w:vAlign w:val="center"/>
            <w:hideMark/>
          </w:tcPr>
          <w:p w14:paraId="1268CD6F"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735</w:t>
            </w:r>
          </w:p>
        </w:tc>
        <w:tc>
          <w:tcPr>
            <w:tcW w:w="785" w:type="pct"/>
            <w:tcBorders>
              <w:top w:val="nil"/>
              <w:left w:val="nil"/>
              <w:bottom w:val="single" w:sz="4" w:space="0" w:color="auto"/>
              <w:right w:val="single" w:sz="4" w:space="0" w:color="auto"/>
            </w:tcBorders>
            <w:shd w:val="clear" w:color="auto" w:fill="auto"/>
            <w:vAlign w:val="center"/>
            <w:hideMark/>
          </w:tcPr>
          <w:p w14:paraId="599DE3EE"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16,886</w:t>
            </w:r>
          </w:p>
        </w:tc>
        <w:tc>
          <w:tcPr>
            <w:tcW w:w="156" w:type="pct"/>
            <w:tcBorders>
              <w:top w:val="nil"/>
              <w:left w:val="nil"/>
              <w:bottom w:val="single" w:sz="4" w:space="0" w:color="auto"/>
              <w:right w:val="single" w:sz="4" w:space="0" w:color="auto"/>
            </w:tcBorders>
            <w:shd w:val="clear" w:color="auto" w:fill="auto"/>
            <w:noWrap/>
            <w:vAlign w:val="bottom"/>
            <w:hideMark/>
          </w:tcPr>
          <w:p w14:paraId="193DFBAD" w14:textId="77777777" w:rsidR="00A03818" w:rsidRPr="00A03818" w:rsidRDefault="00A03818" w:rsidP="00A03818">
            <w:pPr>
              <w:spacing w:after="0" w:line="240" w:lineRule="auto"/>
              <w:rPr>
                <w:rFonts w:ascii="Calibri" w:eastAsia="Times New Roman" w:hAnsi="Calibri" w:cs="Times New Roman"/>
                <w:color w:val="000000"/>
                <w:lang w:val="it-IT" w:eastAsia="it-IT"/>
              </w:rPr>
            </w:pPr>
            <w:r w:rsidRPr="00A03818">
              <w:rPr>
                <w:rFonts w:ascii="Calibri" w:eastAsia="Times New Roman" w:hAnsi="Calibri" w:cs="Times New Roman"/>
                <w:color w:val="000000"/>
                <w:lang w:val="it-IT" w:eastAsia="it-IT"/>
              </w:rPr>
              <w:t> </w:t>
            </w:r>
          </w:p>
        </w:tc>
        <w:tc>
          <w:tcPr>
            <w:tcW w:w="785" w:type="pct"/>
            <w:tcBorders>
              <w:top w:val="nil"/>
              <w:left w:val="nil"/>
              <w:bottom w:val="single" w:sz="4" w:space="0" w:color="auto"/>
              <w:right w:val="single" w:sz="4" w:space="0" w:color="auto"/>
            </w:tcBorders>
            <w:shd w:val="clear" w:color="auto" w:fill="auto"/>
            <w:vAlign w:val="center"/>
            <w:hideMark/>
          </w:tcPr>
          <w:p w14:paraId="79ECE9FF"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16,818</w:t>
            </w:r>
          </w:p>
        </w:tc>
      </w:tr>
      <w:tr w:rsidR="00A03818" w:rsidRPr="00A03818" w14:paraId="11523174" w14:textId="77777777" w:rsidTr="00A03818">
        <w:trPr>
          <w:trHeight w:val="315"/>
        </w:trPr>
        <w:tc>
          <w:tcPr>
            <w:tcW w:w="789" w:type="pct"/>
            <w:tcBorders>
              <w:top w:val="nil"/>
              <w:left w:val="single" w:sz="4" w:space="0" w:color="auto"/>
              <w:bottom w:val="single" w:sz="4" w:space="0" w:color="auto"/>
              <w:right w:val="single" w:sz="4" w:space="0" w:color="auto"/>
            </w:tcBorders>
            <w:shd w:val="clear" w:color="auto" w:fill="auto"/>
            <w:vAlign w:val="center"/>
            <w:hideMark/>
          </w:tcPr>
          <w:p w14:paraId="0DABDD1F" w14:textId="77777777" w:rsidR="00A03818" w:rsidRPr="00A03818" w:rsidRDefault="00A03818" w:rsidP="00A03818">
            <w:pPr>
              <w:spacing w:after="0" w:line="240" w:lineRule="auto"/>
              <w:jc w:val="center"/>
              <w:rPr>
                <w:rFonts w:ascii="Arial" w:eastAsia="Times New Roman" w:hAnsi="Arial" w:cs="Arial"/>
                <w:b/>
                <w:bCs/>
                <w:color w:val="000000"/>
                <w:sz w:val="20"/>
                <w:szCs w:val="20"/>
                <w:lang w:val="it-IT" w:eastAsia="it-IT"/>
              </w:rPr>
            </w:pPr>
            <w:r w:rsidRPr="00A03818">
              <w:rPr>
                <w:rFonts w:ascii="Arial" w:eastAsia="Times New Roman" w:hAnsi="Arial" w:cs="Arial"/>
                <w:b/>
                <w:bCs/>
                <w:color w:val="000000"/>
                <w:sz w:val="20"/>
                <w:szCs w:val="20"/>
                <w:lang w:val="it-IT" w:eastAsia="it-IT"/>
              </w:rPr>
              <w:t>IV</w:t>
            </w:r>
          </w:p>
        </w:tc>
        <w:tc>
          <w:tcPr>
            <w:tcW w:w="782" w:type="pct"/>
            <w:tcBorders>
              <w:top w:val="nil"/>
              <w:left w:val="nil"/>
              <w:bottom w:val="single" w:sz="4" w:space="0" w:color="auto"/>
              <w:right w:val="single" w:sz="4" w:space="0" w:color="auto"/>
            </w:tcBorders>
            <w:shd w:val="clear" w:color="auto" w:fill="auto"/>
            <w:vAlign w:val="center"/>
            <w:hideMark/>
          </w:tcPr>
          <w:p w14:paraId="154EA869"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8,806</w:t>
            </w:r>
          </w:p>
        </w:tc>
        <w:tc>
          <w:tcPr>
            <w:tcW w:w="785" w:type="pct"/>
            <w:tcBorders>
              <w:top w:val="nil"/>
              <w:left w:val="nil"/>
              <w:bottom w:val="single" w:sz="4" w:space="0" w:color="auto"/>
              <w:right w:val="single" w:sz="4" w:space="0" w:color="auto"/>
            </w:tcBorders>
            <w:shd w:val="clear" w:color="auto" w:fill="auto"/>
            <w:vAlign w:val="center"/>
            <w:hideMark/>
          </w:tcPr>
          <w:p w14:paraId="059F75D3"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8,249</w:t>
            </w:r>
          </w:p>
        </w:tc>
        <w:tc>
          <w:tcPr>
            <w:tcW w:w="917" w:type="pct"/>
            <w:tcBorders>
              <w:top w:val="nil"/>
              <w:left w:val="nil"/>
              <w:bottom w:val="single" w:sz="4" w:space="0" w:color="auto"/>
              <w:right w:val="single" w:sz="4" w:space="0" w:color="auto"/>
            </w:tcBorders>
            <w:shd w:val="clear" w:color="auto" w:fill="auto"/>
            <w:vAlign w:val="center"/>
            <w:hideMark/>
          </w:tcPr>
          <w:p w14:paraId="5177E389"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518</w:t>
            </w:r>
          </w:p>
        </w:tc>
        <w:tc>
          <w:tcPr>
            <w:tcW w:w="785" w:type="pct"/>
            <w:tcBorders>
              <w:top w:val="nil"/>
              <w:left w:val="nil"/>
              <w:bottom w:val="single" w:sz="4" w:space="0" w:color="auto"/>
              <w:right w:val="single" w:sz="4" w:space="0" w:color="auto"/>
            </w:tcBorders>
            <w:shd w:val="clear" w:color="auto" w:fill="auto"/>
            <w:vAlign w:val="center"/>
            <w:hideMark/>
          </w:tcPr>
          <w:p w14:paraId="7F60EE56"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17,573</w:t>
            </w:r>
          </w:p>
        </w:tc>
        <w:tc>
          <w:tcPr>
            <w:tcW w:w="156" w:type="pct"/>
            <w:tcBorders>
              <w:top w:val="nil"/>
              <w:left w:val="nil"/>
              <w:bottom w:val="single" w:sz="4" w:space="0" w:color="auto"/>
              <w:right w:val="single" w:sz="4" w:space="0" w:color="auto"/>
            </w:tcBorders>
            <w:shd w:val="clear" w:color="auto" w:fill="auto"/>
            <w:noWrap/>
            <w:vAlign w:val="bottom"/>
            <w:hideMark/>
          </w:tcPr>
          <w:p w14:paraId="44A444D7" w14:textId="77777777" w:rsidR="00A03818" w:rsidRPr="00A03818" w:rsidRDefault="00A03818" w:rsidP="00A03818">
            <w:pPr>
              <w:spacing w:after="0" w:line="240" w:lineRule="auto"/>
              <w:rPr>
                <w:rFonts w:ascii="Calibri" w:eastAsia="Times New Roman" w:hAnsi="Calibri" w:cs="Times New Roman"/>
                <w:color w:val="000000"/>
                <w:lang w:val="it-IT" w:eastAsia="it-IT"/>
              </w:rPr>
            </w:pPr>
            <w:r w:rsidRPr="00A03818">
              <w:rPr>
                <w:rFonts w:ascii="Calibri" w:eastAsia="Times New Roman" w:hAnsi="Calibri" w:cs="Times New Roman"/>
                <w:color w:val="000000"/>
                <w:lang w:val="it-IT" w:eastAsia="it-IT"/>
              </w:rPr>
              <w:t> </w:t>
            </w:r>
          </w:p>
        </w:tc>
        <w:tc>
          <w:tcPr>
            <w:tcW w:w="785" w:type="pct"/>
            <w:tcBorders>
              <w:top w:val="nil"/>
              <w:left w:val="nil"/>
              <w:bottom w:val="single" w:sz="4" w:space="0" w:color="auto"/>
              <w:right w:val="single" w:sz="4" w:space="0" w:color="auto"/>
            </w:tcBorders>
            <w:shd w:val="clear" w:color="auto" w:fill="auto"/>
            <w:vAlign w:val="center"/>
            <w:hideMark/>
          </w:tcPr>
          <w:p w14:paraId="6CF1BFA6" w14:textId="77777777" w:rsidR="00A03818" w:rsidRPr="00A03818" w:rsidRDefault="00A03818" w:rsidP="00A03818">
            <w:pPr>
              <w:spacing w:after="0" w:line="240" w:lineRule="auto"/>
              <w:jc w:val="center"/>
              <w:rPr>
                <w:rFonts w:ascii="Arial" w:eastAsia="Times New Roman" w:hAnsi="Arial" w:cs="Arial"/>
                <w:color w:val="000000"/>
                <w:sz w:val="20"/>
                <w:szCs w:val="20"/>
                <w:lang w:val="it-IT" w:eastAsia="it-IT"/>
              </w:rPr>
            </w:pPr>
            <w:r w:rsidRPr="00A03818">
              <w:rPr>
                <w:rFonts w:ascii="Arial" w:eastAsia="Times New Roman" w:hAnsi="Arial" w:cs="Arial"/>
                <w:color w:val="000000"/>
                <w:sz w:val="20"/>
                <w:szCs w:val="20"/>
                <w:lang w:val="it-IT" w:eastAsia="it-IT"/>
              </w:rPr>
              <w:t>16,384</w:t>
            </w:r>
          </w:p>
        </w:tc>
      </w:tr>
    </w:tbl>
    <w:p w14:paraId="339874E8" w14:textId="113CD913" w:rsidR="003A36DC" w:rsidRPr="00EC5F5A" w:rsidRDefault="0051620F" w:rsidP="00EE6FD5">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ISTAT</w:t>
      </w:r>
    </w:p>
    <w:p w14:paraId="6A5DF298" w14:textId="77777777" w:rsidR="00EE6FD5" w:rsidRDefault="00537938" w:rsidP="00FE275B">
      <w:pPr>
        <w:spacing w:before="360" w:after="0" w:line="360" w:lineRule="auto"/>
        <w:jc w:val="both"/>
        <w:rPr>
          <w:rFonts w:ascii="Arial" w:hAnsi="Arial" w:cs="Arial"/>
          <w:sz w:val="24"/>
          <w:szCs w:val="24"/>
          <w:lang w:val="en-US"/>
        </w:rPr>
      </w:pPr>
      <w:r>
        <w:rPr>
          <w:rFonts w:ascii="Arial" w:hAnsi="Arial" w:cs="Arial"/>
          <w:sz w:val="24"/>
          <w:szCs w:val="24"/>
          <w:lang w:val="en-US"/>
        </w:rPr>
        <w:t>H</w:t>
      </w:r>
      <w:r w:rsidRPr="009F04C8">
        <w:rPr>
          <w:rFonts w:ascii="Arial" w:hAnsi="Arial" w:cs="Arial"/>
          <w:sz w:val="24"/>
          <w:szCs w:val="24"/>
          <w:lang w:val="en-US"/>
        </w:rPr>
        <w:t>owever,</w:t>
      </w:r>
      <w:r>
        <w:rPr>
          <w:rFonts w:ascii="Arial" w:hAnsi="Arial" w:cs="Arial"/>
          <w:sz w:val="24"/>
          <w:szCs w:val="24"/>
          <w:lang w:val="en-US"/>
        </w:rPr>
        <w:t xml:space="preserve"> the fall </w:t>
      </w:r>
      <w:r w:rsidRPr="009F04C8">
        <w:rPr>
          <w:rFonts w:ascii="Arial" w:hAnsi="Arial" w:cs="Arial"/>
          <w:sz w:val="24"/>
          <w:szCs w:val="24"/>
          <w:lang w:val="en-US"/>
        </w:rPr>
        <w:t xml:space="preserve">was much lower than expected, </w:t>
      </w:r>
      <w:r w:rsidR="00A41AF2">
        <w:rPr>
          <w:rFonts w:ascii="Arial" w:hAnsi="Arial" w:cs="Arial"/>
          <w:sz w:val="24"/>
          <w:szCs w:val="24"/>
          <w:lang w:val="en-US"/>
        </w:rPr>
        <w:t>due</w:t>
      </w:r>
      <w:r w:rsidRPr="009F04C8">
        <w:rPr>
          <w:rFonts w:ascii="Arial" w:hAnsi="Arial" w:cs="Arial"/>
          <w:sz w:val="24"/>
          <w:szCs w:val="24"/>
          <w:lang w:val="en-US"/>
        </w:rPr>
        <w:t xml:space="preserve"> </w:t>
      </w:r>
      <w:r w:rsidR="00BF7B3E">
        <w:rPr>
          <w:rFonts w:ascii="Arial" w:hAnsi="Arial" w:cs="Arial"/>
          <w:sz w:val="24"/>
          <w:szCs w:val="24"/>
          <w:lang w:val="en-US"/>
        </w:rPr>
        <w:t xml:space="preserve">the series of measures </w:t>
      </w:r>
      <w:r w:rsidR="00A41AF2">
        <w:rPr>
          <w:rFonts w:ascii="Arial" w:hAnsi="Arial" w:cs="Arial"/>
          <w:sz w:val="24"/>
          <w:szCs w:val="24"/>
          <w:lang w:val="en-US"/>
        </w:rPr>
        <w:t xml:space="preserve">that </w:t>
      </w:r>
      <w:r w:rsidR="00BF7B3E">
        <w:rPr>
          <w:rFonts w:ascii="Arial" w:hAnsi="Arial" w:cs="Arial"/>
          <w:sz w:val="24"/>
          <w:szCs w:val="24"/>
          <w:lang w:val="en-US"/>
        </w:rPr>
        <w:t xml:space="preserve">were taken to </w:t>
      </w:r>
      <w:r w:rsidR="00A41AF2">
        <w:rPr>
          <w:rFonts w:ascii="Arial" w:hAnsi="Arial" w:cs="Arial"/>
          <w:sz w:val="24"/>
          <w:szCs w:val="24"/>
          <w:lang w:val="en-US"/>
        </w:rPr>
        <w:t>contain it</w:t>
      </w:r>
      <w:r w:rsidR="00BF7B3E">
        <w:rPr>
          <w:rFonts w:ascii="Arial" w:hAnsi="Arial" w:cs="Arial"/>
          <w:sz w:val="24"/>
          <w:szCs w:val="24"/>
          <w:lang w:val="en-US"/>
        </w:rPr>
        <w:t>.</w:t>
      </w:r>
    </w:p>
    <w:p w14:paraId="31309C25" w14:textId="26BDBBAD" w:rsidR="00FE275B" w:rsidRDefault="00F73654" w:rsidP="00FE275B">
      <w:pPr>
        <w:spacing w:before="360" w:after="0" w:line="360" w:lineRule="auto"/>
        <w:jc w:val="both"/>
        <w:rPr>
          <w:rFonts w:ascii="Arial" w:hAnsi="Arial" w:cs="Arial"/>
          <w:sz w:val="24"/>
          <w:szCs w:val="24"/>
          <w:lang w:val="en-US"/>
        </w:rPr>
      </w:pPr>
      <w:r w:rsidRPr="009F04C8">
        <w:rPr>
          <w:rFonts w:ascii="Arial" w:hAnsi="Arial" w:cs="Arial"/>
          <w:sz w:val="24"/>
          <w:szCs w:val="24"/>
          <w:lang w:val="en-US"/>
        </w:rPr>
        <w:t xml:space="preserve">In particular, regular reminders by email and </w:t>
      </w:r>
      <w:r w:rsidR="003F1F62">
        <w:rPr>
          <w:rFonts w:ascii="Arial" w:hAnsi="Arial" w:cs="Arial"/>
          <w:sz w:val="24"/>
          <w:szCs w:val="24"/>
          <w:lang w:val="en-US"/>
        </w:rPr>
        <w:t xml:space="preserve">certified </w:t>
      </w:r>
      <w:r w:rsidR="00151C5D">
        <w:rPr>
          <w:rFonts w:ascii="Arial" w:hAnsi="Arial" w:cs="Arial"/>
          <w:sz w:val="24"/>
          <w:szCs w:val="24"/>
          <w:lang w:val="en-US"/>
        </w:rPr>
        <w:t>e</w:t>
      </w:r>
      <w:r w:rsidR="003F1F62">
        <w:rPr>
          <w:rFonts w:ascii="Arial" w:hAnsi="Arial" w:cs="Arial"/>
          <w:sz w:val="24"/>
          <w:szCs w:val="24"/>
          <w:lang w:val="en-US"/>
        </w:rPr>
        <w:t>mail</w:t>
      </w:r>
      <w:r w:rsidRPr="009F04C8">
        <w:rPr>
          <w:rFonts w:ascii="Arial" w:hAnsi="Arial" w:cs="Arial"/>
          <w:sz w:val="24"/>
          <w:szCs w:val="24"/>
          <w:lang w:val="en-US"/>
        </w:rPr>
        <w:t xml:space="preserve"> </w:t>
      </w:r>
      <w:r w:rsidR="00F33940">
        <w:rPr>
          <w:rFonts w:ascii="Arial" w:hAnsi="Arial" w:cs="Arial"/>
          <w:sz w:val="24"/>
          <w:szCs w:val="24"/>
          <w:lang w:val="en-US"/>
        </w:rPr>
        <w:t xml:space="preserve">were sent, in dates defined in agreement between the relevant data collection units and the unit responsible for the </w:t>
      </w:r>
      <w:r w:rsidR="00B65361">
        <w:rPr>
          <w:rFonts w:ascii="Arial" w:hAnsi="Arial" w:cs="Arial"/>
          <w:sz w:val="24"/>
          <w:szCs w:val="24"/>
          <w:lang w:val="en-US"/>
        </w:rPr>
        <w:t>production of the statistical outputs</w:t>
      </w:r>
      <w:r w:rsidRPr="009F04C8">
        <w:rPr>
          <w:rFonts w:ascii="Arial" w:hAnsi="Arial" w:cs="Arial"/>
          <w:sz w:val="24"/>
          <w:szCs w:val="24"/>
          <w:lang w:val="en-US"/>
        </w:rPr>
        <w:t xml:space="preserve">. </w:t>
      </w:r>
      <w:r w:rsidR="00B65361">
        <w:rPr>
          <w:rFonts w:ascii="Arial" w:hAnsi="Arial" w:cs="Arial"/>
          <w:sz w:val="24"/>
          <w:szCs w:val="24"/>
          <w:lang w:val="en-US"/>
        </w:rPr>
        <w:t xml:space="preserve">Furthermore, </w:t>
      </w:r>
      <w:r w:rsidR="00B65361" w:rsidRPr="009F04C8">
        <w:rPr>
          <w:rFonts w:ascii="Arial" w:hAnsi="Arial" w:cs="Arial"/>
          <w:sz w:val="24"/>
          <w:szCs w:val="24"/>
          <w:lang w:val="en-US"/>
        </w:rPr>
        <w:t xml:space="preserve">from </w:t>
      </w:r>
      <w:r w:rsidRPr="009F04C8">
        <w:rPr>
          <w:rFonts w:ascii="Arial" w:hAnsi="Arial" w:cs="Arial"/>
          <w:sz w:val="24"/>
          <w:szCs w:val="24"/>
          <w:lang w:val="en-US"/>
        </w:rPr>
        <w:t xml:space="preserve">the second </w:t>
      </w:r>
      <w:r w:rsidRPr="009F04C8">
        <w:rPr>
          <w:rFonts w:ascii="Arial" w:hAnsi="Arial" w:cs="Arial"/>
          <w:sz w:val="24"/>
          <w:szCs w:val="24"/>
          <w:lang w:val="en-US"/>
        </w:rPr>
        <w:lastRenderedPageBreak/>
        <w:t xml:space="preserve">quarter of 2017, the VELA </w:t>
      </w:r>
      <w:r w:rsidR="00B65361" w:rsidRPr="009F04C8">
        <w:rPr>
          <w:rFonts w:ascii="Arial" w:hAnsi="Arial" w:cs="Arial"/>
          <w:sz w:val="24"/>
          <w:szCs w:val="24"/>
          <w:lang w:val="en-US"/>
        </w:rPr>
        <w:t>survey</w:t>
      </w:r>
      <w:r w:rsidR="003312F3">
        <w:rPr>
          <w:rFonts w:ascii="Arial" w:hAnsi="Arial" w:cs="Arial"/>
          <w:sz w:val="24"/>
          <w:szCs w:val="24"/>
          <w:lang w:val="en-US"/>
        </w:rPr>
        <w:t xml:space="preserve"> has</w:t>
      </w:r>
      <w:r w:rsidR="00B65361" w:rsidRPr="009F04C8">
        <w:rPr>
          <w:rFonts w:ascii="Arial" w:hAnsi="Arial" w:cs="Arial"/>
          <w:sz w:val="24"/>
          <w:szCs w:val="24"/>
          <w:lang w:val="en-US"/>
        </w:rPr>
        <w:t xml:space="preserve"> </w:t>
      </w:r>
      <w:r w:rsidR="003312F3">
        <w:rPr>
          <w:rFonts w:ascii="Arial" w:hAnsi="Arial" w:cs="Arial"/>
          <w:sz w:val="24"/>
          <w:szCs w:val="24"/>
          <w:lang w:val="en-US"/>
        </w:rPr>
        <w:t>also begun to avail</w:t>
      </w:r>
      <w:r w:rsidRPr="009F04C8">
        <w:rPr>
          <w:rFonts w:ascii="Arial" w:hAnsi="Arial" w:cs="Arial"/>
          <w:sz w:val="24"/>
          <w:szCs w:val="24"/>
          <w:lang w:val="en-US"/>
        </w:rPr>
        <w:t xml:space="preserve"> itself of the support of </w:t>
      </w:r>
      <w:r w:rsidR="00B65361">
        <w:rPr>
          <w:rFonts w:ascii="Arial" w:hAnsi="Arial" w:cs="Arial"/>
          <w:sz w:val="24"/>
          <w:szCs w:val="24"/>
          <w:lang w:val="en-US"/>
        </w:rPr>
        <w:t>phone reminders carried out by an external provider</w:t>
      </w:r>
      <w:r w:rsidR="00044C4E">
        <w:rPr>
          <w:rFonts w:ascii="Arial" w:hAnsi="Arial" w:cs="Arial"/>
          <w:sz w:val="24"/>
          <w:szCs w:val="24"/>
          <w:lang w:val="en-US"/>
        </w:rPr>
        <w:t xml:space="preserve"> of outbound services</w:t>
      </w:r>
      <w:r w:rsidRPr="009F04C8">
        <w:rPr>
          <w:rFonts w:ascii="Arial" w:hAnsi="Arial" w:cs="Arial"/>
          <w:sz w:val="24"/>
          <w:szCs w:val="24"/>
          <w:lang w:val="en-US"/>
        </w:rPr>
        <w:t>.</w:t>
      </w:r>
      <w:r w:rsidR="00FE275B" w:rsidRPr="009F04C8">
        <w:rPr>
          <w:rFonts w:ascii="Arial" w:hAnsi="Arial" w:cs="Arial"/>
          <w:sz w:val="24"/>
          <w:szCs w:val="24"/>
          <w:lang w:val="en-US"/>
        </w:rPr>
        <w:t xml:space="preserve"> </w:t>
      </w:r>
      <w:r w:rsidR="0063479A">
        <w:rPr>
          <w:rFonts w:ascii="Arial" w:hAnsi="Arial" w:cs="Arial"/>
          <w:sz w:val="24"/>
          <w:szCs w:val="24"/>
          <w:lang w:val="en-US"/>
        </w:rPr>
        <w:t xml:space="preserve">This service extends also to helping the sample enterprises in understanding and filling in the questionnaire on the dedicated ISTAT website. </w:t>
      </w:r>
      <w:r w:rsidRPr="00F73654">
        <w:rPr>
          <w:rFonts w:ascii="Arial" w:hAnsi="Arial" w:cs="Arial"/>
          <w:sz w:val="24"/>
          <w:szCs w:val="24"/>
          <w:lang w:val="en-US"/>
        </w:rPr>
        <w:t xml:space="preserve">Particular attention was paid to the training of </w:t>
      </w:r>
      <w:r w:rsidR="0063479A">
        <w:rPr>
          <w:rFonts w:ascii="Arial" w:hAnsi="Arial" w:cs="Arial"/>
          <w:sz w:val="24"/>
          <w:szCs w:val="24"/>
          <w:lang w:val="en-US"/>
        </w:rPr>
        <w:t xml:space="preserve">these </w:t>
      </w:r>
      <w:r w:rsidRPr="00F73654">
        <w:rPr>
          <w:rFonts w:ascii="Arial" w:hAnsi="Arial" w:cs="Arial"/>
          <w:sz w:val="24"/>
          <w:szCs w:val="24"/>
          <w:lang w:val="en-US"/>
        </w:rPr>
        <w:t>phone operators.</w:t>
      </w:r>
      <w:r w:rsidR="000B12D9" w:rsidRPr="009F04C8">
        <w:rPr>
          <w:rFonts w:ascii="Arial" w:hAnsi="Arial" w:cs="Arial"/>
          <w:sz w:val="24"/>
          <w:szCs w:val="24"/>
          <w:lang w:val="en-US"/>
        </w:rPr>
        <w:t xml:space="preserve"> </w:t>
      </w:r>
    </w:p>
    <w:p w14:paraId="30E2F2A3" w14:textId="77777777" w:rsidR="00252847" w:rsidRPr="009F04C8" w:rsidRDefault="00252847" w:rsidP="00FE275B">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effect of email and certified email reminders can be seen clearly in Figure 1, where the time series of daily responses for the questionnaire of the first quarter of 2017 is represented together with the dates of the reminders. An increase in the number of daily responses can be observed after each of these reminders. </w:t>
      </w:r>
    </w:p>
    <w:p w14:paraId="0D831DBA" w14:textId="436C6D92" w:rsidR="00A87894" w:rsidRDefault="00A87894" w:rsidP="00515105">
      <w:pPr>
        <w:pStyle w:val="Legenda"/>
        <w:keepNext/>
        <w:jc w:val="both"/>
        <w:rPr>
          <w:rFonts w:ascii="Arial" w:hAnsi="Arial" w:cs="Arial"/>
          <w:b/>
          <w:i w:val="0"/>
          <w:color w:val="auto"/>
          <w:sz w:val="20"/>
          <w:szCs w:val="20"/>
          <w:lang w:val="en-US"/>
        </w:rPr>
      </w:pPr>
    </w:p>
    <w:p w14:paraId="7A18191F" w14:textId="567DF344" w:rsidR="00515105" w:rsidRDefault="00515105" w:rsidP="00515105">
      <w:pPr>
        <w:pStyle w:val="Legenda"/>
        <w:keepNext/>
        <w:jc w:val="both"/>
        <w:rPr>
          <w:rFonts w:ascii="Arial" w:hAnsi="Arial" w:cs="Arial"/>
          <w:b/>
          <w:i w:val="0"/>
          <w:color w:val="auto"/>
          <w:sz w:val="20"/>
          <w:szCs w:val="20"/>
          <w:lang w:val="en-US"/>
        </w:rPr>
      </w:pPr>
      <w:r w:rsidRPr="009F04C8">
        <w:rPr>
          <w:rFonts w:ascii="Arial" w:hAnsi="Arial" w:cs="Arial"/>
          <w:b/>
          <w:i w:val="0"/>
          <w:color w:val="auto"/>
          <w:sz w:val="20"/>
          <w:szCs w:val="20"/>
          <w:lang w:val="en-US"/>
        </w:rPr>
        <w:t xml:space="preserve">Figure </w:t>
      </w:r>
      <w:r w:rsidRPr="00BF6DBC">
        <w:rPr>
          <w:rFonts w:ascii="Arial" w:hAnsi="Arial" w:cs="Arial"/>
          <w:b/>
          <w:i w:val="0"/>
          <w:color w:val="auto"/>
          <w:sz w:val="20"/>
          <w:szCs w:val="20"/>
          <w:lang w:val="en-GB"/>
        </w:rPr>
        <w:fldChar w:fldCharType="begin"/>
      </w:r>
      <w:r w:rsidRPr="009F04C8">
        <w:rPr>
          <w:rFonts w:ascii="Arial" w:hAnsi="Arial" w:cs="Arial"/>
          <w:b/>
          <w:i w:val="0"/>
          <w:color w:val="auto"/>
          <w:sz w:val="20"/>
          <w:szCs w:val="20"/>
          <w:lang w:val="en-US"/>
        </w:rPr>
        <w:instrText xml:space="preserve"> SEQ Figure \* ARABIC </w:instrText>
      </w:r>
      <w:r w:rsidRPr="00BF6DBC">
        <w:rPr>
          <w:rFonts w:ascii="Arial" w:hAnsi="Arial" w:cs="Arial"/>
          <w:b/>
          <w:i w:val="0"/>
          <w:color w:val="auto"/>
          <w:sz w:val="20"/>
          <w:szCs w:val="20"/>
          <w:lang w:val="en-GB"/>
        </w:rPr>
        <w:fldChar w:fldCharType="separate"/>
      </w:r>
      <w:r w:rsidR="004174E4" w:rsidRPr="00FF3E47">
        <w:rPr>
          <w:rFonts w:ascii="Arial" w:hAnsi="Arial" w:cs="Arial"/>
          <w:b/>
          <w:i w:val="0"/>
          <w:noProof/>
          <w:color w:val="auto"/>
          <w:sz w:val="20"/>
          <w:szCs w:val="20"/>
          <w:lang w:val="en-US"/>
        </w:rPr>
        <w:t>1</w:t>
      </w:r>
      <w:r w:rsidRPr="00BF6DBC">
        <w:rPr>
          <w:rFonts w:ascii="Arial" w:hAnsi="Arial" w:cs="Arial"/>
          <w:b/>
          <w:i w:val="0"/>
          <w:color w:val="auto"/>
          <w:sz w:val="20"/>
          <w:szCs w:val="20"/>
          <w:lang w:val="en-GB"/>
        </w:rPr>
        <w:fldChar w:fldCharType="end"/>
      </w:r>
      <w:r w:rsidRPr="009F04C8">
        <w:rPr>
          <w:rFonts w:ascii="Arial" w:hAnsi="Arial" w:cs="Arial"/>
          <w:b/>
          <w:i w:val="0"/>
          <w:color w:val="auto"/>
          <w:sz w:val="20"/>
          <w:szCs w:val="20"/>
          <w:lang w:val="en-US"/>
        </w:rPr>
        <w:t xml:space="preserve">. Q1-2017 </w:t>
      </w:r>
      <w:r w:rsidR="00FF3E47" w:rsidRPr="000F0AFE">
        <w:rPr>
          <w:rFonts w:ascii="Arial" w:hAnsi="Arial" w:cs="Arial"/>
          <w:b/>
          <w:i w:val="0"/>
          <w:color w:val="auto"/>
          <w:sz w:val="20"/>
          <w:szCs w:val="20"/>
          <w:lang w:val="en-US"/>
        </w:rPr>
        <w:t>Respondents and reminders</w:t>
      </w:r>
    </w:p>
    <w:p w14:paraId="0988AF14" w14:textId="6592167A" w:rsidR="00C92DD3" w:rsidRPr="00C92DD3" w:rsidRDefault="00BA19D9" w:rsidP="00C92DD3">
      <w:pPr>
        <w:rPr>
          <w:lang w:val="en-US"/>
        </w:rPr>
      </w:pPr>
      <w:r>
        <w:rPr>
          <w:noProof/>
          <w:lang w:eastAsia="pl-PL"/>
        </w:rPr>
        <w:drawing>
          <wp:inline distT="0" distB="0" distL="0" distR="0" wp14:anchorId="149121C5" wp14:editId="70D06177">
            <wp:extent cx="5671185" cy="2610091"/>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9375" cy="2613860"/>
                    </a:xfrm>
                    <a:prstGeom prst="rect">
                      <a:avLst/>
                    </a:prstGeom>
                    <a:noFill/>
                  </pic:spPr>
                </pic:pic>
              </a:graphicData>
            </a:graphic>
          </wp:inline>
        </w:drawing>
      </w:r>
    </w:p>
    <w:p w14:paraId="5BB14CA2" w14:textId="77777777" w:rsidR="00515105" w:rsidRDefault="00515105" w:rsidP="00515105">
      <w:pPr>
        <w:spacing w:after="0" w:line="360" w:lineRule="auto"/>
        <w:jc w:val="both"/>
        <w:rPr>
          <w:rFonts w:ascii="Arial" w:hAnsi="Arial" w:cs="Arial"/>
          <w:sz w:val="20"/>
          <w:szCs w:val="20"/>
          <w:lang w:val="en-US"/>
        </w:rPr>
      </w:pPr>
      <w:r w:rsidRPr="009F04C8">
        <w:rPr>
          <w:rFonts w:ascii="Arial" w:hAnsi="Arial" w:cs="Arial"/>
          <w:sz w:val="20"/>
          <w:szCs w:val="20"/>
          <w:lang w:val="en-US"/>
        </w:rPr>
        <w:t xml:space="preserve">Source: </w:t>
      </w:r>
      <w:r w:rsidR="00173F51">
        <w:rPr>
          <w:rFonts w:ascii="Arial" w:hAnsi="Arial" w:cs="Arial"/>
          <w:sz w:val="20"/>
          <w:szCs w:val="20"/>
          <w:lang w:val="en-US"/>
        </w:rPr>
        <w:t>ISTAT</w:t>
      </w:r>
    </w:p>
    <w:p w14:paraId="3BD5CFCC" w14:textId="739D73FC" w:rsidR="00BC3380" w:rsidRDefault="00EB15AD" w:rsidP="00BC3380">
      <w:pPr>
        <w:spacing w:after="0" w:line="240" w:lineRule="auto"/>
        <w:jc w:val="both"/>
        <w:rPr>
          <w:rFonts w:ascii="Arial" w:hAnsi="Arial" w:cs="Arial"/>
          <w:sz w:val="20"/>
          <w:szCs w:val="20"/>
          <w:lang w:val="en-US"/>
        </w:rPr>
      </w:pPr>
      <w:r>
        <w:rPr>
          <w:rFonts w:ascii="Arial" w:hAnsi="Arial" w:cs="Arial"/>
          <w:sz w:val="20"/>
          <w:szCs w:val="20"/>
          <w:lang w:val="en-US"/>
        </w:rPr>
        <w:t>Gre</w:t>
      </w:r>
      <w:r w:rsidR="006A2E31">
        <w:rPr>
          <w:rFonts w:ascii="Arial" w:hAnsi="Arial" w:cs="Arial"/>
          <w:sz w:val="20"/>
          <w:szCs w:val="20"/>
          <w:lang w:val="en-US"/>
        </w:rPr>
        <w:t>y</w:t>
      </w:r>
      <w:r w:rsidR="00F73654">
        <w:rPr>
          <w:rFonts w:ascii="Arial" w:hAnsi="Arial" w:cs="Arial"/>
          <w:sz w:val="20"/>
          <w:szCs w:val="20"/>
          <w:lang w:val="en-US"/>
        </w:rPr>
        <w:t xml:space="preserve"> line: </w:t>
      </w:r>
      <w:r w:rsidR="00151C5D">
        <w:rPr>
          <w:rFonts w:ascii="Arial" w:hAnsi="Arial" w:cs="Arial"/>
          <w:sz w:val="20"/>
          <w:szCs w:val="20"/>
          <w:lang w:val="en-US"/>
        </w:rPr>
        <w:t>Certified email</w:t>
      </w:r>
      <w:r w:rsidR="00F73654">
        <w:rPr>
          <w:rFonts w:ascii="Arial" w:hAnsi="Arial" w:cs="Arial"/>
          <w:sz w:val="20"/>
          <w:szCs w:val="20"/>
          <w:lang w:val="en-US"/>
        </w:rPr>
        <w:t xml:space="preserve"> reminders; green line: email </w:t>
      </w:r>
      <w:r w:rsidR="00195FF1">
        <w:rPr>
          <w:rFonts w:ascii="Arial" w:hAnsi="Arial" w:cs="Arial"/>
          <w:sz w:val="20"/>
          <w:szCs w:val="20"/>
          <w:lang w:val="en-US"/>
        </w:rPr>
        <w:t>reminders</w:t>
      </w:r>
      <w:r w:rsidR="00F73654">
        <w:rPr>
          <w:rFonts w:ascii="Arial" w:hAnsi="Arial" w:cs="Arial"/>
          <w:sz w:val="20"/>
          <w:szCs w:val="20"/>
          <w:lang w:val="en-US"/>
        </w:rPr>
        <w:t xml:space="preserve">. </w:t>
      </w:r>
    </w:p>
    <w:p w14:paraId="1491A2FF" w14:textId="77777777" w:rsidR="00F73654" w:rsidRDefault="00151C5D" w:rsidP="00BC3380">
      <w:pPr>
        <w:spacing w:after="0" w:line="240" w:lineRule="auto"/>
        <w:jc w:val="both"/>
        <w:rPr>
          <w:rFonts w:ascii="Arial" w:hAnsi="Arial" w:cs="Arial"/>
          <w:sz w:val="20"/>
          <w:szCs w:val="20"/>
          <w:lang w:val="en-US"/>
        </w:rPr>
      </w:pPr>
      <w:r>
        <w:rPr>
          <w:rFonts w:ascii="Arial" w:hAnsi="Arial" w:cs="Arial"/>
          <w:sz w:val="20"/>
          <w:szCs w:val="20"/>
          <w:lang w:val="en-US"/>
        </w:rPr>
        <w:t>Certified email</w:t>
      </w:r>
      <w:r w:rsidR="00F73654">
        <w:rPr>
          <w:rFonts w:ascii="Arial" w:hAnsi="Arial" w:cs="Arial"/>
          <w:sz w:val="20"/>
          <w:szCs w:val="20"/>
          <w:lang w:val="en-US"/>
        </w:rPr>
        <w:t xml:space="preserve"> reminders sent </w:t>
      </w:r>
      <w:r w:rsidR="00195FF1">
        <w:rPr>
          <w:rFonts w:ascii="Arial" w:hAnsi="Arial" w:cs="Arial"/>
          <w:sz w:val="20"/>
          <w:szCs w:val="20"/>
          <w:lang w:val="en-US"/>
        </w:rPr>
        <w:t xml:space="preserve">on </w:t>
      </w:r>
      <w:r w:rsidR="00F73654">
        <w:rPr>
          <w:rFonts w:ascii="Arial" w:hAnsi="Arial" w:cs="Arial"/>
          <w:sz w:val="20"/>
          <w:szCs w:val="20"/>
          <w:lang w:val="en-US"/>
        </w:rPr>
        <w:t>12 and 26</w:t>
      </w:r>
      <w:r w:rsidR="00195FF1">
        <w:rPr>
          <w:rFonts w:ascii="Arial" w:hAnsi="Arial" w:cs="Arial"/>
          <w:sz w:val="20"/>
          <w:szCs w:val="20"/>
          <w:lang w:val="en-US"/>
        </w:rPr>
        <w:t xml:space="preserve"> April</w:t>
      </w:r>
      <w:r w:rsidR="00F73654">
        <w:rPr>
          <w:rFonts w:ascii="Arial" w:hAnsi="Arial" w:cs="Arial"/>
          <w:sz w:val="20"/>
          <w:szCs w:val="20"/>
          <w:lang w:val="en-US"/>
        </w:rPr>
        <w:t xml:space="preserve">; </w:t>
      </w:r>
      <w:r w:rsidR="00195FF1">
        <w:rPr>
          <w:rFonts w:ascii="Arial" w:hAnsi="Arial" w:cs="Arial"/>
          <w:sz w:val="20"/>
          <w:szCs w:val="20"/>
          <w:lang w:val="en-US"/>
        </w:rPr>
        <w:t>email reminders</w:t>
      </w:r>
      <w:r w:rsidR="00F73654">
        <w:rPr>
          <w:rFonts w:ascii="Arial" w:hAnsi="Arial" w:cs="Arial"/>
          <w:sz w:val="20"/>
          <w:szCs w:val="20"/>
          <w:lang w:val="en-US"/>
        </w:rPr>
        <w:t xml:space="preserve"> sent </w:t>
      </w:r>
      <w:r w:rsidR="008C08E9">
        <w:rPr>
          <w:rFonts w:ascii="Arial" w:hAnsi="Arial" w:cs="Arial"/>
          <w:sz w:val="20"/>
          <w:szCs w:val="20"/>
          <w:lang w:val="en-US"/>
        </w:rPr>
        <w:t xml:space="preserve">on </w:t>
      </w:r>
      <w:r w:rsidR="00195FF1">
        <w:rPr>
          <w:rFonts w:ascii="Arial" w:hAnsi="Arial" w:cs="Arial"/>
          <w:sz w:val="20"/>
          <w:szCs w:val="20"/>
          <w:lang w:val="en-US"/>
        </w:rPr>
        <w:t>19 April</w:t>
      </w:r>
      <w:r w:rsidR="00F73654">
        <w:rPr>
          <w:rFonts w:ascii="Arial" w:hAnsi="Arial" w:cs="Arial"/>
          <w:sz w:val="20"/>
          <w:szCs w:val="20"/>
          <w:lang w:val="en-US"/>
        </w:rPr>
        <w:t>.</w:t>
      </w:r>
    </w:p>
    <w:p w14:paraId="3226DAF7" w14:textId="77777777" w:rsidR="00F77E56" w:rsidRDefault="00F77E56" w:rsidP="00F77E56">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impact of the addition of phone reminders is shown in Figures 2 to 4, where a clear correlation (on average, </w:t>
      </w:r>
      <w:r w:rsidR="000155BD">
        <w:rPr>
          <w:rFonts w:ascii="Arial" w:hAnsi="Arial" w:cs="Arial"/>
          <w:sz w:val="24"/>
          <w:szCs w:val="24"/>
          <w:lang w:val="en-US"/>
        </w:rPr>
        <w:t xml:space="preserve">equal to </w:t>
      </w:r>
      <w:r>
        <w:rPr>
          <w:rFonts w:ascii="Arial" w:hAnsi="Arial" w:cs="Arial"/>
          <w:sz w:val="24"/>
          <w:szCs w:val="24"/>
          <w:lang w:val="en-US"/>
        </w:rPr>
        <w:t xml:space="preserve">0.91) appears between the series of daily number of responses and phone reminders. </w:t>
      </w:r>
      <w:r w:rsidR="00861F2B">
        <w:rPr>
          <w:rFonts w:ascii="Arial" w:hAnsi="Arial" w:cs="Arial"/>
          <w:sz w:val="24"/>
          <w:szCs w:val="24"/>
          <w:lang w:val="en-US"/>
        </w:rPr>
        <w:t xml:space="preserve">The effectiveness of phone reminders has also allowed to reduce </w:t>
      </w:r>
      <w:r w:rsidR="00B13377">
        <w:rPr>
          <w:rFonts w:ascii="Arial" w:hAnsi="Arial" w:cs="Arial"/>
          <w:sz w:val="24"/>
          <w:szCs w:val="24"/>
          <w:lang w:val="en-US"/>
        </w:rPr>
        <w:t xml:space="preserve">in these three quarters </w:t>
      </w:r>
      <w:r w:rsidR="00861F2B">
        <w:rPr>
          <w:rFonts w:ascii="Arial" w:hAnsi="Arial" w:cs="Arial"/>
          <w:sz w:val="24"/>
          <w:szCs w:val="24"/>
          <w:lang w:val="en-US"/>
        </w:rPr>
        <w:t>the number of email and certified email ones</w:t>
      </w:r>
      <w:r w:rsidR="001C5393">
        <w:rPr>
          <w:rFonts w:ascii="Arial" w:hAnsi="Arial" w:cs="Arial"/>
          <w:sz w:val="24"/>
          <w:szCs w:val="24"/>
          <w:lang w:val="en-US"/>
        </w:rPr>
        <w:t>, which however have still proven useful</w:t>
      </w:r>
      <w:r w:rsidR="00861F2B">
        <w:rPr>
          <w:rFonts w:ascii="Arial" w:hAnsi="Arial" w:cs="Arial"/>
          <w:sz w:val="24"/>
          <w:szCs w:val="24"/>
          <w:lang w:val="en-US"/>
        </w:rPr>
        <w:t xml:space="preserve">. </w:t>
      </w:r>
    </w:p>
    <w:p w14:paraId="17AB16C4" w14:textId="77777777" w:rsidR="000B12D9" w:rsidRDefault="00151C5D" w:rsidP="000B12D9">
      <w:pPr>
        <w:pStyle w:val="Legenda"/>
        <w:keepNext/>
        <w:jc w:val="both"/>
        <w:rPr>
          <w:rFonts w:ascii="Arial" w:hAnsi="Arial" w:cs="Arial"/>
          <w:b/>
          <w:i w:val="0"/>
          <w:color w:val="auto"/>
          <w:sz w:val="20"/>
          <w:szCs w:val="20"/>
          <w:lang w:val="en-US"/>
        </w:rPr>
      </w:pPr>
      <w:r>
        <w:rPr>
          <w:rFonts w:ascii="Arial" w:hAnsi="Arial" w:cs="Arial"/>
          <w:b/>
          <w:i w:val="0"/>
          <w:color w:val="auto"/>
          <w:sz w:val="20"/>
          <w:szCs w:val="20"/>
          <w:lang w:val="en-US"/>
        </w:rPr>
        <w:lastRenderedPageBreak/>
        <w:t>F</w:t>
      </w:r>
      <w:r w:rsidR="000B12D9" w:rsidRPr="00C62913">
        <w:rPr>
          <w:rFonts w:ascii="Arial" w:hAnsi="Arial" w:cs="Arial"/>
          <w:b/>
          <w:i w:val="0"/>
          <w:color w:val="auto"/>
          <w:sz w:val="20"/>
          <w:szCs w:val="20"/>
          <w:lang w:val="en-US"/>
        </w:rPr>
        <w:t xml:space="preserve">igure </w:t>
      </w:r>
      <w:r w:rsidR="000B12D9">
        <w:rPr>
          <w:rFonts w:ascii="Arial" w:hAnsi="Arial" w:cs="Arial"/>
          <w:b/>
          <w:i w:val="0"/>
          <w:color w:val="auto"/>
          <w:sz w:val="20"/>
          <w:szCs w:val="20"/>
          <w:lang w:val="en-GB"/>
        </w:rPr>
        <w:t>2</w:t>
      </w:r>
      <w:r w:rsidR="000B12D9" w:rsidRPr="00C62913">
        <w:rPr>
          <w:rFonts w:ascii="Arial" w:hAnsi="Arial" w:cs="Arial"/>
          <w:b/>
          <w:i w:val="0"/>
          <w:color w:val="auto"/>
          <w:sz w:val="20"/>
          <w:szCs w:val="20"/>
          <w:lang w:val="en-US"/>
        </w:rPr>
        <w:t xml:space="preserve">. </w:t>
      </w:r>
      <w:r w:rsidR="000B12D9" w:rsidRPr="000F0AFE">
        <w:rPr>
          <w:rFonts w:ascii="Arial" w:hAnsi="Arial" w:cs="Arial"/>
          <w:b/>
          <w:i w:val="0"/>
          <w:color w:val="auto"/>
          <w:sz w:val="20"/>
          <w:szCs w:val="20"/>
          <w:lang w:val="en-US"/>
        </w:rPr>
        <w:t>Q2-2017 Respondents and reminders</w:t>
      </w:r>
      <w:r w:rsidR="000B12D9" w:rsidRPr="00C62913">
        <w:rPr>
          <w:rFonts w:ascii="Arial" w:hAnsi="Arial" w:cs="Arial"/>
          <w:b/>
          <w:i w:val="0"/>
          <w:color w:val="auto"/>
          <w:sz w:val="20"/>
          <w:szCs w:val="20"/>
          <w:lang w:val="en-US"/>
        </w:rPr>
        <w:t xml:space="preserve"> </w:t>
      </w:r>
    </w:p>
    <w:p w14:paraId="1995194C" w14:textId="4DC62EF2" w:rsidR="00BE3495" w:rsidRPr="00BE3495" w:rsidRDefault="006A2E31" w:rsidP="00BE3495">
      <w:pPr>
        <w:rPr>
          <w:lang w:val="en-US"/>
        </w:rPr>
      </w:pPr>
      <w:r>
        <w:rPr>
          <w:noProof/>
          <w:lang w:eastAsia="pl-PL"/>
        </w:rPr>
        <w:drawing>
          <wp:inline distT="0" distB="0" distL="0" distR="0" wp14:anchorId="437E8792" wp14:editId="3E911D72">
            <wp:extent cx="5760000" cy="2052000"/>
            <wp:effectExtent l="0" t="0" r="0" b="5715"/>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052000"/>
                    </a:xfrm>
                    <a:prstGeom prst="rect">
                      <a:avLst/>
                    </a:prstGeom>
                    <a:noFill/>
                  </pic:spPr>
                </pic:pic>
              </a:graphicData>
            </a:graphic>
          </wp:inline>
        </w:drawing>
      </w:r>
    </w:p>
    <w:p w14:paraId="07F84604" w14:textId="77777777" w:rsidR="004B6B5A" w:rsidRDefault="004B6B5A" w:rsidP="00D54925">
      <w:pPr>
        <w:spacing w:after="0" w:line="24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173F51">
        <w:rPr>
          <w:rFonts w:ascii="Arial" w:hAnsi="Arial" w:cs="Arial"/>
          <w:sz w:val="20"/>
          <w:szCs w:val="20"/>
          <w:lang w:val="en-GB"/>
        </w:rPr>
        <w:t>ISTAT</w:t>
      </w:r>
    </w:p>
    <w:p w14:paraId="5AA2ACEA" w14:textId="77777777" w:rsidR="00F73654" w:rsidRDefault="008C08E9" w:rsidP="00D54925">
      <w:pPr>
        <w:spacing w:after="0" w:line="240" w:lineRule="auto"/>
        <w:jc w:val="both"/>
        <w:rPr>
          <w:rFonts w:ascii="Arial" w:hAnsi="Arial" w:cs="Arial"/>
          <w:sz w:val="20"/>
          <w:szCs w:val="20"/>
          <w:lang w:val="en-US"/>
        </w:rPr>
      </w:pPr>
      <w:r>
        <w:rPr>
          <w:rFonts w:ascii="Arial" w:hAnsi="Arial" w:cs="Arial"/>
          <w:sz w:val="20"/>
          <w:szCs w:val="20"/>
          <w:lang w:val="en-US"/>
        </w:rPr>
        <w:t xml:space="preserve">Green line: email reminders, </w:t>
      </w:r>
      <w:r w:rsidR="00F73654">
        <w:rPr>
          <w:rFonts w:ascii="Arial" w:hAnsi="Arial" w:cs="Arial"/>
          <w:sz w:val="20"/>
          <w:szCs w:val="20"/>
          <w:lang w:val="en-US"/>
        </w:rPr>
        <w:t xml:space="preserve">sent </w:t>
      </w:r>
      <w:r>
        <w:rPr>
          <w:rFonts w:ascii="Arial" w:hAnsi="Arial" w:cs="Arial"/>
          <w:sz w:val="20"/>
          <w:szCs w:val="20"/>
          <w:lang w:val="en-US"/>
        </w:rPr>
        <w:t xml:space="preserve">on </w:t>
      </w:r>
      <w:r w:rsidR="00F73654">
        <w:rPr>
          <w:rFonts w:ascii="Arial" w:hAnsi="Arial" w:cs="Arial"/>
          <w:sz w:val="20"/>
          <w:szCs w:val="20"/>
          <w:lang w:val="en-US"/>
        </w:rPr>
        <w:t xml:space="preserve">28 </w:t>
      </w:r>
      <w:r>
        <w:rPr>
          <w:rFonts w:ascii="Arial" w:hAnsi="Arial" w:cs="Arial"/>
          <w:sz w:val="20"/>
          <w:szCs w:val="20"/>
          <w:lang w:val="en-US"/>
        </w:rPr>
        <w:t>July,</w:t>
      </w:r>
      <w:r w:rsidR="00F73654">
        <w:rPr>
          <w:rFonts w:ascii="Arial" w:hAnsi="Arial" w:cs="Arial"/>
          <w:sz w:val="20"/>
          <w:szCs w:val="20"/>
          <w:lang w:val="en-US"/>
        </w:rPr>
        <w:t>and</w:t>
      </w:r>
      <w:r>
        <w:rPr>
          <w:rFonts w:ascii="Arial" w:hAnsi="Arial" w:cs="Arial"/>
          <w:sz w:val="20"/>
          <w:szCs w:val="20"/>
          <w:lang w:val="en-US"/>
        </w:rPr>
        <w:t xml:space="preserve"> 4</w:t>
      </w:r>
      <w:r w:rsidR="00F73654">
        <w:rPr>
          <w:rFonts w:ascii="Arial" w:hAnsi="Arial" w:cs="Arial"/>
          <w:sz w:val="20"/>
          <w:szCs w:val="20"/>
          <w:lang w:val="en-US"/>
        </w:rPr>
        <w:t xml:space="preserve"> August</w:t>
      </w:r>
      <w:r>
        <w:rPr>
          <w:rFonts w:ascii="Arial" w:hAnsi="Arial" w:cs="Arial"/>
          <w:sz w:val="20"/>
          <w:szCs w:val="20"/>
          <w:lang w:val="en-US"/>
        </w:rPr>
        <w:t>.</w:t>
      </w:r>
    </w:p>
    <w:p w14:paraId="4B7C392C" w14:textId="77777777" w:rsidR="00D54925" w:rsidRDefault="00D54925" w:rsidP="00D54925">
      <w:pPr>
        <w:spacing w:after="0" w:line="240" w:lineRule="auto"/>
        <w:jc w:val="both"/>
        <w:rPr>
          <w:rFonts w:ascii="Arial" w:hAnsi="Arial" w:cs="Arial"/>
          <w:sz w:val="20"/>
          <w:szCs w:val="20"/>
          <w:lang w:val="en-US"/>
        </w:rPr>
      </w:pPr>
    </w:p>
    <w:p w14:paraId="33BDAE30" w14:textId="77777777" w:rsidR="004B6B5A" w:rsidRDefault="004B6B5A" w:rsidP="00D54925">
      <w:pPr>
        <w:pStyle w:val="Legenda"/>
        <w:keepNext/>
        <w:jc w:val="both"/>
        <w:rPr>
          <w:rFonts w:ascii="Arial" w:hAnsi="Arial" w:cs="Arial"/>
          <w:b/>
          <w:i w:val="0"/>
          <w:color w:val="auto"/>
          <w:sz w:val="20"/>
          <w:szCs w:val="20"/>
          <w:lang w:val="en-US"/>
        </w:rPr>
      </w:pPr>
      <w:r w:rsidRPr="00C62913">
        <w:rPr>
          <w:rFonts w:ascii="Arial" w:hAnsi="Arial" w:cs="Arial"/>
          <w:b/>
          <w:i w:val="0"/>
          <w:color w:val="auto"/>
          <w:sz w:val="20"/>
          <w:szCs w:val="20"/>
          <w:lang w:val="en-US"/>
        </w:rPr>
        <w:t xml:space="preserve">Figure </w:t>
      </w:r>
      <w:r>
        <w:rPr>
          <w:rFonts w:ascii="Arial" w:hAnsi="Arial" w:cs="Arial"/>
          <w:b/>
          <w:i w:val="0"/>
          <w:color w:val="auto"/>
          <w:sz w:val="20"/>
          <w:szCs w:val="20"/>
          <w:lang w:val="en-US"/>
        </w:rPr>
        <w:t>3</w:t>
      </w:r>
      <w:r w:rsidRPr="00C62913">
        <w:rPr>
          <w:rFonts w:ascii="Arial" w:hAnsi="Arial" w:cs="Arial"/>
          <w:b/>
          <w:i w:val="0"/>
          <w:color w:val="auto"/>
          <w:sz w:val="20"/>
          <w:szCs w:val="20"/>
          <w:lang w:val="en-US"/>
        </w:rPr>
        <w:t xml:space="preserve">. </w:t>
      </w:r>
      <w:r w:rsidRPr="000F0AFE">
        <w:rPr>
          <w:rFonts w:ascii="Arial" w:hAnsi="Arial" w:cs="Arial"/>
          <w:b/>
          <w:i w:val="0"/>
          <w:color w:val="auto"/>
          <w:sz w:val="20"/>
          <w:szCs w:val="20"/>
          <w:lang w:val="en-US"/>
        </w:rPr>
        <w:t>Q</w:t>
      </w:r>
      <w:r>
        <w:rPr>
          <w:rFonts w:ascii="Arial" w:hAnsi="Arial" w:cs="Arial"/>
          <w:b/>
          <w:i w:val="0"/>
          <w:color w:val="auto"/>
          <w:sz w:val="20"/>
          <w:szCs w:val="20"/>
          <w:lang w:val="en-US"/>
        </w:rPr>
        <w:t>3</w:t>
      </w:r>
      <w:r w:rsidRPr="000F0AFE">
        <w:rPr>
          <w:rFonts w:ascii="Arial" w:hAnsi="Arial" w:cs="Arial"/>
          <w:b/>
          <w:i w:val="0"/>
          <w:color w:val="auto"/>
          <w:sz w:val="20"/>
          <w:szCs w:val="20"/>
          <w:lang w:val="en-US"/>
        </w:rPr>
        <w:t>-2017 Respondents and reminders</w:t>
      </w:r>
      <w:r w:rsidRPr="00C62913">
        <w:rPr>
          <w:rFonts w:ascii="Arial" w:hAnsi="Arial" w:cs="Arial"/>
          <w:b/>
          <w:i w:val="0"/>
          <w:color w:val="auto"/>
          <w:sz w:val="20"/>
          <w:szCs w:val="20"/>
          <w:lang w:val="en-US"/>
        </w:rPr>
        <w:t xml:space="preserve"> </w:t>
      </w:r>
    </w:p>
    <w:p w14:paraId="0ED03C56" w14:textId="359F7257" w:rsidR="00BE3495" w:rsidRPr="00BE3495" w:rsidRDefault="00E05675" w:rsidP="00BE3495">
      <w:pPr>
        <w:rPr>
          <w:lang w:val="en-US"/>
        </w:rPr>
      </w:pPr>
      <w:r>
        <w:rPr>
          <w:noProof/>
          <w:lang w:eastAsia="pl-PL"/>
        </w:rPr>
        <w:drawing>
          <wp:inline distT="0" distB="0" distL="0" distR="0" wp14:anchorId="41742042" wp14:editId="60237F38">
            <wp:extent cx="5760000" cy="2052000"/>
            <wp:effectExtent l="0" t="0" r="0" b="5715"/>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2052000"/>
                    </a:xfrm>
                    <a:prstGeom prst="rect">
                      <a:avLst/>
                    </a:prstGeom>
                    <a:noFill/>
                  </pic:spPr>
                </pic:pic>
              </a:graphicData>
            </a:graphic>
          </wp:inline>
        </w:drawing>
      </w:r>
    </w:p>
    <w:p w14:paraId="65A75B00" w14:textId="77777777" w:rsidR="004B6B5A" w:rsidRDefault="004B6B5A" w:rsidP="00D54925">
      <w:pPr>
        <w:spacing w:after="0" w:line="24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173F51">
        <w:rPr>
          <w:rFonts w:ascii="Arial" w:hAnsi="Arial" w:cs="Arial"/>
          <w:sz w:val="20"/>
          <w:szCs w:val="20"/>
          <w:lang w:val="en-GB"/>
        </w:rPr>
        <w:t>ISTAT</w:t>
      </w:r>
    </w:p>
    <w:p w14:paraId="605AEBD6" w14:textId="567A606D" w:rsidR="008C08E9" w:rsidRDefault="006A2E31" w:rsidP="00D54925">
      <w:pPr>
        <w:spacing w:after="0" w:line="240" w:lineRule="auto"/>
        <w:jc w:val="both"/>
        <w:rPr>
          <w:rFonts w:ascii="Arial" w:hAnsi="Arial" w:cs="Arial"/>
          <w:sz w:val="20"/>
          <w:szCs w:val="20"/>
          <w:lang w:val="en-US"/>
        </w:rPr>
      </w:pPr>
      <w:r>
        <w:rPr>
          <w:rFonts w:ascii="Arial" w:hAnsi="Arial" w:cs="Arial"/>
          <w:sz w:val="20"/>
          <w:szCs w:val="20"/>
          <w:lang w:val="en-US"/>
        </w:rPr>
        <w:t>Grey</w:t>
      </w:r>
      <w:r w:rsidR="008C08E9">
        <w:rPr>
          <w:rFonts w:ascii="Arial" w:hAnsi="Arial" w:cs="Arial"/>
          <w:sz w:val="20"/>
          <w:szCs w:val="20"/>
          <w:lang w:val="en-US"/>
        </w:rPr>
        <w:t xml:space="preserve"> line: Certified email reminders; green line: email reminders. </w:t>
      </w:r>
    </w:p>
    <w:p w14:paraId="1B164C9B" w14:textId="77777777" w:rsidR="008C08E9" w:rsidRDefault="008C08E9" w:rsidP="008C08E9">
      <w:pPr>
        <w:spacing w:after="0" w:line="240" w:lineRule="auto"/>
        <w:jc w:val="both"/>
        <w:rPr>
          <w:rFonts w:ascii="Arial" w:hAnsi="Arial" w:cs="Arial"/>
          <w:sz w:val="20"/>
          <w:szCs w:val="20"/>
          <w:lang w:val="en-US"/>
        </w:rPr>
      </w:pPr>
      <w:r>
        <w:rPr>
          <w:rFonts w:ascii="Arial" w:hAnsi="Arial" w:cs="Arial"/>
          <w:sz w:val="20"/>
          <w:szCs w:val="20"/>
          <w:lang w:val="en-US"/>
        </w:rPr>
        <w:t>Certified email reminders sent on 6 November; email reminders sent on 30 October.</w:t>
      </w:r>
    </w:p>
    <w:p w14:paraId="4185A44F" w14:textId="77777777" w:rsidR="00BC3380" w:rsidRPr="00EC5F5A" w:rsidRDefault="00BC3380" w:rsidP="004B6B5A">
      <w:pPr>
        <w:spacing w:after="0" w:line="360" w:lineRule="auto"/>
        <w:jc w:val="both"/>
        <w:rPr>
          <w:rFonts w:ascii="Arial" w:hAnsi="Arial" w:cs="Arial"/>
          <w:sz w:val="20"/>
          <w:szCs w:val="20"/>
          <w:lang w:val="en-GB"/>
        </w:rPr>
      </w:pPr>
    </w:p>
    <w:p w14:paraId="3EFD47E9" w14:textId="77777777" w:rsidR="004B6B5A" w:rsidRDefault="004B6B5A" w:rsidP="004B6B5A">
      <w:pPr>
        <w:pStyle w:val="Legenda"/>
        <w:keepNext/>
        <w:jc w:val="both"/>
        <w:rPr>
          <w:rFonts w:ascii="Arial" w:hAnsi="Arial" w:cs="Arial"/>
          <w:b/>
          <w:i w:val="0"/>
          <w:color w:val="auto"/>
          <w:sz w:val="20"/>
          <w:szCs w:val="20"/>
          <w:lang w:val="en-US"/>
        </w:rPr>
      </w:pPr>
      <w:r w:rsidRPr="00C62913">
        <w:rPr>
          <w:rFonts w:ascii="Arial" w:hAnsi="Arial" w:cs="Arial"/>
          <w:b/>
          <w:i w:val="0"/>
          <w:color w:val="auto"/>
          <w:sz w:val="20"/>
          <w:szCs w:val="20"/>
          <w:lang w:val="en-US"/>
        </w:rPr>
        <w:t xml:space="preserve">Figure </w:t>
      </w:r>
      <w:r>
        <w:rPr>
          <w:rFonts w:ascii="Arial" w:hAnsi="Arial" w:cs="Arial"/>
          <w:b/>
          <w:i w:val="0"/>
          <w:color w:val="auto"/>
          <w:sz w:val="20"/>
          <w:szCs w:val="20"/>
          <w:lang w:val="en-US"/>
        </w:rPr>
        <w:t>4</w:t>
      </w:r>
      <w:r w:rsidRPr="00C62913">
        <w:rPr>
          <w:rFonts w:ascii="Arial" w:hAnsi="Arial" w:cs="Arial"/>
          <w:b/>
          <w:i w:val="0"/>
          <w:color w:val="auto"/>
          <w:sz w:val="20"/>
          <w:szCs w:val="20"/>
          <w:lang w:val="en-US"/>
        </w:rPr>
        <w:t xml:space="preserve">. </w:t>
      </w:r>
      <w:r w:rsidRPr="000F0AFE">
        <w:rPr>
          <w:rFonts w:ascii="Arial" w:hAnsi="Arial" w:cs="Arial"/>
          <w:b/>
          <w:i w:val="0"/>
          <w:color w:val="auto"/>
          <w:sz w:val="20"/>
          <w:szCs w:val="20"/>
          <w:lang w:val="en-US"/>
        </w:rPr>
        <w:t>Q</w:t>
      </w:r>
      <w:r>
        <w:rPr>
          <w:rFonts w:ascii="Arial" w:hAnsi="Arial" w:cs="Arial"/>
          <w:b/>
          <w:i w:val="0"/>
          <w:color w:val="auto"/>
          <w:sz w:val="20"/>
          <w:szCs w:val="20"/>
          <w:lang w:val="en-US"/>
        </w:rPr>
        <w:t>4</w:t>
      </w:r>
      <w:r w:rsidRPr="000F0AFE">
        <w:rPr>
          <w:rFonts w:ascii="Arial" w:hAnsi="Arial" w:cs="Arial"/>
          <w:b/>
          <w:i w:val="0"/>
          <w:color w:val="auto"/>
          <w:sz w:val="20"/>
          <w:szCs w:val="20"/>
          <w:lang w:val="en-US"/>
        </w:rPr>
        <w:t>-2017 Respondents and reminders</w:t>
      </w:r>
      <w:r w:rsidRPr="00C62913">
        <w:rPr>
          <w:rFonts w:ascii="Arial" w:hAnsi="Arial" w:cs="Arial"/>
          <w:b/>
          <w:i w:val="0"/>
          <w:color w:val="auto"/>
          <w:sz w:val="20"/>
          <w:szCs w:val="20"/>
          <w:lang w:val="en-US"/>
        </w:rPr>
        <w:t xml:space="preserve"> </w:t>
      </w:r>
    </w:p>
    <w:p w14:paraId="15BC8DFD" w14:textId="0AE837E5" w:rsidR="00BE3495" w:rsidRPr="00BE3495" w:rsidRDefault="00E05675" w:rsidP="00BE3495">
      <w:pPr>
        <w:rPr>
          <w:lang w:val="en-US"/>
        </w:rPr>
      </w:pPr>
      <w:r>
        <w:rPr>
          <w:noProof/>
          <w:lang w:eastAsia="pl-PL"/>
        </w:rPr>
        <w:drawing>
          <wp:inline distT="0" distB="0" distL="0" distR="0" wp14:anchorId="09B51600" wp14:editId="4CD47B42">
            <wp:extent cx="5760000" cy="2052000"/>
            <wp:effectExtent l="0" t="0" r="0" b="5715"/>
            <wp:docPr id="9"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16"/>
                    <a:stretch>
                      <a:fillRect/>
                    </a:stretch>
                  </pic:blipFill>
                  <pic:spPr>
                    <a:xfrm>
                      <a:off x="0" y="0"/>
                      <a:ext cx="5760000" cy="2052000"/>
                    </a:xfrm>
                    <a:prstGeom prst="rect">
                      <a:avLst/>
                    </a:prstGeom>
                  </pic:spPr>
                </pic:pic>
              </a:graphicData>
            </a:graphic>
          </wp:inline>
        </w:drawing>
      </w:r>
    </w:p>
    <w:p w14:paraId="7D9FDC4D" w14:textId="77777777" w:rsidR="004B6B5A" w:rsidRPr="009F04C8" w:rsidRDefault="004B6B5A" w:rsidP="00D54925">
      <w:pPr>
        <w:spacing w:after="0" w:line="240" w:lineRule="auto"/>
        <w:jc w:val="both"/>
        <w:rPr>
          <w:rFonts w:ascii="Arial" w:hAnsi="Arial" w:cs="Arial"/>
          <w:sz w:val="20"/>
          <w:szCs w:val="20"/>
          <w:lang w:val="en-US"/>
        </w:rPr>
      </w:pPr>
      <w:r w:rsidRPr="009F04C8">
        <w:rPr>
          <w:rFonts w:ascii="Arial" w:hAnsi="Arial" w:cs="Arial"/>
          <w:sz w:val="20"/>
          <w:szCs w:val="20"/>
          <w:lang w:val="en-US"/>
        </w:rPr>
        <w:t xml:space="preserve">Source: </w:t>
      </w:r>
      <w:r w:rsidR="00173F51">
        <w:rPr>
          <w:rFonts w:ascii="Arial" w:hAnsi="Arial" w:cs="Arial"/>
          <w:sz w:val="20"/>
          <w:szCs w:val="20"/>
          <w:lang w:val="en-US"/>
        </w:rPr>
        <w:t>ISTAT</w:t>
      </w:r>
    </w:p>
    <w:p w14:paraId="78D37B6B" w14:textId="28EC0A42" w:rsidR="005627E2" w:rsidRDefault="006A2E31" w:rsidP="00D54925">
      <w:pPr>
        <w:spacing w:after="0" w:line="240" w:lineRule="auto"/>
        <w:jc w:val="both"/>
        <w:rPr>
          <w:rFonts w:ascii="Arial" w:hAnsi="Arial" w:cs="Arial"/>
          <w:sz w:val="20"/>
          <w:szCs w:val="20"/>
          <w:lang w:val="en-US"/>
        </w:rPr>
      </w:pPr>
      <w:r>
        <w:rPr>
          <w:rFonts w:ascii="Arial" w:hAnsi="Arial" w:cs="Arial"/>
          <w:sz w:val="20"/>
          <w:szCs w:val="20"/>
          <w:lang w:val="en-US"/>
        </w:rPr>
        <w:t>Gray</w:t>
      </w:r>
      <w:r w:rsidR="005627E2">
        <w:rPr>
          <w:rFonts w:ascii="Arial" w:hAnsi="Arial" w:cs="Arial"/>
          <w:sz w:val="20"/>
          <w:szCs w:val="20"/>
          <w:lang w:val="en-US"/>
        </w:rPr>
        <w:t xml:space="preserve"> line: Certified email reminders; green line: email reminders. </w:t>
      </w:r>
    </w:p>
    <w:p w14:paraId="6432A50A" w14:textId="77777777" w:rsidR="005627E2" w:rsidRDefault="005627E2" w:rsidP="00D54925">
      <w:pPr>
        <w:spacing w:after="0" w:line="240" w:lineRule="auto"/>
        <w:jc w:val="both"/>
        <w:rPr>
          <w:rFonts w:ascii="Arial" w:hAnsi="Arial" w:cs="Arial"/>
          <w:sz w:val="20"/>
          <w:szCs w:val="20"/>
          <w:lang w:val="en-US"/>
        </w:rPr>
      </w:pPr>
      <w:r>
        <w:rPr>
          <w:rFonts w:ascii="Arial" w:hAnsi="Arial" w:cs="Arial"/>
          <w:sz w:val="20"/>
          <w:szCs w:val="20"/>
          <w:lang w:val="en-US"/>
        </w:rPr>
        <w:t>Certified email reminders sent on 12 February; email reminders sent on 1 February.</w:t>
      </w:r>
    </w:p>
    <w:p w14:paraId="05F26380" w14:textId="77777777" w:rsidR="00FC38D9" w:rsidRPr="009F04C8" w:rsidRDefault="00FC38D9" w:rsidP="004B6B5A">
      <w:pPr>
        <w:spacing w:after="0" w:line="360" w:lineRule="auto"/>
        <w:jc w:val="both"/>
        <w:rPr>
          <w:rFonts w:ascii="Arial" w:hAnsi="Arial" w:cs="Arial"/>
          <w:sz w:val="20"/>
          <w:szCs w:val="20"/>
          <w:lang w:val="en-US"/>
        </w:rPr>
      </w:pPr>
    </w:p>
    <w:p w14:paraId="3EDFEA6F" w14:textId="77777777" w:rsidR="00FC38D9" w:rsidRPr="009F04C8" w:rsidRDefault="00FC38D9" w:rsidP="00FC38D9">
      <w:pPr>
        <w:spacing w:before="120" w:after="0" w:line="360" w:lineRule="auto"/>
        <w:jc w:val="both"/>
        <w:rPr>
          <w:rFonts w:ascii="Arial" w:hAnsi="Arial" w:cs="Arial"/>
          <w:b/>
          <w:sz w:val="24"/>
          <w:szCs w:val="24"/>
          <w:lang w:val="en-US"/>
        </w:rPr>
      </w:pPr>
      <w:r w:rsidRPr="009F04C8">
        <w:rPr>
          <w:rFonts w:ascii="Arial" w:hAnsi="Arial" w:cs="Arial"/>
          <w:b/>
          <w:sz w:val="24"/>
          <w:szCs w:val="24"/>
          <w:lang w:val="en-US"/>
        </w:rPr>
        <w:t xml:space="preserve">3. </w:t>
      </w:r>
      <w:r w:rsidR="000102E2">
        <w:rPr>
          <w:rFonts w:ascii="Arial" w:hAnsi="Arial" w:cs="Arial"/>
          <w:b/>
          <w:sz w:val="24"/>
          <w:szCs w:val="24"/>
          <w:lang w:val="en-US"/>
        </w:rPr>
        <w:t>Further</w:t>
      </w:r>
      <w:r w:rsidR="00FF3E47">
        <w:rPr>
          <w:rFonts w:ascii="Arial" w:hAnsi="Arial" w:cs="Arial"/>
          <w:b/>
          <w:sz w:val="24"/>
          <w:szCs w:val="24"/>
          <w:lang w:val="en-US"/>
        </w:rPr>
        <w:t xml:space="preserve"> m</w:t>
      </w:r>
      <w:r w:rsidRPr="009F04C8">
        <w:rPr>
          <w:rFonts w:ascii="Arial" w:hAnsi="Arial" w:cs="Arial"/>
          <w:b/>
          <w:sz w:val="24"/>
          <w:szCs w:val="24"/>
          <w:lang w:val="en-US"/>
        </w:rPr>
        <w:t>easures</w:t>
      </w:r>
      <w:r w:rsidR="000102E2">
        <w:rPr>
          <w:rFonts w:ascii="Arial" w:hAnsi="Arial" w:cs="Arial"/>
          <w:b/>
          <w:sz w:val="24"/>
          <w:szCs w:val="24"/>
          <w:lang w:val="en-US"/>
        </w:rPr>
        <w:t xml:space="preserve"> to boost response rates</w:t>
      </w:r>
    </w:p>
    <w:p w14:paraId="2F31825C" w14:textId="6AA852BB" w:rsidR="00156EEA" w:rsidRDefault="006775E8" w:rsidP="00FC38D9">
      <w:pPr>
        <w:spacing w:before="120" w:after="0" w:line="360" w:lineRule="auto"/>
        <w:jc w:val="both"/>
        <w:rPr>
          <w:rFonts w:ascii="Arial" w:hAnsi="Arial" w:cs="Arial"/>
          <w:sz w:val="24"/>
          <w:szCs w:val="24"/>
          <w:lang w:val="en-US"/>
        </w:rPr>
      </w:pPr>
      <w:r>
        <w:rPr>
          <w:rFonts w:ascii="Arial" w:hAnsi="Arial" w:cs="Arial"/>
          <w:sz w:val="24"/>
          <w:szCs w:val="24"/>
          <w:lang w:val="en-US"/>
        </w:rPr>
        <w:t>The phone reminders external supplier’s work is daily monitored by the relevant data collection unit</w:t>
      </w:r>
      <w:r w:rsidR="00156EEA">
        <w:rPr>
          <w:rFonts w:ascii="Arial" w:hAnsi="Arial" w:cs="Arial"/>
          <w:sz w:val="24"/>
          <w:szCs w:val="24"/>
          <w:lang w:val="en-US"/>
        </w:rPr>
        <w:t>, supported, if and when useful, by the unit responsible for the production of the statistical outputs</w:t>
      </w:r>
      <w:r>
        <w:rPr>
          <w:rFonts w:ascii="Arial" w:hAnsi="Arial" w:cs="Arial"/>
          <w:sz w:val="24"/>
          <w:szCs w:val="24"/>
          <w:lang w:val="en-US"/>
        </w:rPr>
        <w:t xml:space="preserve">. </w:t>
      </w:r>
      <w:r w:rsidR="00CE0078">
        <w:rPr>
          <w:rFonts w:ascii="Arial" w:hAnsi="Arial" w:cs="Arial"/>
          <w:sz w:val="24"/>
          <w:szCs w:val="24"/>
          <w:lang w:val="en-US"/>
        </w:rPr>
        <w:t>The synergy between the two unit</w:t>
      </w:r>
      <w:r w:rsidR="00E50953">
        <w:rPr>
          <w:rFonts w:ascii="Arial" w:hAnsi="Arial" w:cs="Arial"/>
          <w:sz w:val="24"/>
          <w:szCs w:val="24"/>
          <w:lang w:val="en-US"/>
        </w:rPr>
        <w:t>s</w:t>
      </w:r>
      <w:r w:rsidR="00CE0078">
        <w:rPr>
          <w:rFonts w:ascii="Arial" w:hAnsi="Arial" w:cs="Arial"/>
          <w:sz w:val="24"/>
          <w:szCs w:val="24"/>
          <w:lang w:val="en-US"/>
        </w:rPr>
        <w:t xml:space="preserve"> is crucial to achieving the results. </w:t>
      </w:r>
    </w:p>
    <w:p w14:paraId="1962DBB1" w14:textId="105F54BD" w:rsidR="002710D8" w:rsidRDefault="00C1793C" w:rsidP="009E259C">
      <w:pPr>
        <w:spacing w:before="120" w:after="0" w:line="360" w:lineRule="auto"/>
        <w:jc w:val="both"/>
        <w:rPr>
          <w:rFonts w:ascii="Arial" w:hAnsi="Arial" w:cs="Arial"/>
          <w:sz w:val="24"/>
          <w:szCs w:val="24"/>
          <w:lang w:val="en-US"/>
        </w:rPr>
      </w:pPr>
      <w:r w:rsidRPr="00C1793C">
        <w:rPr>
          <w:rFonts w:ascii="Arial" w:hAnsi="Arial" w:cs="Arial"/>
          <w:sz w:val="24"/>
          <w:szCs w:val="24"/>
          <w:lang w:val="en-US"/>
        </w:rPr>
        <w:t xml:space="preserve">Furthermore, </w:t>
      </w:r>
      <w:r w:rsidR="00705A5C" w:rsidRPr="00C1793C">
        <w:rPr>
          <w:rFonts w:ascii="Arial" w:hAnsi="Arial" w:cs="Arial"/>
          <w:sz w:val="24"/>
          <w:szCs w:val="24"/>
          <w:lang w:val="en-US"/>
        </w:rPr>
        <w:t xml:space="preserve">much </w:t>
      </w:r>
      <w:r w:rsidR="009E259C" w:rsidRPr="00C1793C">
        <w:rPr>
          <w:rFonts w:ascii="Arial" w:hAnsi="Arial" w:cs="Arial"/>
          <w:sz w:val="24"/>
          <w:szCs w:val="24"/>
          <w:lang w:val="en-US"/>
        </w:rPr>
        <w:t xml:space="preserve">attention has been paid </w:t>
      </w:r>
      <w:r w:rsidR="0066029D">
        <w:rPr>
          <w:rFonts w:ascii="Arial" w:hAnsi="Arial" w:cs="Arial"/>
          <w:sz w:val="24"/>
          <w:szCs w:val="24"/>
          <w:lang w:val="en-US"/>
        </w:rPr>
        <w:t>to</w:t>
      </w:r>
      <w:r w:rsidR="009E259C" w:rsidRPr="00C1793C">
        <w:rPr>
          <w:rFonts w:ascii="Arial" w:hAnsi="Arial" w:cs="Arial"/>
          <w:sz w:val="24"/>
          <w:szCs w:val="24"/>
          <w:lang w:val="en-US"/>
        </w:rPr>
        <w:t xml:space="preserve"> </w:t>
      </w:r>
      <w:r w:rsidR="00705A5C">
        <w:rPr>
          <w:rFonts w:ascii="Arial" w:hAnsi="Arial" w:cs="Arial"/>
          <w:sz w:val="24"/>
          <w:szCs w:val="24"/>
          <w:lang w:val="en-US"/>
        </w:rPr>
        <w:t xml:space="preserve">allow the sample enterprises various means to ask questions and support, </w:t>
      </w:r>
      <w:r w:rsidR="005D190B">
        <w:rPr>
          <w:rFonts w:ascii="Arial" w:hAnsi="Arial" w:cs="Arial"/>
          <w:sz w:val="24"/>
          <w:szCs w:val="24"/>
          <w:lang w:val="en-US"/>
        </w:rPr>
        <w:t>through direct or indirect contacts with</w:t>
      </w:r>
      <w:r w:rsidR="00705A5C">
        <w:rPr>
          <w:rFonts w:ascii="Arial" w:hAnsi="Arial" w:cs="Arial"/>
          <w:sz w:val="24"/>
          <w:szCs w:val="24"/>
          <w:lang w:val="en-US"/>
        </w:rPr>
        <w:t xml:space="preserve"> ISTAT. In particular, </w:t>
      </w:r>
      <w:r w:rsidR="009E259C" w:rsidRPr="00C1793C">
        <w:rPr>
          <w:rFonts w:ascii="Arial" w:hAnsi="Arial" w:cs="Arial"/>
          <w:sz w:val="24"/>
          <w:szCs w:val="24"/>
          <w:lang w:val="en-US"/>
        </w:rPr>
        <w:t xml:space="preserve">they can </w:t>
      </w:r>
      <w:r w:rsidR="00705A5C">
        <w:rPr>
          <w:rFonts w:ascii="Arial" w:hAnsi="Arial" w:cs="Arial"/>
          <w:sz w:val="24"/>
          <w:szCs w:val="24"/>
          <w:lang w:val="en-US"/>
        </w:rPr>
        <w:t>use certified or normal emails</w:t>
      </w:r>
      <w:r w:rsidR="00A725B9">
        <w:rPr>
          <w:rFonts w:ascii="Arial" w:hAnsi="Arial" w:cs="Arial"/>
          <w:sz w:val="24"/>
          <w:szCs w:val="24"/>
          <w:lang w:val="en-US"/>
        </w:rPr>
        <w:t xml:space="preserve"> and</w:t>
      </w:r>
      <w:r w:rsidR="00705A5C">
        <w:rPr>
          <w:rFonts w:ascii="Arial" w:hAnsi="Arial" w:cs="Arial"/>
          <w:sz w:val="24"/>
          <w:szCs w:val="24"/>
          <w:lang w:val="en-US"/>
        </w:rPr>
        <w:t xml:space="preserve"> </w:t>
      </w:r>
      <w:r w:rsidR="00697311">
        <w:rPr>
          <w:rFonts w:ascii="Arial" w:hAnsi="Arial" w:cs="Arial"/>
          <w:sz w:val="24"/>
          <w:szCs w:val="24"/>
          <w:lang w:val="en-US"/>
        </w:rPr>
        <w:t xml:space="preserve">phone calls to </w:t>
      </w:r>
      <w:r w:rsidR="00D37CA6">
        <w:rPr>
          <w:rFonts w:ascii="Arial" w:hAnsi="Arial" w:cs="Arial"/>
          <w:sz w:val="24"/>
          <w:szCs w:val="24"/>
          <w:lang w:val="en-US"/>
        </w:rPr>
        <w:t>a toll-free number</w:t>
      </w:r>
      <w:r w:rsidR="009E259C" w:rsidRPr="00C1793C">
        <w:rPr>
          <w:rFonts w:ascii="Arial" w:hAnsi="Arial" w:cs="Arial"/>
          <w:sz w:val="24"/>
          <w:szCs w:val="24"/>
          <w:lang w:val="en-US"/>
        </w:rPr>
        <w:t xml:space="preserve">. </w:t>
      </w:r>
      <w:r w:rsidR="00D37CA6">
        <w:rPr>
          <w:rFonts w:ascii="Arial" w:hAnsi="Arial" w:cs="Arial"/>
          <w:sz w:val="24"/>
          <w:szCs w:val="24"/>
          <w:lang w:val="en-US"/>
        </w:rPr>
        <w:t>Normal emails can be addressed directly to ISTAT or to an external provider</w:t>
      </w:r>
      <w:r w:rsidR="00044C4E">
        <w:rPr>
          <w:rFonts w:ascii="Arial" w:hAnsi="Arial" w:cs="Arial"/>
          <w:sz w:val="24"/>
          <w:szCs w:val="24"/>
          <w:lang w:val="en-US"/>
        </w:rPr>
        <w:t xml:space="preserve"> of inbound services</w:t>
      </w:r>
      <w:r w:rsidR="00AC6DEE">
        <w:rPr>
          <w:rFonts w:ascii="Arial" w:hAnsi="Arial" w:cs="Arial"/>
          <w:sz w:val="24"/>
          <w:szCs w:val="24"/>
          <w:lang w:val="en-US"/>
        </w:rPr>
        <w:t>. T</w:t>
      </w:r>
      <w:r w:rsidR="00D37CA6">
        <w:rPr>
          <w:rFonts w:ascii="Arial" w:hAnsi="Arial" w:cs="Arial"/>
          <w:sz w:val="24"/>
          <w:szCs w:val="24"/>
          <w:lang w:val="en-US"/>
        </w:rPr>
        <w:t>he same external provider manages the toll-free number</w:t>
      </w:r>
      <w:r w:rsidR="00A725B9">
        <w:rPr>
          <w:rFonts w:ascii="Arial" w:hAnsi="Arial" w:cs="Arial"/>
          <w:sz w:val="24"/>
          <w:szCs w:val="24"/>
          <w:lang w:val="en-US"/>
        </w:rPr>
        <w:t>, while certified emails arrive directly to ISTAT</w:t>
      </w:r>
      <w:r w:rsidR="00D37CA6">
        <w:rPr>
          <w:rFonts w:ascii="Arial" w:hAnsi="Arial" w:cs="Arial"/>
          <w:sz w:val="24"/>
          <w:szCs w:val="24"/>
          <w:lang w:val="en-US"/>
        </w:rPr>
        <w:t xml:space="preserve">. </w:t>
      </w:r>
      <w:r w:rsidR="00044C4E">
        <w:rPr>
          <w:rFonts w:ascii="Arial" w:hAnsi="Arial" w:cs="Arial"/>
          <w:sz w:val="24"/>
          <w:szCs w:val="24"/>
          <w:lang w:val="en-US"/>
        </w:rPr>
        <w:t>If an issue pertaining to the specific contents of the VELA questionnaire arrives to th</w:t>
      </w:r>
      <w:r w:rsidR="004F4025">
        <w:rPr>
          <w:rFonts w:ascii="Arial" w:hAnsi="Arial" w:cs="Arial"/>
          <w:sz w:val="24"/>
          <w:szCs w:val="24"/>
          <w:lang w:val="en-US"/>
        </w:rPr>
        <w:t>e</w:t>
      </w:r>
      <w:r w:rsidR="00044C4E">
        <w:rPr>
          <w:rFonts w:ascii="Arial" w:hAnsi="Arial" w:cs="Arial"/>
          <w:sz w:val="24"/>
          <w:szCs w:val="24"/>
          <w:lang w:val="en-US"/>
        </w:rPr>
        <w:t xml:space="preserve"> inbound services external provide</w:t>
      </w:r>
      <w:r w:rsidR="002710D8">
        <w:rPr>
          <w:rFonts w:ascii="Arial" w:hAnsi="Arial" w:cs="Arial"/>
          <w:sz w:val="24"/>
          <w:szCs w:val="24"/>
          <w:lang w:val="en-US"/>
        </w:rPr>
        <w:t>r, this request is forwarded to the unit responsible for the production of the statistical outputs (and it is called “ticket” in the following).</w:t>
      </w:r>
      <w:r w:rsidR="00F0004C">
        <w:rPr>
          <w:rFonts w:ascii="Arial" w:hAnsi="Arial" w:cs="Arial"/>
          <w:sz w:val="24"/>
          <w:szCs w:val="24"/>
          <w:lang w:val="en-US"/>
        </w:rPr>
        <w:t xml:space="preserve"> </w:t>
      </w:r>
      <w:r w:rsidR="004F4025">
        <w:rPr>
          <w:rFonts w:ascii="Arial" w:hAnsi="Arial" w:cs="Arial"/>
          <w:sz w:val="24"/>
          <w:szCs w:val="24"/>
          <w:lang w:val="en-US"/>
        </w:rPr>
        <w:t xml:space="preserve">All other issues </w:t>
      </w:r>
      <w:r w:rsidR="00D47DAF">
        <w:rPr>
          <w:rFonts w:ascii="Arial" w:hAnsi="Arial" w:cs="Arial"/>
          <w:sz w:val="24"/>
          <w:szCs w:val="24"/>
          <w:lang w:val="en-US"/>
        </w:rPr>
        <w:t>are addressed</w:t>
      </w:r>
      <w:r w:rsidR="004F4025">
        <w:rPr>
          <w:rFonts w:ascii="Arial" w:hAnsi="Arial" w:cs="Arial"/>
          <w:sz w:val="24"/>
          <w:szCs w:val="24"/>
          <w:lang w:val="en-US"/>
        </w:rPr>
        <w:t xml:space="preserve"> by the relevant data collection unit (in the case of certified emails) or the external provider (in the case of emails and phone calls arriving directly to it). </w:t>
      </w:r>
    </w:p>
    <w:p w14:paraId="0092C7BB" w14:textId="38171DAD" w:rsidR="00901453" w:rsidRDefault="0098739D" w:rsidP="00FC38D9">
      <w:pPr>
        <w:spacing w:before="120" w:after="0" w:line="360" w:lineRule="auto"/>
        <w:jc w:val="both"/>
        <w:rPr>
          <w:rFonts w:ascii="Arial" w:hAnsi="Arial" w:cs="Arial"/>
          <w:sz w:val="24"/>
          <w:szCs w:val="24"/>
          <w:lang w:val="en-US"/>
        </w:rPr>
      </w:pPr>
      <w:r>
        <w:rPr>
          <w:rFonts w:ascii="Arial" w:hAnsi="Arial" w:cs="Arial"/>
          <w:sz w:val="24"/>
          <w:szCs w:val="24"/>
          <w:lang w:val="en-US"/>
        </w:rPr>
        <w:t>In Table</w:t>
      </w:r>
      <w:r w:rsidR="00901453">
        <w:rPr>
          <w:rFonts w:ascii="Arial" w:hAnsi="Arial" w:cs="Arial"/>
          <w:sz w:val="24"/>
          <w:szCs w:val="24"/>
          <w:lang w:val="en-US"/>
        </w:rPr>
        <w:t xml:space="preserve"> </w:t>
      </w:r>
      <w:r w:rsidR="004D6704">
        <w:rPr>
          <w:rFonts w:ascii="Arial" w:hAnsi="Arial" w:cs="Arial"/>
          <w:sz w:val="24"/>
          <w:szCs w:val="24"/>
          <w:lang w:val="en-US"/>
        </w:rPr>
        <w:t>3</w:t>
      </w:r>
      <w:r>
        <w:rPr>
          <w:rFonts w:ascii="Arial" w:hAnsi="Arial" w:cs="Arial"/>
          <w:sz w:val="24"/>
          <w:szCs w:val="24"/>
          <w:lang w:val="en-US"/>
        </w:rPr>
        <w:t>,</w:t>
      </w:r>
      <w:r w:rsidR="00901453">
        <w:rPr>
          <w:rFonts w:ascii="Arial" w:hAnsi="Arial" w:cs="Arial"/>
          <w:sz w:val="24"/>
          <w:szCs w:val="24"/>
          <w:lang w:val="en-US"/>
        </w:rPr>
        <w:t xml:space="preserve"> only </w:t>
      </w:r>
      <w:r w:rsidR="004B298C">
        <w:rPr>
          <w:rFonts w:ascii="Arial" w:hAnsi="Arial" w:cs="Arial"/>
          <w:sz w:val="24"/>
          <w:szCs w:val="24"/>
          <w:lang w:val="en-US"/>
        </w:rPr>
        <w:t xml:space="preserve">communications related to the specific contents of the VELA questionnaire and </w:t>
      </w:r>
      <w:r w:rsidR="00D47DAF">
        <w:rPr>
          <w:rFonts w:ascii="Arial" w:hAnsi="Arial" w:cs="Arial"/>
          <w:sz w:val="24"/>
          <w:szCs w:val="24"/>
          <w:lang w:val="en-US"/>
        </w:rPr>
        <w:t>to which a response is supplied by</w:t>
      </w:r>
      <w:r w:rsidR="004B298C">
        <w:rPr>
          <w:rFonts w:ascii="Arial" w:hAnsi="Arial" w:cs="Arial"/>
          <w:sz w:val="24"/>
          <w:szCs w:val="24"/>
          <w:lang w:val="en-US"/>
        </w:rPr>
        <w:t xml:space="preserve"> the unit responsible for the production of the statistical outputs are considered.</w:t>
      </w:r>
    </w:p>
    <w:p w14:paraId="1A050DC7" w14:textId="77777777" w:rsidR="00F0004C" w:rsidRDefault="00F0004C" w:rsidP="00FC38D9">
      <w:pPr>
        <w:spacing w:before="120" w:after="0" w:line="360" w:lineRule="auto"/>
        <w:jc w:val="both"/>
        <w:rPr>
          <w:rFonts w:ascii="Arial" w:hAnsi="Arial" w:cs="Arial"/>
          <w:sz w:val="24"/>
          <w:szCs w:val="24"/>
          <w:lang w:val="en-US"/>
        </w:rPr>
      </w:pPr>
    </w:p>
    <w:p w14:paraId="4EEE51A7" w14:textId="5F9EFEDF" w:rsidR="00202F48" w:rsidRPr="00EC5F5A" w:rsidRDefault="00202F48" w:rsidP="00202F48">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4D6704">
        <w:rPr>
          <w:rFonts w:ascii="Arial" w:hAnsi="Arial" w:cs="Arial"/>
          <w:b/>
          <w:i w:val="0"/>
          <w:color w:val="auto"/>
          <w:sz w:val="20"/>
          <w:szCs w:val="20"/>
          <w:lang w:val="en-GB"/>
        </w:rPr>
        <w:t>3</w:t>
      </w:r>
      <w:r w:rsidRPr="00EC5F5A">
        <w:rPr>
          <w:rFonts w:ascii="Arial" w:hAnsi="Arial" w:cs="Arial"/>
          <w:b/>
          <w:i w:val="0"/>
          <w:color w:val="auto"/>
          <w:sz w:val="20"/>
          <w:szCs w:val="20"/>
          <w:lang w:val="en-GB"/>
        </w:rPr>
        <w:t>.</w:t>
      </w:r>
      <w:r w:rsidR="00C1793C">
        <w:rPr>
          <w:rFonts w:ascii="Arial" w:hAnsi="Arial" w:cs="Arial"/>
          <w:b/>
          <w:i w:val="0"/>
          <w:color w:val="auto"/>
          <w:sz w:val="20"/>
          <w:szCs w:val="20"/>
          <w:lang w:val="en-GB"/>
        </w:rPr>
        <w:t xml:space="preserve"> </w:t>
      </w:r>
      <w:r w:rsidR="00F0004C">
        <w:rPr>
          <w:rFonts w:ascii="Arial" w:hAnsi="Arial" w:cs="Arial"/>
          <w:b/>
          <w:i w:val="0"/>
          <w:color w:val="auto"/>
          <w:sz w:val="20"/>
          <w:szCs w:val="20"/>
          <w:lang w:val="en-GB"/>
        </w:rPr>
        <w:t xml:space="preserve">Communication flows with sample enterprises </w:t>
      </w:r>
      <w:r w:rsidR="00D963C0">
        <w:rPr>
          <w:rFonts w:ascii="Arial" w:hAnsi="Arial" w:cs="Arial"/>
          <w:b/>
          <w:i w:val="0"/>
          <w:color w:val="auto"/>
          <w:sz w:val="20"/>
          <w:szCs w:val="20"/>
          <w:lang w:val="en-GB"/>
        </w:rPr>
        <w:t xml:space="preserve">managed by the </w:t>
      </w:r>
      <w:r w:rsidR="00D963C0" w:rsidRPr="00D963C0">
        <w:rPr>
          <w:rFonts w:ascii="Arial" w:hAnsi="Arial" w:cs="Arial"/>
          <w:b/>
          <w:i w:val="0"/>
          <w:color w:val="auto"/>
          <w:sz w:val="20"/>
          <w:szCs w:val="20"/>
          <w:lang w:val="en-GB"/>
        </w:rPr>
        <w:t>unit responsible for the production of the statistical outputs</w:t>
      </w:r>
      <w:r w:rsidR="00F0004C">
        <w:rPr>
          <w:rFonts w:ascii="Arial" w:hAnsi="Arial" w:cs="Arial"/>
          <w:b/>
          <w:i w:val="0"/>
          <w:color w:val="auto"/>
          <w:sz w:val="20"/>
          <w:szCs w:val="20"/>
          <w:lang w:val="en-GB"/>
        </w:rPr>
        <w:t xml:space="preserve"> </w:t>
      </w:r>
      <w:r w:rsidR="00D963C0">
        <w:rPr>
          <w:rFonts w:ascii="Arial" w:hAnsi="Arial" w:cs="Arial"/>
          <w:b/>
          <w:i w:val="0"/>
          <w:color w:val="auto"/>
          <w:sz w:val="20"/>
          <w:szCs w:val="20"/>
          <w:lang w:val="en-GB"/>
        </w:rPr>
        <w:t>- Year</w:t>
      </w:r>
      <w:r w:rsidR="009B4AC1">
        <w:rPr>
          <w:rFonts w:ascii="Arial" w:hAnsi="Arial" w:cs="Arial"/>
          <w:b/>
          <w:i w:val="0"/>
          <w:color w:val="auto"/>
          <w:sz w:val="20"/>
          <w:szCs w:val="20"/>
          <w:lang w:val="en-GB"/>
        </w:rPr>
        <w:t>s</w:t>
      </w:r>
      <w:r w:rsidRPr="00EC5F5A">
        <w:rPr>
          <w:rFonts w:ascii="Arial" w:hAnsi="Arial" w:cs="Arial"/>
          <w:b/>
          <w:i w:val="0"/>
          <w:color w:val="auto"/>
          <w:sz w:val="20"/>
          <w:szCs w:val="20"/>
          <w:lang w:val="en-GB"/>
        </w:rPr>
        <w:t xml:space="preserve"> </w:t>
      </w:r>
      <w:r w:rsidR="009B4AC1">
        <w:rPr>
          <w:rFonts w:ascii="Arial" w:hAnsi="Arial" w:cs="Arial"/>
          <w:b/>
          <w:i w:val="0"/>
          <w:color w:val="auto"/>
          <w:sz w:val="20"/>
          <w:szCs w:val="20"/>
          <w:lang w:val="en-GB"/>
        </w:rPr>
        <w:t>2016-2017</w:t>
      </w:r>
    </w:p>
    <w:tbl>
      <w:tblPr>
        <w:tblW w:w="5000" w:type="pct"/>
        <w:tblCellMar>
          <w:left w:w="70" w:type="dxa"/>
          <w:right w:w="70" w:type="dxa"/>
        </w:tblCellMar>
        <w:tblLook w:val="04A0" w:firstRow="1" w:lastRow="0" w:firstColumn="1" w:lastColumn="0" w:noHBand="0" w:noVBand="1"/>
      </w:tblPr>
      <w:tblGrid>
        <w:gridCol w:w="540"/>
        <w:gridCol w:w="585"/>
        <w:gridCol w:w="585"/>
        <w:gridCol w:w="745"/>
        <w:gridCol w:w="196"/>
        <w:gridCol w:w="585"/>
        <w:gridCol w:w="585"/>
        <w:gridCol w:w="652"/>
        <w:gridCol w:w="196"/>
        <w:gridCol w:w="585"/>
        <w:gridCol w:w="585"/>
        <w:gridCol w:w="752"/>
        <w:gridCol w:w="196"/>
        <w:gridCol w:w="741"/>
        <w:gridCol w:w="741"/>
        <w:gridCol w:w="943"/>
      </w:tblGrid>
      <w:tr w:rsidR="00C12847" w:rsidRPr="0098739D" w14:paraId="3FA50E6B" w14:textId="77777777" w:rsidTr="00CE635D">
        <w:trPr>
          <w:trHeight w:val="315"/>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FBF1B" w14:textId="77777777" w:rsidR="0098739D" w:rsidRPr="003316A8" w:rsidRDefault="0098739D" w:rsidP="0098739D">
            <w:pPr>
              <w:spacing w:after="0" w:line="240" w:lineRule="auto"/>
              <w:rPr>
                <w:rFonts w:ascii="Calibri" w:eastAsia="Times New Roman" w:hAnsi="Calibri" w:cs="Times New Roman"/>
                <w:color w:val="000000"/>
                <w:lang w:val="en-US" w:eastAsia="it-IT"/>
              </w:rPr>
            </w:pPr>
            <w:r w:rsidRPr="003316A8">
              <w:rPr>
                <w:rFonts w:ascii="Calibri" w:eastAsia="Times New Roman" w:hAnsi="Calibri" w:cs="Times New Roman"/>
                <w:color w:val="000000"/>
                <w:lang w:val="en-US" w:eastAsia="it-IT"/>
              </w:rPr>
              <w:t> </w:t>
            </w:r>
          </w:p>
        </w:tc>
        <w:tc>
          <w:tcPr>
            <w:tcW w:w="1143" w:type="pct"/>
            <w:gridSpan w:val="3"/>
            <w:tcBorders>
              <w:top w:val="single" w:sz="4" w:space="0" w:color="auto"/>
              <w:left w:val="nil"/>
              <w:bottom w:val="single" w:sz="4" w:space="0" w:color="auto"/>
              <w:right w:val="single" w:sz="4" w:space="0" w:color="auto"/>
            </w:tcBorders>
            <w:shd w:val="clear" w:color="auto" w:fill="auto"/>
            <w:noWrap/>
            <w:vAlign w:val="bottom"/>
            <w:hideMark/>
          </w:tcPr>
          <w:p w14:paraId="58935ED3" w14:textId="4F4FAFE1" w:rsidR="0098739D" w:rsidRPr="0098739D" w:rsidRDefault="00C12847" w:rsidP="0098739D">
            <w:pPr>
              <w:spacing w:after="0" w:line="240" w:lineRule="auto"/>
              <w:jc w:val="center"/>
              <w:rPr>
                <w:rFonts w:ascii="Calibri" w:eastAsia="Times New Roman" w:hAnsi="Calibri" w:cs="Times New Roman"/>
                <w:color w:val="000000"/>
                <w:lang w:val="it-IT" w:eastAsia="it-IT"/>
              </w:rPr>
            </w:pPr>
            <w:r>
              <w:rPr>
                <w:rFonts w:ascii="Calibri" w:eastAsia="Times New Roman" w:hAnsi="Calibri" w:cs="Times New Roman"/>
                <w:color w:val="000000"/>
                <w:lang w:val="it-IT" w:eastAsia="it-IT"/>
              </w:rPr>
              <w:t>Email - Received</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14:paraId="28A9B3C6" w14:textId="68CD136A" w:rsidR="0098739D" w:rsidRPr="0098739D" w:rsidRDefault="00C12847" w:rsidP="0098739D">
            <w:pPr>
              <w:spacing w:after="0" w:line="240" w:lineRule="auto"/>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 </w:t>
            </w:r>
          </w:p>
        </w:tc>
        <w:tc>
          <w:tcPr>
            <w:tcW w:w="1050" w:type="pct"/>
            <w:gridSpan w:val="3"/>
            <w:tcBorders>
              <w:top w:val="single" w:sz="4" w:space="0" w:color="auto"/>
              <w:left w:val="nil"/>
              <w:bottom w:val="single" w:sz="4" w:space="0" w:color="auto"/>
              <w:right w:val="single" w:sz="4" w:space="0" w:color="auto"/>
            </w:tcBorders>
            <w:shd w:val="clear" w:color="auto" w:fill="auto"/>
            <w:noWrap/>
            <w:vAlign w:val="bottom"/>
            <w:hideMark/>
          </w:tcPr>
          <w:p w14:paraId="116274B8" w14:textId="0FA1D014" w:rsidR="0098739D" w:rsidRPr="0098739D" w:rsidRDefault="00C12847" w:rsidP="0098739D">
            <w:pPr>
              <w:spacing w:after="0" w:line="240" w:lineRule="auto"/>
              <w:jc w:val="center"/>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Email - Sent</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14:paraId="09247CC1" w14:textId="79B45F65" w:rsidR="0098739D" w:rsidRPr="0098739D" w:rsidRDefault="00C12847" w:rsidP="0098739D">
            <w:pPr>
              <w:spacing w:after="0" w:line="240" w:lineRule="auto"/>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 </w:t>
            </w:r>
          </w:p>
        </w:tc>
        <w:tc>
          <w:tcPr>
            <w:tcW w:w="1050" w:type="pct"/>
            <w:gridSpan w:val="3"/>
            <w:tcBorders>
              <w:top w:val="single" w:sz="4" w:space="0" w:color="auto"/>
              <w:left w:val="nil"/>
              <w:bottom w:val="single" w:sz="4" w:space="0" w:color="auto"/>
              <w:right w:val="single" w:sz="4" w:space="0" w:color="auto"/>
            </w:tcBorders>
            <w:shd w:val="clear" w:color="auto" w:fill="auto"/>
            <w:noWrap/>
            <w:vAlign w:val="bottom"/>
            <w:hideMark/>
          </w:tcPr>
          <w:p w14:paraId="57D2BDA5" w14:textId="3204B7C4" w:rsidR="0098739D" w:rsidRPr="0098739D" w:rsidRDefault="00C12847" w:rsidP="0098739D">
            <w:pPr>
              <w:spacing w:after="0" w:line="240" w:lineRule="auto"/>
              <w:jc w:val="center"/>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Tickets</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14:paraId="4AC2525C" w14:textId="29871BFF" w:rsidR="0098739D" w:rsidRPr="0098739D" w:rsidRDefault="00C12847" w:rsidP="0098739D">
            <w:pPr>
              <w:spacing w:after="0" w:line="240" w:lineRule="auto"/>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 </w:t>
            </w:r>
          </w:p>
        </w:tc>
        <w:tc>
          <w:tcPr>
            <w:tcW w:w="1138" w:type="pct"/>
            <w:gridSpan w:val="3"/>
            <w:tcBorders>
              <w:top w:val="single" w:sz="4" w:space="0" w:color="auto"/>
              <w:left w:val="nil"/>
              <w:bottom w:val="single" w:sz="4" w:space="0" w:color="auto"/>
              <w:right w:val="single" w:sz="4" w:space="0" w:color="auto"/>
            </w:tcBorders>
            <w:shd w:val="clear" w:color="auto" w:fill="auto"/>
            <w:noWrap/>
            <w:vAlign w:val="bottom"/>
            <w:hideMark/>
          </w:tcPr>
          <w:p w14:paraId="1BDE7116" w14:textId="050B698E" w:rsidR="0098739D" w:rsidRPr="0098739D" w:rsidRDefault="00C12847" w:rsidP="0098739D">
            <w:pPr>
              <w:spacing w:after="0" w:line="240" w:lineRule="auto"/>
              <w:jc w:val="center"/>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Certified email</w:t>
            </w:r>
            <w:r>
              <w:rPr>
                <w:rFonts w:ascii="Calibri" w:eastAsia="Times New Roman" w:hAnsi="Calibri" w:cs="Times New Roman"/>
                <w:color w:val="000000"/>
                <w:lang w:val="it-IT" w:eastAsia="it-IT"/>
              </w:rPr>
              <w:t xml:space="preserve"> - Received</w:t>
            </w:r>
          </w:p>
        </w:tc>
      </w:tr>
      <w:tr w:rsidR="00C12847" w:rsidRPr="0098739D" w14:paraId="7FD00F12" w14:textId="77777777" w:rsidTr="00CE635D">
        <w:trPr>
          <w:trHeight w:val="525"/>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3A26E5E7" w14:textId="77777777" w:rsidR="0098739D" w:rsidRPr="0098739D" w:rsidRDefault="0098739D" w:rsidP="0098739D">
            <w:pPr>
              <w:spacing w:after="0" w:line="240" w:lineRule="auto"/>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 </w:t>
            </w:r>
          </w:p>
        </w:tc>
        <w:tc>
          <w:tcPr>
            <w:tcW w:w="348" w:type="pct"/>
            <w:tcBorders>
              <w:top w:val="nil"/>
              <w:left w:val="nil"/>
              <w:bottom w:val="single" w:sz="4" w:space="0" w:color="auto"/>
              <w:right w:val="single" w:sz="4" w:space="0" w:color="auto"/>
            </w:tcBorders>
            <w:shd w:val="clear" w:color="auto" w:fill="auto"/>
            <w:vAlign w:val="center"/>
            <w:hideMark/>
          </w:tcPr>
          <w:p w14:paraId="014EB041"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2016</w:t>
            </w:r>
          </w:p>
        </w:tc>
        <w:tc>
          <w:tcPr>
            <w:tcW w:w="348" w:type="pct"/>
            <w:tcBorders>
              <w:top w:val="nil"/>
              <w:left w:val="nil"/>
              <w:bottom w:val="single" w:sz="4" w:space="0" w:color="auto"/>
              <w:right w:val="single" w:sz="4" w:space="0" w:color="auto"/>
            </w:tcBorders>
            <w:shd w:val="clear" w:color="auto" w:fill="auto"/>
            <w:vAlign w:val="center"/>
            <w:hideMark/>
          </w:tcPr>
          <w:p w14:paraId="42CC5F37"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2017</w:t>
            </w:r>
          </w:p>
        </w:tc>
        <w:tc>
          <w:tcPr>
            <w:tcW w:w="447" w:type="pct"/>
            <w:tcBorders>
              <w:top w:val="nil"/>
              <w:left w:val="nil"/>
              <w:bottom w:val="single" w:sz="4" w:space="0" w:color="auto"/>
              <w:right w:val="single" w:sz="4" w:space="0" w:color="auto"/>
            </w:tcBorders>
            <w:shd w:val="clear" w:color="auto" w:fill="auto"/>
            <w:vAlign w:val="center"/>
            <w:hideMark/>
          </w:tcPr>
          <w:p w14:paraId="356DA443"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2017-2016 (%)</w:t>
            </w:r>
          </w:p>
        </w:tc>
        <w:tc>
          <w:tcPr>
            <w:tcW w:w="106" w:type="pct"/>
            <w:tcBorders>
              <w:top w:val="nil"/>
              <w:left w:val="nil"/>
              <w:bottom w:val="single" w:sz="4" w:space="0" w:color="auto"/>
              <w:right w:val="single" w:sz="4" w:space="0" w:color="auto"/>
            </w:tcBorders>
            <w:shd w:val="clear" w:color="auto" w:fill="auto"/>
            <w:noWrap/>
            <w:vAlign w:val="bottom"/>
            <w:hideMark/>
          </w:tcPr>
          <w:p w14:paraId="4A437721" w14:textId="77777777" w:rsidR="0098739D" w:rsidRPr="0098739D" w:rsidRDefault="0098739D" w:rsidP="0098739D">
            <w:pPr>
              <w:spacing w:after="0" w:line="240" w:lineRule="auto"/>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193E1032"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2016</w:t>
            </w:r>
          </w:p>
        </w:tc>
        <w:tc>
          <w:tcPr>
            <w:tcW w:w="318" w:type="pct"/>
            <w:tcBorders>
              <w:top w:val="nil"/>
              <w:left w:val="nil"/>
              <w:bottom w:val="single" w:sz="4" w:space="0" w:color="auto"/>
              <w:right w:val="single" w:sz="4" w:space="0" w:color="auto"/>
            </w:tcBorders>
            <w:shd w:val="clear" w:color="auto" w:fill="auto"/>
            <w:vAlign w:val="center"/>
            <w:hideMark/>
          </w:tcPr>
          <w:p w14:paraId="7D001485"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2017</w:t>
            </w:r>
          </w:p>
        </w:tc>
        <w:tc>
          <w:tcPr>
            <w:tcW w:w="414" w:type="pct"/>
            <w:tcBorders>
              <w:top w:val="nil"/>
              <w:left w:val="nil"/>
              <w:bottom w:val="single" w:sz="4" w:space="0" w:color="auto"/>
              <w:right w:val="single" w:sz="4" w:space="0" w:color="auto"/>
            </w:tcBorders>
            <w:shd w:val="clear" w:color="auto" w:fill="auto"/>
            <w:vAlign w:val="center"/>
            <w:hideMark/>
          </w:tcPr>
          <w:p w14:paraId="072021AA"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2017-2016 (%)</w:t>
            </w:r>
          </w:p>
        </w:tc>
        <w:tc>
          <w:tcPr>
            <w:tcW w:w="106" w:type="pct"/>
            <w:tcBorders>
              <w:top w:val="nil"/>
              <w:left w:val="nil"/>
              <w:bottom w:val="single" w:sz="4" w:space="0" w:color="auto"/>
              <w:right w:val="single" w:sz="4" w:space="0" w:color="auto"/>
            </w:tcBorders>
            <w:shd w:val="clear" w:color="auto" w:fill="auto"/>
            <w:noWrap/>
            <w:vAlign w:val="bottom"/>
            <w:hideMark/>
          </w:tcPr>
          <w:p w14:paraId="76B8273C" w14:textId="77777777" w:rsidR="0098739D" w:rsidRPr="0098739D" w:rsidRDefault="0098739D" w:rsidP="0098739D">
            <w:pPr>
              <w:spacing w:after="0" w:line="240" w:lineRule="auto"/>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11C616A5"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2016</w:t>
            </w:r>
          </w:p>
        </w:tc>
        <w:tc>
          <w:tcPr>
            <w:tcW w:w="318" w:type="pct"/>
            <w:tcBorders>
              <w:top w:val="nil"/>
              <w:left w:val="nil"/>
              <w:bottom w:val="single" w:sz="4" w:space="0" w:color="auto"/>
              <w:right w:val="single" w:sz="4" w:space="0" w:color="auto"/>
            </w:tcBorders>
            <w:shd w:val="clear" w:color="auto" w:fill="auto"/>
            <w:vAlign w:val="center"/>
            <w:hideMark/>
          </w:tcPr>
          <w:p w14:paraId="775F7681"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2017</w:t>
            </w:r>
          </w:p>
        </w:tc>
        <w:tc>
          <w:tcPr>
            <w:tcW w:w="414" w:type="pct"/>
            <w:tcBorders>
              <w:top w:val="nil"/>
              <w:left w:val="nil"/>
              <w:bottom w:val="single" w:sz="4" w:space="0" w:color="auto"/>
              <w:right w:val="single" w:sz="4" w:space="0" w:color="auto"/>
            </w:tcBorders>
            <w:shd w:val="clear" w:color="auto" w:fill="auto"/>
            <w:vAlign w:val="center"/>
            <w:hideMark/>
          </w:tcPr>
          <w:p w14:paraId="24522668"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2017-2016 (%)</w:t>
            </w:r>
          </w:p>
        </w:tc>
        <w:tc>
          <w:tcPr>
            <w:tcW w:w="106" w:type="pct"/>
            <w:tcBorders>
              <w:top w:val="nil"/>
              <w:left w:val="nil"/>
              <w:bottom w:val="single" w:sz="4" w:space="0" w:color="auto"/>
              <w:right w:val="single" w:sz="4" w:space="0" w:color="auto"/>
            </w:tcBorders>
            <w:shd w:val="clear" w:color="auto" w:fill="auto"/>
            <w:noWrap/>
            <w:vAlign w:val="bottom"/>
            <w:hideMark/>
          </w:tcPr>
          <w:p w14:paraId="7E981ADA" w14:textId="77777777" w:rsidR="0098739D" w:rsidRPr="0098739D" w:rsidRDefault="0098739D" w:rsidP="0098739D">
            <w:pPr>
              <w:spacing w:after="0" w:line="240" w:lineRule="auto"/>
              <w:rPr>
                <w:rFonts w:ascii="Calibri" w:eastAsia="Times New Roman" w:hAnsi="Calibri" w:cs="Times New Roman"/>
                <w:color w:val="000000"/>
                <w:lang w:val="it-IT" w:eastAsia="it-IT"/>
              </w:rPr>
            </w:pPr>
            <w:r w:rsidRPr="0098739D">
              <w:rPr>
                <w:rFonts w:ascii="Calibri" w:eastAsia="Times New Roman" w:hAnsi="Calibri" w:cs="Times New Roman"/>
                <w:color w:val="000000"/>
                <w:lang w:val="it-IT" w:eastAsia="it-IT"/>
              </w:rPr>
              <w:t> </w:t>
            </w:r>
          </w:p>
        </w:tc>
        <w:tc>
          <w:tcPr>
            <w:tcW w:w="348" w:type="pct"/>
            <w:tcBorders>
              <w:top w:val="nil"/>
              <w:left w:val="nil"/>
              <w:bottom w:val="single" w:sz="4" w:space="0" w:color="auto"/>
              <w:right w:val="single" w:sz="4" w:space="0" w:color="auto"/>
            </w:tcBorders>
            <w:shd w:val="clear" w:color="auto" w:fill="auto"/>
            <w:vAlign w:val="center"/>
            <w:hideMark/>
          </w:tcPr>
          <w:p w14:paraId="2C4B0A71"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2016</w:t>
            </w:r>
          </w:p>
        </w:tc>
        <w:tc>
          <w:tcPr>
            <w:tcW w:w="348" w:type="pct"/>
            <w:tcBorders>
              <w:top w:val="nil"/>
              <w:left w:val="nil"/>
              <w:bottom w:val="single" w:sz="4" w:space="0" w:color="auto"/>
              <w:right w:val="single" w:sz="4" w:space="0" w:color="auto"/>
            </w:tcBorders>
            <w:shd w:val="clear" w:color="auto" w:fill="auto"/>
            <w:vAlign w:val="center"/>
            <w:hideMark/>
          </w:tcPr>
          <w:p w14:paraId="55DC6498"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2017</w:t>
            </w:r>
          </w:p>
        </w:tc>
        <w:tc>
          <w:tcPr>
            <w:tcW w:w="442" w:type="pct"/>
            <w:tcBorders>
              <w:top w:val="nil"/>
              <w:left w:val="nil"/>
              <w:bottom w:val="single" w:sz="4" w:space="0" w:color="auto"/>
              <w:right w:val="single" w:sz="4" w:space="0" w:color="auto"/>
            </w:tcBorders>
            <w:shd w:val="clear" w:color="auto" w:fill="auto"/>
            <w:vAlign w:val="center"/>
            <w:hideMark/>
          </w:tcPr>
          <w:p w14:paraId="030C095E" w14:textId="77777777" w:rsidR="0098739D" w:rsidRPr="0098739D" w:rsidRDefault="0098739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2017-2016 (%)</w:t>
            </w:r>
          </w:p>
        </w:tc>
      </w:tr>
      <w:tr w:rsidR="00C12847" w:rsidRPr="0098739D" w14:paraId="5EA684DB" w14:textId="77777777" w:rsidTr="00CE635D">
        <w:trPr>
          <w:trHeight w:val="525"/>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BDF2105" w14:textId="77777777" w:rsidR="00CE635D" w:rsidRPr="0098739D" w:rsidRDefault="00CE635D" w:rsidP="0098739D">
            <w:pPr>
              <w:spacing w:after="0" w:line="240" w:lineRule="auto"/>
              <w:jc w:val="center"/>
              <w:rPr>
                <w:rFonts w:ascii="Arial" w:eastAsia="Times New Roman" w:hAnsi="Arial" w:cs="Arial"/>
                <w:b/>
                <w:bCs/>
                <w:color w:val="000000"/>
                <w:sz w:val="20"/>
                <w:szCs w:val="20"/>
                <w:lang w:val="it-IT" w:eastAsia="it-IT"/>
              </w:rPr>
            </w:pPr>
            <w:r w:rsidRPr="0098739D">
              <w:rPr>
                <w:rFonts w:ascii="Arial" w:eastAsia="Times New Roman" w:hAnsi="Arial" w:cs="Arial"/>
                <w:b/>
                <w:bCs/>
                <w:color w:val="000000"/>
                <w:sz w:val="20"/>
                <w:szCs w:val="20"/>
                <w:lang w:val="en-GB" w:eastAsia="it-IT"/>
              </w:rPr>
              <w:t>I</w:t>
            </w:r>
          </w:p>
        </w:tc>
        <w:tc>
          <w:tcPr>
            <w:tcW w:w="348" w:type="pct"/>
            <w:tcBorders>
              <w:top w:val="nil"/>
              <w:left w:val="nil"/>
              <w:bottom w:val="single" w:sz="4" w:space="0" w:color="auto"/>
              <w:right w:val="single" w:sz="4" w:space="0" w:color="auto"/>
            </w:tcBorders>
            <w:shd w:val="clear" w:color="auto" w:fill="auto"/>
            <w:vAlign w:val="center"/>
            <w:hideMark/>
          </w:tcPr>
          <w:p w14:paraId="6A02BAEB" w14:textId="5465C0A9"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371</w:t>
            </w:r>
          </w:p>
        </w:tc>
        <w:tc>
          <w:tcPr>
            <w:tcW w:w="348" w:type="pct"/>
            <w:tcBorders>
              <w:top w:val="nil"/>
              <w:left w:val="nil"/>
              <w:bottom w:val="single" w:sz="4" w:space="0" w:color="auto"/>
              <w:right w:val="single" w:sz="4" w:space="0" w:color="auto"/>
            </w:tcBorders>
            <w:shd w:val="clear" w:color="auto" w:fill="auto"/>
            <w:vAlign w:val="center"/>
            <w:hideMark/>
          </w:tcPr>
          <w:p w14:paraId="05C9BE30" w14:textId="47D26B1D"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738</w:t>
            </w:r>
          </w:p>
        </w:tc>
        <w:tc>
          <w:tcPr>
            <w:tcW w:w="447" w:type="pct"/>
            <w:tcBorders>
              <w:top w:val="nil"/>
              <w:left w:val="nil"/>
              <w:bottom w:val="single" w:sz="4" w:space="0" w:color="auto"/>
              <w:right w:val="single" w:sz="4" w:space="0" w:color="auto"/>
            </w:tcBorders>
            <w:shd w:val="clear" w:color="auto" w:fill="auto"/>
            <w:vAlign w:val="center"/>
            <w:hideMark/>
          </w:tcPr>
          <w:p w14:paraId="2791F1BC" w14:textId="0DB3DBCE"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98.9</w:t>
            </w:r>
          </w:p>
        </w:tc>
        <w:tc>
          <w:tcPr>
            <w:tcW w:w="106" w:type="pct"/>
            <w:tcBorders>
              <w:top w:val="nil"/>
              <w:left w:val="nil"/>
              <w:bottom w:val="single" w:sz="4" w:space="0" w:color="auto"/>
              <w:right w:val="single" w:sz="4" w:space="0" w:color="auto"/>
            </w:tcBorders>
            <w:shd w:val="clear" w:color="auto" w:fill="auto"/>
            <w:noWrap/>
            <w:vAlign w:val="bottom"/>
            <w:hideMark/>
          </w:tcPr>
          <w:p w14:paraId="24F378EA"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2B7264A7"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90</w:t>
            </w:r>
          </w:p>
        </w:tc>
        <w:tc>
          <w:tcPr>
            <w:tcW w:w="318" w:type="pct"/>
            <w:tcBorders>
              <w:top w:val="nil"/>
              <w:left w:val="nil"/>
              <w:bottom w:val="single" w:sz="4" w:space="0" w:color="auto"/>
              <w:right w:val="single" w:sz="4" w:space="0" w:color="auto"/>
            </w:tcBorders>
            <w:shd w:val="clear" w:color="auto" w:fill="auto"/>
            <w:vAlign w:val="center"/>
            <w:hideMark/>
          </w:tcPr>
          <w:p w14:paraId="5E8C249F"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248</w:t>
            </w:r>
          </w:p>
        </w:tc>
        <w:tc>
          <w:tcPr>
            <w:tcW w:w="414" w:type="pct"/>
            <w:tcBorders>
              <w:top w:val="nil"/>
              <w:left w:val="nil"/>
              <w:bottom w:val="single" w:sz="4" w:space="0" w:color="auto"/>
              <w:right w:val="single" w:sz="4" w:space="0" w:color="auto"/>
            </w:tcBorders>
            <w:shd w:val="clear" w:color="auto" w:fill="auto"/>
            <w:vAlign w:val="center"/>
            <w:hideMark/>
          </w:tcPr>
          <w:p w14:paraId="4165CC51"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175.6</w:t>
            </w:r>
          </w:p>
        </w:tc>
        <w:tc>
          <w:tcPr>
            <w:tcW w:w="106" w:type="pct"/>
            <w:tcBorders>
              <w:top w:val="nil"/>
              <w:left w:val="nil"/>
              <w:bottom w:val="single" w:sz="4" w:space="0" w:color="auto"/>
              <w:right w:val="single" w:sz="4" w:space="0" w:color="auto"/>
            </w:tcBorders>
            <w:shd w:val="clear" w:color="auto" w:fill="auto"/>
            <w:noWrap/>
            <w:vAlign w:val="bottom"/>
            <w:hideMark/>
          </w:tcPr>
          <w:p w14:paraId="795C101F"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5BE36727"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14</w:t>
            </w:r>
          </w:p>
        </w:tc>
        <w:tc>
          <w:tcPr>
            <w:tcW w:w="318" w:type="pct"/>
            <w:tcBorders>
              <w:top w:val="nil"/>
              <w:left w:val="nil"/>
              <w:bottom w:val="single" w:sz="4" w:space="0" w:color="auto"/>
              <w:right w:val="single" w:sz="4" w:space="0" w:color="auto"/>
            </w:tcBorders>
            <w:shd w:val="clear" w:color="auto" w:fill="auto"/>
            <w:vAlign w:val="center"/>
            <w:hideMark/>
          </w:tcPr>
          <w:p w14:paraId="3DF9209B"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192</w:t>
            </w:r>
          </w:p>
        </w:tc>
        <w:tc>
          <w:tcPr>
            <w:tcW w:w="414" w:type="pct"/>
            <w:tcBorders>
              <w:top w:val="nil"/>
              <w:left w:val="nil"/>
              <w:bottom w:val="single" w:sz="4" w:space="0" w:color="auto"/>
              <w:right w:val="single" w:sz="4" w:space="0" w:color="auto"/>
            </w:tcBorders>
            <w:shd w:val="clear" w:color="auto" w:fill="auto"/>
            <w:vAlign w:val="center"/>
            <w:hideMark/>
          </w:tcPr>
          <w:p w14:paraId="1964A132"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1271.4</w:t>
            </w:r>
          </w:p>
        </w:tc>
        <w:tc>
          <w:tcPr>
            <w:tcW w:w="106" w:type="pct"/>
            <w:tcBorders>
              <w:top w:val="nil"/>
              <w:left w:val="nil"/>
              <w:bottom w:val="single" w:sz="4" w:space="0" w:color="auto"/>
              <w:right w:val="single" w:sz="4" w:space="0" w:color="auto"/>
            </w:tcBorders>
            <w:shd w:val="clear" w:color="auto" w:fill="auto"/>
            <w:noWrap/>
            <w:vAlign w:val="bottom"/>
            <w:hideMark/>
          </w:tcPr>
          <w:p w14:paraId="4488A832"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48" w:type="pct"/>
            <w:tcBorders>
              <w:top w:val="nil"/>
              <w:left w:val="nil"/>
              <w:bottom w:val="single" w:sz="4" w:space="0" w:color="auto"/>
              <w:right w:val="single" w:sz="4" w:space="0" w:color="auto"/>
            </w:tcBorders>
            <w:shd w:val="clear" w:color="auto" w:fill="auto"/>
            <w:vAlign w:val="center"/>
            <w:hideMark/>
          </w:tcPr>
          <w:p w14:paraId="49A9665F"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967</w:t>
            </w:r>
          </w:p>
        </w:tc>
        <w:tc>
          <w:tcPr>
            <w:tcW w:w="348" w:type="pct"/>
            <w:tcBorders>
              <w:top w:val="nil"/>
              <w:left w:val="nil"/>
              <w:bottom w:val="single" w:sz="4" w:space="0" w:color="auto"/>
              <w:right w:val="single" w:sz="4" w:space="0" w:color="auto"/>
            </w:tcBorders>
            <w:shd w:val="clear" w:color="auto" w:fill="auto"/>
            <w:vAlign w:val="center"/>
            <w:hideMark/>
          </w:tcPr>
          <w:p w14:paraId="02C92D0C"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1,250</w:t>
            </w:r>
          </w:p>
        </w:tc>
        <w:tc>
          <w:tcPr>
            <w:tcW w:w="442" w:type="pct"/>
            <w:tcBorders>
              <w:top w:val="nil"/>
              <w:left w:val="nil"/>
              <w:bottom w:val="single" w:sz="4" w:space="0" w:color="auto"/>
              <w:right w:val="single" w:sz="4" w:space="0" w:color="auto"/>
            </w:tcBorders>
            <w:shd w:val="clear" w:color="auto" w:fill="auto"/>
            <w:vAlign w:val="center"/>
            <w:hideMark/>
          </w:tcPr>
          <w:p w14:paraId="7AD1D35D"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29.3</w:t>
            </w:r>
          </w:p>
        </w:tc>
      </w:tr>
      <w:tr w:rsidR="00C12847" w:rsidRPr="0098739D" w14:paraId="561311E0" w14:textId="77777777" w:rsidTr="00CE635D">
        <w:trPr>
          <w:trHeight w:val="315"/>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543AFE2" w14:textId="77777777" w:rsidR="00CE635D" w:rsidRPr="0098739D" w:rsidRDefault="00CE635D" w:rsidP="0098739D">
            <w:pPr>
              <w:spacing w:after="0" w:line="240" w:lineRule="auto"/>
              <w:jc w:val="center"/>
              <w:rPr>
                <w:rFonts w:ascii="Arial" w:eastAsia="Times New Roman" w:hAnsi="Arial" w:cs="Arial"/>
                <w:b/>
                <w:bCs/>
                <w:color w:val="000000"/>
                <w:sz w:val="20"/>
                <w:szCs w:val="20"/>
                <w:lang w:val="it-IT" w:eastAsia="it-IT"/>
              </w:rPr>
            </w:pPr>
            <w:r w:rsidRPr="0098739D">
              <w:rPr>
                <w:rFonts w:ascii="Arial" w:eastAsia="Times New Roman" w:hAnsi="Arial" w:cs="Arial"/>
                <w:b/>
                <w:bCs/>
                <w:color w:val="000000"/>
                <w:sz w:val="20"/>
                <w:szCs w:val="20"/>
                <w:lang w:val="en-GB" w:eastAsia="it-IT"/>
              </w:rPr>
              <w:t>II</w:t>
            </w:r>
          </w:p>
        </w:tc>
        <w:tc>
          <w:tcPr>
            <w:tcW w:w="348" w:type="pct"/>
            <w:tcBorders>
              <w:top w:val="nil"/>
              <w:left w:val="nil"/>
              <w:bottom w:val="single" w:sz="4" w:space="0" w:color="auto"/>
              <w:right w:val="single" w:sz="4" w:space="0" w:color="auto"/>
            </w:tcBorders>
            <w:shd w:val="clear" w:color="auto" w:fill="auto"/>
            <w:vAlign w:val="center"/>
            <w:hideMark/>
          </w:tcPr>
          <w:p w14:paraId="00BF4147" w14:textId="6053D92F"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291</w:t>
            </w:r>
          </w:p>
        </w:tc>
        <w:tc>
          <w:tcPr>
            <w:tcW w:w="348" w:type="pct"/>
            <w:tcBorders>
              <w:top w:val="nil"/>
              <w:left w:val="nil"/>
              <w:bottom w:val="single" w:sz="4" w:space="0" w:color="auto"/>
              <w:right w:val="single" w:sz="4" w:space="0" w:color="auto"/>
            </w:tcBorders>
            <w:shd w:val="clear" w:color="auto" w:fill="auto"/>
            <w:vAlign w:val="center"/>
            <w:hideMark/>
          </w:tcPr>
          <w:p w14:paraId="443801E8" w14:textId="5637CD13"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87</w:t>
            </w:r>
          </w:p>
        </w:tc>
        <w:tc>
          <w:tcPr>
            <w:tcW w:w="447" w:type="pct"/>
            <w:tcBorders>
              <w:top w:val="nil"/>
              <w:left w:val="nil"/>
              <w:bottom w:val="single" w:sz="4" w:space="0" w:color="auto"/>
              <w:right w:val="single" w:sz="4" w:space="0" w:color="auto"/>
            </w:tcBorders>
            <w:shd w:val="clear" w:color="auto" w:fill="auto"/>
            <w:vAlign w:val="center"/>
            <w:hideMark/>
          </w:tcPr>
          <w:p w14:paraId="33ADF534" w14:textId="1C7A5DCD"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-70.1</w:t>
            </w:r>
          </w:p>
        </w:tc>
        <w:tc>
          <w:tcPr>
            <w:tcW w:w="106" w:type="pct"/>
            <w:tcBorders>
              <w:top w:val="nil"/>
              <w:left w:val="nil"/>
              <w:bottom w:val="single" w:sz="4" w:space="0" w:color="auto"/>
              <w:right w:val="single" w:sz="4" w:space="0" w:color="auto"/>
            </w:tcBorders>
            <w:shd w:val="clear" w:color="auto" w:fill="auto"/>
            <w:noWrap/>
            <w:vAlign w:val="bottom"/>
            <w:hideMark/>
          </w:tcPr>
          <w:p w14:paraId="33A49B9E"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4CF2BA10"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361</w:t>
            </w:r>
          </w:p>
        </w:tc>
        <w:tc>
          <w:tcPr>
            <w:tcW w:w="318" w:type="pct"/>
            <w:tcBorders>
              <w:top w:val="nil"/>
              <w:left w:val="nil"/>
              <w:bottom w:val="single" w:sz="4" w:space="0" w:color="auto"/>
              <w:right w:val="single" w:sz="4" w:space="0" w:color="auto"/>
            </w:tcBorders>
            <w:shd w:val="clear" w:color="auto" w:fill="auto"/>
            <w:vAlign w:val="center"/>
            <w:hideMark/>
          </w:tcPr>
          <w:p w14:paraId="16D8E476"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263</w:t>
            </w:r>
          </w:p>
        </w:tc>
        <w:tc>
          <w:tcPr>
            <w:tcW w:w="414" w:type="pct"/>
            <w:tcBorders>
              <w:top w:val="nil"/>
              <w:left w:val="nil"/>
              <w:bottom w:val="single" w:sz="4" w:space="0" w:color="auto"/>
              <w:right w:val="single" w:sz="4" w:space="0" w:color="auto"/>
            </w:tcBorders>
            <w:shd w:val="clear" w:color="auto" w:fill="auto"/>
            <w:vAlign w:val="center"/>
            <w:hideMark/>
          </w:tcPr>
          <w:p w14:paraId="19C144E2"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-27.1</w:t>
            </w:r>
          </w:p>
        </w:tc>
        <w:tc>
          <w:tcPr>
            <w:tcW w:w="106" w:type="pct"/>
            <w:tcBorders>
              <w:top w:val="nil"/>
              <w:left w:val="nil"/>
              <w:bottom w:val="single" w:sz="4" w:space="0" w:color="auto"/>
              <w:right w:val="single" w:sz="4" w:space="0" w:color="auto"/>
            </w:tcBorders>
            <w:shd w:val="clear" w:color="auto" w:fill="auto"/>
            <w:noWrap/>
            <w:vAlign w:val="bottom"/>
            <w:hideMark/>
          </w:tcPr>
          <w:p w14:paraId="267C468E"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08AB6EC3"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226</w:t>
            </w:r>
          </w:p>
        </w:tc>
        <w:tc>
          <w:tcPr>
            <w:tcW w:w="318" w:type="pct"/>
            <w:tcBorders>
              <w:top w:val="nil"/>
              <w:left w:val="nil"/>
              <w:bottom w:val="single" w:sz="4" w:space="0" w:color="auto"/>
              <w:right w:val="single" w:sz="4" w:space="0" w:color="auto"/>
            </w:tcBorders>
            <w:shd w:val="clear" w:color="auto" w:fill="auto"/>
            <w:vAlign w:val="center"/>
            <w:hideMark/>
          </w:tcPr>
          <w:p w14:paraId="33C4D2A8"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299</w:t>
            </w:r>
          </w:p>
        </w:tc>
        <w:tc>
          <w:tcPr>
            <w:tcW w:w="414" w:type="pct"/>
            <w:tcBorders>
              <w:top w:val="nil"/>
              <w:left w:val="nil"/>
              <w:bottom w:val="single" w:sz="4" w:space="0" w:color="auto"/>
              <w:right w:val="single" w:sz="4" w:space="0" w:color="auto"/>
            </w:tcBorders>
            <w:shd w:val="clear" w:color="auto" w:fill="auto"/>
            <w:vAlign w:val="center"/>
            <w:hideMark/>
          </w:tcPr>
          <w:p w14:paraId="20D24A21"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32.3</w:t>
            </w:r>
          </w:p>
        </w:tc>
        <w:tc>
          <w:tcPr>
            <w:tcW w:w="106" w:type="pct"/>
            <w:tcBorders>
              <w:top w:val="nil"/>
              <w:left w:val="nil"/>
              <w:bottom w:val="single" w:sz="4" w:space="0" w:color="auto"/>
              <w:right w:val="single" w:sz="4" w:space="0" w:color="auto"/>
            </w:tcBorders>
            <w:shd w:val="clear" w:color="auto" w:fill="auto"/>
            <w:noWrap/>
            <w:vAlign w:val="bottom"/>
            <w:hideMark/>
          </w:tcPr>
          <w:p w14:paraId="3E729853"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48" w:type="pct"/>
            <w:tcBorders>
              <w:top w:val="nil"/>
              <w:left w:val="nil"/>
              <w:bottom w:val="single" w:sz="4" w:space="0" w:color="auto"/>
              <w:right w:val="single" w:sz="4" w:space="0" w:color="auto"/>
            </w:tcBorders>
            <w:shd w:val="clear" w:color="auto" w:fill="auto"/>
            <w:vAlign w:val="center"/>
            <w:hideMark/>
          </w:tcPr>
          <w:p w14:paraId="4D4A74CE"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2,053</w:t>
            </w:r>
          </w:p>
        </w:tc>
        <w:tc>
          <w:tcPr>
            <w:tcW w:w="348" w:type="pct"/>
            <w:tcBorders>
              <w:top w:val="nil"/>
              <w:left w:val="nil"/>
              <w:bottom w:val="single" w:sz="4" w:space="0" w:color="auto"/>
              <w:right w:val="single" w:sz="4" w:space="0" w:color="auto"/>
            </w:tcBorders>
            <w:shd w:val="clear" w:color="auto" w:fill="auto"/>
            <w:vAlign w:val="center"/>
            <w:hideMark/>
          </w:tcPr>
          <w:p w14:paraId="3C6FD5B5"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257</w:t>
            </w:r>
          </w:p>
        </w:tc>
        <w:tc>
          <w:tcPr>
            <w:tcW w:w="442" w:type="pct"/>
            <w:tcBorders>
              <w:top w:val="nil"/>
              <w:left w:val="nil"/>
              <w:bottom w:val="single" w:sz="4" w:space="0" w:color="auto"/>
              <w:right w:val="single" w:sz="4" w:space="0" w:color="auto"/>
            </w:tcBorders>
            <w:shd w:val="clear" w:color="auto" w:fill="auto"/>
            <w:vAlign w:val="center"/>
            <w:hideMark/>
          </w:tcPr>
          <w:p w14:paraId="2966568C"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-87.5</w:t>
            </w:r>
          </w:p>
        </w:tc>
      </w:tr>
      <w:tr w:rsidR="00C12847" w:rsidRPr="0098739D" w14:paraId="114050EF" w14:textId="77777777" w:rsidTr="00CE635D">
        <w:trPr>
          <w:trHeight w:val="525"/>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4A1901F" w14:textId="77777777" w:rsidR="00CE635D" w:rsidRPr="0098739D" w:rsidRDefault="00CE635D" w:rsidP="0098739D">
            <w:pPr>
              <w:spacing w:after="0" w:line="240" w:lineRule="auto"/>
              <w:jc w:val="center"/>
              <w:rPr>
                <w:rFonts w:ascii="Arial" w:eastAsia="Times New Roman" w:hAnsi="Arial" w:cs="Arial"/>
                <w:b/>
                <w:bCs/>
                <w:color w:val="000000"/>
                <w:sz w:val="20"/>
                <w:szCs w:val="20"/>
                <w:lang w:val="it-IT" w:eastAsia="it-IT"/>
              </w:rPr>
            </w:pPr>
            <w:r w:rsidRPr="0098739D">
              <w:rPr>
                <w:rFonts w:ascii="Arial" w:eastAsia="Times New Roman" w:hAnsi="Arial" w:cs="Arial"/>
                <w:b/>
                <w:bCs/>
                <w:color w:val="000000"/>
                <w:sz w:val="20"/>
                <w:szCs w:val="20"/>
                <w:lang w:val="en-GB" w:eastAsia="it-IT"/>
              </w:rPr>
              <w:t>III</w:t>
            </w:r>
          </w:p>
        </w:tc>
        <w:tc>
          <w:tcPr>
            <w:tcW w:w="348" w:type="pct"/>
            <w:tcBorders>
              <w:top w:val="nil"/>
              <w:left w:val="nil"/>
              <w:bottom w:val="single" w:sz="4" w:space="0" w:color="auto"/>
              <w:right w:val="single" w:sz="4" w:space="0" w:color="auto"/>
            </w:tcBorders>
            <w:shd w:val="clear" w:color="auto" w:fill="auto"/>
            <w:vAlign w:val="center"/>
            <w:hideMark/>
          </w:tcPr>
          <w:p w14:paraId="3522D59F" w14:textId="023058F8"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79</w:t>
            </w:r>
          </w:p>
        </w:tc>
        <w:tc>
          <w:tcPr>
            <w:tcW w:w="348" w:type="pct"/>
            <w:tcBorders>
              <w:top w:val="nil"/>
              <w:left w:val="nil"/>
              <w:bottom w:val="single" w:sz="4" w:space="0" w:color="auto"/>
              <w:right w:val="single" w:sz="4" w:space="0" w:color="auto"/>
            </w:tcBorders>
            <w:shd w:val="clear" w:color="auto" w:fill="auto"/>
            <w:vAlign w:val="center"/>
            <w:hideMark/>
          </w:tcPr>
          <w:p w14:paraId="1469FEDE" w14:textId="750F074C"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27</w:t>
            </w:r>
          </w:p>
        </w:tc>
        <w:tc>
          <w:tcPr>
            <w:tcW w:w="447" w:type="pct"/>
            <w:tcBorders>
              <w:top w:val="nil"/>
              <w:left w:val="nil"/>
              <w:bottom w:val="single" w:sz="4" w:space="0" w:color="auto"/>
              <w:right w:val="single" w:sz="4" w:space="0" w:color="auto"/>
            </w:tcBorders>
            <w:shd w:val="clear" w:color="auto" w:fill="auto"/>
            <w:vAlign w:val="center"/>
            <w:hideMark/>
          </w:tcPr>
          <w:p w14:paraId="416356C7" w14:textId="4787033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-65.8</w:t>
            </w:r>
          </w:p>
        </w:tc>
        <w:tc>
          <w:tcPr>
            <w:tcW w:w="106" w:type="pct"/>
            <w:tcBorders>
              <w:top w:val="nil"/>
              <w:left w:val="nil"/>
              <w:bottom w:val="single" w:sz="4" w:space="0" w:color="auto"/>
              <w:right w:val="single" w:sz="4" w:space="0" w:color="auto"/>
            </w:tcBorders>
            <w:shd w:val="clear" w:color="auto" w:fill="auto"/>
            <w:noWrap/>
            <w:vAlign w:val="bottom"/>
            <w:hideMark/>
          </w:tcPr>
          <w:p w14:paraId="1B04D8C0"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23FC0A07"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53</w:t>
            </w:r>
          </w:p>
        </w:tc>
        <w:tc>
          <w:tcPr>
            <w:tcW w:w="318" w:type="pct"/>
            <w:tcBorders>
              <w:top w:val="nil"/>
              <w:left w:val="nil"/>
              <w:bottom w:val="single" w:sz="4" w:space="0" w:color="auto"/>
              <w:right w:val="single" w:sz="4" w:space="0" w:color="auto"/>
            </w:tcBorders>
            <w:shd w:val="clear" w:color="auto" w:fill="auto"/>
            <w:vAlign w:val="center"/>
            <w:hideMark/>
          </w:tcPr>
          <w:p w14:paraId="171984F0"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184</w:t>
            </w:r>
          </w:p>
        </w:tc>
        <w:tc>
          <w:tcPr>
            <w:tcW w:w="414" w:type="pct"/>
            <w:tcBorders>
              <w:top w:val="nil"/>
              <w:left w:val="nil"/>
              <w:bottom w:val="single" w:sz="4" w:space="0" w:color="auto"/>
              <w:right w:val="single" w:sz="4" w:space="0" w:color="auto"/>
            </w:tcBorders>
            <w:shd w:val="clear" w:color="auto" w:fill="auto"/>
            <w:vAlign w:val="center"/>
            <w:hideMark/>
          </w:tcPr>
          <w:p w14:paraId="490DAF39"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247.2</w:t>
            </w:r>
          </w:p>
        </w:tc>
        <w:tc>
          <w:tcPr>
            <w:tcW w:w="106" w:type="pct"/>
            <w:tcBorders>
              <w:top w:val="nil"/>
              <w:left w:val="nil"/>
              <w:bottom w:val="single" w:sz="4" w:space="0" w:color="auto"/>
              <w:right w:val="single" w:sz="4" w:space="0" w:color="auto"/>
            </w:tcBorders>
            <w:shd w:val="clear" w:color="auto" w:fill="auto"/>
            <w:noWrap/>
            <w:vAlign w:val="bottom"/>
            <w:hideMark/>
          </w:tcPr>
          <w:p w14:paraId="2D07F4DA"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25490C30"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291</w:t>
            </w:r>
          </w:p>
        </w:tc>
        <w:tc>
          <w:tcPr>
            <w:tcW w:w="318" w:type="pct"/>
            <w:tcBorders>
              <w:top w:val="nil"/>
              <w:left w:val="nil"/>
              <w:bottom w:val="single" w:sz="4" w:space="0" w:color="auto"/>
              <w:right w:val="single" w:sz="4" w:space="0" w:color="auto"/>
            </w:tcBorders>
            <w:shd w:val="clear" w:color="auto" w:fill="auto"/>
            <w:vAlign w:val="center"/>
            <w:hideMark/>
          </w:tcPr>
          <w:p w14:paraId="7E6561BA"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186</w:t>
            </w:r>
          </w:p>
        </w:tc>
        <w:tc>
          <w:tcPr>
            <w:tcW w:w="414" w:type="pct"/>
            <w:tcBorders>
              <w:top w:val="nil"/>
              <w:left w:val="nil"/>
              <w:bottom w:val="single" w:sz="4" w:space="0" w:color="auto"/>
              <w:right w:val="single" w:sz="4" w:space="0" w:color="auto"/>
            </w:tcBorders>
            <w:shd w:val="clear" w:color="auto" w:fill="auto"/>
            <w:vAlign w:val="center"/>
            <w:hideMark/>
          </w:tcPr>
          <w:p w14:paraId="12632A0A"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-36.1</w:t>
            </w:r>
          </w:p>
        </w:tc>
        <w:tc>
          <w:tcPr>
            <w:tcW w:w="106" w:type="pct"/>
            <w:tcBorders>
              <w:top w:val="nil"/>
              <w:left w:val="nil"/>
              <w:bottom w:val="single" w:sz="4" w:space="0" w:color="auto"/>
              <w:right w:val="single" w:sz="4" w:space="0" w:color="auto"/>
            </w:tcBorders>
            <w:shd w:val="clear" w:color="auto" w:fill="auto"/>
            <w:noWrap/>
            <w:vAlign w:val="bottom"/>
            <w:hideMark/>
          </w:tcPr>
          <w:p w14:paraId="015072B7"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48" w:type="pct"/>
            <w:tcBorders>
              <w:top w:val="nil"/>
              <w:left w:val="nil"/>
              <w:bottom w:val="single" w:sz="4" w:space="0" w:color="auto"/>
              <w:right w:val="single" w:sz="4" w:space="0" w:color="auto"/>
            </w:tcBorders>
            <w:shd w:val="clear" w:color="auto" w:fill="auto"/>
            <w:vAlign w:val="center"/>
            <w:hideMark/>
          </w:tcPr>
          <w:p w14:paraId="064D88FC"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1,790</w:t>
            </w:r>
          </w:p>
        </w:tc>
        <w:tc>
          <w:tcPr>
            <w:tcW w:w="348" w:type="pct"/>
            <w:tcBorders>
              <w:top w:val="nil"/>
              <w:left w:val="nil"/>
              <w:bottom w:val="single" w:sz="4" w:space="0" w:color="auto"/>
              <w:right w:val="single" w:sz="4" w:space="0" w:color="auto"/>
            </w:tcBorders>
            <w:shd w:val="clear" w:color="auto" w:fill="auto"/>
            <w:vAlign w:val="center"/>
            <w:hideMark/>
          </w:tcPr>
          <w:p w14:paraId="678CEF5B"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52</w:t>
            </w:r>
          </w:p>
        </w:tc>
        <w:tc>
          <w:tcPr>
            <w:tcW w:w="442" w:type="pct"/>
            <w:tcBorders>
              <w:top w:val="nil"/>
              <w:left w:val="nil"/>
              <w:bottom w:val="single" w:sz="4" w:space="0" w:color="auto"/>
              <w:right w:val="single" w:sz="4" w:space="0" w:color="auto"/>
            </w:tcBorders>
            <w:shd w:val="clear" w:color="auto" w:fill="auto"/>
            <w:vAlign w:val="center"/>
            <w:hideMark/>
          </w:tcPr>
          <w:p w14:paraId="24C76A28"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-97.1</w:t>
            </w:r>
          </w:p>
        </w:tc>
      </w:tr>
      <w:tr w:rsidR="00C12847" w:rsidRPr="0098739D" w14:paraId="3E278999" w14:textId="77777777" w:rsidTr="00CE635D">
        <w:trPr>
          <w:trHeight w:val="315"/>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B6D907A" w14:textId="77777777" w:rsidR="00CE635D" w:rsidRPr="0098739D" w:rsidRDefault="00CE635D" w:rsidP="0098739D">
            <w:pPr>
              <w:spacing w:after="0" w:line="240" w:lineRule="auto"/>
              <w:jc w:val="center"/>
              <w:rPr>
                <w:rFonts w:ascii="Arial" w:eastAsia="Times New Roman" w:hAnsi="Arial" w:cs="Arial"/>
                <w:b/>
                <w:bCs/>
                <w:color w:val="000000"/>
                <w:sz w:val="20"/>
                <w:szCs w:val="20"/>
                <w:lang w:val="it-IT" w:eastAsia="it-IT"/>
              </w:rPr>
            </w:pPr>
            <w:r w:rsidRPr="0098739D">
              <w:rPr>
                <w:rFonts w:ascii="Arial" w:eastAsia="Times New Roman" w:hAnsi="Arial" w:cs="Arial"/>
                <w:b/>
                <w:bCs/>
                <w:color w:val="000000"/>
                <w:sz w:val="20"/>
                <w:szCs w:val="20"/>
                <w:lang w:val="en-GB" w:eastAsia="it-IT"/>
              </w:rPr>
              <w:t>IV</w:t>
            </w:r>
          </w:p>
        </w:tc>
        <w:tc>
          <w:tcPr>
            <w:tcW w:w="348" w:type="pct"/>
            <w:tcBorders>
              <w:top w:val="nil"/>
              <w:left w:val="nil"/>
              <w:bottom w:val="single" w:sz="4" w:space="0" w:color="auto"/>
              <w:right w:val="single" w:sz="4" w:space="0" w:color="auto"/>
            </w:tcBorders>
            <w:shd w:val="clear" w:color="auto" w:fill="auto"/>
            <w:vAlign w:val="center"/>
            <w:hideMark/>
          </w:tcPr>
          <w:p w14:paraId="654C863D" w14:textId="258F2A70"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786</w:t>
            </w:r>
          </w:p>
        </w:tc>
        <w:tc>
          <w:tcPr>
            <w:tcW w:w="348" w:type="pct"/>
            <w:tcBorders>
              <w:top w:val="nil"/>
              <w:left w:val="nil"/>
              <w:bottom w:val="single" w:sz="4" w:space="0" w:color="auto"/>
              <w:right w:val="single" w:sz="4" w:space="0" w:color="auto"/>
            </w:tcBorders>
            <w:shd w:val="clear" w:color="auto" w:fill="auto"/>
            <w:vAlign w:val="center"/>
            <w:hideMark/>
          </w:tcPr>
          <w:p w14:paraId="43C6BDFB" w14:textId="5E91D54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133</w:t>
            </w:r>
          </w:p>
        </w:tc>
        <w:tc>
          <w:tcPr>
            <w:tcW w:w="447" w:type="pct"/>
            <w:tcBorders>
              <w:top w:val="nil"/>
              <w:left w:val="nil"/>
              <w:bottom w:val="single" w:sz="4" w:space="0" w:color="auto"/>
              <w:right w:val="single" w:sz="4" w:space="0" w:color="auto"/>
            </w:tcBorders>
            <w:shd w:val="clear" w:color="auto" w:fill="auto"/>
            <w:vAlign w:val="center"/>
            <w:hideMark/>
          </w:tcPr>
          <w:p w14:paraId="3A732EA2" w14:textId="45616862"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-83.1</w:t>
            </w:r>
          </w:p>
        </w:tc>
        <w:tc>
          <w:tcPr>
            <w:tcW w:w="106" w:type="pct"/>
            <w:tcBorders>
              <w:top w:val="nil"/>
              <w:left w:val="nil"/>
              <w:bottom w:val="single" w:sz="4" w:space="0" w:color="auto"/>
              <w:right w:val="single" w:sz="4" w:space="0" w:color="auto"/>
            </w:tcBorders>
            <w:shd w:val="clear" w:color="auto" w:fill="auto"/>
            <w:noWrap/>
            <w:vAlign w:val="bottom"/>
            <w:hideMark/>
          </w:tcPr>
          <w:p w14:paraId="6FD0DEA1"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3AF9C844"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147</w:t>
            </w:r>
          </w:p>
        </w:tc>
        <w:tc>
          <w:tcPr>
            <w:tcW w:w="318" w:type="pct"/>
            <w:tcBorders>
              <w:top w:val="nil"/>
              <w:left w:val="nil"/>
              <w:bottom w:val="single" w:sz="4" w:space="0" w:color="auto"/>
              <w:right w:val="single" w:sz="4" w:space="0" w:color="auto"/>
            </w:tcBorders>
            <w:shd w:val="clear" w:color="auto" w:fill="auto"/>
            <w:vAlign w:val="center"/>
            <w:hideMark/>
          </w:tcPr>
          <w:p w14:paraId="1B84A342"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125</w:t>
            </w:r>
          </w:p>
        </w:tc>
        <w:tc>
          <w:tcPr>
            <w:tcW w:w="414" w:type="pct"/>
            <w:tcBorders>
              <w:top w:val="nil"/>
              <w:left w:val="nil"/>
              <w:bottom w:val="single" w:sz="4" w:space="0" w:color="auto"/>
              <w:right w:val="single" w:sz="4" w:space="0" w:color="auto"/>
            </w:tcBorders>
            <w:shd w:val="clear" w:color="auto" w:fill="auto"/>
            <w:vAlign w:val="center"/>
            <w:hideMark/>
          </w:tcPr>
          <w:p w14:paraId="4A77EA8D"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-15.0</w:t>
            </w:r>
          </w:p>
        </w:tc>
        <w:tc>
          <w:tcPr>
            <w:tcW w:w="106" w:type="pct"/>
            <w:tcBorders>
              <w:top w:val="nil"/>
              <w:left w:val="nil"/>
              <w:bottom w:val="single" w:sz="4" w:space="0" w:color="auto"/>
              <w:right w:val="single" w:sz="4" w:space="0" w:color="auto"/>
            </w:tcBorders>
            <w:shd w:val="clear" w:color="auto" w:fill="auto"/>
            <w:noWrap/>
            <w:vAlign w:val="bottom"/>
            <w:hideMark/>
          </w:tcPr>
          <w:p w14:paraId="756DF950"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170266F4"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262</w:t>
            </w:r>
          </w:p>
        </w:tc>
        <w:tc>
          <w:tcPr>
            <w:tcW w:w="318" w:type="pct"/>
            <w:tcBorders>
              <w:top w:val="nil"/>
              <w:left w:val="nil"/>
              <w:bottom w:val="single" w:sz="4" w:space="0" w:color="auto"/>
              <w:right w:val="single" w:sz="4" w:space="0" w:color="auto"/>
            </w:tcBorders>
            <w:shd w:val="clear" w:color="auto" w:fill="auto"/>
            <w:vAlign w:val="center"/>
            <w:hideMark/>
          </w:tcPr>
          <w:p w14:paraId="52345FE7"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121</w:t>
            </w:r>
          </w:p>
        </w:tc>
        <w:tc>
          <w:tcPr>
            <w:tcW w:w="414" w:type="pct"/>
            <w:tcBorders>
              <w:top w:val="nil"/>
              <w:left w:val="nil"/>
              <w:bottom w:val="single" w:sz="4" w:space="0" w:color="auto"/>
              <w:right w:val="single" w:sz="4" w:space="0" w:color="auto"/>
            </w:tcBorders>
            <w:shd w:val="clear" w:color="auto" w:fill="auto"/>
            <w:vAlign w:val="center"/>
            <w:hideMark/>
          </w:tcPr>
          <w:p w14:paraId="3E5002C6"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-53.8</w:t>
            </w:r>
          </w:p>
        </w:tc>
        <w:tc>
          <w:tcPr>
            <w:tcW w:w="106" w:type="pct"/>
            <w:tcBorders>
              <w:top w:val="nil"/>
              <w:left w:val="nil"/>
              <w:bottom w:val="single" w:sz="4" w:space="0" w:color="auto"/>
              <w:right w:val="single" w:sz="4" w:space="0" w:color="auto"/>
            </w:tcBorders>
            <w:shd w:val="clear" w:color="auto" w:fill="auto"/>
            <w:noWrap/>
            <w:vAlign w:val="bottom"/>
            <w:hideMark/>
          </w:tcPr>
          <w:p w14:paraId="1E874850"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48" w:type="pct"/>
            <w:tcBorders>
              <w:top w:val="nil"/>
              <w:left w:val="nil"/>
              <w:bottom w:val="single" w:sz="4" w:space="0" w:color="auto"/>
              <w:right w:val="single" w:sz="4" w:space="0" w:color="auto"/>
            </w:tcBorders>
            <w:shd w:val="clear" w:color="auto" w:fill="auto"/>
            <w:vAlign w:val="center"/>
            <w:hideMark/>
          </w:tcPr>
          <w:p w14:paraId="46EDEB7F"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2,185</w:t>
            </w:r>
          </w:p>
        </w:tc>
        <w:tc>
          <w:tcPr>
            <w:tcW w:w="348" w:type="pct"/>
            <w:tcBorders>
              <w:top w:val="nil"/>
              <w:left w:val="nil"/>
              <w:bottom w:val="single" w:sz="4" w:space="0" w:color="auto"/>
              <w:right w:val="single" w:sz="4" w:space="0" w:color="auto"/>
            </w:tcBorders>
            <w:shd w:val="clear" w:color="auto" w:fill="auto"/>
            <w:vAlign w:val="center"/>
            <w:hideMark/>
          </w:tcPr>
          <w:p w14:paraId="30703716"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45</w:t>
            </w:r>
          </w:p>
        </w:tc>
        <w:tc>
          <w:tcPr>
            <w:tcW w:w="442" w:type="pct"/>
            <w:tcBorders>
              <w:top w:val="nil"/>
              <w:left w:val="nil"/>
              <w:bottom w:val="single" w:sz="4" w:space="0" w:color="auto"/>
              <w:right w:val="single" w:sz="4" w:space="0" w:color="auto"/>
            </w:tcBorders>
            <w:shd w:val="clear" w:color="auto" w:fill="auto"/>
            <w:vAlign w:val="center"/>
            <w:hideMark/>
          </w:tcPr>
          <w:p w14:paraId="5BFE1990"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-97.9</w:t>
            </w:r>
          </w:p>
        </w:tc>
      </w:tr>
      <w:tr w:rsidR="00C12847" w:rsidRPr="0098739D" w14:paraId="0C4F730B" w14:textId="77777777" w:rsidTr="00CE635D">
        <w:trPr>
          <w:trHeight w:val="525"/>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0DD675B9" w14:textId="77777777" w:rsidR="00CE635D" w:rsidRPr="0098739D" w:rsidRDefault="00CE635D" w:rsidP="0098739D">
            <w:pPr>
              <w:spacing w:after="0" w:line="240" w:lineRule="auto"/>
              <w:jc w:val="center"/>
              <w:rPr>
                <w:rFonts w:ascii="Arial" w:eastAsia="Times New Roman" w:hAnsi="Arial" w:cs="Arial"/>
                <w:b/>
                <w:bCs/>
                <w:color w:val="000000"/>
                <w:sz w:val="20"/>
                <w:szCs w:val="20"/>
                <w:lang w:val="it-IT" w:eastAsia="it-IT"/>
              </w:rPr>
            </w:pPr>
            <w:r w:rsidRPr="0098739D">
              <w:rPr>
                <w:rFonts w:ascii="Arial" w:eastAsia="Times New Roman" w:hAnsi="Arial" w:cs="Arial"/>
                <w:b/>
                <w:bCs/>
                <w:color w:val="000000"/>
                <w:sz w:val="20"/>
                <w:szCs w:val="20"/>
                <w:lang w:val="en-GB" w:eastAsia="it-IT"/>
              </w:rPr>
              <w:t>TOT</w:t>
            </w:r>
          </w:p>
        </w:tc>
        <w:tc>
          <w:tcPr>
            <w:tcW w:w="348" w:type="pct"/>
            <w:tcBorders>
              <w:top w:val="nil"/>
              <w:left w:val="nil"/>
              <w:bottom w:val="single" w:sz="4" w:space="0" w:color="auto"/>
              <w:right w:val="single" w:sz="4" w:space="0" w:color="auto"/>
            </w:tcBorders>
            <w:shd w:val="clear" w:color="auto" w:fill="auto"/>
            <w:vAlign w:val="center"/>
            <w:hideMark/>
          </w:tcPr>
          <w:p w14:paraId="776EE417" w14:textId="064F86DF"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1527</w:t>
            </w:r>
          </w:p>
        </w:tc>
        <w:tc>
          <w:tcPr>
            <w:tcW w:w="348" w:type="pct"/>
            <w:tcBorders>
              <w:top w:val="nil"/>
              <w:left w:val="nil"/>
              <w:bottom w:val="single" w:sz="4" w:space="0" w:color="auto"/>
              <w:right w:val="single" w:sz="4" w:space="0" w:color="auto"/>
            </w:tcBorders>
            <w:shd w:val="clear" w:color="auto" w:fill="auto"/>
            <w:vAlign w:val="center"/>
            <w:hideMark/>
          </w:tcPr>
          <w:p w14:paraId="743134CC" w14:textId="7964B58D"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985</w:t>
            </w:r>
          </w:p>
        </w:tc>
        <w:tc>
          <w:tcPr>
            <w:tcW w:w="447" w:type="pct"/>
            <w:tcBorders>
              <w:top w:val="nil"/>
              <w:left w:val="nil"/>
              <w:bottom w:val="single" w:sz="4" w:space="0" w:color="auto"/>
              <w:right w:val="single" w:sz="4" w:space="0" w:color="auto"/>
            </w:tcBorders>
            <w:shd w:val="clear" w:color="auto" w:fill="auto"/>
            <w:vAlign w:val="center"/>
            <w:hideMark/>
          </w:tcPr>
          <w:p w14:paraId="1EC36C6C" w14:textId="3AC630A9"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Pr>
                <w:rFonts w:ascii="Arial" w:hAnsi="Arial" w:cs="Arial"/>
                <w:color w:val="000000"/>
                <w:sz w:val="20"/>
                <w:szCs w:val="20"/>
              </w:rPr>
              <w:t>-35.5</w:t>
            </w:r>
          </w:p>
        </w:tc>
        <w:tc>
          <w:tcPr>
            <w:tcW w:w="106" w:type="pct"/>
            <w:tcBorders>
              <w:top w:val="nil"/>
              <w:left w:val="nil"/>
              <w:bottom w:val="single" w:sz="4" w:space="0" w:color="auto"/>
              <w:right w:val="single" w:sz="4" w:space="0" w:color="auto"/>
            </w:tcBorders>
            <w:shd w:val="clear" w:color="auto" w:fill="auto"/>
            <w:noWrap/>
            <w:vAlign w:val="bottom"/>
            <w:hideMark/>
          </w:tcPr>
          <w:p w14:paraId="4A233DE1"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4509C7FD"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651</w:t>
            </w:r>
          </w:p>
        </w:tc>
        <w:tc>
          <w:tcPr>
            <w:tcW w:w="318" w:type="pct"/>
            <w:tcBorders>
              <w:top w:val="nil"/>
              <w:left w:val="nil"/>
              <w:bottom w:val="single" w:sz="4" w:space="0" w:color="auto"/>
              <w:right w:val="single" w:sz="4" w:space="0" w:color="auto"/>
            </w:tcBorders>
            <w:shd w:val="clear" w:color="auto" w:fill="auto"/>
            <w:vAlign w:val="center"/>
            <w:hideMark/>
          </w:tcPr>
          <w:p w14:paraId="234A1A4A"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820</w:t>
            </w:r>
          </w:p>
        </w:tc>
        <w:tc>
          <w:tcPr>
            <w:tcW w:w="414" w:type="pct"/>
            <w:tcBorders>
              <w:top w:val="nil"/>
              <w:left w:val="nil"/>
              <w:bottom w:val="single" w:sz="4" w:space="0" w:color="auto"/>
              <w:right w:val="single" w:sz="4" w:space="0" w:color="auto"/>
            </w:tcBorders>
            <w:shd w:val="clear" w:color="auto" w:fill="auto"/>
            <w:vAlign w:val="center"/>
            <w:hideMark/>
          </w:tcPr>
          <w:p w14:paraId="6CDF5981"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26.0</w:t>
            </w:r>
          </w:p>
        </w:tc>
        <w:tc>
          <w:tcPr>
            <w:tcW w:w="106" w:type="pct"/>
            <w:tcBorders>
              <w:top w:val="nil"/>
              <w:left w:val="nil"/>
              <w:bottom w:val="single" w:sz="4" w:space="0" w:color="auto"/>
              <w:right w:val="single" w:sz="4" w:space="0" w:color="auto"/>
            </w:tcBorders>
            <w:shd w:val="clear" w:color="auto" w:fill="auto"/>
            <w:noWrap/>
            <w:vAlign w:val="bottom"/>
            <w:hideMark/>
          </w:tcPr>
          <w:p w14:paraId="4F7994C9"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18" w:type="pct"/>
            <w:tcBorders>
              <w:top w:val="nil"/>
              <w:left w:val="nil"/>
              <w:bottom w:val="single" w:sz="4" w:space="0" w:color="auto"/>
              <w:right w:val="single" w:sz="4" w:space="0" w:color="auto"/>
            </w:tcBorders>
            <w:shd w:val="clear" w:color="auto" w:fill="auto"/>
            <w:vAlign w:val="center"/>
            <w:hideMark/>
          </w:tcPr>
          <w:p w14:paraId="064DC4A8"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793</w:t>
            </w:r>
          </w:p>
        </w:tc>
        <w:tc>
          <w:tcPr>
            <w:tcW w:w="318" w:type="pct"/>
            <w:tcBorders>
              <w:top w:val="nil"/>
              <w:left w:val="nil"/>
              <w:bottom w:val="single" w:sz="4" w:space="0" w:color="auto"/>
              <w:right w:val="single" w:sz="4" w:space="0" w:color="auto"/>
            </w:tcBorders>
            <w:shd w:val="clear" w:color="auto" w:fill="auto"/>
            <w:vAlign w:val="center"/>
            <w:hideMark/>
          </w:tcPr>
          <w:p w14:paraId="707E0824"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798</w:t>
            </w:r>
          </w:p>
        </w:tc>
        <w:tc>
          <w:tcPr>
            <w:tcW w:w="414" w:type="pct"/>
            <w:tcBorders>
              <w:top w:val="nil"/>
              <w:left w:val="nil"/>
              <w:bottom w:val="single" w:sz="4" w:space="0" w:color="auto"/>
              <w:right w:val="single" w:sz="4" w:space="0" w:color="auto"/>
            </w:tcBorders>
            <w:shd w:val="clear" w:color="auto" w:fill="auto"/>
            <w:vAlign w:val="center"/>
            <w:hideMark/>
          </w:tcPr>
          <w:p w14:paraId="2E0B463D"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0.6</w:t>
            </w:r>
          </w:p>
        </w:tc>
        <w:tc>
          <w:tcPr>
            <w:tcW w:w="106" w:type="pct"/>
            <w:tcBorders>
              <w:top w:val="nil"/>
              <w:left w:val="nil"/>
              <w:bottom w:val="single" w:sz="4" w:space="0" w:color="auto"/>
              <w:right w:val="single" w:sz="4" w:space="0" w:color="auto"/>
            </w:tcBorders>
            <w:shd w:val="clear" w:color="auto" w:fill="auto"/>
            <w:noWrap/>
            <w:vAlign w:val="bottom"/>
            <w:hideMark/>
          </w:tcPr>
          <w:p w14:paraId="01926110" w14:textId="77777777" w:rsidR="00CE635D" w:rsidRPr="0098739D" w:rsidRDefault="00CE635D" w:rsidP="0098739D">
            <w:pPr>
              <w:spacing w:after="0" w:line="240" w:lineRule="auto"/>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 </w:t>
            </w:r>
          </w:p>
        </w:tc>
        <w:tc>
          <w:tcPr>
            <w:tcW w:w="348" w:type="pct"/>
            <w:tcBorders>
              <w:top w:val="nil"/>
              <w:left w:val="nil"/>
              <w:bottom w:val="single" w:sz="4" w:space="0" w:color="auto"/>
              <w:right w:val="single" w:sz="4" w:space="0" w:color="auto"/>
            </w:tcBorders>
            <w:shd w:val="clear" w:color="auto" w:fill="auto"/>
            <w:vAlign w:val="center"/>
            <w:hideMark/>
          </w:tcPr>
          <w:p w14:paraId="67A2608D"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6,995</w:t>
            </w:r>
          </w:p>
        </w:tc>
        <w:tc>
          <w:tcPr>
            <w:tcW w:w="348" w:type="pct"/>
            <w:tcBorders>
              <w:top w:val="nil"/>
              <w:left w:val="nil"/>
              <w:bottom w:val="single" w:sz="4" w:space="0" w:color="auto"/>
              <w:right w:val="single" w:sz="4" w:space="0" w:color="auto"/>
            </w:tcBorders>
            <w:shd w:val="clear" w:color="auto" w:fill="auto"/>
            <w:vAlign w:val="center"/>
            <w:hideMark/>
          </w:tcPr>
          <w:p w14:paraId="5B5EF4D6"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en-GB" w:eastAsia="it-IT"/>
              </w:rPr>
              <w:t>1,604</w:t>
            </w:r>
          </w:p>
        </w:tc>
        <w:tc>
          <w:tcPr>
            <w:tcW w:w="442" w:type="pct"/>
            <w:tcBorders>
              <w:top w:val="nil"/>
              <w:left w:val="nil"/>
              <w:bottom w:val="single" w:sz="4" w:space="0" w:color="auto"/>
              <w:right w:val="single" w:sz="4" w:space="0" w:color="auto"/>
            </w:tcBorders>
            <w:shd w:val="clear" w:color="auto" w:fill="auto"/>
            <w:vAlign w:val="center"/>
            <w:hideMark/>
          </w:tcPr>
          <w:p w14:paraId="64E3A575" w14:textId="77777777" w:rsidR="00CE635D" w:rsidRPr="0098739D" w:rsidRDefault="00CE635D" w:rsidP="0098739D">
            <w:pPr>
              <w:spacing w:after="0" w:line="240" w:lineRule="auto"/>
              <w:jc w:val="center"/>
              <w:rPr>
                <w:rFonts w:ascii="Arial" w:eastAsia="Times New Roman" w:hAnsi="Arial" w:cs="Arial"/>
                <w:color w:val="000000"/>
                <w:sz w:val="20"/>
                <w:szCs w:val="20"/>
                <w:lang w:val="it-IT" w:eastAsia="it-IT"/>
              </w:rPr>
            </w:pPr>
            <w:r w:rsidRPr="0098739D">
              <w:rPr>
                <w:rFonts w:ascii="Arial" w:eastAsia="Times New Roman" w:hAnsi="Arial" w:cs="Arial"/>
                <w:color w:val="000000"/>
                <w:sz w:val="20"/>
                <w:szCs w:val="20"/>
                <w:lang w:val="it-IT" w:eastAsia="it-IT"/>
              </w:rPr>
              <w:t>-77.1</w:t>
            </w:r>
          </w:p>
        </w:tc>
      </w:tr>
    </w:tbl>
    <w:p w14:paraId="5EFD11EF" w14:textId="77777777" w:rsidR="009C6F51" w:rsidRPr="008A532A" w:rsidRDefault="0098739D" w:rsidP="00FC38D9">
      <w:pPr>
        <w:spacing w:before="120" w:after="0" w:line="360" w:lineRule="auto"/>
        <w:jc w:val="both"/>
        <w:rPr>
          <w:rFonts w:ascii="Arial" w:hAnsi="Arial" w:cs="Arial"/>
          <w:sz w:val="24"/>
          <w:szCs w:val="24"/>
          <w:lang w:val="en-US"/>
        </w:rPr>
      </w:pPr>
      <w:r w:rsidRPr="00EC5F5A">
        <w:rPr>
          <w:rFonts w:ascii="Arial" w:hAnsi="Arial" w:cs="Arial"/>
          <w:sz w:val="20"/>
          <w:szCs w:val="20"/>
          <w:lang w:val="en-GB"/>
        </w:rPr>
        <w:t>Source:</w:t>
      </w:r>
      <w:r>
        <w:rPr>
          <w:rFonts w:ascii="Arial" w:hAnsi="Arial" w:cs="Arial"/>
          <w:sz w:val="20"/>
          <w:szCs w:val="20"/>
          <w:lang w:val="en-GB"/>
        </w:rPr>
        <w:t xml:space="preserve"> ISTAT</w:t>
      </w:r>
    </w:p>
    <w:p w14:paraId="2DA5ECB8" w14:textId="47D81424" w:rsidR="003316A8" w:rsidRDefault="004D51B3" w:rsidP="00FC38D9">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 xml:space="preserve">The figures show that the amount of these communications is substantial and takes place through all the available channels. Between 2016 and 2017 there has been an increase by 26.0% of the replies by email (attributable to the rise in the first and third quarters). On the other hand, </w:t>
      </w:r>
      <w:r w:rsidRPr="009F04C8">
        <w:rPr>
          <w:rFonts w:ascii="Arial" w:hAnsi="Arial" w:cs="Arial"/>
          <w:sz w:val="24"/>
          <w:szCs w:val="24"/>
          <w:lang w:val="en-US"/>
        </w:rPr>
        <w:t xml:space="preserve">the </w:t>
      </w:r>
      <w:r w:rsidR="00711029" w:rsidRPr="009F04C8">
        <w:rPr>
          <w:rFonts w:ascii="Arial" w:hAnsi="Arial" w:cs="Arial"/>
          <w:sz w:val="24"/>
          <w:szCs w:val="24"/>
          <w:lang w:val="en-US"/>
        </w:rPr>
        <w:t xml:space="preserve">number of tickets </w:t>
      </w:r>
      <w:r w:rsidR="007C7BD1">
        <w:rPr>
          <w:rFonts w:ascii="Arial" w:hAnsi="Arial" w:cs="Arial"/>
          <w:sz w:val="24"/>
          <w:szCs w:val="24"/>
          <w:lang w:val="en-US"/>
        </w:rPr>
        <w:t xml:space="preserve">has </w:t>
      </w:r>
      <w:r w:rsidR="00711029" w:rsidRPr="009F04C8">
        <w:rPr>
          <w:rFonts w:ascii="Arial" w:hAnsi="Arial" w:cs="Arial"/>
          <w:sz w:val="24"/>
          <w:szCs w:val="24"/>
          <w:lang w:val="en-US"/>
        </w:rPr>
        <w:t xml:space="preserve">remained almost constant in </w:t>
      </w:r>
      <w:r>
        <w:rPr>
          <w:rFonts w:ascii="Arial" w:hAnsi="Arial" w:cs="Arial"/>
          <w:sz w:val="24"/>
          <w:szCs w:val="24"/>
          <w:lang w:val="en-US"/>
        </w:rPr>
        <w:t>the two years (the first quarter 2016 very low figure is due to the fact that at the time sample enterprises were just beginning to use that channel).</w:t>
      </w:r>
      <w:r w:rsidR="00C12847">
        <w:rPr>
          <w:rFonts w:ascii="Arial" w:hAnsi="Arial" w:cs="Arial"/>
          <w:sz w:val="24"/>
          <w:szCs w:val="24"/>
          <w:lang w:val="en-US"/>
        </w:rPr>
        <w:t xml:space="preserve"> The substantial decrease</w:t>
      </w:r>
      <w:r w:rsidR="00AE3E6B">
        <w:rPr>
          <w:rFonts w:ascii="Arial" w:hAnsi="Arial" w:cs="Arial"/>
          <w:sz w:val="24"/>
          <w:szCs w:val="24"/>
          <w:lang w:val="en-US"/>
        </w:rPr>
        <w:t xml:space="preserve"> </w:t>
      </w:r>
      <w:r w:rsidR="00C12847">
        <w:rPr>
          <w:rFonts w:ascii="Arial" w:hAnsi="Arial" w:cs="Arial"/>
          <w:sz w:val="24"/>
          <w:szCs w:val="24"/>
          <w:lang w:val="en-US"/>
        </w:rPr>
        <w:t xml:space="preserve">in the number of </w:t>
      </w:r>
      <w:r w:rsidR="000539C1">
        <w:rPr>
          <w:rFonts w:ascii="Arial" w:hAnsi="Arial" w:cs="Arial"/>
          <w:sz w:val="24"/>
          <w:szCs w:val="24"/>
          <w:lang w:val="en-US"/>
        </w:rPr>
        <w:t xml:space="preserve">received </w:t>
      </w:r>
      <w:r w:rsidR="00C12847">
        <w:rPr>
          <w:rFonts w:ascii="Arial" w:hAnsi="Arial" w:cs="Arial"/>
          <w:sz w:val="24"/>
          <w:szCs w:val="24"/>
          <w:lang w:val="en-US"/>
        </w:rPr>
        <w:t>certified emails</w:t>
      </w:r>
      <w:r w:rsidR="000539C1">
        <w:rPr>
          <w:rFonts w:ascii="Arial" w:hAnsi="Arial" w:cs="Arial"/>
          <w:sz w:val="24"/>
          <w:szCs w:val="24"/>
          <w:lang w:val="en-US"/>
        </w:rPr>
        <w:t xml:space="preserve"> </w:t>
      </w:r>
      <w:r w:rsidR="00AE3E6B">
        <w:rPr>
          <w:rFonts w:ascii="Arial" w:hAnsi="Arial" w:cs="Arial"/>
          <w:sz w:val="24"/>
          <w:szCs w:val="24"/>
          <w:lang w:val="en-US"/>
        </w:rPr>
        <w:t xml:space="preserve">(-77.1% year-on-year) </w:t>
      </w:r>
      <w:r w:rsidR="000539C1">
        <w:rPr>
          <w:rFonts w:ascii="Arial" w:hAnsi="Arial" w:cs="Arial"/>
          <w:sz w:val="24"/>
          <w:szCs w:val="24"/>
          <w:lang w:val="en-US"/>
        </w:rPr>
        <w:t>is due to the fact that</w:t>
      </w:r>
      <w:r w:rsidR="00446C21">
        <w:rPr>
          <w:rFonts w:ascii="Arial" w:hAnsi="Arial" w:cs="Arial"/>
          <w:sz w:val="24"/>
          <w:szCs w:val="24"/>
          <w:lang w:val="en-US"/>
        </w:rPr>
        <w:t>, as mentioned above, up until the end of 2016</w:t>
      </w:r>
      <w:r w:rsidR="000539C1">
        <w:rPr>
          <w:rFonts w:ascii="Arial" w:hAnsi="Arial" w:cs="Arial"/>
          <w:sz w:val="24"/>
          <w:szCs w:val="24"/>
          <w:lang w:val="en-US"/>
        </w:rPr>
        <w:t xml:space="preserve"> sample enterprises </w:t>
      </w:r>
      <w:r w:rsidR="004B6AEE">
        <w:rPr>
          <w:rFonts w:ascii="Arial" w:hAnsi="Arial" w:cs="Arial"/>
          <w:sz w:val="24"/>
          <w:szCs w:val="24"/>
          <w:lang w:val="en-US"/>
        </w:rPr>
        <w:t xml:space="preserve">could </w:t>
      </w:r>
      <w:r w:rsidR="000539C1">
        <w:rPr>
          <w:rFonts w:ascii="Arial" w:hAnsi="Arial" w:cs="Arial"/>
          <w:sz w:val="24"/>
          <w:szCs w:val="24"/>
          <w:lang w:val="en-US"/>
        </w:rPr>
        <w:t>use this channel to send filled in questionnaires</w:t>
      </w:r>
      <w:r w:rsidR="00446C21">
        <w:rPr>
          <w:rFonts w:ascii="Arial" w:hAnsi="Arial" w:cs="Arial"/>
          <w:sz w:val="24"/>
          <w:szCs w:val="24"/>
          <w:lang w:val="en-US"/>
        </w:rPr>
        <w:t>,</w:t>
      </w:r>
      <w:r w:rsidR="00AE3E6B">
        <w:rPr>
          <w:rFonts w:ascii="Arial" w:hAnsi="Arial" w:cs="Arial"/>
          <w:sz w:val="24"/>
          <w:szCs w:val="24"/>
          <w:lang w:val="en-US"/>
        </w:rPr>
        <w:t xml:space="preserve"> while this possibility was no more available starting from the first quarter 2017</w:t>
      </w:r>
      <w:r w:rsidR="008E5CB0">
        <w:rPr>
          <w:rFonts w:ascii="Arial" w:hAnsi="Arial" w:cs="Arial"/>
          <w:sz w:val="24"/>
          <w:szCs w:val="24"/>
          <w:lang w:val="en-US"/>
        </w:rPr>
        <w:t>.</w:t>
      </w:r>
      <w:r w:rsidR="004B6AEE">
        <w:rPr>
          <w:rFonts w:ascii="Arial" w:hAnsi="Arial" w:cs="Arial"/>
          <w:sz w:val="24"/>
          <w:szCs w:val="24"/>
          <w:lang w:val="en-US"/>
        </w:rPr>
        <w:t xml:space="preserve"> </w:t>
      </w:r>
    </w:p>
    <w:p w14:paraId="5F070682" w14:textId="77777777" w:rsidR="001A1DE4" w:rsidRPr="008E2667" w:rsidRDefault="001A1DE4" w:rsidP="00FC38D9">
      <w:pPr>
        <w:spacing w:before="120" w:after="0" w:line="360" w:lineRule="auto"/>
        <w:jc w:val="both"/>
        <w:rPr>
          <w:rFonts w:ascii="Arial" w:hAnsi="Arial" w:cs="Arial"/>
          <w:sz w:val="24"/>
          <w:szCs w:val="24"/>
          <w:lang w:val="en-US"/>
        </w:rPr>
      </w:pPr>
    </w:p>
    <w:p w14:paraId="22C94AE6" w14:textId="77777777" w:rsidR="00EA34FA" w:rsidRPr="009F04C8" w:rsidRDefault="00EA34FA" w:rsidP="00EA34FA">
      <w:pPr>
        <w:spacing w:before="120" w:after="0" w:line="360" w:lineRule="auto"/>
        <w:jc w:val="both"/>
        <w:rPr>
          <w:rFonts w:ascii="Arial" w:hAnsi="Arial" w:cs="Arial"/>
          <w:b/>
          <w:sz w:val="24"/>
          <w:szCs w:val="24"/>
          <w:lang w:val="en-US"/>
        </w:rPr>
      </w:pPr>
      <w:r>
        <w:rPr>
          <w:rFonts w:ascii="Arial" w:hAnsi="Arial" w:cs="Arial"/>
          <w:b/>
          <w:sz w:val="24"/>
          <w:szCs w:val="24"/>
          <w:lang w:val="en-US"/>
        </w:rPr>
        <w:t>4</w:t>
      </w:r>
      <w:r w:rsidRPr="009F04C8">
        <w:rPr>
          <w:rFonts w:ascii="Arial" w:hAnsi="Arial" w:cs="Arial"/>
          <w:b/>
          <w:sz w:val="24"/>
          <w:szCs w:val="24"/>
          <w:lang w:val="en-US"/>
        </w:rPr>
        <w:t xml:space="preserve">. </w:t>
      </w:r>
      <w:r>
        <w:rPr>
          <w:rFonts w:ascii="Arial" w:hAnsi="Arial" w:cs="Arial"/>
          <w:b/>
          <w:sz w:val="24"/>
          <w:szCs w:val="24"/>
          <w:lang w:val="en-US"/>
        </w:rPr>
        <w:t>Concluding remarks</w:t>
      </w:r>
    </w:p>
    <w:p w14:paraId="4D13F024" w14:textId="354F7474" w:rsidR="00C25450" w:rsidRDefault="008E2667" w:rsidP="008E2667">
      <w:pPr>
        <w:spacing w:before="360" w:after="0" w:line="360" w:lineRule="auto"/>
        <w:jc w:val="both"/>
        <w:rPr>
          <w:rFonts w:ascii="Arial" w:hAnsi="Arial" w:cs="Arial"/>
          <w:sz w:val="24"/>
          <w:szCs w:val="24"/>
          <w:lang w:val="en-US"/>
        </w:rPr>
      </w:pPr>
      <w:r>
        <w:rPr>
          <w:rFonts w:ascii="Arial" w:hAnsi="Arial" w:cs="Arial"/>
          <w:sz w:val="24"/>
          <w:szCs w:val="24"/>
          <w:lang w:val="en-US"/>
        </w:rPr>
        <w:t>In this paper, the pattern</w:t>
      </w:r>
      <w:r w:rsidR="00852590">
        <w:rPr>
          <w:rFonts w:ascii="Arial" w:hAnsi="Arial" w:cs="Arial"/>
          <w:sz w:val="24"/>
          <w:szCs w:val="24"/>
          <w:lang w:val="en-US"/>
        </w:rPr>
        <w:t>s</w:t>
      </w:r>
      <w:r>
        <w:rPr>
          <w:rFonts w:ascii="Arial" w:hAnsi="Arial" w:cs="Arial"/>
          <w:sz w:val="24"/>
          <w:szCs w:val="24"/>
          <w:lang w:val="en-US"/>
        </w:rPr>
        <w:t xml:space="preserve"> of response rates to the </w:t>
      </w:r>
      <w:r w:rsidR="00310670">
        <w:rPr>
          <w:rFonts w:ascii="Arial" w:hAnsi="Arial" w:cs="Arial"/>
          <w:sz w:val="24"/>
          <w:szCs w:val="24"/>
          <w:lang w:val="en-US"/>
        </w:rPr>
        <w:t xml:space="preserve">quarterly ISTAT </w:t>
      </w:r>
      <w:r w:rsidR="00310670" w:rsidRPr="00CB4870">
        <w:rPr>
          <w:rFonts w:ascii="Arial" w:hAnsi="Arial" w:cs="Arial"/>
          <w:sz w:val="24"/>
          <w:szCs w:val="24"/>
          <w:lang w:val="en-US"/>
        </w:rPr>
        <w:t xml:space="preserve">survey </w:t>
      </w:r>
      <w:r w:rsidR="00310670">
        <w:rPr>
          <w:rFonts w:ascii="Arial" w:hAnsi="Arial" w:cs="Arial"/>
          <w:sz w:val="24"/>
          <w:szCs w:val="24"/>
          <w:lang w:val="en-US"/>
        </w:rPr>
        <w:t xml:space="preserve">on Job Vacancies and Hours Worked </w:t>
      </w:r>
      <w:r>
        <w:rPr>
          <w:rFonts w:ascii="Arial" w:hAnsi="Arial" w:cs="Arial"/>
          <w:sz w:val="24"/>
          <w:szCs w:val="24"/>
          <w:lang w:val="en-US"/>
        </w:rPr>
        <w:t>ha</w:t>
      </w:r>
      <w:r w:rsidR="00852590">
        <w:rPr>
          <w:rFonts w:ascii="Arial" w:hAnsi="Arial" w:cs="Arial"/>
          <w:sz w:val="24"/>
          <w:szCs w:val="24"/>
          <w:lang w:val="en-US"/>
        </w:rPr>
        <w:t>ve</w:t>
      </w:r>
      <w:r>
        <w:rPr>
          <w:rFonts w:ascii="Arial" w:hAnsi="Arial" w:cs="Arial"/>
          <w:sz w:val="24"/>
          <w:szCs w:val="24"/>
          <w:lang w:val="en-US"/>
        </w:rPr>
        <w:t xml:space="preserve"> been analysed, </w:t>
      </w:r>
      <w:r w:rsidR="0017492E">
        <w:rPr>
          <w:rFonts w:ascii="Arial" w:hAnsi="Arial" w:cs="Arial"/>
          <w:sz w:val="24"/>
          <w:szCs w:val="24"/>
          <w:lang w:val="en-US"/>
        </w:rPr>
        <w:t xml:space="preserve">with a </w:t>
      </w:r>
      <w:r>
        <w:rPr>
          <w:rFonts w:ascii="Arial" w:hAnsi="Arial" w:cs="Arial"/>
          <w:sz w:val="24"/>
          <w:szCs w:val="24"/>
          <w:lang w:val="en-US"/>
        </w:rPr>
        <w:t>compari</w:t>
      </w:r>
      <w:r w:rsidR="0017492E">
        <w:rPr>
          <w:rFonts w:ascii="Arial" w:hAnsi="Arial" w:cs="Arial"/>
          <w:sz w:val="24"/>
          <w:szCs w:val="24"/>
          <w:lang w:val="en-US"/>
        </w:rPr>
        <w:t>son between</w:t>
      </w:r>
      <w:r>
        <w:rPr>
          <w:rFonts w:ascii="Arial" w:hAnsi="Arial" w:cs="Arial"/>
          <w:sz w:val="24"/>
          <w:szCs w:val="24"/>
          <w:lang w:val="en-US"/>
        </w:rPr>
        <w:t xml:space="preserve"> the last year of mixed mode (CATI and CAWI) data collection technique and the first year </w:t>
      </w:r>
      <w:r w:rsidR="00D777ED">
        <w:rPr>
          <w:rFonts w:ascii="Arial" w:hAnsi="Arial" w:cs="Arial"/>
          <w:sz w:val="24"/>
          <w:szCs w:val="24"/>
          <w:lang w:val="en-US"/>
        </w:rPr>
        <w:t>of reliance on CAWI only</w:t>
      </w:r>
      <w:r w:rsidR="00C0121C">
        <w:rPr>
          <w:rFonts w:ascii="Arial" w:hAnsi="Arial" w:cs="Arial"/>
          <w:sz w:val="24"/>
          <w:szCs w:val="24"/>
          <w:lang w:val="en-US"/>
        </w:rPr>
        <w:t xml:space="preserve">, from the </w:t>
      </w:r>
      <w:r w:rsidR="00C0121C" w:rsidRPr="00081DEA">
        <w:rPr>
          <w:rFonts w:ascii="Arial" w:hAnsi="Arial" w:cs="Arial"/>
          <w:sz w:val="24"/>
          <w:szCs w:val="24"/>
          <w:lang w:val="en-US"/>
        </w:rPr>
        <w:t>point of view of the Istat unit responsible for the prod</w:t>
      </w:r>
      <w:r w:rsidR="00C0121C">
        <w:rPr>
          <w:rFonts w:ascii="Arial" w:hAnsi="Arial" w:cs="Arial"/>
          <w:sz w:val="24"/>
          <w:szCs w:val="24"/>
          <w:lang w:val="en-US"/>
        </w:rPr>
        <w:t>uction of statistical outputs.</w:t>
      </w:r>
    </w:p>
    <w:p w14:paraId="2210E619" w14:textId="41B7A2E3" w:rsidR="004740F1" w:rsidRDefault="00F9007D" w:rsidP="00F9007D">
      <w:pPr>
        <w:spacing w:before="360" w:after="0" w:line="360" w:lineRule="auto"/>
        <w:jc w:val="both"/>
        <w:rPr>
          <w:rFonts w:ascii="Arial" w:hAnsi="Arial" w:cs="Arial"/>
          <w:sz w:val="24"/>
          <w:szCs w:val="24"/>
          <w:lang w:val="en-US"/>
        </w:rPr>
      </w:pPr>
      <w:r>
        <w:rPr>
          <w:rFonts w:ascii="Arial" w:hAnsi="Arial" w:cs="Arial"/>
          <w:sz w:val="24"/>
          <w:szCs w:val="24"/>
          <w:lang w:val="en-US"/>
        </w:rPr>
        <w:t>The measures taken to compensate for the end of the CATI technique</w:t>
      </w:r>
      <w:r w:rsidR="00852590">
        <w:rPr>
          <w:rFonts w:ascii="Arial" w:hAnsi="Arial" w:cs="Arial"/>
          <w:sz w:val="24"/>
          <w:szCs w:val="24"/>
          <w:lang w:val="en-US"/>
        </w:rPr>
        <w:t xml:space="preserve">, that range from certified and normal email reminders, to phone reminders and the availability </w:t>
      </w:r>
      <w:r w:rsidR="00A51E2D">
        <w:rPr>
          <w:rFonts w:ascii="Arial" w:hAnsi="Arial" w:cs="Arial"/>
          <w:sz w:val="24"/>
          <w:szCs w:val="24"/>
          <w:lang w:val="en-US"/>
        </w:rPr>
        <w:t>to</w:t>
      </w:r>
      <w:r w:rsidR="00852590">
        <w:rPr>
          <w:rFonts w:ascii="Arial" w:hAnsi="Arial" w:cs="Arial"/>
          <w:sz w:val="24"/>
          <w:szCs w:val="24"/>
          <w:lang w:val="en-US"/>
        </w:rPr>
        <w:t xml:space="preserve"> the sample enterprises of a varied set of closely monitored communication channels</w:t>
      </w:r>
      <w:r w:rsidR="00D75B86">
        <w:rPr>
          <w:rFonts w:ascii="Arial" w:hAnsi="Arial" w:cs="Arial"/>
          <w:sz w:val="24"/>
          <w:szCs w:val="24"/>
          <w:lang w:val="en-US"/>
        </w:rPr>
        <w:t xml:space="preserve"> with ISTAT, have been shown to </w:t>
      </w:r>
      <w:r w:rsidR="00986CFD">
        <w:rPr>
          <w:rFonts w:ascii="Arial" w:hAnsi="Arial" w:cs="Arial"/>
          <w:sz w:val="24"/>
          <w:szCs w:val="24"/>
          <w:lang w:val="en-US"/>
        </w:rPr>
        <w:t xml:space="preserve">be important tools towards the aim to contain a </w:t>
      </w:r>
      <w:r w:rsidR="00A65777">
        <w:rPr>
          <w:rFonts w:ascii="Arial" w:hAnsi="Arial" w:cs="Arial"/>
          <w:sz w:val="24"/>
          <w:szCs w:val="24"/>
          <w:lang w:val="en-US"/>
        </w:rPr>
        <w:t xml:space="preserve">possible </w:t>
      </w:r>
      <w:r w:rsidR="00986CFD">
        <w:rPr>
          <w:rFonts w:ascii="Arial" w:hAnsi="Arial" w:cs="Arial"/>
          <w:sz w:val="24"/>
          <w:szCs w:val="24"/>
          <w:lang w:val="en-US"/>
        </w:rPr>
        <w:t xml:space="preserve">fall in response rates. </w:t>
      </w:r>
    </w:p>
    <w:p w14:paraId="10E1FA84" w14:textId="5689CD8E" w:rsidR="00C0121C" w:rsidRDefault="00F9007D" w:rsidP="00C0121C">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results highlight the great relevance of the </w:t>
      </w:r>
      <w:r w:rsidR="00C0121C">
        <w:rPr>
          <w:rFonts w:ascii="Arial" w:hAnsi="Arial" w:cs="Arial"/>
          <w:sz w:val="24"/>
          <w:szCs w:val="24"/>
          <w:lang w:val="en-US"/>
        </w:rPr>
        <w:t xml:space="preserve">synergy between the units responsible for data collection and the production of statistical outputs. </w:t>
      </w:r>
      <w:r w:rsidR="00564DC3">
        <w:rPr>
          <w:rFonts w:ascii="Arial" w:hAnsi="Arial" w:cs="Arial"/>
          <w:sz w:val="24"/>
          <w:szCs w:val="24"/>
          <w:lang w:val="en-US"/>
        </w:rPr>
        <w:t>In fact, a close cooperation has</w:t>
      </w:r>
      <w:r w:rsidR="00C0121C">
        <w:rPr>
          <w:rFonts w:ascii="Arial" w:hAnsi="Arial" w:cs="Arial"/>
          <w:sz w:val="24"/>
          <w:szCs w:val="24"/>
          <w:lang w:val="en-US"/>
        </w:rPr>
        <w:t xml:space="preserve"> allowed </w:t>
      </w:r>
      <w:r>
        <w:rPr>
          <w:rFonts w:ascii="Arial" w:hAnsi="Arial" w:cs="Arial"/>
          <w:sz w:val="24"/>
          <w:szCs w:val="24"/>
          <w:lang w:val="en-US"/>
        </w:rPr>
        <w:t>to respond timely and effectively to the arising situations, for example adapting the schedule of normal and certified email reminders to the actual response pattern</w:t>
      </w:r>
      <w:r w:rsidR="00564DC3">
        <w:rPr>
          <w:rFonts w:ascii="Arial" w:hAnsi="Arial" w:cs="Arial"/>
          <w:sz w:val="24"/>
          <w:szCs w:val="24"/>
          <w:lang w:val="en-US"/>
        </w:rPr>
        <w:t>s</w:t>
      </w:r>
      <w:r>
        <w:rPr>
          <w:rFonts w:ascii="Arial" w:hAnsi="Arial" w:cs="Arial"/>
          <w:sz w:val="24"/>
          <w:szCs w:val="24"/>
          <w:lang w:val="en-US"/>
        </w:rPr>
        <w:t xml:space="preserve"> in each quarter. </w:t>
      </w:r>
    </w:p>
    <w:p w14:paraId="29E02A4E" w14:textId="77777777" w:rsidR="00587B18" w:rsidRDefault="00587B18" w:rsidP="00FF7189">
      <w:pPr>
        <w:spacing w:before="360" w:after="0" w:line="360" w:lineRule="auto"/>
        <w:jc w:val="both"/>
        <w:rPr>
          <w:rFonts w:ascii="Arial" w:hAnsi="Arial" w:cs="Arial"/>
          <w:b/>
          <w:sz w:val="24"/>
          <w:szCs w:val="24"/>
          <w:lang w:val="en-GB"/>
        </w:rPr>
      </w:pPr>
    </w:p>
    <w:p w14:paraId="17C3C908" w14:textId="77777777" w:rsidR="00587B18" w:rsidRDefault="00587B18" w:rsidP="00FF7189">
      <w:pPr>
        <w:spacing w:before="360" w:after="0" w:line="360" w:lineRule="auto"/>
        <w:jc w:val="both"/>
        <w:rPr>
          <w:rFonts w:ascii="Arial" w:hAnsi="Arial" w:cs="Arial"/>
          <w:b/>
          <w:sz w:val="24"/>
          <w:szCs w:val="24"/>
          <w:lang w:val="en-GB"/>
        </w:rPr>
      </w:pPr>
    </w:p>
    <w:p w14:paraId="4E54850B" w14:textId="77777777" w:rsidR="00FF7189" w:rsidRPr="00EC5F5A" w:rsidRDefault="00FF7189" w:rsidP="00FF7189">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14:paraId="282A3768" w14:textId="77777777" w:rsidR="00FF7189" w:rsidRPr="00FF7189" w:rsidRDefault="00FF7189" w:rsidP="00FF7189">
      <w:pPr>
        <w:spacing w:before="120" w:after="0" w:line="360" w:lineRule="auto"/>
        <w:jc w:val="both"/>
        <w:rPr>
          <w:rFonts w:ascii="Arial" w:hAnsi="Arial" w:cs="Arial"/>
          <w:sz w:val="24"/>
          <w:szCs w:val="24"/>
          <w:lang w:val="en-GB"/>
        </w:rPr>
      </w:pPr>
      <w:r w:rsidRPr="00FF7189">
        <w:rPr>
          <w:rFonts w:ascii="Arial" w:hAnsi="Arial" w:cs="Arial"/>
          <w:sz w:val="24"/>
          <w:szCs w:val="24"/>
          <w:lang w:val="en-GB"/>
        </w:rPr>
        <w:t xml:space="preserve">Baldi C., Bellisai D., Ceccato F., Pacini S., Serbassi L., Sorrentino M. and Tuzi D. (2011), The System of Short Term Business Statistics on Labour in Italy. The Challenges of Data Integration. Available at: </w:t>
      </w:r>
      <w:hyperlink r:id="rId17" w:history="1">
        <w:r w:rsidRPr="00FF7189">
          <w:rPr>
            <w:rStyle w:val="Hipercze"/>
            <w:rFonts w:ascii="Arial" w:hAnsi="Arial" w:cs="Arial"/>
            <w:sz w:val="24"/>
            <w:szCs w:val="24"/>
            <w:lang w:val="en-GB"/>
          </w:rPr>
          <w:t>http://www.ine.es/e/essnetdi_ws2011/ppts/Baldi_et_al.pdf</w:t>
        </w:r>
      </w:hyperlink>
      <w:r w:rsidRPr="00FF7189">
        <w:rPr>
          <w:rFonts w:ascii="Arial" w:hAnsi="Arial" w:cs="Arial"/>
          <w:sz w:val="24"/>
          <w:szCs w:val="24"/>
          <w:lang w:val="en-GB"/>
        </w:rPr>
        <w:t>.</w:t>
      </w:r>
    </w:p>
    <w:p w14:paraId="769C4740" w14:textId="77777777" w:rsidR="00FF7189" w:rsidRDefault="00FF7189" w:rsidP="00FF7189">
      <w:pPr>
        <w:spacing w:before="120" w:after="0" w:line="360" w:lineRule="auto"/>
        <w:jc w:val="both"/>
        <w:rPr>
          <w:rFonts w:ascii="Arial" w:hAnsi="Arial" w:cs="Arial"/>
          <w:sz w:val="24"/>
          <w:szCs w:val="24"/>
          <w:lang w:val="it-IT"/>
        </w:rPr>
      </w:pPr>
      <w:r w:rsidRPr="00FF7189">
        <w:rPr>
          <w:rFonts w:ascii="Arial" w:hAnsi="Arial" w:cs="Arial"/>
          <w:sz w:val="24"/>
          <w:szCs w:val="24"/>
          <w:lang w:val="it-IT"/>
        </w:rPr>
        <w:t>Bellisai D., Binci S., Gigante S., Libratore A., Serbassi L. and Sorrentino M. (2013), Verso la modernizzazione della produzione delle statistiche congiunturali sull’input di lavoro: il processo di integrazione tra la rilevazione mensile sulle grandi imprese e quella trimestrale sui posti vacanti e le ore lavorate, Istat, Working Papers, n. 11</w:t>
      </w:r>
    </w:p>
    <w:p w14:paraId="7A600C97" w14:textId="343947B3" w:rsidR="00140C10" w:rsidRPr="00DE02D9" w:rsidRDefault="00DE02D9" w:rsidP="00FF7189">
      <w:pPr>
        <w:spacing w:before="120" w:after="0" w:line="360" w:lineRule="auto"/>
        <w:jc w:val="both"/>
        <w:rPr>
          <w:rFonts w:ascii="Arial" w:hAnsi="Arial" w:cs="Arial"/>
          <w:sz w:val="24"/>
          <w:szCs w:val="24"/>
          <w:lang w:val="en-US"/>
        </w:rPr>
      </w:pPr>
      <w:r w:rsidRPr="00DE02D9">
        <w:rPr>
          <w:rFonts w:ascii="Arial" w:hAnsi="Arial" w:cs="Arial"/>
          <w:sz w:val="24"/>
          <w:szCs w:val="24"/>
          <w:lang w:val="en-US"/>
        </w:rPr>
        <w:t>Schwarz G. (2013), Response Rate in European Business Tendency Surveys, Organisation for Economic Co-operation and Development</w:t>
      </w:r>
      <w:r>
        <w:rPr>
          <w:rFonts w:ascii="Arial" w:hAnsi="Arial" w:cs="Arial"/>
          <w:sz w:val="24"/>
          <w:szCs w:val="24"/>
          <w:lang w:val="en-US"/>
        </w:rPr>
        <w:t xml:space="preserve">, Final </w:t>
      </w:r>
      <w:r w:rsidRPr="00DE02D9">
        <w:rPr>
          <w:rFonts w:ascii="Arial" w:hAnsi="Arial" w:cs="Arial"/>
          <w:sz w:val="24"/>
          <w:szCs w:val="24"/>
          <w:lang w:val="en-US"/>
        </w:rPr>
        <w:t>Report of the task force on survey quality’s work group on response rates</w:t>
      </w:r>
      <w:r>
        <w:rPr>
          <w:rFonts w:ascii="Arial" w:hAnsi="Arial" w:cs="Arial"/>
          <w:sz w:val="24"/>
          <w:szCs w:val="24"/>
          <w:lang w:val="en-US"/>
        </w:rPr>
        <w:t>.</w:t>
      </w:r>
    </w:p>
    <w:p w14:paraId="01D7C95C" w14:textId="77777777" w:rsidR="00FF7189" w:rsidRPr="00DE02D9" w:rsidRDefault="00FF7189" w:rsidP="00C0121C">
      <w:pPr>
        <w:spacing w:before="360" w:after="0" w:line="360" w:lineRule="auto"/>
        <w:jc w:val="both"/>
        <w:rPr>
          <w:rFonts w:ascii="Arial" w:hAnsi="Arial" w:cs="Arial"/>
          <w:sz w:val="24"/>
          <w:szCs w:val="24"/>
          <w:lang w:val="en-US"/>
        </w:rPr>
      </w:pPr>
    </w:p>
    <w:sectPr w:rsidR="00FF7189" w:rsidRPr="00DE02D9"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027B" w14:textId="77777777" w:rsidR="00F10F54" w:rsidRDefault="00F10F54" w:rsidP="00E82B25">
      <w:pPr>
        <w:spacing w:after="0" w:line="240" w:lineRule="auto"/>
      </w:pPr>
      <w:r>
        <w:separator/>
      </w:r>
    </w:p>
  </w:endnote>
  <w:endnote w:type="continuationSeparator" w:id="0">
    <w:p w14:paraId="0C7F8660" w14:textId="77777777" w:rsidR="00F10F54" w:rsidRDefault="00F10F5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7289FCAA" w14:textId="77777777" w:rsidR="003316A8" w:rsidRPr="009378F5" w:rsidRDefault="003316A8"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3706E">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6193" w14:textId="77777777" w:rsidR="00F10F54" w:rsidRDefault="00F10F54" w:rsidP="00E82B25">
      <w:pPr>
        <w:spacing w:after="0" w:line="240" w:lineRule="auto"/>
      </w:pPr>
      <w:r>
        <w:separator/>
      </w:r>
    </w:p>
  </w:footnote>
  <w:footnote w:type="continuationSeparator" w:id="0">
    <w:p w14:paraId="5F58AB10" w14:textId="77777777" w:rsidR="00F10F54" w:rsidRDefault="00F10F54"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8605" w14:textId="77777777" w:rsidR="003316A8" w:rsidRDefault="00F10F54">
    <w:pPr>
      <w:pStyle w:val="Nagwek"/>
    </w:pPr>
    <w:r>
      <w:rPr>
        <w:noProof/>
        <w:lang w:eastAsia="pl-PL"/>
      </w:rPr>
      <w:pict w14:anchorId="7A1F5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4E6A" w14:textId="77777777" w:rsidR="003316A8" w:rsidRDefault="00F10F54">
    <w:pPr>
      <w:pStyle w:val="Nagwek"/>
    </w:pPr>
    <w:r>
      <w:rPr>
        <w:noProof/>
        <w:lang w:eastAsia="pl-PL"/>
      </w:rPr>
      <w:pict w14:anchorId="202F1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D0F1" w14:textId="77777777" w:rsidR="003316A8" w:rsidRDefault="00F10F54">
    <w:pPr>
      <w:pStyle w:val="Nagwek"/>
    </w:pPr>
    <w:r>
      <w:rPr>
        <w:noProof/>
        <w:lang w:eastAsia="pl-PL"/>
      </w:rPr>
      <w:pict w14:anchorId="4A66C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51874"/>
    <w:multiLevelType w:val="multilevel"/>
    <w:tmpl w:val="B22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F3148"/>
    <w:multiLevelType w:val="multilevel"/>
    <w:tmpl w:val="AD3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1E09"/>
    <w:rsid w:val="0000204B"/>
    <w:rsid w:val="000102E2"/>
    <w:rsid w:val="0001112A"/>
    <w:rsid w:val="000155BD"/>
    <w:rsid w:val="00026CD3"/>
    <w:rsid w:val="00040E8F"/>
    <w:rsid w:val="00044C4E"/>
    <w:rsid w:val="00044C80"/>
    <w:rsid w:val="00047C24"/>
    <w:rsid w:val="000539C1"/>
    <w:rsid w:val="00070925"/>
    <w:rsid w:val="0007704A"/>
    <w:rsid w:val="000774A9"/>
    <w:rsid w:val="00081DEA"/>
    <w:rsid w:val="00085E94"/>
    <w:rsid w:val="000957CC"/>
    <w:rsid w:val="000B12D9"/>
    <w:rsid w:val="000B1455"/>
    <w:rsid w:val="000C0114"/>
    <w:rsid w:val="000C6472"/>
    <w:rsid w:val="000D53BC"/>
    <w:rsid w:val="000D705A"/>
    <w:rsid w:val="000F12B5"/>
    <w:rsid w:val="000F337F"/>
    <w:rsid w:val="0010050F"/>
    <w:rsid w:val="00120C8D"/>
    <w:rsid w:val="00123167"/>
    <w:rsid w:val="00133E07"/>
    <w:rsid w:val="00140C10"/>
    <w:rsid w:val="00142A8D"/>
    <w:rsid w:val="00145FF0"/>
    <w:rsid w:val="0015131F"/>
    <w:rsid w:val="00151C5D"/>
    <w:rsid w:val="0015406E"/>
    <w:rsid w:val="00156EEA"/>
    <w:rsid w:val="00157DAD"/>
    <w:rsid w:val="00160406"/>
    <w:rsid w:val="00166CDC"/>
    <w:rsid w:val="0016743D"/>
    <w:rsid w:val="00173F51"/>
    <w:rsid w:val="0017492E"/>
    <w:rsid w:val="00182357"/>
    <w:rsid w:val="00195FF1"/>
    <w:rsid w:val="001A1DE4"/>
    <w:rsid w:val="001B1B2F"/>
    <w:rsid w:val="001C4B67"/>
    <w:rsid w:val="001C5393"/>
    <w:rsid w:val="001E43DC"/>
    <w:rsid w:val="00202516"/>
    <w:rsid w:val="00202F48"/>
    <w:rsid w:val="002031A3"/>
    <w:rsid w:val="002073F7"/>
    <w:rsid w:val="00221F17"/>
    <w:rsid w:val="002261E2"/>
    <w:rsid w:val="002304C2"/>
    <w:rsid w:val="00234927"/>
    <w:rsid w:val="0023623C"/>
    <w:rsid w:val="00242620"/>
    <w:rsid w:val="00252847"/>
    <w:rsid w:val="002641FB"/>
    <w:rsid w:val="002710D8"/>
    <w:rsid w:val="0028150C"/>
    <w:rsid w:val="00282B53"/>
    <w:rsid w:val="00285782"/>
    <w:rsid w:val="00293580"/>
    <w:rsid w:val="002947EC"/>
    <w:rsid w:val="002B6D33"/>
    <w:rsid w:val="002C7B40"/>
    <w:rsid w:val="002D01BA"/>
    <w:rsid w:val="002E6D2C"/>
    <w:rsid w:val="002F0855"/>
    <w:rsid w:val="002F68C0"/>
    <w:rsid w:val="00303F4B"/>
    <w:rsid w:val="003055E7"/>
    <w:rsid w:val="00310670"/>
    <w:rsid w:val="003312F3"/>
    <w:rsid w:val="003316A8"/>
    <w:rsid w:val="00336E21"/>
    <w:rsid w:val="0035694D"/>
    <w:rsid w:val="00362815"/>
    <w:rsid w:val="003707CE"/>
    <w:rsid w:val="00390F12"/>
    <w:rsid w:val="00391150"/>
    <w:rsid w:val="00392630"/>
    <w:rsid w:val="00393E10"/>
    <w:rsid w:val="003A1D16"/>
    <w:rsid w:val="003A36DC"/>
    <w:rsid w:val="003B3B6B"/>
    <w:rsid w:val="003B6F38"/>
    <w:rsid w:val="003C6AA1"/>
    <w:rsid w:val="003F1F62"/>
    <w:rsid w:val="003F3D9A"/>
    <w:rsid w:val="004150F5"/>
    <w:rsid w:val="004174E4"/>
    <w:rsid w:val="00420CAD"/>
    <w:rsid w:val="00433084"/>
    <w:rsid w:val="00433ACF"/>
    <w:rsid w:val="004402E7"/>
    <w:rsid w:val="004403DD"/>
    <w:rsid w:val="004442D8"/>
    <w:rsid w:val="00445C04"/>
    <w:rsid w:val="00446C21"/>
    <w:rsid w:val="00454C7A"/>
    <w:rsid w:val="00457180"/>
    <w:rsid w:val="004740F1"/>
    <w:rsid w:val="00476C8C"/>
    <w:rsid w:val="00491874"/>
    <w:rsid w:val="004927BC"/>
    <w:rsid w:val="00493026"/>
    <w:rsid w:val="0049744A"/>
    <w:rsid w:val="004A12A7"/>
    <w:rsid w:val="004A1A99"/>
    <w:rsid w:val="004B0225"/>
    <w:rsid w:val="004B298C"/>
    <w:rsid w:val="004B39C1"/>
    <w:rsid w:val="004B4406"/>
    <w:rsid w:val="004B5817"/>
    <w:rsid w:val="004B6729"/>
    <w:rsid w:val="004B6AEE"/>
    <w:rsid w:val="004B6B5A"/>
    <w:rsid w:val="004C0A7D"/>
    <w:rsid w:val="004C5048"/>
    <w:rsid w:val="004D1AE7"/>
    <w:rsid w:val="004D51B3"/>
    <w:rsid w:val="004D6704"/>
    <w:rsid w:val="004D6F15"/>
    <w:rsid w:val="004E4424"/>
    <w:rsid w:val="004F04B4"/>
    <w:rsid w:val="004F4025"/>
    <w:rsid w:val="004F5CAE"/>
    <w:rsid w:val="00513302"/>
    <w:rsid w:val="00514654"/>
    <w:rsid w:val="00515105"/>
    <w:rsid w:val="0051620F"/>
    <w:rsid w:val="005215E8"/>
    <w:rsid w:val="00530FD6"/>
    <w:rsid w:val="00534A8F"/>
    <w:rsid w:val="00537938"/>
    <w:rsid w:val="00560C99"/>
    <w:rsid w:val="00561F3D"/>
    <w:rsid w:val="005627E2"/>
    <w:rsid w:val="0056324D"/>
    <w:rsid w:val="00564DC3"/>
    <w:rsid w:val="00570591"/>
    <w:rsid w:val="005812C5"/>
    <w:rsid w:val="00587B18"/>
    <w:rsid w:val="0059249F"/>
    <w:rsid w:val="005938FF"/>
    <w:rsid w:val="005A1F57"/>
    <w:rsid w:val="005A3B75"/>
    <w:rsid w:val="005B6971"/>
    <w:rsid w:val="005D190B"/>
    <w:rsid w:val="005D71C3"/>
    <w:rsid w:val="005F0265"/>
    <w:rsid w:val="005F1875"/>
    <w:rsid w:val="00604E39"/>
    <w:rsid w:val="006052BF"/>
    <w:rsid w:val="00621A85"/>
    <w:rsid w:val="0063479A"/>
    <w:rsid w:val="0063706E"/>
    <w:rsid w:val="0063795C"/>
    <w:rsid w:val="0064092F"/>
    <w:rsid w:val="00653D6C"/>
    <w:rsid w:val="0066029D"/>
    <w:rsid w:val="00661FEA"/>
    <w:rsid w:val="00667788"/>
    <w:rsid w:val="00673888"/>
    <w:rsid w:val="006775E8"/>
    <w:rsid w:val="0069009D"/>
    <w:rsid w:val="00697311"/>
    <w:rsid w:val="00697934"/>
    <w:rsid w:val="006A2E31"/>
    <w:rsid w:val="006A51C1"/>
    <w:rsid w:val="006B1C8E"/>
    <w:rsid w:val="006B5A4A"/>
    <w:rsid w:val="006C2B12"/>
    <w:rsid w:val="006C5879"/>
    <w:rsid w:val="006C774D"/>
    <w:rsid w:val="006D4731"/>
    <w:rsid w:val="00705A5C"/>
    <w:rsid w:val="00711029"/>
    <w:rsid w:val="007205D6"/>
    <w:rsid w:val="00730C43"/>
    <w:rsid w:val="00733E4E"/>
    <w:rsid w:val="007360FC"/>
    <w:rsid w:val="0074335E"/>
    <w:rsid w:val="00754A2C"/>
    <w:rsid w:val="00765038"/>
    <w:rsid w:val="007730C4"/>
    <w:rsid w:val="00775AC1"/>
    <w:rsid w:val="00776C97"/>
    <w:rsid w:val="007A08EB"/>
    <w:rsid w:val="007B57C0"/>
    <w:rsid w:val="007C71BC"/>
    <w:rsid w:val="007C7BD1"/>
    <w:rsid w:val="007D355F"/>
    <w:rsid w:val="007E0DB8"/>
    <w:rsid w:val="007E6D8C"/>
    <w:rsid w:val="0081114E"/>
    <w:rsid w:val="00811CE1"/>
    <w:rsid w:val="00815D80"/>
    <w:rsid w:val="0082373C"/>
    <w:rsid w:val="00851C15"/>
    <w:rsid w:val="00852590"/>
    <w:rsid w:val="00860508"/>
    <w:rsid w:val="00861F2B"/>
    <w:rsid w:val="008654A7"/>
    <w:rsid w:val="00867B2C"/>
    <w:rsid w:val="00873330"/>
    <w:rsid w:val="00875CDF"/>
    <w:rsid w:val="00877436"/>
    <w:rsid w:val="00883326"/>
    <w:rsid w:val="00886BA9"/>
    <w:rsid w:val="008954CA"/>
    <w:rsid w:val="008A532A"/>
    <w:rsid w:val="008A71D2"/>
    <w:rsid w:val="008A7C5F"/>
    <w:rsid w:val="008B0935"/>
    <w:rsid w:val="008B2F96"/>
    <w:rsid w:val="008C08E9"/>
    <w:rsid w:val="008C20D5"/>
    <w:rsid w:val="008D2CAB"/>
    <w:rsid w:val="008D5169"/>
    <w:rsid w:val="008D56E1"/>
    <w:rsid w:val="008D6094"/>
    <w:rsid w:val="008D794F"/>
    <w:rsid w:val="008E2667"/>
    <w:rsid w:val="008E5CB0"/>
    <w:rsid w:val="008E69F5"/>
    <w:rsid w:val="00901453"/>
    <w:rsid w:val="00902A7F"/>
    <w:rsid w:val="00911070"/>
    <w:rsid w:val="00914440"/>
    <w:rsid w:val="00916155"/>
    <w:rsid w:val="009174E9"/>
    <w:rsid w:val="009378F5"/>
    <w:rsid w:val="0094169C"/>
    <w:rsid w:val="009436E0"/>
    <w:rsid w:val="00954E66"/>
    <w:rsid w:val="00957AF7"/>
    <w:rsid w:val="00966AFE"/>
    <w:rsid w:val="00972989"/>
    <w:rsid w:val="00973B8D"/>
    <w:rsid w:val="0098463F"/>
    <w:rsid w:val="00986CFD"/>
    <w:rsid w:val="0098739D"/>
    <w:rsid w:val="009B4AC1"/>
    <w:rsid w:val="009C3C30"/>
    <w:rsid w:val="009C6F51"/>
    <w:rsid w:val="009C7AF0"/>
    <w:rsid w:val="009E259C"/>
    <w:rsid w:val="009F04C8"/>
    <w:rsid w:val="009F1D69"/>
    <w:rsid w:val="00A03818"/>
    <w:rsid w:val="00A07C0F"/>
    <w:rsid w:val="00A23816"/>
    <w:rsid w:val="00A258E3"/>
    <w:rsid w:val="00A33DF0"/>
    <w:rsid w:val="00A41AF2"/>
    <w:rsid w:val="00A42E1B"/>
    <w:rsid w:val="00A43877"/>
    <w:rsid w:val="00A449C1"/>
    <w:rsid w:val="00A454B6"/>
    <w:rsid w:val="00A51E2D"/>
    <w:rsid w:val="00A531F2"/>
    <w:rsid w:val="00A6013E"/>
    <w:rsid w:val="00A60196"/>
    <w:rsid w:val="00A65777"/>
    <w:rsid w:val="00A71A6A"/>
    <w:rsid w:val="00A725B9"/>
    <w:rsid w:val="00A77E54"/>
    <w:rsid w:val="00A8711F"/>
    <w:rsid w:val="00A87894"/>
    <w:rsid w:val="00AA4F8D"/>
    <w:rsid w:val="00AC391F"/>
    <w:rsid w:val="00AC445E"/>
    <w:rsid w:val="00AC6DEE"/>
    <w:rsid w:val="00AD1423"/>
    <w:rsid w:val="00AD4281"/>
    <w:rsid w:val="00AD4AEE"/>
    <w:rsid w:val="00AE3E6B"/>
    <w:rsid w:val="00AF123C"/>
    <w:rsid w:val="00AF1BF6"/>
    <w:rsid w:val="00B13377"/>
    <w:rsid w:val="00B15A4B"/>
    <w:rsid w:val="00B21A58"/>
    <w:rsid w:val="00B22396"/>
    <w:rsid w:val="00B344EF"/>
    <w:rsid w:val="00B4129E"/>
    <w:rsid w:val="00B47197"/>
    <w:rsid w:val="00B54E83"/>
    <w:rsid w:val="00B60E27"/>
    <w:rsid w:val="00B64A30"/>
    <w:rsid w:val="00B65361"/>
    <w:rsid w:val="00B7062C"/>
    <w:rsid w:val="00B7177C"/>
    <w:rsid w:val="00B72169"/>
    <w:rsid w:val="00B74218"/>
    <w:rsid w:val="00B77A7F"/>
    <w:rsid w:val="00B83BE8"/>
    <w:rsid w:val="00B86FC7"/>
    <w:rsid w:val="00B90088"/>
    <w:rsid w:val="00B902A2"/>
    <w:rsid w:val="00B912C3"/>
    <w:rsid w:val="00B9265F"/>
    <w:rsid w:val="00B9583F"/>
    <w:rsid w:val="00B974D5"/>
    <w:rsid w:val="00BA19D9"/>
    <w:rsid w:val="00BB19AC"/>
    <w:rsid w:val="00BB2902"/>
    <w:rsid w:val="00BB6DA9"/>
    <w:rsid w:val="00BC26CE"/>
    <w:rsid w:val="00BC2791"/>
    <w:rsid w:val="00BC30B2"/>
    <w:rsid w:val="00BC3380"/>
    <w:rsid w:val="00BC3497"/>
    <w:rsid w:val="00BC4EFB"/>
    <w:rsid w:val="00BD480F"/>
    <w:rsid w:val="00BE0081"/>
    <w:rsid w:val="00BE3495"/>
    <w:rsid w:val="00BF5445"/>
    <w:rsid w:val="00BF6DBC"/>
    <w:rsid w:val="00BF7B3E"/>
    <w:rsid w:val="00C0121C"/>
    <w:rsid w:val="00C06D41"/>
    <w:rsid w:val="00C12847"/>
    <w:rsid w:val="00C16E8E"/>
    <w:rsid w:val="00C1793C"/>
    <w:rsid w:val="00C25339"/>
    <w:rsid w:val="00C25450"/>
    <w:rsid w:val="00C261EA"/>
    <w:rsid w:val="00C40213"/>
    <w:rsid w:val="00C43937"/>
    <w:rsid w:val="00C444A7"/>
    <w:rsid w:val="00C53E16"/>
    <w:rsid w:val="00C55909"/>
    <w:rsid w:val="00C627B8"/>
    <w:rsid w:val="00C726EA"/>
    <w:rsid w:val="00C7494E"/>
    <w:rsid w:val="00C74A1D"/>
    <w:rsid w:val="00C857A7"/>
    <w:rsid w:val="00C92DD3"/>
    <w:rsid w:val="00CA1812"/>
    <w:rsid w:val="00CB2B44"/>
    <w:rsid w:val="00CB4074"/>
    <w:rsid w:val="00CB4870"/>
    <w:rsid w:val="00CC1C1D"/>
    <w:rsid w:val="00CD06E3"/>
    <w:rsid w:val="00CE0078"/>
    <w:rsid w:val="00CE45A0"/>
    <w:rsid w:val="00CE635D"/>
    <w:rsid w:val="00CF33AD"/>
    <w:rsid w:val="00CF426F"/>
    <w:rsid w:val="00CF656A"/>
    <w:rsid w:val="00D0258C"/>
    <w:rsid w:val="00D0270E"/>
    <w:rsid w:val="00D1258A"/>
    <w:rsid w:val="00D20550"/>
    <w:rsid w:val="00D3638C"/>
    <w:rsid w:val="00D37CA6"/>
    <w:rsid w:val="00D4017B"/>
    <w:rsid w:val="00D47DAF"/>
    <w:rsid w:val="00D52194"/>
    <w:rsid w:val="00D54925"/>
    <w:rsid w:val="00D65C24"/>
    <w:rsid w:val="00D6768D"/>
    <w:rsid w:val="00D75B86"/>
    <w:rsid w:val="00D777ED"/>
    <w:rsid w:val="00D85945"/>
    <w:rsid w:val="00D8624B"/>
    <w:rsid w:val="00D87AED"/>
    <w:rsid w:val="00D963C0"/>
    <w:rsid w:val="00DA2589"/>
    <w:rsid w:val="00DA74F6"/>
    <w:rsid w:val="00DD4526"/>
    <w:rsid w:val="00DD4977"/>
    <w:rsid w:val="00DE01B4"/>
    <w:rsid w:val="00DE02D9"/>
    <w:rsid w:val="00DF0B55"/>
    <w:rsid w:val="00DF27A8"/>
    <w:rsid w:val="00DF4865"/>
    <w:rsid w:val="00E05675"/>
    <w:rsid w:val="00E15413"/>
    <w:rsid w:val="00E224E1"/>
    <w:rsid w:val="00E22F1C"/>
    <w:rsid w:val="00E261EB"/>
    <w:rsid w:val="00E26CF0"/>
    <w:rsid w:val="00E355A0"/>
    <w:rsid w:val="00E50953"/>
    <w:rsid w:val="00E51F0D"/>
    <w:rsid w:val="00E63876"/>
    <w:rsid w:val="00E7228E"/>
    <w:rsid w:val="00E82B25"/>
    <w:rsid w:val="00E90D8E"/>
    <w:rsid w:val="00E92831"/>
    <w:rsid w:val="00E9313B"/>
    <w:rsid w:val="00E94D6F"/>
    <w:rsid w:val="00E96034"/>
    <w:rsid w:val="00EA087A"/>
    <w:rsid w:val="00EA135B"/>
    <w:rsid w:val="00EA3199"/>
    <w:rsid w:val="00EA34FA"/>
    <w:rsid w:val="00EB15AD"/>
    <w:rsid w:val="00EB7A63"/>
    <w:rsid w:val="00EC5F5A"/>
    <w:rsid w:val="00ED743E"/>
    <w:rsid w:val="00EE0EB5"/>
    <w:rsid w:val="00EE4A70"/>
    <w:rsid w:val="00EE5081"/>
    <w:rsid w:val="00EE6FD5"/>
    <w:rsid w:val="00EF1531"/>
    <w:rsid w:val="00EF15A4"/>
    <w:rsid w:val="00EF3BC8"/>
    <w:rsid w:val="00F0004C"/>
    <w:rsid w:val="00F05892"/>
    <w:rsid w:val="00F10CA3"/>
    <w:rsid w:val="00F10F54"/>
    <w:rsid w:val="00F21B39"/>
    <w:rsid w:val="00F27443"/>
    <w:rsid w:val="00F30C27"/>
    <w:rsid w:val="00F33940"/>
    <w:rsid w:val="00F51570"/>
    <w:rsid w:val="00F5377B"/>
    <w:rsid w:val="00F56938"/>
    <w:rsid w:val="00F606D7"/>
    <w:rsid w:val="00F73654"/>
    <w:rsid w:val="00F74EA2"/>
    <w:rsid w:val="00F77E56"/>
    <w:rsid w:val="00F82AC1"/>
    <w:rsid w:val="00F83918"/>
    <w:rsid w:val="00F9007D"/>
    <w:rsid w:val="00F93B8E"/>
    <w:rsid w:val="00FA2C5D"/>
    <w:rsid w:val="00FB02B6"/>
    <w:rsid w:val="00FB5473"/>
    <w:rsid w:val="00FC38D9"/>
    <w:rsid w:val="00FD2A7E"/>
    <w:rsid w:val="00FD3482"/>
    <w:rsid w:val="00FE275B"/>
    <w:rsid w:val="00FE369C"/>
    <w:rsid w:val="00FF3E47"/>
    <w:rsid w:val="00FF7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3406480"/>
  <w15:docId w15:val="{50E8D1DA-841B-4CC5-B22A-48158301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E5081"/>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Nagwek3">
    <w:name w:val="heading 3"/>
    <w:basedOn w:val="Normalny"/>
    <w:next w:val="Normalny"/>
    <w:link w:val="Nagwek3Znak"/>
    <w:uiPriority w:val="9"/>
    <w:semiHidden/>
    <w:unhideWhenUsed/>
    <w:qFormat/>
    <w:rsid w:val="00EE50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CB4870"/>
    <w:pPr>
      <w:ind w:left="720"/>
      <w:contextualSpacing/>
    </w:pPr>
  </w:style>
  <w:style w:type="character" w:customStyle="1" w:styleId="Nagwek1Znak">
    <w:name w:val="Nagłówek 1 Znak"/>
    <w:basedOn w:val="Domylnaczcionkaakapitu"/>
    <w:link w:val="Nagwek1"/>
    <w:uiPriority w:val="9"/>
    <w:rsid w:val="00EE5081"/>
    <w:rPr>
      <w:rFonts w:ascii="Times New Roman" w:eastAsia="Times New Roman" w:hAnsi="Times New Roman" w:cs="Times New Roman"/>
      <w:b/>
      <w:bCs/>
      <w:kern w:val="36"/>
      <w:sz w:val="48"/>
      <w:szCs w:val="48"/>
      <w:lang w:val="it-IT" w:eastAsia="it-IT"/>
    </w:rPr>
  </w:style>
  <w:style w:type="character" w:customStyle="1" w:styleId="Nagwek3Znak">
    <w:name w:val="Nagłówek 3 Znak"/>
    <w:basedOn w:val="Domylnaczcionkaakapitu"/>
    <w:link w:val="Nagwek3"/>
    <w:uiPriority w:val="9"/>
    <w:semiHidden/>
    <w:rsid w:val="00EE5081"/>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EE508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222">
      <w:bodyDiv w:val="1"/>
      <w:marLeft w:val="0"/>
      <w:marRight w:val="0"/>
      <w:marTop w:val="0"/>
      <w:marBottom w:val="0"/>
      <w:divBdr>
        <w:top w:val="none" w:sz="0" w:space="0" w:color="auto"/>
        <w:left w:val="none" w:sz="0" w:space="0" w:color="auto"/>
        <w:bottom w:val="none" w:sz="0" w:space="0" w:color="auto"/>
        <w:right w:val="none" w:sz="0" w:space="0" w:color="auto"/>
      </w:divBdr>
      <w:divsChild>
        <w:div w:id="1175000542">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935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8842">
      <w:bodyDiv w:val="1"/>
      <w:marLeft w:val="0"/>
      <w:marRight w:val="0"/>
      <w:marTop w:val="0"/>
      <w:marBottom w:val="0"/>
      <w:divBdr>
        <w:top w:val="none" w:sz="0" w:space="0" w:color="auto"/>
        <w:left w:val="none" w:sz="0" w:space="0" w:color="auto"/>
        <w:bottom w:val="none" w:sz="0" w:space="0" w:color="auto"/>
        <w:right w:val="none" w:sz="0" w:space="0" w:color="auto"/>
      </w:divBdr>
    </w:div>
    <w:div w:id="49960298">
      <w:bodyDiv w:val="1"/>
      <w:marLeft w:val="0"/>
      <w:marRight w:val="0"/>
      <w:marTop w:val="0"/>
      <w:marBottom w:val="0"/>
      <w:divBdr>
        <w:top w:val="none" w:sz="0" w:space="0" w:color="auto"/>
        <w:left w:val="none" w:sz="0" w:space="0" w:color="auto"/>
        <w:bottom w:val="none" w:sz="0" w:space="0" w:color="auto"/>
        <w:right w:val="none" w:sz="0" w:space="0" w:color="auto"/>
      </w:divBdr>
    </w:div>
    <w:div w:id="119616666">
      <w:bodyDiv w:val="1"/>
      <w:marLeft w:val="0"/>
      <w:marRight w:val="0"/>
      <w:marTop w:val="0"/>
      <w:marBottom w:val="0"/>
      <w:divBdr>
        <w:top w:val="none" w:sz="0" w:space="0" w:color="auto"/>
        <w:left w:val="none" w:sz="0" w:space="0" w:color="auto"/>
        <w:bottom w:val="none" w:sz="0" w:space="0" w:color="auto"/>
        <w:right w:val="none" w:sz="0" w:space="0" w:color="auto"/>
      </w:divBdr>
    </w:div>
    <w:div w:id="129978697">
      <w:bodyDiv w:val="1"/>
      <w:marLeft w:val="0"/>
      <w:marRight w:val="0"/>
      <w:marTop w:val="0"/>
      <w:marBottom w:val="0"/>
      <w:divBdr>
        <w:top w:val="none" w:sz="0" w:space="0" w:color="auto"/>
        <w:left w:val="none" w:sz="0" w:space="0" w:color="auto"/>
        <w:bottom w:val="none" w:sz="0" w:space="0" w:color="auto"/>
        <w:right w:val="none" w:sz="0" w:space="0" w:color="auto"/>
      </w:divBdr>
      <w:divsChild>
        <w:div w:id="1108231446">
          <w:marLeft w:val="0"/>
          <w:marRight w:val="0"/>
          <w:marTop w:val="0"/>
          <w:marBottom w:val="0"/>
          <w:divBdr>
            <w:top w:val="none" w:sz="0" w:space="0" w:color="auto"/>
            <w:left w:val="none" w:sz="0" w:space="0" w:color="auto"/>
            <w:bottom w:val="none" w:sz="0" w:space="0" w:color="auto"/>
            <w:right w:val="none" w:sz="0" w:space="0" w:color="auto"/>
          </w:divBdr>
        </w:div>
      </w:divsChild>
    </w:div>
    <w:div w:id="305207616">
      <w:bodyDiv w:val="1"/>
      <w:marLeft w:val="0"/>
      <w:marRight w:val="0"/>
      <w:marTop w:val="0"/>
      <w:marBottom w:val="0"/>
      <w:divBdr>
        <w:top w:val="none" w:sz="0" w:space="0" w:color="auto"/>
        <w:left w:val="none" w:sz="0" w:space="0" w:color="auto"/>
        <w:bottom w:val="none" w:sz="0" w:space="0" w:color="auto"/>
        <w:right w:val="none" w:sz="0" w:space="0" w:color="auto"/>
      </w:divBdr>
    </w:div>
    <w:div w:id="536546579">
      <w:bodyDiv w:val="1"/>
      <w:marLeft w:val="0"/>
      <w:marRight w:val="0"/>
      <w:marTop w:val="0"/>
      <w:marBottom w:val="0"/>
      <w:divBdr>
        <w:top w:val="none" w:sz="0" w:space="0" w:color="auto"/>
        <w:left w:val="none" w:sz="0" w:space="0" w:color="auto"/>
        <w:bottom w:val="none" w:sz="0" w:space="0" w:color="auto"/>
        <w:right w:val="none" w:sz="0" w:space="0" w:color="auto"/>
      </w:divBdr>
      <w:divsChild>
        <w:div w:id="1411580492">
          <w:marLeft w:val="0"/>
          <w:marRight w:val="0"/>
          <w:marTop w:val="0"/>
          <w:marBottom w:val="0"/>
          <w:divBdr>
            <w:top w:val="none" w:sz="0" w:space="0" w:color="auto"/>
            <w:left w:val="none" w:sz="0" w:space="0" w:color="auto"/>
            <w:bottom w:val="none" w:sz="0" w:space="0" w:color="auto"/>
            <w:right w:val="none" w:sz="0" w:space="0" w:color="auto"/>
          </w:divBdr>
          <w:divsChild>
            <w:div w:id="7258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7919">
      <w:bodyDiv w:val="1"/>
      <w:marLeft w:val="0"/>
      <w:marRight w:val="0"/>
      <w:marTop w:val="0"/>
      <w:marBottom w:val="0"/>
      <w:divBdr>
        <w:top w:val="none" w:sz="0" w:space="0" w:color="auto"/>
        <w:left w:val="none" w:sz="0" w:space="0" w:color="auto"/>
        <w:bottom w:val="none" w:sz="0" w:space="0" w:color="auto"/>
        <w:right w:val="none" w:sz="0" w:space="0" w:color="auto"/>
      </w:divBdr>
      <w:divsChild>
        <w:div w:id="1569916822">
          <w:marLeft w:val="0"/>
          <w:marRight w:val="0"/>
          <w:marTop w:val="0"/>
          <w:marBottom w:val="0"/>
          <w:divBdr>
            <w:top w:val="none" w:sz="0" w:space="0" w:color="auto"/>
            <w:left w:val="none" w:sz="0" w:space="0" w:color="auto"/>
            <w:bottom w:val="none" w:sz="0" w:space="0" w:color="auto"/>
            <w:right w:val="none" w:sz="0" w:space="0" w:color="auto"/>
          </w:divBdr>
          <w:divsChild>
            <w:div w:id="620065586">
              <w:marLeft w:val="0"/>
              <w:marRight w:val="0"/>
              <w:marTop w:val="0"/>
              <w:marBottom w:val="0"/>
              <w:divBdr>
                <w:top w:val="none" w:sz="0" w:space="0" w:color="auto"/>
                <w:left w:val="none" w:sz="0" w:space="0" w:color="auto"/>
                <w:bottom w:val="none" w:sz="0" w:space="0" w:color="auto"/>
                <w:right w:val="none" w:sz="0" w:space="0" w:color="auto"/>
              </w:divBdr>
              <w:divsChild>
                <w:div w:id="1138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5403">
      <w:bodyDiv w:val="1"/>
      <w:marLeft w:val="0"/>
      <w:marRight w:val="0"/>
      <w:marTop w:val="0"/>
      <w:marBottom w:val="0"/>
      <w:divBdr>
        <w:top w:val="none" w:sz="0" w:space="0" w:color="auto"/>
        <w:left w:val="none" w:sz="0" w:space="0" w:color="auto"/>
        <w:bottom w:val="none" w:sz="0" w:space="0" w:color="auto"/>
        <w:right w:val="none" w:sz="0" w:space="0" w:color="auto"/>
      </w:divBdr>
    </w:div>
    <w:div w:id="707801049">
      <w:bodyDiv w:val="1"/>
      <w:marLeft w:val="0"/>
      <w:marRight w:val="0"/>
      <w:marTop w:val="0"/>
      <w:marBottom w:val="0"/>
      <w:divBdr>
        <w:top w:val="none" w:sz="0" w:space="0" w:color="auto"/>
        <w:left w:val="none" w:sz="0" w:space="0" w:color="auto"/>
        <w:bottom w:val="none" w:sz="0" w:space="0" w:color="auto"/>
        <w:right w:val="none" w:sz="0" w:space="0" w:color="auto"/>
      </w:divBdr>
    </w:div>
    <w:div w:id="739210683">
      <w:bodyDiv w:val="1"/>
      <w:marLeft w:val="0"/>
      <w:marRight w:val="0"/>
      <w:marTop w:val="0"/>
      <w:marBottom w:val="0"/>
      <w:divBdr>
        <w:top w:val="none" w:sz="0" w:space="0" w:color="auto"/>
        <w:left w:val="none" w:sz="0" w:space="0" w:color="auto"/>
        <w:bottom w:val="none" w:sz="0" w:space="0" w:color="auto"/>
        <w:right w:val="none" w:sz="0" w:space="0" w:color="auto"/>
      </w:divBdr>
      <w:divsChild>
        <w:div w:id="13969055">
          <w:marLeft w:val="0"/>
          <w:marRight w:val="0"/>
          <w:marTop w:val="0"/>
          <w:marBottom w:val="0"/>
          <w:divBdr>
            <w:top w:val="none" w:sz="0" w:space="0" w:color="auto"/>
            <w:left w:val="none" w:sz="0" w:space="0" w:color="auto"/>
            <w:bottom w:val="none" w:sz="0" w:space="0" w:color="auto"/>
            <w:right w:val="none" w:sz="0" w:space="0" w:color="auto"/>
          </w:divBdr>
          <w:divsChild>
            <w:div w:id="1221600652">
              <w:marLeft w:val="0"/>
              <w:marRight w:val="0"/>
              <w:marTop w:val="0"/>
              <w:marBottom w:val="0"/>
              <w:divBdr>
                <w:top w:val="none" w:sz="0" w:space="0" w:color="auto"/>
                <w:left w:val="none" w:sz="0" w:space="0" w:color="auto"/>
                <w:bottom w:val="none" w:sz="0" w:space="0" w:color="auto"/>
                <w:right w:val="none" w:sz="0" w:space="0" w:color="auto"/>
              </w:divBdr>
              <w:divsChild>
                <w:div w:id="4061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54811815">
      <w:bodyDiv w:val="1"/>
      <w:marLeft w:val="0"/>
      <w:marRight w:val="0"/>
      <w:marTop w:val="0"/>
      <w:marBottom w:val="0"/>
      <w:divBdr>
        <w:top w:val="none" w:sz="0" w:space="0" w:color="auto"/>
        <w:left w:val="none" w:sz="0" w:space="0" w:color="auto"/>
        <w:bottom w:val="none" w:sz="0" w:space="0" w:color="auto"/>
        <w:right w:val="none" w:sz="0" w:space="0" w:color="auto"/>
      </w:divBdr>
    </w:div>
    <w:div w:id="1154377414">
      <w:bodyDiv w:val="1"/>
      <w:marLeft w:val="0"/>
      <w:marRight w:val="0"/>
      <w:marTop w:val="0"/>
      <w:marBottom w:val="0"/>
      <w:divBdr>
        <w:top w:val="none" w:sz="0" w:space="0" w:color="auto"/>
        <w:left w:val="none" w:sz="0" w:space="0" w:color="auto"/>
        <w:bottom w:val="none" w:sz="0" w:space="0" w:color="auto"/>
        <w:right w:val="none" w:sz="0" w:space="0" w:color="auto"/>
      </w:divBdr>
    </w:div>
    <w:div w:id="1170562080">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38987482">
      <w:bodyDiv w:val="1"/>
      <w:marLeft w:val="0"/>
      <w:marRight w:val="0"/>
      <w:marTop w:val="0"/>
      <w:marBottom w:val="0"/>
      <w:divBdr>
        <w:top w:val="none" w:sz="0" w:space="0" w:color="auto"/>
        <w:left w:val="none" w:sz="0" w:space="0" w:color="auto"/>
        <w:bottom w:val="none" w:sz="0" w:space="0" w:color="auto"/>
        <w:right w:val="none" w:sz="0" w:space="0" w:color="auto"/>
      </w:divBdr>
      <w:divsChild>
        <w:div w:id="1097749322">
          <w:marLeft w:val="0"/>
          <w:marRight w:val="0"/>
          <w:marTop w:val="0"/>
          <w:marBottom w:val="0"/>
          <w:divBdr>
            <w:top w:val="none" w:sz="0" w:space="0" w:color="auto"/>
            <w:left w:val="none" w:sz="0" w:space="0" w:color="auto"/>
            <w:bottom w:val="none" w:sz="0" w:space="0" w:color="auto"/>
            <w:right w:val="none" w:sz="0" w:space="0" w:color="auto"/>
          </w:divBdr>
          <w:divsChild>
            <w:div w:id="1800873898">
              <w:marLeft w:val="0"/>
              <w:marRight w:val="0"/>
              <w:marTop w:val="0"/>
              <w:marBottom w:val="0"/>
              <w:divBdr>
                <w:top w:val="none" w:sz="0" w:space="0" w:color="auto"/>
                <w:left w:val="none" w:sz="0" w:space="0" w:color="auto"/>
                <w:bottom w:val="none" w:sz="0" w:space="0" w:color="auto"/>
                <w:right w:val="none" w:sz="0" w:space="0" w:color="auto"/>
              </w:divBdr>
              <w:divsChild>
                <w:div w:id="10105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078">
      <w:bodyDiv w:val="1"/>
      <w:marLeft w:val="0"/>
      <w:marRight w:val="0"/>
      <w:marTop w:val="0"/>
      <w:marBottom w:val="0"/>
      <w:divBdr>
        <w:top w:val="none" w:sz="0" w:space="0" w:color="auto"/>
        <w:left w:val="none" w:sz="0" w:space="0" w:color="auto"/>
        <w:bottom w:val="none" w:sz="0" w:space="0" w:color="auto"/>
        <w:right w:val="none" w:sz="0" w:space="0" w:color="auto"/>
      </w:divBdr>
    </w:div>
    <w:div w:id="1591354425">
      <w:bodyDiv w:val="1"/>
      <w:marLeft w:val="0"/>
      <w:marRight w:val="0"/>
      <w:marTop w:val="0"/>
      <w:marBottom w:val="0"/>
      <w:divBdr>
        <w:top w:val="none" w:sz="0" w:space="0" w:color="auto"/>
        <w:left w:val="none" w:sz="0" w:space="0" w:color="auto"/>
        <w:bottom w:val="none" w:sz="0" w:space="0" w:color="auto"/>
        <w:right w:val="none" w:sz="0" w:space="0" w:color="auto"/>
      </w:divBdr>
    </w:div>
    <w:div w:id="160387487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nella@istat.it"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rsorren@istat.it" TargetMode="External"/><Relationship Id="rId17" Type="http://schemas.openxmlformats.org/officeDocument/2006/relationships/hyperlink" Target="http://www.ine.es/e/essnetdi_ws2011/ppts/Baldi_et_al.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tera@istat.i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anlucare@istat.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tini@istat.it"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D6F2-3F6F-48CE-AB97-BD0560EB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2490</Words>
  <Characters>14941</Characters>
  <Application>Microsoft Office Word</Application>
  <DocSecurity>0</DocSecurity>
  <Lines>124</Lines>
  <Paragraphs>34</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Istat</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2018-05-09T09:39:00Z</cp:lastPrinted>
  <dcterms:created xsi:type="dcterms:W3CDTF">2018-05-19T10:00:00Z</dcterms:created>
  <dcterms:modified xsi:type="dcterms:W3CDTF">2018-05-19T10:00:00Z</dcterms:modified>
</cp:coreProperties>
</file>