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99" w:rsidRPr="00114D5C" w:rsidRDefault="00114D5C" w:rsidP="00D0270E">
      <w:pPr>
        <w:spacing w:before="480" w:after="480" w:line="360" w:lineRule="auto"/>
        <w:jc w:val="center"/>
        <w:rPr>
          <w:rFonts w:ascii="Arial" w:hAnsi="Arial" w:cs="Arial"/>
          <w:b/>
          <w:sz w:val="48"/>
          <w:szCs w:val="48"/>
          <w:lang w:val="en-GB"/>
        </w:rPr>
      </w:pPr>
      <w:r w:rsidRPr="00114D5C">
        <w:rPr>
          <w:rFonts w:ascii="Arial" w:hAnsi="Arial" w:cs="Arial"/>
          <w:b/>
          <w:sz w:val="48"/>
          <w:szCs w:val="48"/>
          <w:lang w:val="en-GB"/>
        </w:rPr>
        <w:t>Improving official statistics with credit and debit card data</w:t>
      </w:r>
      <w:r w:rsidR="0031038B">
        <w:rPr>
          <w:rFonts w:ascii="Arial" w:hAnsi="Arial" w:cs="Arial"/>
          <w:b/>
          <w:sz w:val="48"/>
          <w:szCs w:val="48"/>
          <w:lang w:val="en-GB"/>
        </w:rPr>
        <w:t xml:space="preserve">. </w:t>
      </w:r>
      <w:r w:rsidR="00467EB0">
        <w:rPr>
          <w:rFonts w:ascii="Arial" w:hAnsi="Arial" w:cs="Arial"/>
          <w:b/>
          <w:sz w:val="48"/>
          <w:szCs w:val="48"/>
          <w:lang w:val="en-GB"/>
        </w:rPr>
        <w:t>Some insights</w:t>
      </w:r>
      <w:r w:rsidR="0050698F">
        <w:rPr>
          <w:rFonts w:ascii="Arial" w:hAnsi="Arial" w:cs="Arial"/>
          <w:b/>
          <w:sz w:val="48"/>
          <w:szCs w:val="48"/>
          <w:lang w:val="en-GB"/>
        </w:rPr>
        <w:t xml:space="preserve"> </w:t>
      </w:r>
      <w:r w:rsidR="009508C7">
        <w:rPr>
          <w:rFonts w:ascii="Arial" w:hAnsi="Arial" w:cs="Arial"/>
          <w:b/>
          <w:sz w:val="48"/>
          <w:szCs w:val="48"/>
          <w:lang w:val="en-GB"/>
        </w:rPr>
        <w:t>on section bias</w:t>
      </w:r>
    </w:p>
    <w:p w:rsidR="00114D5C" w:rsidRPr="00114D5C" w:rsidRDefault="00114D5C" w:rsidP="00114D5C">
      <w:pPr>
        <w:spacing w:line="360" w:lineRule="auto"/>
        <w:rPr>
          <w:rFonts w:ascii="Arial" w:hAnsi="Arial" w:cs="Arial"/>
          <w:sz w:val="24"/>
          <w:szCs w:val="24"/>
          <w:lang w:val="en-GB"/>
        </w:rPr>
      </w:pPr>
      <w:r w:rsidRPr="00114D5C">
        <w:rPr>
          <w:rFonts w:ascii="Arial" w:hAnsi="Arial" w:cs="Arial"/>
          <w:sz w:val="24"/>
          <w:szCs w:val="24"/>
          <w:lang w:val="en-GB"/>
        </w:rPr>
        <w:t>María</w:t>
      </w:r>
      <w:r w:rsidR="0050698F">
        <w:rPr>
          <w:rFonts w:ascii="Arial" w:hAnsi="Arial" w:cs="Arial"/>
          <w:sz w:val="24"/>
          <w:szCs w:val="24"/>
          <w:lang w:val="en-GB"/>
        </w:rPr>
        <w:t xml:space="preserve"> </w:t>
      </w:r>
      <w:r w:rsidRPr="00114D5C">
        <w:rPr>
          <w:rFonts w:ascii="Arial" w:hAnsi="Arial" w:cs="Arial"/>
          <w:sz w:val="24"/>
          <w:szCs w:val="24"/>
          <w:lang w:val="en-GB"/>
        </w:rPr>
        <w:t xml:space="preserve">Valdivieso-Anívarro, Applied Economics, University of Oviedo, </w:t>
      </w:r>
      <w:hyperlink r:id="rId8" w:history="1">
        <w:r w:rsidRPr="00114D5C">
          <w:rPr>
            <w:rFonts w:ascii="Arial" w:hAnsi="Arial" w:cs="Arial"/>
            <w:sz w:val="24"/>
            <w:szCs w:val="24"/>
            <w:lang w:val="en-GB"/>
          </w:rPr>
          <w:t>ma.valdivieso@outlook.com</w:t>
        </w:r>
      </w:hyperlink>
    </w:p>
    <w:p w:rsidR="00114D5C" w:rsidRPr="00114D5C" w:rsidRDefault="00114D5C" w:rsidP="00114D5C">
      <w:pPr>
        <w:spacing w:line="360" w:lineRule="auto"/>
        <w:rPr>
          <w:rFonts w:ascii="Arial" w:hAnsi="Arial" w:cs="Arial"/>
          <w:sz w:val="24"/>
          <w:szCs w:val="24"/>
          <w:lang w:val="en-GB"/>
        </w:rPr>
      </w:pPr>
      <w:r w:rsidRPr="00114D5C">
        <w:rPr>
          <w:rFonts w:ascii="Arial" w:hAnsi="Arial" w:cs="Arial"/>
          <w:sz w:val="24"/>
          <w:szCs w:val="24"/>
          <w:lang w:val="en-GB"/>
        </w:rPr>
        <w:t>María</w:t>
      </w:r>
      <w:r w:rsidR="0050698F">
        <w:rPr>
          <w:rFonts w:ascii="Arial" w:hAnsi="Arial" w:cs="Arial"/>
          <w:sz w:val="24"/>
          <w:szCs w:val="24"/>
          <w:lang w:val="en-GB"/>
        </w:rPr>
        <w:t xml:space="preserve"> </w:t>
      </w:r>
      <w:r w:rsidRPr="00114D5C">
        <w:rPr>
          <w:rFonts w:ascii="Arial" w:hAnsi="Arial" w:cs="Arial"/>
          <w:sz w:val="24"/>
          <w:szCs w:val="24"/>
          <w:lang w:val="en-GB"/>
        </w:rPr>
        <w:t xml:space="preserve">Rosalía Vicente, Applied Economics, University of Oviedo, </w:t>
      </w:r>
      <w:hyperlink r:id="rId9" w:history="1">
        <w:r w:rsidRPr="00114D5C">
          <w:rPr>
            <w:rFonts w:ascii="Arial" w:hAnsi="Arial" w:cs="Arial"/>
            <w:sz w:val="24"/>
            <w:szCs w:val="24"/>
            <w:lang w:val="en-GB"/>
          </w:rPr>
          <w:t>mrosalia@uniovi.es</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114D5C" w:rsidRPr="00114D5C" w:rsidRDefault="00114D5C" w:rsidP="00114D5C">
      <w:pPr>
        <w:jc w:val="both"/>
        <w:rPr>
          <w:rFonts w:ascii="Arial" w:hAnsi="Arial" w:cs="Arial"/>
          <w:i/>
          <w:sz w:val="20"/>
          <w:szCs w:val="20"/>
          <w:lang w:val="en-GB"/>
        </w:rPr>
      </w:pPr>
      <w:r w:rsidRPr="00114D5C">
        <w:rPr>
          <w:rFonts w:ascii="Arial" w:hAnsi="Arial" w:cs="Arial"/>
          <w:i/>
          <w:sz w:val="20"/>
          <w:szCs w:val="20"/>
          <w:lang w:val="en-GB"/>
        </w:rPr>
        <w:t xml:space="preserve">This paper explores the use of credit and debit card transactions to measure consumption and poverty, the latter understood as the absence of consumption or the restriction of it. These data are available on a timely basis and provide detailed information about spending activity with a finer granularity than that available in traditional household surveys. Accordingly, the exploitation of these data </w:t>
      </w:r>
      <w:r w:rsidR="008173A2">
        <w:rPr>
          <w:rFonts w:ascii="Arial" w:hAnsi="Arial" w:cs="Arial"/>
          <w:i/>
          <w:sz w:val="20"/>
          <w:szCs w:val="20"/>
          <w:lang w:val="en-GB"/>
        </w:rPr>
        <w:t xml:space="preserve">is claimed to </w:t>
      </w:r>
      <w:r w:rsidRPr="00114D5C">
        <w:rPr>
          <w:rFonts w:ascii="Arial" w:hAnsi="Arial" w:cs="Arial"/>
          <w:i/>
          <w:sz w:val="20"/>
          <w:szCs w:val="20"/>
          <w:lang w:val="en-GB"/>
        </w:rPr>
        <w:t xml:space="preserve">provide novel insights about both consumption patterns and poverty. </w:t>
      </w:r>
      <w:r w:rsidR="008173A2">
        <w:rPr>
          <w:rFonts w:ascii="Arial" w:hAnsi="Arial" w:cs="Arial"/>
          <w:i/>
          <w:sz w:val="20"/>
          <w:szCs w:val="20"/>
          <w:lang w:val="en-GB"/>
        </w:rPr>
        <w:t xml:space="preserve">Nonetheless, it is essential not to neglect potential selection biases. </w:t>
      </w:r>
      <w:r w:rsidR="00217771">
        <w:rPr>
          <w:rFonts w:ascii="Arial" w:hAnsi="Arial" w:cs="Arial"/>
          <w:i/>
          <w:sz w:val="20"/>
          <w:szCs w:val="20"/>
          <w:lang w:val="en-GB"/>
        </w:rPr>
        <w:t>Using individual data from credit and debit card payments</w:t>
      </w:r>
      <w:r w:rsidR="00217771" w:rsidRPr="00467EB0">
        <w:rPr>
          <w:rFonts w:ascii="Arial" w:hAnsi="Arial" w:cs="Arial"/>
          <w:i/>
          <w:sz w:val="20"/>
          <w:szCs w:val="20"/>
          <w:lang w:val="en-GB"/>
        </w:rPr>
        <w:t xml:space="preserve">, we evaluate the potential of these data to estimate consumers’ spending activity. We first investigate selection </w:t>
      </w:r>
      <w:r w:rsidR="00A75FC8" w:rsidRPr="00467EB0">
        <w:rPr>
          <w:rFonts w:ascii="Arial" w:hAnsi="Arial" w:cs="Arial"/>
          <w:i/>
          <w:sz w:val="20"/>
          <w:szCs w:val="20"/>
          <w:lang w:val="en-GB"/>
        </w:rPr>
        <w:t>bias</w:t>
      </w:r>
      <w:r w:rsidR="00F15F1C" w:rsidRPr="00467EB0">
        <w:rPr>
          <w:rFonts w:ascii="Arial" w:hAnsi="Arial" w:cs="Arial"/>
          <w:i/>
          <w:sz w:val="20"/>
          <w:szCs w:val="20"/>
          <w:lang w:val="en-GB"/>
        </w:rPr>
        <w:t>es</w:t>
      </w:r>
      <w:r w:rsidR="00A75FC8" w:rsidRPr="00467EB0">
        <w:rPr>
          <w:rFonts w:ascii="Arial" w:hAnsi="Arial" w:cs="Arial"/>
          <w:i/>
          <w:sz w:val="20"/>
          <w:szCs w:val="20"/>
          <w:lang w:val="en-GB"/>
        </w:rPr>
        <w:t xml:space="preserve">. </w:t>
      </w:r>
      <w:r w:rsidR="005B05D6" w:rsidRPr="00467EB0">
        <w:rPr>
          <w:rFonts w:ascii="Arial" w:hAnsi="Arial" w:cs="Arial"/>
          <w:i/>
          <w:sz w:val="20"/>
          <w:szCs w:val="20"/>
          <w:lang w:val="en-GB"/>
        </w:rPr>
        <w:t xml:space="preserve">By looking at </w:t>
      </w:r>
      <w:r w:rsidR="000772BE" w:rsidRPr="00467EB0">
        <w:rPr>
          <w:rFonts w:ascii="Arial" w:hAnsi="Arial" w:cs="Arial"/>
          <w:i/>
          <w:sz w:val="20"/>
          <w:szCs w:val="20"/>
          <w:lang w:val="en-GB"/>
        </w:rPr>
        <w:t>credit card users’</w:t>
      </w:r>
      <w:r w:rsidR="0050698F">
        <w:rPr>
          <w:rFonts w:ascii="Arial" w:hAnsi="Arial" w:cs="Arial"/>
          <w:i/>
          <w:sz w:val="20"/>
          <w:szCs w:val="20"/>
          <w:lang w:val="en-GB"/>
        </w:rPr>
        <w:t xml:space="preserve"> </w:t>
      </w:r>
      <w:r w:rsidR="005B05D6" w:rsidRPr="00467EB0">
        <w:rPr>
          <w:rFonts w:ascii="Arial" w:hAnsi="Arial" w:cs="Arial"/>
          <w:i/>
          <w:sz w:val="20"/>
          <w:szCs w:val="20"/>
          <w:lang w:val="en-GB"/>
        </w:rPr>
        <w:t xml:space="preserve">self-reported </w:t>
      </w:r>
      <w:r w:rsidR="000772BE" w:rsidRPr="00467EB0">
        <w:rPr>
          <w:rFonts w:ascii="Arial" w:hAnsi="Arial" w:cs="Arial"/>
          <w:i/>
          <w:sz w:val="20"/>
          <w:szCs w:val="20"/>
          <w:lang w:val="en-GB"/>
        </w:rPr>
        <w:t>incomes</w:t>
      </w:r>
      <w:r w:rsidR="005B05D6" w:rsidRPr="00467EB0">
        <w:rPr>
          <w:rFonts w:ascii="Arial" w:hAnsi="Arial" w:cs="Arial"/>
          <w:i/>
          <w:sz w:val="20"/>
          <w:szCs w:val="20"/>
          <w:lang w:val="en-GB"/>
        </w:rPr>
        <w:t xml:space="preserve">, results show that </w:t>
      </w:r>
      <w:r w:rsidR="00FA6477" w:rsidRPr="00467EB0">
        <w:rPr>
          <w:rFonts w:ascii="Arial" w:hAnsi="Arial" w:cs="Arial"/>
          <w:i/>
          <w:sz w:val="20"/>
          <w:szCs w:val="20"/>
          <w:lang w:val="en-GB"/>
        </w:rPr>
        <w:t>recorded</w:t>
      </w:r>
      <w:r w:rsidR="005B05D6" w:rsidRPr="00467EB0">
        <w:rPr>
          <w:rFonts w:ascii="Arial" w:hAnsi="Arial" w:cs="Arial"/>
          <w:i/>
          <w:sz w:val="20"/>
          <w:szCs w:val="20"/>
          <w:lang w:val="en-GB"/>
        </w:rPr>
        <w:t xml:space="preserve"> transactions basically refer to middle/upper incomes.</w:t>
      </w:r>
      <w:r w:rsidR="0050698F">
        <w:rPr>
          <w:rFonts w:ascii="Arial" w:hAnsi="Arial" w:cs="Arial"/>
          <w:i/>
          <w:sz w:val="20"/>
          <w:szCs w:val="20"/>
          <w:lang w:val="en-GB"/>
        </w:rPr>
        <w:t xml:space="preserve"> </w:t>
      </w:r>
      <w:r w:rsidR="00F46BC4" w:rsidRPr="00467EB0">
        <w:rPr>
          <w:rFonts w:ascii="Arial" w:hAnsi="Arial" w:cs="Arial"/>
          <w:i/>
          <w:sz w:val="20"/>
          <w:szCs w:val="20"/>
          <w:lang w:val="en-GB"/>
        </w:rPr>
        <w:t xml:space="preserve">In fact, our data appear to be biased towards the top 50% of the population. </w:t>
      </w:r>
      <w:r w:rsidRPr="00467EB0">
        <w:rPr>
          <w:rFonts w:ascii="Arial" w:hAnsi="Arial" w:cs="Arial"/>
          <w:i/>
          <w:sz w:val="20"/>
          <w:szCs w:val="20"/>
          <w:lang w:val="en-GB"/>
        </w:rPr>
        <w:t xml:space="preserve">We also analyze the spatial distribution of </w:t>
      </w:r>
      <w:r w:rsidR="00A2411D" w:rsidRPr="00467EB0">
        <w:rPr>
          <w:rFonts w:ascii="Arial" w:hAnsi="Arial" w:cs="Arial"/>
          <w:i/>
          <w:sz w:val="20"/>
          <w:szCs w:val="20"/>
          <w:lang w:val="en-GB"/>
        </w:rPr>
        <w:t xml:space="preserve">transaction records by city district and compare them with figures derived </w:t>
      </w:r>
      <w:r w:rsidR="0050698F">
        <w:rPr>
          <w:rFonts w:ascii="Arial" w:hAnsi="Arial" w:cs="Arial"/>
          <w:i/>
          <w:sz w:val="20"/>
          <w:szCs w:val="20"/>
          <w:lang w:val="en-GB"/>
        </w:rPr>
        <w:t xml:space="preserve">from </w:t>
      </w:r>
      <w:r w:rsidR="00A2411D" w:rsidRPr="00467EB0">
        <w:rPr>
          <w:rFonts w:ascii="Arial" w:hAnsi="Arial" w:cs="Arial"/>
          <w:i/>
          <w:sz w:val="20"/>
          <w:szCs w:val="20"/>
          <w:lang w:val="en-GB"/>
        </w:rPr>
        <w:t xml:space="preserve">the application </w:t>
      </w:r>
      <w:r w:rsidR="0050698F">
        <w:rPr>
          <w:rFonts w:ascii="Arial" w:hAnsi="Arial" w:cs="Arial"/>
          <w:i/>
          <w:sz w:val="20"/>
          <w:szCs w:val="20"/>
          <w:lang w:val="en-GB"/>
        </w:rPr>
        <w:t xml:space="preserve">of </w:t>
      </w:r>
      <w:r w:rsidR="00A2411D" w:rsidRPr="00467EB0">
        <w:rPr>
          <w:rFonts w:ascii="Arial" w:hAnsi="Arial" w:cs="Arial"/>
          <w:i/>
          <w:sz w:val="20"/>
          <w:szCs w:val="20"/>
          <w:lang w:val="en-GB"/>
        </w:rPr>
        <w:t>small area estimation techniques. Results show that, despite the identified sample selection bias, there are fairly high correlations between self-reported customers’ incomes and monetary poverty rates at district level.</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14D5C" w:rsidRPr="00114D5C">
        <w:rPr>
          <w:rFonts w:ascii="Arial" w:hAnsi="Arial" w:cs="Arial"/>
          <w:sz w:val="20"/>
          <w:szCs w:val="20"/>
          <w:lang w:val="en-GB"/>
        </w:rPr>
        <w:t>Credit/debit card transaction</w:t>
      </w:r>
      <w:r w:rsidR="0050698F">
        <w:rPr>
          <w:rFonts w:ascii="Arial" w:hAnsi="Arial" w:cs="Arial"/>
          <w:sz w:val="20"/>
          <w:szCs w:val="20"/>
          <w:lang w:val="en-GB"/>
        </w:rPr>
        <w:t>s</w:t>
      </w:r>
      <w:r w:rsidR="00114D5C" w:rsidRPr="00114D5C">
        <w:rPr>
          <w:rFonts w:ascii="Arial" w:hAnsi="Arial" w:cs="Arial"/>
          <w:sz w:val="20"/>
          <w:szCs w:val="20"/>
          <w:lang w:val="en-GB"/>
        </w:rPr>
        <w:t>, consumption, poverty, nowcasting</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986652">
        <w:rPr>
          <w:rFonts w:ascii="Arial" w:hAnsi="Arial" w:cs="Arial"/>
          <w:b/>
          <w:sz w:val="24"/>
          <w:szCs w:val="24"/>
          <w:lang w:val="en-GB"/>
        </w:rPr>
        <w:t>Introduction</w:t>
      </w:r>
      <w:r w:rsidR="006B19EE">
        <w:rPr>
          <w:rStyle w:val="Refdenotaalpie"/>
          <w:rFonts w:ascii="Arial" w:hAnsi="Arial" w:cs="Arial"/>
          <w:b/>
          <w:sz w:val="24"/>
          <w:szCs w:val="24"/>
          <w:lang w:val="en-GB"/>
        </w:rPr>
        <w:footnoteReference w:id="2"/>
      </w:r>
    </w:p>
    <w:p w:rsidR="008D741B" w:rsidRDefault="00640B9A"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recent years, a rich body of empirical literature has </w:t>
      </w:r>
      <w:r w:rsidR="00634C22">
        <w:rPr>
          <w:rFonts w:ascii="Arial" w:hAnsi="Arial" w:cs="Arial"/>
          <w:sz w:val="24"/>
          <w:szCs w:val="24"/>
          <w:lang w:val="en-GB"/>
        </w:rPr>
        <w:t>analyzed</w:t>
      </w:r>
      <w:r>
        <w:rPr>
          <w:rFonts w:ascii="Arial" w:hAnsi="Arial" w:cs="Arial"/>
          <w:sz w:val="24"/>
          <w:szCs w:val="24"/>
          <w:lang w:val="en-GB"/>
        </w:rPr>
        <w:t xml:space="preserve"> the potential of using Big Data</w:t>
      </w:r>
      <w:r w:rsidR="005372E4">
        <w:rPr>
          <w:rFonts w:ascii="Arial" w:hAnsi="Arial" w:cs="Arial"/>
          <w:sz w:val="24"/>
          <w:szCs w:val="24"/>
          <w:lang w:val="en-GB"/>
        </w:rPr>
        <w:t xml:space="preserve"> </w:t>
      </w:r>
      <w:r>
        <w:rPr>
          <w:rFonts w:ascii="Arial" w:hAnsi="Arial" w:cs="Arial"/>
          <w:sz w:val="24"/>
          <w:szCs w:val="24"/>
          <w:lang w:val="en-GB"/>
        </w:rPr>
        <w:t xml:space="preserve">to improve official statistics. </w:t>
      </w:r>
      <w:r w:rsidR="00634C22">
        <w:rPr>
          <w:rFonts w:ascii="Arial" w:hAnsi="Arial" w:cs="Arial"/>
          <w:sz w:val="24"/>
          <w:szCs w:val="24"/>
          <w:lang w:val="en-GB"/>
        </w:rPr>
        <w:t>Several</w:t>
      </w:r>
      <w:r>
        <w:rPr>
          <w:rFonts w:ascii="Arial" w:hAnsi="Arial" w:cs="Arial"/>
          <w:sz w:val="24"/>
          <w:szCs w:val="24"/>
          <w:lang w:val="en-GB"/>
        </w:rPr>
        <w:t xml:space="preserve"> types</w:t>
      </w:r>
      <w:r w:rsidR="00634C22">
        <w:rPr>
          <w:rFonts w:ascii="Arial" w:hAnsi="Arial" w:cs="Arial"/>
          <w:sz w:val="24"/>
          <w:szCs w:val="24"/>
          <w:lang w:val="en-GB"/>
        </w:rPr>
        <w:t xml:space="preserve"> of data sources have been explored, the most popular being t</w:t>
      </w:r>
      <w:r>
        <w:rPr>
          <w:rFonts w:ascii="Arial" w:hAnsi="Arial" w:cs="Arial"/>
          <w:sz w:val="24"/>
          <w:szCs w:val="24"/>
          <w:lang w:val="en-GB"/>
        </w:rPr>
        <w:t xml:space="preserve">he volume of keywords sought on </w:t>
      </w:r>
      <w:r w:rsidR="0058503F">
        <w:rPr>
          <w:rFonts w:ascii="Arial" w:hAnsi="Arial" w:cs="Arial"/>
          <w:sz w:val="24"/>
          <w:szCs w:val="24"/>
          <w:lang w:val="en-GB"/>
        </w:rPr>
        <w:t xml:space="preserve">online </w:t>
      </w:r>
      <w:r>
        <w:rPr>
          <w:rFonts w:ascii="Arial" w:hAnsi="Arial" w:cs="Arial"/>
          <w:sz w:val="24"/>
          <w:szCs w:val="24"/>
          <w:lang w:val="en-GB"/>
        </w:rPr>
        <w:t>search engi</w:t>
      </w:r>
      <w:r w:rsidR="00634C22">
        <w:rPr>
          <w:rFonts w:ascii="Arial" w:hAnsi="Arial" w:cs="Arial"/>
          <w:sz w:val="24"/>
          <w:szCs w:val="24"/>
          <w:lang w:val="en-GB"/>
        </w:rPr>
        <w:t xml:space="preserve">nes </w:t>
      </w:r>
      <w:r w:rsidR="005A4570">
        <w:rPr>
          <w:rFonts w:ascii="Arial" w:hAnsi="Arial" w:cs="Arial"/>
          <w:sz w:val="24"/>
          <w:szCs w:val="24"/>
          <w:lang w:val="en-GB"/>
        </w:rPr>
        <w:t>(mainly Google)</w:t>
      </w:r>
      <w:r w:rsidR="0058503F">
        <w:rPr>
          <w:rFonts w:ascii="Arial" w:hAnsi="Arial" w:cs="Arial"/>
          <w:sz w:val="24"/>
          <w:szCs w:val="24"/>
          <w:lang w:val="en-GB"/>
        </w:rPr>
        <w:t xml:space="preserve">, the number of </w:t>
      </w:r>
      <w:r w:rsidR="007A1076">
        <w:rPr>
          <w:rFonts w:ascii="Arial" w:hAnsi="Arial" w:cs="Arial"/>
          <w:sz w:val="24"/>
          <w:szCs w:val="24"/>
          <w:lang w:val="en-GB"/>
        </w:rPr>
        <w:t>visits to websites (</w:t>
      </w:r>
      <w:r w:rsidR="0058503F">
        <w:rPr>
          <w:rFonts w:ascii="Arial" w:hAnsi="Arial" w:cs="Arial"/>
          <w:sz w:val="24"/>
          <w:szCs w:val="24"/>
          <w:lang w:val="en-GB"/>
        </w:rPr>
        <w:t xml:space="preserve">e.g. </w:t>
      </w:r>
      <w:r w:rsidR="007A1076">
        <w:rPr>
          <w:rFonts w:ascii="Arial" w:hAnsi="Arial" w:cs="Arial"/>
          <w:sz w:val="24"/>
          <w:szCs w:val="24"/>
          <w:lang w:val="en-GB"/>
        </w:rPr>
        <w:t xml:space="preserve">Wikipedia) </w:t>
      </w:r>
      <w:r w:rsidR="00634C22">
        <w:rPr>
          <w:rFonts w:ascii="Arial" w:hAnsi="Arial" w:cs="Arial"/>
          <w:sz w:val="24"/>
          <w:szCs w:val="24"/>
          <w:lang w:val="en-GB"/>
        </w:rPr>
        <w:t>and</w:t>
      </w:r>
      <w:r>
        <w:rPr>
          <w:rFonts w:ascii="Arial" w:hAnsi="Arial" w:cs="Arial"/>
          <w:sz w:val="24"/>
          <w:szCs w:val="24"/>
          <w:lang w:val="en-GB"/>
        </w:rPr>
        <w:t xml:space="preserve"> posts on online social networks</w:t>
      </w:r>
      <w:r w:rsidR="00634C22">
        <w:rPr>
          <w:rFonts w:ascii="Arial" w:hAnsi="Arial" w:cs="Arial"/>
          <w:sz w:val="24"/>
          <w:szCs w:val="24"/>
          <w:lang w:val="en-GB"/>
        </w:rPr>
        <w:t xml:space="preserve"> (</w:t>
      </w:r>
      <w:r w:rsidR="005A4570">
        <w:rPr>
          <w:rFonts w:ascii="Arial" w:hAnsi="Arial" w:cs="Arial"/>
          <w:sz w:val="24"/>
          <w:szCs w:val="24"/>
          <w:lang w:val="en-GB"/>
        </w:rPr>
        <w:t xml:space="preserve">Facebook, </w:t>
      </w:r>
      <w:r w:rsidR="00634C22">
        <w:rPr>
          <w:rFonts w:ascii="Arial" w:hAnsi="Arial" w:cs="Arial"/>
          <w:sz w:val="24"/>
          <w:szCs w:val="24"/>
          <w:lang w:val="en-GB"/>
        </w:rPr>
        <w:t xml:space="preserve">Twitter, </w:t>
      </w:r>
      <w:r w:rsidR="005A4570">
        <w:rPr>
          <w:rFonts w:ascii="Arial" w:hAnsi="Arial" w:cs="Arial"/>
          <w:sz w:val="24"/>
          <w:szCs w:val="24"/>
          <w:lang w:val="en-GB"/>
        </w:rPr>
        <w:t xml:space="preserve">and Instagram, among </w:t>
      </w:r>
      <w:r w:rsidR="007A1076">
        <w:rPr>
          <w:rFonts w:ascii="Arial" w:hAnsi="Arial" w:cs="Arial"/>
          <w:sz w:val="24"/>
          <w:szCs w:val="24"/>
          <w:lang w:val="en-GB"/>
        </w:rPr>
        <w:t>others</w:t>
      </w:r>
      <w:r w:rsidR="005A4570">
        <w:rPr>
          <w:rFonts w:ascii="Arial" w:hAnsi="Arial" w:cs="Arial"/>
          <w:sz w:val="24"/>
          <w:szCs w:val="24"/>
          <w:lang w:val="en-GB"/>
        </w:rPr>
        <w:t>)</w:t>
      </w:r>
      <w:r w:rsidR="007A1076">
        <w:rPr>
          <w:rFonts w:ascii="Arial" w:hAnsi="Arial" w:cs="Arial"/>
          <w:sz w:val="24"/>
          <w:szCs w:val="24"/>
          <w:lang w:val="en-GB"/>
        </w:rPr>
        <w:t xml:space="preserve">. </w:t>
      </w:r>
      <w:r w:rsidR="0058503F">
        <w:rPr>
          <w:rFonts w:ascii="Arial" w:hAnsi="Arial" w:cs="Arial"/>
          <w:sz w:val="24"/>
          <w:szCs w:val="24"/>
          <w:lang w:val="en-GB"/>
        </w:rPr>
        <w:t xml:space="preserve">Research using credit card or mobile phone </w:t>
      </w:r>
      <w:r w:rsidR="007C7C44">
        <w:rPr>
          <w:rFonts w:ascii="Arial" w:hAnsi="Arial" w:cs="Arial"/>
          <w:sz w:val="24"/>
          <w:szCs w:val="24"/>
          <w:lang w:val="en-GB"/>
        </w:rPr>
        <w:t xml:space="preserve">records </w:t>
      </w:r>
      <w:r w:rsidR="0058503F">
        <w:rPr>
          <w:rFonts w:ascii="Arial" w:hAnsi="Arial" w:cs="Arial"/>
          <w:sz w:val="24"/>
          <w:szCs w:val="24"/>
          <w:lang w:val="en-GB"/>
        </w:rPr>
        <w:t xml:space="preserve">is comparatively less since </w:t>
      </w:r>
      <w:r w:rsidR="008D741B">
        <w:rPr>
          <w:rFonts w:ascii="Arial" w:hAnsi="Arial" w:cs="Arial"/>
          <w:sz w:val="24"/>
          <w:szCs w:val="24"/>
          <w:lang w:val="en-GB"/>
        </w:rPr>
        <w:t xml:space="preserve">these </w:t>
      </w:r>
      <w:r w:rsidR="008D741B">
        <w:rPr>
          <w:rFonts w:ascii="Arial" w:hAnsi="Arial" w:cs="Arial"/>
          <w:sz w:val="24"/>
          <w:szCs w:val="24"/>
          <w:lang w:val="en-GB"/>
        </w:rPr>
        <w:lastRenderedPageBreak/>
        <w:t xml:space="preserve">data are essential for </w:t>
      </w:r>
      <w:r w:rsidR="007C7C44">
        <w:rPr>
          <w:rFonts w:ascii="Arial" w:hAnsi="Arial" w:cs="Arial"/>
          <w:sz w:val="24"/>
          <w:szCs w:val="24"/>
          <w:lang w:val="en-GB"/>
        </w:rPr>
        <w:t>banks and telecom companies</w:t>
      </w:r>
      <w:r w:rsidR="008D741B">
        <w:rPr>
          <w:rFonts w:ascii="Arial" w:hAnsi="Arial" w:cs="Arial"/>
          <w:sz w:val="24"/>
          <w:szCs w:val="24"/>
          <w:lang w:val="en-GB"/>
        </w:rPr>
        <w:t>’ business strategies</w:t>
      </w:r>
      <w:r w:rsidR="00815A31">
        <w:rPr>
          <w:rStyle w:val="Refdenotaalpie"/>
          <w:rFonts w:ascii="Arial" w:hAnsi="Arial" w:cs="Arial"/>
          <w:sz w:val="24"/>
          <w:szCs w:val="24"/>
          <w:lang w:val="en-GB"/>
        </w:rPr>
        <w:footnoteReference w:id="3"/>
      </w:r>
      <w:r w:rsidR="00815A31">
        <w:rPr>
          <w:rFonts w:ascii="Arial" w:hAnsi="Arial" w:cs="Arial"/>
          <w:sz w:val="24"/>
          <w:szCs w:val="24"/>
          <w:lang w:val="en-GB"/>
        </w:rPr>
        <w:t>, and</w:t>
      </w:r>
      <w:r w:rsidR="008D741B">
        <w:rPr>
          <w:rFonts w:ascii="Arial" w:hAnsi="Arial" w:cs="Arial"/>
          <w:sz w:val="24"/>
          <w:szCs w:val="24"/>
          <w:lang w:val="en-GB"/>
        </w:rPr>
        <w:t xml:space="preserve"> consequently, they are </w:t>
      </w:r>
      <w:r w:rsidR="00974E12">
        <w:rPr>
          <w:rFonts w:ascii="Arial" w:hAnsi="Arial" w:cs="Arial"/>
          <w:sz w:val="24"/>
          <w:szCs w:val="24"/>
          <w:lang w:val="en-GB"/>
        </w:rPr>
        <w:t>little</w:t>
      </w:r>
      <w:r w:rsidR="008D741B">
        <w:rPr>
          <w:rFonts w:ascii="Arial" w:hAnsi="Arial" w:cs="Arial"/>
          <w:sz w:val="24"/>
          <w:szCs w:val="24"/>
          <w:lang w:val="en-GB"/>
        </w:rPr>
        <w:t xml:space="preserve"> willing to share them (</w:t>
      </w:r>
      <w:r w:rsidR="008D741B" w:rsidRPr="008D741B">
        <w:rPr>
          <w:rFonts w:ascii="Arial" w:hAnsi="Arial" w:cs="Arial"/>
          <w:sz w:val="24"/>
          <w:szCs w:val="24"/>
          <w:lang w:val="en-GB"/>
        </w:rPr>
        <w:t xml:space="preserve">Klein </w:t>
      </w:r>
      <w:r w:rsidR="00B1173B">
        <w:rPr>
          <w:rFonts w:ascii="Arial" w:hAnsi="Arial" w:cs="Arial"/>
          <w:sz w:val="24"/>
          <w:szCs w:val="24"/>
          <w:lang w:val="en-GB"/>
        </w:rPr>
        <w:t>and</w:t>
      </w:r>
      <w:r w:rsidR="008D741B" w:rsidRPr="008D741B">
        <w:rPr>
          <w:rFonts w:ascii="Arial" w:hAnsi="Arial" w:cs="Arial"/>
          <w:sz w:val="24"/>
          <w:szCs w:val="24"/>
          <w:lang w:val="en-GB"/>
        </w:rPr>
        <w:t xml:space="preserve"> Verhulst, 2017)</w:t>
      </w:r>
      <w:r w:rsidR="008D741B">
        <w:rPr>
          <w:rFonts w:ascii="Arial" w:hAnsi="Arial" w:cs="Arial"/>
          <w:sz w:val="24"/>
          <w:szCs w:val="24"/>
          <w:lang w:val="en-GB"/>
        </w:rPr>
        <w:t xml:space="preserve">. </w:t>
      </w:r>
    </w:p>
    <w:p w:rsidR="00EA6BA8" w:rsidRDefault="00412438" w:rsidP="00EA6BA8">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467C2E">
        <w:rPr>
          <w:rFonts w:ascii="Arial" w:hAnsi="Arial" w:cs="Arial"/>
          <w:sz w:val="24"/>
          <w:szCs w:val="24"/>
          <w:lang w:val="en-GB"/>
        </w:rPr>
        <w:t xml:space="preserve">he use of credit and debit card </w:t>
      </w:r>
      <w:r>
        <w:rPr>
          <w:rFonts w:ascii="Arial" w:hAnsi="Arial" w:cs="Arial"/>
          <w:sz w:val="24"/>
          <w:szCs w:val="24"/>
          <w:lang w:val="en-GB"/>
        </w:rPr>
        <w:t xml:space="preserve">transaction </w:t>
      </w:r>
      <w:r w:rsidRPr="00467C2E">
        <w:rPr>
          <w:rFonts w:ascii="Arial" w:hAnsi="Arial" w:cs="Arial"/>
          <w:sz w:val="24"/>
          <w:szCs w:val="24"/>
          <w:lang w:val="en-GB"/>
        </w:rPr>
        <w:t xml:space="preserve">records </w:t>
      </w:r>
      <w:r w:rsidR="00F64478">
        <w:rPr>
          <w:rFonts w:ascii="Arial" w:hAnsi="Arial" w:cs="Arial"/>
          <w:sz w:val="24"/>
          <w:szCs w:val="24"/>
          <w:lang w:val="en-GB"/>
        </w:rPr>
        <w:t>is</w:t>
      </w:r>
      <w:r>
        <w:rPr>
          <w:rFonts w:ascii="Arial" w:hAnsi="Arial" w:cs="Arial"/>
          <w:sz w:val="24"/>
          <w:szCs w:val="24"/>
          <w:lang w:val="en-GB"/>
        </w:rPr>
        <w:t xml:space="preserve"> claimed to offer </w:t>
      </w:r>
      <w:r w:rsidRPr="00467C2E">
        <w:rPr>
          <w:rFonts w:ascii="Arial" w:hAnsi="Arial" w:cs="Arial"/>
          <w:sz w:val="24"/>
          <w:szCs w:val="24"/>
          <w:lang w:val="en-GB"/>
        </w:rPr>
        <w:t>some advantages</w:t>
      </w:r>
      <w:r>
        <w:rPr>
          <w:rFonts w:ascii="Arial" w:hAnsi="Arial" w:cs="Arial"/>
          <w:sz w:val="24"/>
          <w:szCs w:val="24"/>
          <w:lang w:val="en-GB"/>
        </w:rPr>
        <w:t xml:space="preserve"> over</w:t>
      </w:r>
      <w:r w:rsidR="00EA6BA8" w:rsidRPr="00467C2E">
        <w:rPr>
          <w:rFonts w:ascii="Arial" w:hAnsi="Arial" w:cs="Arial"/>
          <w:sz w:val="24"/>
          <w:szCs w:val="24"/>
          <w:lang w:val="en-GB"/>
        </w:rPr>
        <w:t xml:space="preserve"> traditional survey-based statistics</w:t>
      </w:r>
      <w:r>
        <w:rPr>
          <w:rFonts w:ascii="Arial" w:hAnsi="Arial" w:cs="Arial"/>
          <w:sz w:val="24"/>
          <w:szCs w:val="24"/>
          <w:lang w:val="en-GB"/>
        </w:rPr>
        <w:t xml:space="preserve"> for the estimation of </w:t>
      </w:r>
      <w:r w:rsidRPr="00467C2E">
        <w:rPr>
          <w:rFonts w:ascii="Arial" w:hAnsi="Arial" w:cs="Arial"/>
          <w:sz w:val="24"/>
          <w:szCs w:val="24"/>
          <w:lang w:val="en-GB"/>
        </w:rPr>
        <w:t>private consumption and spending</w:t>
      </w:r>
      <w:r w:rsidR="00EA6BA8" w:rsidRPr="00467C2E">
        <w:rPr>
          <w:rFonts w:ascii="Arial" w:hAnsi="Arial" w:cs="Arial"/>
          <w:sz w:val="24"/>
          <w:szCs w:val="24"/>
          <w:lang w:val="en-GB"/>
        </w:rPr>
        <w:t xml:space="preserve">: </w:t>
      </w:r>
      <w:r w:rsidR="00EA6BA8">
        <w:rPr>
          <w:rFonts w:ascii="Arial" w:hAnsi="Arial" w:cs="Arial"/>
          <w:sz w:val="24"/>
          <w:szCs w:val="24"/>
          <w:lang w:val="en-GB"/>
        </w:rPr>
        <w:t xml:space="preserve">while the </w:t>
      </w:r>
      <w:r>
        <w:rPr>
          <w:rFonts w:ascii="Arial" w:hAnsi="Arial" w:cs="Arial"/>
          <w:sz w:val="24"/>
          <w:szCs w:val="24"/>
          <w:lang w:val="en-GB"/>
        </w:rPr>
        <w:t>latter</w:t>
      </w:r>
      <w:r w:rsidR="005372E4">
        <w:rPr>
          <w:rFonts w:ascii="Arial" w:hAnsi="Arial" w:cs="Arial"/>
          <w:sz w:val="24"/>
          <w:szCs w:val="24"/>
          <w:lang w:val="en-GB"/>
        </w:rPr>
        <w:t xml:space="preserve"> </w:t>
      </w:r>
      <w:r w:rsidR="00EA6BA8" w:rsidRPr="00467C2E">
        <w:rPr>
          <w:rFonts w:ascii="Arial" w:hAnsi="Arial" w:cs="Arial"/>
          <w:sz w:val="24"/>
          <w:szCs w:val="24"/>
          <w:lang w:val="en-GB"/>
        </w:rPr>
        <w:t>statistics</w:t>
      </w:r>
      <w:r w:rsidR="00EA6BA8">
        <w:rPr>
          <w:rFonts w:ascii="Arial" w:hAnsi="Arial" w:cs="Arial"/>
          <w:sz w:val="24"/>
          <w:szCs w:val="24"/>
          <w:lang w:val="en-GB"/>
        </w:rPr>
        <w:t xml:space="preserve"> depend on respondents’ accurately recalling what they have purchased and how much </w:t>
      </w:r>
      <w:r w:rsidR="0032466F">
        <w:rPr>
          <w:rFonts w:ascii="Arial" w:hAnsi="Arial" w:cs="Arial"/>
          <w:sz w:val="24"/>
          <w:szCs w:val="24"/>
          <w:lang w:val="en-GB"/>
        </w:rPr>
        <w:t xml:space="preserve">they have </w:t>
      </w:r>
      <w:r w:rsidR="00EA6BA8">
        <w:rPr>
          <w:rFonts w:ascii="Arial" w:hAnsi="Arial" w:cs="Arial"/>
          <w:sz w:val="24"/>
          <w:szCs w:val="24"/>
          <w:lang w:val="en-GB"/>
        </w:rPr>
        <w:t xml:space="preserve">spent; the </w:t>
      </w:r>
      <w:r>
        <w:rPr>
          <w:rFonts w:ascii="Arial" w:hAnsi="Arial" w:cs="Arial"/>
          <w:sz w:val="24"/>
          <w:szCs w:val="24"/>
          <w:lang w:val="en-GB"/>
        </w:rPr>
        <w:t>former</w:t>
      </w:r>
      <w:r w:rsidR="00EA6BA8">
        <w:rPr>
          <w:rFonts w:ascii="Arial" w:hAnsi="Arial" w:cs="Arial"/>
          <w:sz w:val="24"/>
          <w:szCs w:val="24"/>
          <w:lang w:val="en-GB"/>
        </w:rPr>
        <w:t xml:space="preserve"> data do not suffer from these potential measurement errors </w:t>
      </w:r>
      <w:r w:rsidR="00EA6BA8" w:rsidRPr="00E470BB">
        <w:rPr>
          <w:rFonts w:ascii="Arial" w:hAnsi="Arial" w:cs="Arial"/>
          <w:sz w:val="24"/>
          <w:szCs w:val="24"/>
          <w:lang w:val="en-GB"/>
        </w:rPr>
        <w:t>(Duarte et al., 2017)</w:t>
      </w:r>
      <w:r w:rsidR="00EA6BA8">
        <w:rPr>
          <w:rFonts w:ascii="Arial" w:hAnsi="Arial" w:cs="Arial"/>
          <w:sz w:val="24"/>
          <w:szCs w:val="24"/>
          <w:lang w:val="en-GB"/>
        </w:rPr>
        <w:t xml:space="preserve">. </w:t>
      </w:r>
      <w:r w:rsidR="0032466F" w:rsidRPr="0032466F">
        <w:rPr>
          <w:rFonts w:ascii="Arial" w:hAnsi="Arial" w:cs="Arial"/>
          <w:sz w:val="24"/>
          <w:szCs w:val="24"/>
          <w:lang w:val="en-GB"/>
        </w:rPr>
        <w:t xml:space="preserve">In addition, </w:t>
      </w:r>
      <w:r w:rsidR="00F64478">
        <w:rPr>
          <w:rFonts w:ascii="Arial" w:hAnsi="Arial" w:cs="Arial"/>
          <w:sz w:val="24"/>
          <w:szCs w:val="24"/>
          <w:lang w:val="en-GB"/>
        </w:rPr>
        <w:t>these data</w:t>
      </w:r>
      <w:r w:rsidR="0032466F">
        <w:rPr>
          <w:rFonts w:ascii="Arial" w:hAnsi="Arial" w:cs="Arial"/>
          <w:sz w:val="24"/>
          <w:szCs w:val="24"/>
          <w:lang w:val="en-GB"/>
        </w:rPr>
        <w:t xml:space="preserve"> are </w:t>
      </w:r>
      <w:r w:rsidR="0032466F" w:rsidRPr="0032466F">
        <w:rPr>
          <w:rFonts w:ascii="Arial" w:hAnsi="Arial" w:cs="Arial"/>
          <w:sz w:val="24"/>
          <w:szCs w:val="24"/>
          <w:lang w:val="en-GB"/>
        </w:rPr>
        <w:t xml:space="preserve">available </w:t>
      </w:r>
      <w:r w:rsidR="0032466F">
        <w:rPr>
          <w:rFonts w:ascii="Arial" w:hAnsi="Arial" w:cs="Arial"/>
          <w:sz w:val="24"/>
          <w:szCs w:val="24"/>
          <w:lang w:val="en-GB"/>
        </w:rPr>
        <w:t xml:space="preserve">on a </w:t>
      </w:r>
      <w:r w:rsidR="0032466F" w:rsidRPr="0032466F">
        <w:rPr>
          <w:rFonts w:ascii="Arial" w:hAnsi="Arial" w:cs="Arial"/>
          <w:sz w:val="24"/>
          <w:szCs w:val="24"/>
          <w:lang w:val="en-GB"/>
        </w:rPr>
        <w:t xml:space="preserve">timely basis and provide </w:t>
      </w:r>
      <w:r w:rsidR="0032466F">
        <w:rPr>
          <w:rFonts w:ascii="Arial" w:hAnsi="Arial" w:cs="Arial"/>
          <w:sz w:val="24"/>
          <w:szCs w:val="24"/>
          <w:lang w:val="en-GB"/>
        </w:rPr>
        <w:t xml:space="preserve">very </w:t>
      </w:r>
      <w:r w:rsidR="0032466F" w:rsidRPr="0032466F">
        <w:rPr>
          <w:rFonts w:ascii="Arial" w:hAnsi="Arial" w:cs="Arial"/>
          <w:sz w:val="24"/>
          <w:szCs w:val="24"/>
          <w:lang w:val="en-GB"/>
        </w:rPr>
        <w:t xml:space="preserve">detailed information about spending activity </w:t>
      </w:r>
      <w:r w:rsidR="0032466F">
        <w:rPr>
          <w:rFonts w:ascii="Arial" w:hAnsi="Arial" w:cs="Arial"/>
          <w:sz w:val="24"/>
          <w:szCs w:val="24"/>
          <w:lang w:val="en-GB"/>
        </w:rPr>
        <w:t>(when, where, what)</w:t>
      </w:r>
      <w:r w:rsidR="00395F69">
        <w:rPr>
          <w:rFonts w:ascii="Arial" w:hAnsi="Arial" w:cs="Arial"/>
          <w:sz w:val="24"/>
          <w:szCs w:val="24"/>
          <w:lang w:val="en-GB"/>
        </w:rPr>
        <w:t xml:space="preserve"> with much lower costs compared to survey data collection</w:t>
      </w:r>
      <w:r w:rsidR="0032466F">
        <w:rPr>
          <w:rFonts w:ascii="Arial" w:hAnsi="Arial" w:cs="Arial"/>
          <w:sz w:val="24"/>
          <w:szCs w:val="24"/>
          <w:lang w:val="en-GB"/>
        </w:rPr>
        <w:t>.</w:t>
      </w:r>
    </w:p>
    <w:p w:rsidR="0022713A" w:rsidRDefault="00815A31" w:rsidP="0022713A">
      <w:pPr>
        <w:spacing w:before="120" w:after="0" w:line="360" w:lineRule="auto"/>
        <w:jc w:val="both"/>
        <w:rPr>
          <w:rFonts w:ascii="Arial" w:hAnsi="Arial" w:cs="Arial"/>
          <w:sz w:val="24"/>
          <w:szCs w:val="24"/>
          <w:lang w:val="en-GB"/>
        </w:rPr>
      </w:pPr>
      <w:r>
        <w:rPr>
          <w:rFonts w:ascii="Arial" w:hAnsi="Arial" w:cs="Arial"/>
          <w:sz w:val="24"/>
          <w:szCs w:val="24"/>
          <w:lang w:val="en-GB"/>
        </w:rPr>
        <w:t>Some previous research has shown that</w:t>
      </w:r>
      <w:r w:rsidR="005372E4">
        <w:rPr>
          <w:rFonts w:ascii="Arial" w:hAnsi="Arial" w:cs="Arial"/>
          <w:sz w:val="24"/>
          <w:szCs w:val="24"/>
          <w:lang w:val="en-GB"/>
        </w:rPr>
        <w:t xml:space="preserve"> </w:t>
      </w:r>
      <w:r w:rsidR="000058E9" w:rsidRPr="00467C2E">
        <w:rPr>
          <w:rFonts w:ascii="Arial" w:hAnsi="Arial" w:cs="Arial"/>
          <w:sz w:val="24"/>
          <w:szCs w:val="24"/>
          <w:lang w:val="en-GB"/>
        </w:rPr>
        <w:t xml:space="preserve">credit and debit card </w:t>
      </w:r>
      <w:r w:rsidR="000058E9">
        <w:rPr>
          <w:rFonts w:ascii="Arial" w:hAnsi="Arial" w:cs="Arial"/>
          <w:sz w:val="24"/>
          <w:szCs w:val="24"/>
          <w:lang w:val="en-GB"/>
        </w:rPr>
        <w:t xml:space="preserve">transaction </w:t>
      </w:r>
      <w:r w:rsidR="000058E9" w:rsidRPr="00467C2E">
        <w:rPr>
          <w:rFonts w:ascii="Arial" w:hAnsi="Arial" w:cs="Arial"/>
          <w:sz w:val="24"/>
          <w:szCs w:val="24"/>
          <w:lang w:val="en-GB"/>
        </w:rPr>
        <w:t xml:space="preserve">records </w:t>
      </w:r>
      <w:r>
        <w:rPr>
          <w:rFonts w:ascii="Arial" w:hAnsi="Arial" w:cs="Arial"/>
          <w:sz w:val="24"/>
          <w:szCs w:val="24"/>
          <w:lang w:val="en-GB"/>
        </w:rPr>
        <w:t>can help to improve the estimation of some macroeconomic variables such as Gross Domestic Product, retai</w:t>
      </w:r>
      <w:r w:rsidR="00F64478">
        <w:rPr>
          <w:rFonts w:ascii="Arial" w:hAnsi="Arial" w:cs="Arial"/>
          <w:sz w:val="24"/>
          <w:szCs w:val="24"/>
          <w:lang w:val="en-GB"/>
        </w:rPr>
        <w:t>l sales and private consumption</w:t>
      </w:r>
      <w:r w:rsidR="005372E4">
        <w:rPr>
          <w:rFonts w:ascii="Arial" w:hAnsi="Arial" w:cs="Arial"/>
          <w:sz w:val="24"/>
          <w:szCs w:val="24"/>
          <w:lang w:val="en-GB"/>
        </w:rPr>
        <w:t xml:space="preserve"> </w:t>
      </w:r>
      <w:r w:rsidR="00092BF2">
        <w:rPr>
          <w:rFonts w:ascii="Arial" w:hAnsi="Arial" w:cs="Arial"/>
          <w:sz w:val="24"/>
          <w:szCs w:val="24"/>
          <w:lang w:val="en-GB"/>
        </w:rPr>
        <w:t>in high income countries</w:t>
      </w:r>
      <w:r>
        <w:rPr>
          <w:rFonts w:ascii="Arial" w:hAnsi="Arial" w:cs="Arial"/>
          <w:sz w:val="24"/>
          <w:szCs w:val="24"/>
          <w:lang w:val="en-GB"/>
        </w:rPr>
        <w:t xml:space="preserve"> (</w:t>
      </w:r>
      <w:r w:rsidR="00092BF2" w:rsidRPr="00B61AC9">
        <w:rPr>
          <w:rFonts w:ascii="Arial" w:hAnsi="Arial" w:cs="Arial"/>
          <w:sz w:val="24"/>
          <w:szCs w:val="24"/>
          <w:lang w:val="en-GB"/>
        </w:rPr>
        <w:t>Buono et al., 2017and the references cited therein</w:t>
      </w:r>
      <w:r w:rsidR="00092BF2">
        <w:rPr>
          <w:rFonts w:ascii="Arial" w:hAnsi="Arial" w:cs="Arial"/>
          <w:sz w:val="24"/>
          <w:szCs w:val="24"/>
          <w:lang w:val="en-GB"/>
        </w:rPr>
        <w:t xml:space="preserve">; </w:t>
      </w:r>
      <w:r w:rsidR="006D7EA8">
        <w:rPr>
          <w:rFonts w:ascii="Arial" w:hAnsi="Arial" w:cs="Arial"/>
          <w:sz w:val="24"/>
          <w:szCs w:val="24"/>
          <w:lang w:val="en-GB"/>
        </w:rPr>
        <w:t>Galbraith and Tkacz, 2007, 201</w:t>
      </w:r>
      <w:r w:rsidR="00B1173B">
        <w:rPr>
          <w:rFonts w:ascii="Arial" w:hAnsi="Arial" w:cs="Arial"/>
          <w:sz w:val="24"/>
          <w:szCs w:val="24"/>
          <w:lang w:val="en-GB"/>
        </w:rPr>
        <w:t>5</w:t>
      </w:r>
      <w:r w:rsidR="000058E9">
        <w:rPr>
          <w:rFonts w:ascii="Arial" w:hAnsi="Arial" w:cs="Arial"/>
          <w:sz w:val="24"/>
          <w:szCs w:val="24"/>
          <w:lang w:val="en-GB"/>
        </w:rPr>
        <w:t xml:space="preserve">; </w:t>
      </w:r>
      <w:r w:rsidR="00092BF2" w:rsidRPr="00B61AC9">
        <w:rPr>
          <w:rFonts w:ascii="Arial" w:hAnsi="Arial" w:cs="Arial"/>
          <w:sz w:val="24"/>
          <w:szCs w:val="24"/>
          <w:lang w:val="en-GB"/>
        </w:rPr>
        <w:t>Duarte et al., 2017</w:t>
      </w:r>
      <w:r w:rsidR="00092BF2">
        <w:rPr>
          <w:rFonts w:ascii="Arial" w:hAnsi="Arial" w:cs="Arial"/>
          <w:sz w:val="24"/>
          <w:szCs w:val="24"/>
          <w:lang w:val="en-GB"/>
        </w:rPr>
        <w:t xml:space="preserve">; </w:t>
      </w:r>
      <w:r w:rsidR="006D7EA8">
        <w:rPr>
          <w:rFonts w:ascii="Arial" w:hAnsi="Arial" w:cs="Arial"/>
          <w:sz w:val="24"/>
          <w:szCs w:val="24"/>
          <w:lang w:val="en-GB"/>
        </w:rPr>
        <w:t>Gil et al</w:t>
      </w:r>
      <w:r w:rsidR="00092BF2">
        <w:rPr>
          <w:rFonts w:ascii="Arial" w:hAnsi="Arial" w:cs="Arial"/>
          <w:sz w:val="24"/>
          <w:szCs w:val="24"/>
          <w:lang w:val="en-GB"/>
        </w:rPr>
        <w:t>., 2017).</w:t>
      </w:r>
      <w:r w:rsidR="00F64478">
        <w:rPr>
          <w:rFonts w:ascii="Arial" w:hAnsi="Arial" w:cs="Arial"/>
          <w:sz w:val="24"/>
          <w:szCs w:val="24"/>
          <w:lang w:val="en-GB"/>
        </w:rPr>
        <w:t xml:space="preserve"> There </w:t>
      </w:r>
      <w:r w:rsidR="00AA0ECE">
        <w:rPr>
          <w:rFonts w:ascii="Arial" w:hAnsi="Arial" w:cs="Arial"/>
          <w:sz w:val="24"/>
          <w:szCs w:val="24"/>
          <w:lang w:val="en-GB"/>
        </w:rPr>
        <w:t>are</w:t>
      </w:r>
      <w:r w:rsidR="00F64478">
        <w:rPr>
          <w:rFonts w:ascii="Arial" w:hAnsi="Arial" w:cs="Arial"/>
          <w:sz w:val="24"/>
          <w:szCs w:val="24"/>
          <w:lang w:val="en-GB"/>
        </w:rPr>
        <w:t xml:space="preserve"> also </w:t>
      </w:r>
      <w:r w:rsidR="00F86983">
        <w:rPr>
          <w:rFonts w:ascii="Arial" w:hAnsi="Arial" w:cs="Arial"/>
          <w:sz w:val="24"/>
          <w:szCs w:val="24"/>
          <w:lang w:val="en-GB"/>
        </w:rPr>
        <w:t>a couple of</w:t>
      </w:r>
      <w:r w:rsidR="00F64478">
        <w:rPr>
          <w:rFonts w:ascii="Arial" w:hAnsi="Arial" w:cs="Arial"/>
          <w:sz w:val="24"/>
          <w:szCs w:val="24"/>
          <w:lang w:val="en-GB"/>
        </w:rPr>
        <w:t xml:space="preserve"> recent applications for middle-low </w:t>
      </w:r>
      <w:r w:rsidR="005372E4">
        <w:rPr>
          <w:rFonts w:ascii="Arial" w:hAnsi="Arial" w:cs="Arial"/>
          <w:sz w:val="24"/>
          <w:szCs w:val="24"/>
          <w:lang w:val="en-GB"/>
        </w:rPr>
        <w:t xml:space="preserve">income </w:t>
      </w:r>
      <w:r w:rsidR="00F64478">
        <w:rPr>
          <w:rFonts w:ascii="Arial" w:hAnsi="Arial" w:cs="Arial"/>
          <w:sz w:val="24"/>
          <w:szCs w:val="24"/>
          <w:lang w:val="en-GB"/>
        </w:rPr>
        <w:t>countries</w:t>
      </w:r>
      <w:r w:rsidR="005372E4">
        <w:rPr>
          <w:rFonts w:ascii="Arial" w:hAnsi="Arial" w:cs="Arial"/>
          <w:sz w:val="24"/>
          <w:szCs w:val="24"/>
          <w:lang w:val="en-GB"/>
        </w:rPr>
        <w:t>:</w:t>
      </w:r>
      <w:r w:rsidR="00F64478">
        <w:rPr>
          <w:rFonts w:ascii="Arial" w:hAnsi="Arial" w:cs="Arial"/>
          <w:sz w:val="24"/>
          <w:szCs w:val="24"/>
          <w:lang w:val="en-GB"/>
        </w:rPr>
        <w:t xml:space="preserve"> </w:t>
      </w:r>
      <w:r w:rsidR="00F64478" w:rsidRPr="006D7EA8">
        <w:rPr>
          <w:rFonts w:ascii="Arial" w:hAnsi="Arial" w:cs="Arial"/>
          <w:sz w:val="24"/>
          <w:szCs w:val="24"/>
          <w:lang w:val="en-US"/>
        </w:rPr>
        <w:t>Di Clemente et al.</w:t>
      </w:r>
      <w:r w:rsidR="00F64478">
        <w:rPr>
          <w:rFonts w:ascii="Arial" w:hAnsi="Arial" w:cs="Arial"/>
          <w:sz w:val="24"/>
          <w:szCs w:val="24"/>
          <w:lang w:val="en-US"/>
        </w:rPr>
        <w:t xml:space="preserve"> (201</w:t>
      </w:r>
      <w:r w:rsidR="00E10B3E">
        <w:rPr>
          <w:rFonts w:ascii="Arial" w:hAnsi="Arial" w:cs="Arial"/>
          <w:sz w:val="24"/>
          <w:szCs w:val="24"/>
          <w:lang w:val="en-US"/>
        </w:rPr>
        <w:t>8</w:t>
      </w:r>
      <w:r w:rsidR="00F64478">
        <w:rPr>
          <w:rFonts w:ascii="Arial" w:hAnsi="Arial" w:cs="Arial"/>
          <w:sz w:val="24"/>
          <w:szCs w:val="24"/>
          <w:lang w:val="en-US"/>
        </w:rPr>
        <w:t>)</w:t>
      </w:r>
      <w:r w:rsidR="005372E4">
        <w:rPr>
          <w:rFonts w:ascii="Arial" w:hAnsi="Arial" w:cs="Arial"/>
          <w:sz w:val="24"/>
          <w:szCs w:val="24"/>
          <w:lang w:val="en-US"/>
        </w:rPr>
        <w:t xml:space="preserve"> </w:t>
      </w:r>
      <w:r w:rsidR="00FB0C15">
        <w:rPr>
          <w:rFonts w:ascii="Arial" w:hAnsi="Arial" w:cs="Arial"/>
          <w:sz w:val="24"/>
          <w:szCs w:val="24"/>
          <w:lang w:val="en-US"/>
        </w:rPr>
        <w:t xml:space="preserve">and Vaitla et al. (2017) </w:t>
      </w:r>
      <w:r w:rsidR="00F86983">
        <w:rPr>
          <w:rFonts w:ascii="Arial" w:hAnsi="Arial" w:cs="Arial"/>
          <w:sz w:val="24"/>
          <w:szCs w:val="24"/>
          <w:lang w:val="en-US"/>
        </w:rPr>
        <w:t>combine</w:t>
      </w:r>
      <w:r w:rsidR="005372E4">
        <w:rPr>
          <w:rFonts w:ascii="Arial" w:hAnsi="Arial" w:cs="Arial"/>
          <w:sz w:val="24"/>
          <w:szCs w:val="24"/>
          <w:lang w:val="en-US"/>
        </w:rPr>
        <w:t xml:space="preserve"> </w:t>
      </w:r>
      <w:r w:rsidR="00F86983">
        <w:rPr>
          <w:rFonts w:ascii="Arial" w:hAnsi="Arial" w:cs="Arial"/>
          <w:sz w:val="24"/>
          <w:szCs w:val="24"/>
          <w:lang w:val="en-US"/>
        </w:rPr>
        <w:t xml:space="preserve">data on </w:t>
      </w:r>
      <w:r w:rsidR="00AA0ECE">
        <w:rPr>
          <w:rFonts w:ascii="Arial" w:hAnsi="Arial" w:cs="Arial"/>
          <w:sz w:val="24"/>
          <w:szCs w:val="24"/>
          <w:lang w:val="en-US"/>
        </w:rPr>
        <w:t xml:space="preserve">credit card </w:t>
      </w:r>
      <w:r w:rsidR="00F86983">
        <w:rPr>
          <w:rFonts w:ascii="Arial" w:hAnsi="Arial" w:cs="Arial"/>
          <w:sz w:val="24"/>
          <w:szCs w:val="24"/>
          <w:lang w:val="en-US"/>
        </w:rPr>
        <w:t>transactions with</w:t>
      </w:r>
      <w:r w:rsidR="005372E4">
        <w:rPr>
          <w:rFonts w:ascii="Arial" w:hAnsi="Arial" w:cs="Arial"/>
          <w:sz w:val="24"/>
          <w:szCs w:val="24"/>
          <w:lang w:val="en-US"/>
        </w:rPr>
        <w:t xml:space="preserve"> </w:t>
      </w:r>
      <w:r w:rsidR="00F86983">
        <w:rPr>
          <w:rFonts w:ascii="Arial" w:hAnsi="Arial" w:cs="Arial"/>
          <w:sz w:val="24"/>
          <w:szCs w:val="24"/>
          <w:lang w:val="en-US"/>
        </w:rPr>
        <w:t xml:space="preserve">mobile phone records </w:t>
      </w:r>
      <w:r w:rsidR="00F64478" w:rsidRPr="007E0161">
        <w:rPr>
          <w:rFonts w:ascii="Arial" w:hAnsi="Arial" w:cs="Arial"/>
          <w:sz w:val="24"/>
          <w:szCs w:val="24"/>
          <w:lang w:val="en-US"/>
        </w:rPr>
        <w:t>to s</w:t>
      </w:r>
      <w:r w:rsidR="00F64478">
        <w:rPr>
          <w:rFonts w:ascii="Arial" w:hAnsi="Arial" w:cs="Arial"/>
          <w:sz w:val="24"/>
          <w:szCs w:val="24"/>
          <w:lang w:val="en-US"/>
        </w:rPr>
        <w:t>tudy habits of consumption</w:t>
      </w:r>
      <w:r w:rsidR="0022713A">
        <w:rPr>
          <w:rFonts w:ascii="Arial" w:hAnsi="Arial" w:cs="Arial"/>
          <w:sz w:val="24"/>
          <w:szCs w:val="24"/>
          <w:lang w:val="en-US"/>
        </w:rPr>
        <w:t xml:space="preserve">, </w:t>
      </w:r>
      <w:r w:rsidR="0022713A" w:rsidRPr="00207D1C">
        <w:rPr>
          <w:rFonts w:ascii="Arial" w:hAnsi="Arial" w:cs="Arial"/>
          <w:sz w:val="24"/>
          <w:szCs w:val="24"/>
          <w:lang w:val="en-GB"/>
        </w:rPr>
        <w:t>spending priorities</w:t>
      </w:r>
      <w:r w:rsidR="0022713A">
        <w:rPr>
          <w:rFonts w:ascii="Arial" w:hAnsi="Arial" w:cs="Arial"/>
          <w:sz w:val="24"/>
          <w:szCs w:val="24"/>
          <w:lang w:val="en-GB"/>
        </w:rPr>
        <w:t xml:space="preserve"> and </w:t>
      </w:r>
      <w:r w:rsidR="0022713A" w:rsidRPr="00207D1C">
        <w:rPr>
          <w:rFonts w:ascii="Arial" w:hAnsi="Arial" w:cs="Arial"/>
          <w:sz w:val="24"/>
          <w:szCs w:val="24"/>
          <w:lang w:val="en-GB"/>
        </w:rPr>
        <w:t xml:space="preserve">shopping patterns </w:t>
      </w:r>
      <w:r w:rsidR="0022713A">
        <w:rPr>
          <w:rFonts w:ascii="Arial" w:hAnsi="Arial" w:cs="Arial"/>
          <w:sz w:val="24"/>
          <w:szCs w:val="24"/>
          <w:lang w:val="en-US"/>
        </w:rPr>
        <w:t>in one the largest cities in Latin America</w:t>
      </w:r>
      <w:r w:rsidR="0022713A">
        <w:rPr>
          <w:rFonts w:ascii="Arial" w:hAnsi="Arial" w:cs="Arial"/>
          <w:sz w:val="24"/>
          <w:szCs w:val="24"/>
          <w:lang w:val="en-GB"/>
        </w:rPr>
        <w:t xml:space="preserve"> and derive some </w:t>
      </w:r>
      <w:r w:rsidR="0022713A" w:rsidRPr="00207D1C">
        <w:rPr>
          <w:rFonts w:ascii="Arial" w:hAnsi="Arial" w:cs="Arial"/>
          <w:sz w:val="24"/>
          <w:szCs w:val="24"/>
          <w:lang w:val="en-GB"/>
        </w:rPr>
        <w:t>proxies for lifestyle</w:t>
      </w:r>
      <w:r w:rsidR="0022713A">
        <w:rPr>
          <w:rFonts w:ascii="Arial" w:hAnsi="Arial" w:cs="Arial"/>
          <w:sz w:val="24"/>
          <w:szCs w:val="24"/>
          <w:lang w:val="en-GB"/>
        </w:rPr>
        <w:t>s.</w:t>
      </w:r>
    </w:p>
    <w:p w:rsidR="00F64478" w:rsidRPr="00A233BC" w:rsidRDefault="00395F69" w:rsidP="00A233BC">
      <w:pPr>
        <w:spacing w:before="120" w:after="0" w:line="360" w:lineRule="auto"/>
        <w:jc w:val="both"/>
        <w:rPr>
          <w:rFonts w:ascii="Arial" w:hAnsi="Arial" w:cs="Arial"/>
          <w:sz w:val="24"/>
          <w:szCs w:val="24"/>
          <w:lang w:val="en-GB"/>
        </w:rPr>
      </w:pPr>
      <w:r>
        <w:rPr>
          <w:rFonts w:ascii="Arial" w:hAnsi="Arial" w:cs="Arial"/>
          <w:sz w:val="24"/>
          <w:szCs w:val="24"/>
          <w:lang w:val="en-GB"/>
        </w:rPr>
        <w:t>While t</w:t>
      </w:r>
      <w:r w:rsidR="00A05BE5">
        <w:rPr>
          <w:rFonts w:ascii="Arial" w:hAnsi="Arial" w:cs="Arial"/>
          <w:sz w:val="24"/>
          <w:szCs w:val="24"/>
          <w:lang w:val="en-GB"/>
        </w:rPr>
        <w:t xml:space="preserve">he </w:t>
      </w:r>
      <w:r w:rsidR="00380DF9">
        <w:rPr>
          <w:rFonts w:ascii="Arial" w:hAnsi="Arial" w:cs="Arial"/>
          <w:sz w:val="24"/>
          <w:szCs w:val="24"/>
          <w:lang w:val="en-GB"/>
        </w:rPr>
        <w:t xml:space="preserve">granularity of these data is especially attractive to get detailed insights about individual economic behaviour </w:t>
      </w:r>
      <w:r w:rsidR="00CE501B">
        <w:rPr>
          <w:rFonts w:ascii="Arial" w:hAnsi="Arial" w:cs="Arial"/>
          <w:sz w:val="24"/>
          <w:szCs w:val="24"/>
          <w:lang w:val="en-GB"/>
        </w:rPr>
        <w:t>(</w:t>
      </w:r>
      <w:r w:rsidR="00380DF9">
        <w:rPr>
          <w:rFonts w:ascii="Arial" w:hAnsi="Arial" w:cs="Arial"/>
          <w:sz w:val="24"/>
          <w:szCs w:val="24"/>
          <w:lang w:val="en-GB"/>
        </w:rPr>
        <w:t xml:space="preserve">and potentially </w:t>
      </w:r>
      <w:r w:rsidR="005372E4">
        <w:rPr>
          <w:rFonts w:ascii="Arial" w:hAnsi="Arial" w:cs="Arial"/>
          <w:sz w:val="24"/>
          <w:szCs w:val="24"/>
          <w:lang w:val="en-GB"/>
        </w:rPr>
        <w:t xml:space="preserve">to </w:t>
      </w:r>
      <w:r w:rsidR="00380DF9">
        <w:rPr>
          <w:rFonts w:ascii="Arial" w:hAnsi="Arial" w:cs="Arial"/>
          <w:sz w:val="24"/>
          <w:szCs w:val="24"/>
          <w:lang w:val="en-GB"/>
        </w:rPr>
        <w:t>improve the nowcasting of socioeconomic indicators</w:t>
      </w:r>
      <w:r w:rsidR="00CE501B">
        <w:rPr>
          <w:rFonts w:ascii="Arial" w:hAnsi="Arial" w:cs="Arial"/>
          <w:sz w:val="24"/>
          <w:szCs w:val="24"/>
          <w:lang w:val="en-GB"/>
        </w:rPr>
        <w:t>)</w:t>
      </w:r>
      <w:r w:rsidR="00380DF9">
        <w:rPr>
          <w:rFonts w:ascii="Arial" w:hAnsi="Arial" w:cs="Arial"/>
          <w:sz w:val="24"/>
          <w:szCs w:val="24"/>
          <w:lang w:val="en-GB"/>
        </w:rPr>
        <w:t xml:space="preserve">, it is </w:t>
      </w:r>
      <w:r w:rsidR="00CE501B">
        <w:rPr>
          <w:rFonts w:ascii="Arial" w:hAnsi="Arial" w:cs="Arial"/>
          <w:sz w:val="24"/>
          <w:szCs w:val="24"/>
          <w:lang w:val="en-GB"/>
        </w:rPr>
        <w:t>essential</w:t>
      </w:r>
      <w:r w:rsidR="00380DF9">
        <w:rPr>
          <w:rFonts w:ascii="Arial" w:hAnsi="Arial" w:cs="Arial"/>
          <w:sz w:val="24"/>
          <w:szCs w:val="24"/>
          <w:lang w:val="en-GB"/>
        </w:rPr>
        <w:t xml:space="preserve"> not to neglect the disadvantages associated with this kind of data. Importantly</w:t>
      </w:r>
      <w:r w:rsidR="000761C6">
        <w:rPr>
          <w:rFonts w:ascii="Arial" w:hAnsi="Arial" w:cs="Arial"/>
          <w:sz w:val="24"/>
          <w:szCs w:val="24"/>
          <w:lang w:val="en-GB"/>
        </w:rPr>
        <w:t>, credit and debit card transactions-related data suffer from (self-)selection bias: neither do they represent the full population (i.e., only individuals who have a credit/debit card) or characterize all private consumption (i.e</w:t>
      </w:r>
      <w:r w:rsidR="006255E8">
        <w:rPr>
          <w:rFonts w:ascii="Arial" w:hAnsi="Arial" w:cs="Arial"/>
          <w:sz w:val="24"/>
          <w:szCs w:val="24"/>
          <w:lang w:val="en-GB"/>
        </w:rPr>
        <w:t>.</w:t>
      </w:r>
      <w:r w:rsidR="000761C6">
        <w:rPr>
          <w:rFonts w:ascii="Arial" w:hAnsi="Arial" w:cs="Arial"/>
          <w:sz w:val="24"/>
          <w:szCs w:val="24"/>
          <w:lang w:val="en-GB"/>
        </w:rPr>
        <w:t xml:space="preserve">, only consumption paid with credit or debit cards). </w:t>
      </w:r>
      <w:r w:rsidR="005723EF">
        <w:rPr>
          <w:rFonts w:ascii="Arial" w:hAnsi="Arial" w:cs="Arial"/>
          <w:sz w:val="24"/>
          <w:szCs w:val="24"/>
          <w:lang w:val="en-GB"/>
        </w:rPr>
        <w:t>Such selection biases</w:t>
      </w:r>
      <w:r w:rsidR="005372E4">
        <w:rPr>
          <w:rFonts w:ascii="Arial" w:hAnsi="Arial" w:cs="Arial"/>
          <w:sz w:val="24"/>
          <w:szCs w:val="24"/>
          <w:lang w:val="en-GB"/>
        </w:rPr>
        <w:t xml:space="preserve"> </w:t>
      </w:r>
      <w:r w:rsidR="005723EF">
        <w:rPr>
          <w:rFonts w:ascii="Arial" w:hAnsi="Arial" w:cs="Arial"/>
          <w:sz w:val="24"/>
          <w:szCs w:val="24"/>
          <w:lang w:val="en-GB"/>
        </w:rPr>
        <w:t xml:space="preserve">might be </w:t>
      </w:r>
      <w:r w:rsidR="006255E8">
        <w:rPr>
          <w:rFonts w:ascii="Arial" w:hAnsi="Arial" w:cs="Arial"/>
          <w:sz w:val="24"/>
          <w:szCs w:val="24"/>
          <w:lang w:val="en-GB"/>
        </w:rPr>
        <w:t>particular</w:t>
      </w:r>
      <w:r w:rsidR="005723EF">
        <w:rPr>
          <w:rFonts w:ascii="Arial" w:hAnsi="Arial" w:cs="Arial"/>
          <w:sz w:val="24"/>
          <w:szCs w:val="24"/>
          <w:lang w:val="en-GB"/>
        </w:rPr>
        <w:t xml:space="preserve">ly worrying </w:t>
      </w:r>
      <w:r w:rsidR="00523942">
        <w:rPr>
          <w:rFonts w:ascii="Arial" w:hAnsi="Arial" w:cs="Arial"/>
          <w:sz w:val="24"/>
          <w:szCs w:val="24"/>
          <w:lang w:val="en-GB"/>
        </w:rPr>
        <w:t>in</w:t>
      </w:r>
      <w:r w:rsidR="005723EF">
        <w:rPr>
          <w:rFonts w:ascii="Arial" w:hAnsi="Arial" w:cs="Arial"/>
          <w:sz w:val="24"/>
          <w:szCs w:val="24"/>
          <w:lang w:val="en-GB"/>
        </w:rPr>
        <w:t xml:space="preserve"> the case </w:t>
      </w:r>
      <w:r w:rsidR="00523942">
        <w:rPr>
          <w:rFonts w:ascii="Arial" w:hAnsi="Arial" w:cs="Arial"/>
          <w:sz w:val="24"/>
          <w:szCs w:val="24"/>
          <w:lang w:val="en-GB"/>
        </w:rPr>
        <w:t xml:space="preserve">of middle-low </w:t>
      </w:r>
      <w:r w:rsidR="005372E4">
        <w:rPr>
          <w:rFonts w:ascii="Arial" w:hAnsi="Arial" w:cs="Arial"/>
          <w:sz w:val="24"/>
          <w:szCs w:val="24"/>
          <w:lang w:val="en-GB"/>
        </w:rPr>
        <w:t xml:space="preserve">income </w:t>
      </w:r>
      <w:r w:rsidR="00523942">
        <w:rPr>
          <w:rFonts w:ascii="Arial" w:hAnsi="Arial" w:cs="Arial"/>
          <w:sz w:val="24"/>
          <w:szCs w:val="24"/>
          <w:lang w:val="en-GB"/>
        </w:rPr>
        <w:t xml:space="preserve">countries, where the credit card usage tends to be low. </w:t>
      </w:r>
      <w:r w:rsidR="00523942" w:rsidRPr="006D7EA8">
        <w:rPr>
          <w:rFonts w:ascii="Arial" w:hAnsi="Arial" w:cs="Arial"/>
          <w:sz w:val="24"/>
          <w:szCs w:val="24"/>
          <w:lang w:val="en-US"/>
        </w:rPr>
        <w:t>Di Clemente et al.</w:t>
      </w:r>
      <w:r w:rsidR="00523942">
        <w:rPr>
          <w:rFonts w:ascii="Arial" w:hAnsi="Arial" w:cs="Arial"/>
          <w:sz w:val="24"/>
          <w:szCs w:val="24"/>
          <w:lang w:val="en-US"/>
        </w:rPr>
        <w:t xml:space="preserve"> (201</w:t>
      </w:r>
      <w:r w:rsidR="00E10B3E">
        <w:rPr>
          <w:rFonts w:ascii="Arial" w:hAnsi="Arial" w:cs="Arial"/>
          <w:sz w:val="24"/>
          <w:szCs w:val="24"/>
          <w:lang w:val="en-US"/>
        </w:rPr>
        <w:t>8</w:t>
      </w:r>
      <w:r w:rsidR="00523942">
        <w:rPr>
          <w:rFonts w:ascii="Arial" w:hAnsi="Arial" w:cs="Arial"/>
          <w:sz w:val="24"/>
          <w:szCs w:val="24"/>
          <w:lang w:val="en-US"/>
        </w:rPr>
        <w:t xml:space="preserve">) and Vaitla et al. (2017) report </w:t>
      </w:r>
      <w:r w:rsidR="009162E8">
        <w:rPr>
          <w:rFonts w:ascii="Arial" w:hAnsi="Arial" w:cs="Arial"/>
          <w:sz w:val="24"/>
          <w:szCs w:val="24"/>
          <w:lang w:val="en-US"/>
        </w:rPr>
        <w:t xml:space="preserve">that less than a quarter </w:t>
      </w:r>
      <w:r w:rsidR="00217771">
        <w:rPr>
          <w:rFonts w:ascii="Arial" w:hAnsi="Arial" w:cs="Arial"/>
          <w:sz w:val="24"/>
          <w:szCs w:val="24"/>
          <w:lang w:val="en-US"/>
        </w:rPr>
        <w:t xml:space="preserve">of the population use credit card in the areas of analysis. </w:t>
      </w:r>
      <w:r w:rsidR="00A233BC">
        <w:rPr>
          <w:rFonts w:ascii="Arial" w:hAnsi="Arial" w:cs="Arial"/>
          <w:sz w:val="24"/>
          <w:szCs w:val="24"/>
          <w:lang w:val="en-US"/>
        </w:rPr>
        <w:t xml:space="preserve">In particular, </w:t>
      </w:r>
      <w:r w:rsidR="00A233BC" w:rsidRPr="00A233BC">
        <w:rPr>
          <w:rFonts w:ascii="Arial" w:hAnsi="Arial" w:cs="Arial"/>
          <w:sz w:val="24"/>
          <w:szCs w:val="24"/>
          <w:lang w:val="en-GB"/>
        </w:rPr>
        <w:t>Vaitla et al. (2017, p.18) explain that “</w:t>
      </w:r>
      <w:r w:rsidR="00F64478" w:rsidRPr="00A233BC">
        <w:rPr>
          <w:rFonts w:ascii="Arial" w:hAnsi="Arial" w:cs="Arial"/>
          <w:sz w:val="24"/>
          <w:szCs w:val="24"/>
          <w:lang w:val="en-GB"/>
        </w:rPr>
        <w:t>(within neighborhoods)</w:t>
      </w:r>
      <w:r w:rsidR="005372E4">
        <w:rPr>
          <w:rFonts w:ascii="Arial" w:hAnsi="Arial" w:cs="Arial"/>
          <w:sz w:val="24"/>
          <w:szCs w:val="24"/>
          <w:lang w:val="en-GB"/>
        </w:rPr>
        <w:t xml:space="preserve"> </w:t>
      </w:r>
      <w:r w:rsidR="00F64478" w:rsidRPr="00A233BC">
        <w:rPr>
          <w:rFonts w:ascii="Arial" w:hAnsi="Arial" w:cs="Arial"/>
          <w:sz w:val="24"/>
          <w:szCs w:val="24"/>
          <w:lang w:val="en-GB"/>
        </w:rPr>
        <w:t xml:space="preserve">the sample is </w:t>
      </w:r>
      <w:r w:rsidR="00F64478" w:rsidRPr="00A233BC">
        <w:rPr>
          <w:rFonts w:ascii="Arial" w:hAnsi="Arial" w:cs="Arial"/>
          <w:sz w:val="24"/>
          <w:szCs w:val="24"/>
          <w:lang w:val="en-GB"/>
        </w:rPr>
        <w:lastRenderedPageBreak/>
        <w:t>biased towards wealthier individuals</w:t>
      </w:r>
      <w:r w:rsidR="00F64478" w:rsidRPr="00A233BC">
        <w:rPr>
          <w:rFonts w:ascii="Arial" w:hAnsi="Arial" w:cs="Arial" w:hint="eastAsia"/>
          <w:sz w:val="24"/>
          <w:szCs w:val="24"/>
          <w:lang w:val="en-GB"/>
        </w:rPr>
        <w:t>—</w:t>
      </w:r>
      <w:r w:rsidR="00F64478" w:rsidRPr="00A233BC">
        <w:rPr>
          <w:rFonts w:ascii="Arial" w:hAnsi="Arial" w:cs="Arial"/>
          <w:sz w:val="24"/>
          <w:szCs w:val="24"/>
          <w:lang w:val="en-GB"/>
        </w:rPr>
        <w:t>although, evaluating the sample as a whole, users</w:t>
      </w:r>
      <w:r w:rsidR="005372E4">
        <w:rPr>
          <w:rFonts w:ascii="Arial" w:hAnsi="Arial" w:cs="Arial"/>
          <w:sz w:val="24"/>
          <w:szCs w:val="24"/>
          <w:lang w:val="en-GB"/>
        </w:rPr>
        <w:t xml:space="preserve"> </w:t>
      </w:r>
      <w:r w:rsidR="00F64478" w:rsidRPr="00A233BC">
        <w:rPr>
          <w:rFonts w:ascii="Arial" w:hAnsi="Arial" w:cs="Arial"/>
          <w:sz w:val="24"/>
          <w:szCs w:val="24"/>
          <w:lang w:val="en-GB"/>
        </w:rPr>
        <w:t>from all income levels are well-represented.”</w:t>
      </w:r>
    </w:p>
    <w:p w:rsidR="00092BF2" w:rsidRPr="00E24B34" w:rsidRDefault="009820AF" w:rsidP="00EA6BA8">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paper attempts to provide further insights on the potential usefulness of </w:t>
      </w:r>
      <w:r w:rsidRPr="00CC2391">
        <w:rPr>
          <w:rFonts w:ascii="Arial" w:hAnsi="Arial" w:cs="Arial"/>
          <w:sz w:val="24"/>
          <w:szCs w:val="24"/>
          <w:lang w:val="en-GB"/>
        </w:rPr>
        <w:t xml:space="preserve">credit and debit card </w:t>
      </w:r>
      <w:r>
        <w:rPr>
          <w:rFonts w:ascii="Arial" w:hAnsi="Arial" w:cs="Arial"/>
          <w:sz w:val="24"/>
          <w:szCs w:val="24"/>
          <w:lang w:val="en-GB"/>
        </w:rPr>
        <w:t xml:space="preserve">transaction </w:t>
      </w:r>
      <w:r w:rsidRPr="00CC2391">
        <w:rPr>
          <w:rFonts w:ascii="Arial" w:hAnsi="Arial" w:cs="Arial"/>
          <w:sz w:val="24"/>
          <w:szCs w:val="24"/>
          <w:lang w:val="en-GB"/>
        </w:rPr>
        <w:t xml:space="preserve">records </w:t>
      </w:r>
      <w:r>
        <w:rPr>
          <w:rFonts w:ascii="Arial" w:hAnsi="Arial" w:cs="Arial"/>
          <w:sz w:val="24"/>
          <w:szCs w:val="24"/>
          <w:lang w:val="en-GB"/>
        </w:rPr>
        <w:t xml:space="preserve">to improve the nowcasting of official statistics and, in particular, private consumption indicators. To achieve this, we analyze </w:t>
      </w:r>
      <w:r w:rsidRPr="00CC2391">
        <w:rPr>
          <w:rFonts w:ascii="Arial" w:hAnsi="Arial" w:cs="Arial"/>
          <w:sz w:val="24"/>
          <w:szCs w:val="24"/>
          <w:lang w:val="en-GB"/>
        </w:rPr>
        <w:t xml:space="preserve">individual </w:t>
      </w:r>
      <w:r>
        <w:rPr>
          <w:rFonts w:ascii="Arial" w:hAnsi="Arial" w:cs="Arial"/>
          <w:sz w:val="24"/>
          <w:szCs w:val="24"/>
          <w:lang w:val="en-GB"/>
        </w:rPr>
        <w:t>data from</w:t>
      </w:r>
      <w:r w:rsidR="005372E4">
        <w:rPr>
          <w:rFonts w:ascii="Arial" w:hAnsi="Arial" w:cs="Arial"/>
          <w:sz w:val="24"/>
          <w:szCs w:val="24"/>
          <w:lang w:val="en-GB"/>
        </w:rPr>
        <w:t xml:space="preserve"> </w:t>
      </w:r>
      <w:r w:rsidR="00E24B34" w:rsidRPr="00CC2391">
        <w:rPr>
          <w:rFonts w:ascii="Arial" w:hAnsi="Arial" w:cs="Arial"/>
          <w:sz w:val="24"/>
          <w:szCs w:val="24"/>
          <w:lang w:val="en-GB"/>
        </w:rPr>
        <w:t>customers of one of the largest banks in Latin America</w:t>
      </w:r>
      <w:r>
        <w:rPr>
          <w:rFonts w:ascii="Arial" w:hAnsi="Arial" w:cs="Arial"/>
          <w:sz w:val="24"/>
          <w:szCs w:val="24"/>
          <w:lang w:val="en-GB"/>
        </w:rPr>
        <w:t>, paying special attention to selection biases.</w:t>
      </w:r>
    </w:p>
    <w:p w:rsidR="00CB2B44" w:rsidRPr="00EC5F5A" w:rsidRDefault="00142DF9"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CB2B44" w:rsidRPr="00EC5F5A">
        <w:rPr>
          <w:rFonts w:ascii="Arial" w:hAnsi="Arial" w:cs="Arial"/>
          <w:b/>
          <w:sz w:val="24"/>
          <w:szCs w:val="24"/>
          <w:lang w:val="en-GB"/>
        </w:rPr>
        <w:t xml:space="preserve">. </w:t>
      </w:r>
      <w:r w:rsidR="00C6059D">
        <w:rPr>
          <w:rFonts w:ascii="Arial" w:hAnsi="Arial" w:cs="Arial"/>
          <w:b/>
          <w:sz w:val="24"/>
          <w:szCs w:val="24"/>
          <w:lang w:val="en-GB"/>
        </w:rPr>
        <w:t>Data</w:t>
      </w:r>
    </w:p>
    <w:p w:rsidR="004C6B1E" w:rsidRDefault="00AC1ED1" w:rsidP="00AC1ED1">
      <w:pPr>
        <w:spacing w:before="120" w:after="0" w:line="360" w:lineRule="auto"/>
        <w:jc w:val="both"/>
        <w:rPr>
          <w:rFonts w:ascii="Arial" w:hAnsi="Arial" w:cs="Arial"/>
          <w:sz w:val="24"/>
          <w:szCs w:val="24"/>
          <w:lang w:val="en-GB"/>
        </w:rPr>
      </w:pPr>
      <w:r w:rsidRPr="00CC2391">
        <w:rPr>
          <w:rFonts w:ascii="Arial" w:hAnsi="Arial" w:cs="Arial"/>
          <w:sz w:val="24"/>
          <w:szCs w:val="24"/>
          <w:lang w:val="en-GB"/>
        </w:rPr>
        <w:t xml:space="preserve">Data include anonymized individual credit and debit card records from customers of one of the largest banks in Latin America. </w:t>
      </w:r>
      <w:r w:rsidR="00112BD9" w:rsidRPr="00CC2391">
        <w:rPr>
          <w:rFonts w:ascii="Arial" w:hAnsi="Arial" w:cs="Arial"/>
          <w:sz w:val="24"/>
          <w:szCs w:val="24"/>
          <w:lang w:val="en-GB"/>
        </w:rPr>
        <w:t>The dataset contains t</w:t>
      </w:r>
      <w:r w:rsidRPr="00CC2391">
        <w:rPr>
          <w:rFonts w:ascii="Arial" w:hAnsi="Arial" w:cs="Arial"/>
          <w:sz w:val="24"/>
          <w:szCs w:val="24"/>
          <w:lang w:val="en-GB"/>
        </w:rPr>
        <w:t xml:space="preserve">ransaction records </w:t>
      </w:r>
      <w:r w:rsidR="00112BD9" w:rsidRPr="00CC2391">
        <w:rPr>
          <w:rFonts w:ascii="Arial" w:hAnsi="Arial" w:cs="Arial"/>
          <w:sz w:val="24"/>
          <w:szCs w:val="24"/>
          <w:lang w:val="en-GB"/>
        </w:rPr>
        <w:t xml:space="preserve">for a </w:t>
      </w:r>
      <w:r w:rsidR="00A41185">
        <w:rPr>
          <w:rFonts w:ascii="Arial" w:hAnsi="Arial" w:cs="Arial"/>
          <w:sz w:val="24"/>
          <w:szCs w:val="24"/>
          <w:lang w:val="en-GB"/>
        </w:rPr>
        <w:t xml:space="preserve">full </w:t>
      </w:r>
      <w:r w:rsidR="00112BD9" w:rsidRPr="00CC2391">
        <w:rPr>
          <w:rFonts w:ascii="Arial" w:hAnsi="Arial" w:cs="Arial"/>
          <w:sz w:val="24"/>
          <w:szCs w:val="24"/>
          <w:lang w:val="en-GB"/>
        </w:rPr>
        <w:t>year</w:t>
      </w:r>
      <w:r w:rsidR="00986F5D">
        <w:rPr>
          <w:rFonts w:ascii="Arial" w:hAnsi="Arial" w:cs="Arial"/>
          <w:sz w:val="24"/>
          <w:szCs w:val="24"/>
          <w:lang w:val="en-GB"/>
        </w:rPr>
        <w:t xml:space="preserve"> (</w:t>
      </w:r>
      <w:r w:rsidR="00112BD9" w:rsidRPr="00CC2391">
        <w:rPr>
          <w:rFonts w:ascii="Arial" w:hAnsi="Arial" w:cs="Arial"/>
          <w:sz w:val="24"/>
          <w:szCs w:val="24"/>
          <w:lang w:val="en-GB"/>
        </w:rPr>
        <w:t xml:space="preserve">from </w:t>
      </w:r>
      <w:r w:rsidRPr="00CC2391">
        <w:rPr>
          <w:rFonts w:ascii="Arial" w:hAnsi="Arial" w:cs="Arial"/>
          <w:sz w:val="24"/>
          <w:szCs w:val="24"/>
          <w:lang w:val="en-GB"/>
        </w:rPr>
        <w:t>June 2016 through May 2017</w:t>
      </w:r>
      <w:r w:rsidR="00986F5D">
        <w:rPr>
          <w:rFonts w:ascii="Arial" w:hAnsi="Arial" w:cs="Arial"/>
          <w:sz w:val="24"/>
          <w:szCs w:val="24"/>
          <w:lang w:val="en-GB"/>
        </w:rPr>
        <w:t xml:space="preserve">) </w:t>
      </w:r>
      <w:r w:rsidR="00A41185">
        <w:rPr>
          <w:rFonts w:ascii="Arial" w:hAnsi="Arial" w:cs="Arial"/>
          <w:sz w:val="24"/>
          <w:szCs w:val="24"/>
          <w:lang w:val="en-GB"/>
        </w:rPr>
        <w:t>from</w:t>
      </w:r>
      <w:r w:rsidR="00986F5D">
        <w:rPr>
          <w:rFonts w:ascii="Arial" w:hAnsi="Arial" w:cs="Arial"/>
          <w:sz w:val="24"/>
          <w:szCs w:val="24"/>
          <w:lang w:val="en-GB"/>
        </w:rPr>
        <w:t xml:space="preserve"> bank’s customer base in one of the </w:t>
      </w:r>
      <w:r w:rsidR="00A41185">
        <w:rPr>
          <w:rFonts w:ascii="Arial" w:hAnsi="Arial" w:cs="Arial"/>
          <w:sz w:val="24"/>
          <w:szCs w:val="24"/>
          <w:lang w:val="en-GB"/>
        </w:rPr>
        <w:t xml:space="preserve">biggest </w:t>
      </w:r>
      <w:r w:rsidR="00986F5D">
        <w:rPr>
          <w:rFonts w:ascii="Arial" w:hAnsi="Arial" w:cs="Arial"/>
          <w:sz w:val="24"/>
          <w:szCs w:val="24"/>
          <w:lang w:val="en-GB"/>
        </w:rPr>
        <w:t>countries where it operates</w:t>
      </w:r>
      <w:r w:rsidR="004C6B1E">
        <w:rPr>
          <w:rStyle w:val="Refdenotaalpie"/>
          <w:rFonts w:ascii="Arial" w:hAnsi="Arial" w:cs="Arial"/>
          <w:sz w:val="24"/>
          <w:szCs w:val="24"/>
          <w:lang w:val="en-GB"/>
        </w:rPr>
        <w:footnoteReference w:id="4"/>
      </w:r>
      <w:r w:rsidR="00112BD9" w:rsidRPr="00CC2391">
        <w:rPr>
          <w:rFonts w:ascii="Arial" w:hAnsi="Arial" w:cs="Arial"/>
          <w:sz w:val="24"/>
          <w:szCs w:val="24"/>
          <w:lang w:val="en-GB"/>
        </w:rPr>
        <w:t xml:space="preserve">. </w:t>
      </w:r>
    </w:p>
    <w:p w:rsidR="001054BF" w:rsidRDefault="00112BD9" w:rsidP="001054BF">
      <w:pPr>
        <w:spacing w:before="120" w:after="0" w:line="360" w:lineRule="auto"/>
        <w:jc w:val="both"/>
        <w:rPr>
          <w:rFonts w:ascii="Arial" w:hAnsi="Arial" w:cs="Arial"/>
          <w:sz w:val="24"/>
          <w:szCs w:val="24"/>
          <w:lang w:val="en-GB"/>
        </w:rPr>
      </w:pPr>
      <w:r w:rsidRPr="00CC2391">
        <w:rPr>
          <w:rFonts w:ascii="Arial" w:hAnsi="Arial" w:cs="Arial"/>
          <w:sz w:val="24"/>
          <w:szCs w:val="24"/>
          <w:lang w:val="en-GB"/>
        </w:rPr>
        <w:t>For each transaction, we have</w:t>
      </w:r>
      <w:r w:rsidR="002A3E93">
        <w:rPr>
          <w:rFonts w:ascii="Arial" w:hAnsi="Arial" w:cs="Arial"/>
          <w:sz w:val="24"/>
          <w:szCs w:val="24"/>
          <w:lang w:val="en-GB"/>
        </w:rPr>
        <w:t xml:space="preserve"> detailed</w:t>
      </w:r>
      <w:r w:rsidRPr="00CC2391">
        <w:rPr>
          <w:rFonts w:ascii="Arial" w:hAnsi="Arial" w:cs="Arial"/>
          <w:sz w:val="24"/>
          <w:szCs w:val="24"/>
          <w:lang w:val="en-GB"/>
        </w:rPr>
        <w:t xml:space="preserve"> information </w:t>
      </w:r>
      <w:r w:rsidR="00D81467" w:rsidRPr="00CC2391">
        <w:rPr>
          <w:rFonts w:ascii="Arial" w:hAnsi="Arial" w:cs="Arial"/>
          <w:sz w:val="24"/>
          <w:szCs w:val="24"/>
          <w:lang w:val="en-GB"/>
        </w:rPr>
        <w:t>about</w:t>
      </w:r>
      <w:r w:rsidR="00D02EFA" w:rsidRPr="00CC2391">
        <w:rPr>
          <w:rFonts w:ascii="Arial" w:hAnsi="Arial" w:cs="Arial"/>
          <w:sz w:val="24"/>
          <w:szCs w:val="24"/>
          <w:lang w:val="en-GB"/>
        </w:rPr>
        <w:t xml:space="preserve"> the date</w:t>
      </w:r>
      <w:r w:rsidRPr="00CC2391">
        <w:rPr>
          <w:rFonts w:ascii="Arial" w:hAnsi="Arial" w:cs="Arial"/>
          <w:sz w:val="24"/>
          <w:szCs w:val="24"/>
          <w:lang w:val="en-GB"/>
        </w:rPr>
        <w:t xml:space="preserve"> when it took place, </w:t>
      </w:r>
      <w:r w:rsidR="00D02EFA" w:rsidRPr="00CC2391">
        <w:rPr>
          <w:rFonts w:ascii="Arial" w:hAnsi="Arial" w:cs="Arial"/>
          <w:sz w:val="24"/>
          <w:szCs w:val="24"/>
          <w:lang w:val="en-GB"/>
        </w:rPr>
        <w:t xml:space="preserve">the district of the shop where the purchase was done, </w:t>
      </w:r>
      <w:r w:rsidRPr="00CC2391">
        <w:rPr>
          <w:rFonts w:ascii="Arial" w:hAnsi="Arial" w:cs="Arial"/>
          <w:sz w:val="24"/>
          <w:szCs w:val="24"/>
          <w:lang w:val="en-GB"/>
        </w:rPr>
        <w:t xml:space="preserve">the total </w:t>
      </w:r>
      <w:r w:rsidR="00D02EFA" w:rsidRPr="00CC2391">
        <w:rPr>
          <w:rFonts w:ascii="Arial" w:hAnsi="Arial" w:cs="Arial"/>
          <w:sz w:val="24"/>
          <w:szCs w:val="24"/>
          <w:lang w:val="en-GB"/>
        </w:rPr>
        <w:t xml:space="preserve">amount spent as well as </w:t>
      </w:r>
      <w:r w:rsidR="00D75345" w:rsidRPr="00CC2391">
        <w:rPr>
          <w:rFonts w:ascii="Arial" w:hAnsi="Arial" w:cs="Arial"/>
          <w:sz w:val="24"/>
          <w:szCs w:val="24"/>
          <w:lang w:val="en-GB"/>
        </w:rPr>
        <w:t xml:space="preserve">broken down by expenditure group, considering 35 categories (e.g., </w:t>
      </w:r>
      <w:r w:rsidR="00EF03DC" w:rsidRPr="00CC2391">
        <w:rPr>
          <w:rFonts w:ascii="Arial" w:hAnsi="Arial" w:cs="Arial"/>
          <w:sz w:val="24"/>
          <w:szCs w:val="24"/>
          <w:lang w:val="en-GB"/>
        </w:rPr>
        <w:t>Grocery Stores, Supermarkets</w:t>
      </w:r>
      <w:r w:rsidR="00D75345" w:rsidRPr="00CC2391">
        <w:rPr>
          <w:rFonts w:ascii="Arial" w:hAnsi="Arial" w:cs="Arial"/>
          <w:sz w:val="24"/>
          <w:szCs w:val="24"/>
          <w:lang w:val="en-GB"/>
        </w:rPr>
        <w:t xml:space="preserve">; Eating Places, Restaurants; Service Stations; </w:t>
      </w:r>
      <w:r w:rsidR="00EF03DC" w:rsidRPr="00CC2391">
        <w:rPr>
          <w:rFonts w:ascii="Arial" w:hAnsi="Arial" w:cs="Arial"/>
          <w:sz w:val="24"/>
          <w:szCs w:val="24"/>
          <w:lang w:val="en-GB"/>
        </w:rPr>
        <w:t>Drug Stores and Pharmacies</w:t>
      </w:r>
      <w:r w:rsidR="00D75345" w:rsidRPr="00CC2391">
        <w:rPr>
          <w:rFonts w:ascii="Arial" w:hAnsi="Arial" w:cs="Arial"/>
          <w:sz w:val="24"/>
          <w:szCs w:val="24"/>
          <w:lang w:val="en-GB"/>
        </w:rPr>
        <w:t xml:space="preserve">; </w:t>
      </w:r>
      <w:r w:rsidR="00EF03DC" w:rsidRPr="00CC2391">
        <w:rPr>
          <w:rFonts w:ascii="Arial" w:hAnsi="Arial" w:cs="Arial"/>
          <w:sz w:val="24"/>
          <w:szCs w:val="24"/>
          <w:lang w:val="en-GB"/>
        </w:rPr>
        <w:t>Tax Payments - Government Agencies</w:t>
      </w:r>
      <w:r w:rsidR="00D75345" w:rsidRPr="00CC2391">
        <w:rPr>
          <w:rFonts w:ascii="Arial" w:hAnsi="Arial" w:cs="Arial"/>
          <w:sz w:val="24"/>
          <w:szCs w:val="24"/>
          <w:lang w:val="en-GB"/>
        </w:rPr>
        <w:t xml:space="preserve">; and </w:t>
      </w:r>
      <w:r w:rsidR="00EF03DC" w:rsidRPr="00CC2391">
        <w:rPr>
          <w:rFonts w:ascii="Arial" w:hAnsi="Arial" w:cs="Arial"/>
          <w:sz w:val="24"/>
          <w:szCs w:val="24"/>
          <w:lang w:val="en-GB"/>
        </w:rPr>
        <w:t>Book Stores</w:t>
      </w:r>
      <w:r w:rsidR="00D75345" w:rsidRPr="00CC2391">
        <w:rPr>
          <w:rFonts w:ascii="Arial" w:hAnsi="Arial" w:cs="Arial"/>
          <w:sz w:val="24"/>
          <w:szCs w:val="24"/>
          <w:lang w:val="en-GB"/>
        </w:rPr>
        <w:t>, among others</w:t>
      </w:r>
      <w:r w:rsidR="00B1173B">
        <w:rPr>
          <w:rFonts w:ascii="Arial" w:hAnsi="Arial" w:cs="Arial"/>
          <w:sz w:val="24"/>
          <w:szCs w:val="24"/>
          <w:lang w:val="en-GB"/>
        </w:rPr>
        <w:t>)</w:t>
      </w:r>
      <w:r w:rsidR="00D75345" w:rsidRPr="00CC2391">
        <w:rPr>
          <w:rFonts w:ascii="Arial" w:hAnsi="Arial" w:cs="Arial"/>
          <w:sz w:val="24"/>
          <w:szCs w:val="24"/>
          <w:lang w:val="en-GB"/>
        </w:rPr>
        <w:t>. E</w:t>
      </w:r>
      <w:r w:rsidRPr="00CC2391">
        <w:rPr>
          <w:rFonts w:ascii="Arial" w:hAnsi="Arial" w:cs="Arial"/>
          <w:sz w:val="24"/>
          <w:szCs w:val="24"/>
          <w:lang w:val="en-GB"/>
        </w:rPr>
        <w:t xml:space="preserve">ach transaction is </w:t>
      </w:r>
      <w:r w:rsidR="00D75345" w:rsidRPr="00CC2391">
        <w:rPr>
          <w:rFonts w:ascii="Arial" w:hAnsi="Arial" w:cs="Arial"/>
          <w:sz w:val="24"/>
          <w:szCs w:val="24"/>
          <w:lang w:val="en-GB"/>
        </w:rPr>
        <w:t xml:space="preserve">also </w:t>
      </w:r>
      <w:r w:rsidRPr="00CC2391">
        <w:rPr>
          <w:rFonts w:ascii="Arial" w:hAnsi="Arial" w:cs="Arial"/>
          <w:sz w:val="24"/>
          <w:szCs w:val="24"/>
          <w:lang w:val="en-GB"/>
        </w:rPr>
        <w:t xml:space="preserve">associated </w:t>
      </w:r>
      <w:r w:rsidR="00D75345" w:rsidRPr="00CC2391">
        <w:rPr>
          <w:rFonts w:ascii="Arial" w:hAnsi="Arial" w:cs="Arial"/>
          <w:sz w:val="24"/>
          <w:szCs w:val="24"/>
          <w:lang w:val="en-GB"/>
        </w:rPr>
        <w:t>with</w:t>
      </w:r>
      <w:r w:rsidRPr="00CC2391">
        <w:rPr>
          <w:rFonts w:ascii="Arial" w:hAnsi="Arial" w:cs="Arial"/>
          <w:sz w:val="24"/>
          <w:szCs w:val="24"/>
          <w:lang w:val="en-GB"/>
        </w:rPr>
        <w:t xml:space="preserve"> customer’s id, along with some socioeconomic features, i.e., age, income, gender, and residence (district and province). </w:t>
      </w:r>
      <w:r w:rsidR="00DE7AF6" w:rsidRPr="00CC2391">
        <w:rPr>
          <w:rFonts w:ascii="Arial" w:hAnsi="Arial" w:cs="Arial"/>
          <w:sz w:val="24"/>
          <w:szCs w:val="24"/>
          <w:lang w:val="en-GB"/>
        </w:rPr>
        <w:t>Table 1 shows an example of how the database looks like.</w:t>
      </w:r>
    </w:p>
    <w:p w:rsidR="001054BF" w:rsidRDefault="001054BF" w:rsidP="001054BF">
      <w:pPr>
        <w:spacing w:before="120" w:after="0" w:line="360" w:lineRule="auto"/>
        <w:jc w:val="both"/>
        <w:rPr>
          <w:rFonts w:ascii="Arial" w:hAnsi="Arial" w:cs="Arial"/>
          <w:b/>
          <w:i/>
          <w:sz w:val="20"/>
          <w:szCs w:val="20"/>
          <w:lang w:val="en-GB"/>
        </w:rPr>
      </w:pPr>
    </w:p>
    <w:p w:rsidR="00DD4526" w:rsidRDefault="00DD4526" w:rsidP="00DD4526">
      <w:pPr>
        <w:pStyle w:val="Epgrafe"/>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264605"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00264605" w:rsidRPr="00BF6DBC">
        <w:rPr>
          <w:rFonts w:ascii="Arial" w:hAnsi="Arial" w:cs="Arial"/>
          <w:b/>
          <w:i w:val="0"/>
          <w:color w:val="auto"/>
          <w:sz w:val="20"/>
          <w:szCs w:val="20"/>
          <w:lang w:val="en-GB"/>
        </w:rPr>
        <w:fldChar w:fldCharType="separate"/>
      </w:r>
      <w:r w:rsidR="00170EC0">
        <w:rPr>
          <w:rFonts w:ascii="Arial" w:hAnsi="Arial" w:cs="Arial"/>
          <w:b/>
          <w:i w:val="0"/>
          <w:noProof/>
          <w:color w:val="auto"/>
          <w:sz w:val="20"/>
          <w:szCs w:val="20"/>
          <w:lang w:val="en-GB"/>
        </w:rPr>
        <w:t>1</w:t>
      </w:r>
      <w:r w:rsidR="00264605"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0D698B">
        <w:rPr>
          <w:rFonts w:ascii="Arial" w:hAnsi="Arial" w:cs="Arial"/>
          <w:b/>
          <w:i w:val="0"/>
          <w:color w:val="auto"/>
          <w:sz w:val="20"/>
          <w:szCs w:val="20"/>
          <w:lang w:val="en-GB"/>
        </w:rPr>
        <w:t>Sample credit/debit card detail records</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635"/>
        <w:gridCol w:w="1160"/>
        <w:gridCol w:w="834"/>
        <w:gridCol w:w="982"/>
        <w:gridCol w:w="465"/>
        <w:gridCol w:w="789"/>
        <w:gridCol w:w="404"/>
        <w:gridCol w:w="794"/>
        <w:gridCol w:w="1331"/>
        <w:gridCol w:w="847"/>
        <w:gridCol w:w="847"/>
      </w:tblGrid>
      <w:tr w:rsidR="00DD3131" w:rsidRPr="0045478C" w:rsidTr="00DD3131">
        <w:trPr>
          <w:trHeight w:val="315"/>
        </w:trPr>
        <w:tc>
          <w:tcPr>
            <w:tcW w:w="635"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Client</w:t>
            </w:r>
          </w:p>
        </w:tc>
        <w:tc>
          <w:tcPr>
            <w:tcW w:w="1160"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Date</w:t>
            </w:r>
          </w:p>
        </w:tc>
        <w:tc>
          <w:tcPr>
            <w:tcW w:w="834"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District</w:t>
            </w:r>
          </w:p>
        </w:tc>
        <w:tc>
          <w:tcPr>
            <w:tcW w:w="982"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Province</w:t>
            </w:r>
          </w:p>
        </w:tc>
        <w:tc>
          <w:tcPr>
            <w:tcW w:w="465"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Age</w:t>
            </w:r>
          </w:p>
        </w:tc>
        <w:tc>
          <w:tcPr>
            <w:tcW w:w="789"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Income</w:t>
            </w:r>
          </w:p>
        </w:tc>
        <w:tc>
          <w:tcPr>
            <w:tcW w:w="404"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Sex</w:t>
            </w:r>
          </w:p>
        </w:tc>
        <w:tc>
          <w:tcPr>
            <w:tcW w:w="794"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Amount</w:t>
            </w:r>
          </w:p>
        </w:tc>
        <w:tc>
          <w:tcPr>
            <w:tcW w:w="1331"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Shop_District</w:t>
            </w:r>
          </w:p>
        </w:tc>
        <w:tc>
          <w:tcPr>
            <w:tcW w:w="847"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Exp_520</w:t>
            </w:r>
          </w:p>
        </w:tc>
        <w:tc>
          <w:tcPr>
            <w:tcW w:w="847" w:type="dxa"/>
            <w:shd w:val="clear" w:color="auto" w:fill="auto"/>
            <w:tcMar>
              <w:top w:w="15" w:type="dxa"/>
              <w:left w:w="15" w:type="dxa"/>
              <w:bottom w:w="0" w:type="dxa"/>
              <w:right w:w="15" w:type="dxa"/>
            </w:tcMar>
            <w:vAlign w:val="bottom"/>
            <w:hideMark/>
          </w:tcPr>
          <w:p w:rsidR="00FE0D11" w:rsidRPr="0045478C" w:rsidRDefault="007045DA" w:rsidP="00FE0D11">
            <w:pPr>
              <w:jc w:val="center"/>
              <w:rPr>
                <w:rFonts w:ascii="Arial" w:hAnsi="Arial" w:cs="Arial"/>
                <w:sz w:val="20"/>
                <w:szCs w:val="20"/>
                <w:lang w:val="en-US"/>
              </w:rPr>
            </w:pPr>
            <w:r w:rsidRPr="0045478C">
              <w:rPr>
                <w:rFonts w:ascii="Arial" w:hAnsi="Arial" w:cs="Arial"/>
                <w:b/>
                <w:bCs/>
                <w:sz w:val="20"/>
                <w:szCs w:val="20"/>
                <w:lang w:val="en-US"/>
              </w:rPr>
              <w:t>Exp_521</w:t>
            </w:r>
          </w:p>
        </w:tc>
      </w:tr>
      <w:tr w:rsidR="00DD3131" w:rsidRPr="0045478C" w:rsidTr="00DD3131">
        <w:trPr>
          <w:trHeight w:val="315"/>
        </w:trPr>
        <w:tc>
          <w:tcPr>
            <w:tcW w:w="635"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Aaaa</w:t>
            </w:r>
          </w:p>
        </w:tc>
        <w:tc>
          <w:tcPr>
            <w:tcW w:w="1160"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24/02/2017</w:t>
            </w:r>
          </w:p>
        </w:tc>
        <w:tc>
          <w:tcPr>
            <w:tcW w:w="83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district 1</w:t>
            </w:r>
          </w:p>
        </w:tc>
        <w:tc>
          <w:tcPr>
            <w:tcW w:w="982"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province 1</w:t>
            </w:r>
          </w:p>
        </w:tc>
        <w:tc>
          <w:tcPr>
            <w:tcW w:w="465"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28</w:t>
            </w:r>
          </w:p>
        </w:tc>
        <w:tc>
          <w:tcPr>
            <w:tcW w:w="789"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1691</w:t>
            </w:r>
          </w:p>
        </w:tc>
        <w:tc>
          <w:tcPr>
            <w:tcW w:w="40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M</w:t>
            </w:r>
          </w:p>
        </w:tc>
        <w:tc>
          <w:tcPr>
            <w:tcW w:w="79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20</w:t>
            </w:r>
          </w:p>
        </w:tc>
        <w:tc>
          <w:tcPr>
            <w:tcW w:w="1331"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shop_d1</w:t>
            </w:r>
          </w:p>
        </w:tc>
        <w:tc>
          <w:tcPr>
            <w:tcW w:w="847"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0</w:t>
            </w:r>
          </w:p>
        </w:tc>
        <w:tc>
          <w:tcPr>
            <w:tcW w:w="847"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20</w:t>
            </w:r>
          </w:p>
        </w:tc>
      </w:tr>
      <w:tr w:rsidR="00DD3131" w:rsidRPr="0045478C" w:rsidTr="00DD3131">
        <w:trPr>
          <w:trHeight w:val="315"/>
        </w:trPr>
        <w:tc>
          <w:tcPr>
            <w:tcW w:w="635"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Bbbb</w:t>
            </w:r>
          </w:p>
        </w:tc>
        <w:tc>
          <w:tcPr>
            <w:tcW w:w="1160"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21/10/2016</w:t>
            </w:r>
          </w:p>
        </w:tc>
        <w:tc>
          <w:tcPr>
            <w:tcW w:w="83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district 2</w:t>
            </w:r>
          </w:p>
        </w:tc>
        <w:tc>
          <w:tcPr>
            <w:tcW w:w="982"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province 2</w:t>
            </w:r>
          </w:p>
        </w:tc>
        <w:tc>
          <w:tcPr>
            <w:tcW w:w="465"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50</w:t>
            </w:r>
          </w:p>
        </w:tc>
        <w:tc>
          <w:tcPr>
            <w:tcW w:w="789"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3341</w:t>
            </w:r>
          </w:p>
        </w:tc>
        <w:tc>
          <w:tcPr>
            <w:tcW w:w="40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F</w:t>
            </w:r>
          </w:p>
        </w:tc>
        <w:tc>
          <w:tcPr>
            <w:tcW w:w="79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11</w:t>
            </w:r>
          </w:p>
        </w:tc>
        <w:tc>
          <w:tcPr>
            <w:tcW w:w="1331"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shop_d2</w:t>
            </w:r>
          </w:p>
        </w:tc>
        <w:tc>
          <w:tcPr>
            <w:tcW w:w="847"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11</w:t>
            </w:r>
          </w:p>
        </w:tc>
        <w:tc>
          <w:tcPr>
            <w:tcW w:w="847"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0</w:t>
            </w:r>
          </w:p>
        </w:tc>
      </w:tr>
      <w:tr w:rsidR="00DD3131" w:rsidRPr="0045478C" w:rsidTr="00DD3131">
        <w:trPr>
          <w:trHeight w:val="315"/>
        </w:trPr>
        <w:tc>
          <w:tcPr>
            <w:tcW w:w="635"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Cccc</w:t>
            </w:r>
          </w:p>
        </w:tc>
        <w:tc>
          <w:tcPr>
            <w:tcW w:w="1160"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14/04/2017</w:t>
            </w:r>
          </w:p>
        </w:tc>
        <w:tc>
          <w:tcPr>
            <w:tcW w:w="83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district 3</w:t>
            </w:r>
          </w:p>
        </w:tc>
        <w:tc>
          <w:tcPr>
            <w:tcW w:w="982"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province 3</w:t>
            </w:r>
          </w:p>
        </w:tc>
        <w:tc>
          <w:tcPr>
            <w:tcW w:w="465"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61</w:t>
            </w:r>
          </w:p>
        </w:tc>
        <w:tc>
          <w:tcPr>
            <w:tcW w:w="789"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2250</w:t>
            </w:r>
          </w:p>
        </w:tc>
        <w:tc>
          <w:tcPr>
            <w:tcW w:w="40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F</w:t>
            </w:r>
          </w:p>
        </w:tc>
        <w:tc>
          <w:tcPr>
            <w:tcW w:w="79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89</w:t>
            </w:r>
          </w:p>
        </w:tc>
        <w:tc>
          <w:tcPr>
            <w:tcW w:w="1331"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shop_d3</w:t>
            </w:r>
          </w:p>
        </w:tc>
        <w:tc>
          <w:tcPr>
            <w:tcW w:w="847"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89</w:t>
            </w:r>
          </w:p>
        </w:tc>
        <w:tc>
          <w:tcPr>
            <w:tcW w:w="847"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0</w:t>
            </w:r>
          </w:p>
        </w:tc>
      </w:tr>
      <w:tr w:rsidR="00DD3131" w:rsidRPr="0045478C" w:rsidTr="00DD3131">
        <w:trPr>
          <w:trHeight w:val="315"/>
        </w:trPr>
        <w:tc>
          <w:tcPr>
            <w:tcW w:w="635"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Dddd</w:t>
            </w:r>
          </w:p>
        </w:tc>
        <w:tc>
          <w:tcPr>
            <w:tcW w:w="1160"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20/06/2016</w:t>
            </w:r>
          </w:p>
        </w:tc>
        <w:tc>
          <w:tcPr>
            <w:tcW w:w="83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district 4</w:t>
            </w:r>
          </w:p>
        </w:tc>
        <w:tc>
          <w:tcPr>
            <w:tcW w:w="982"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province 4</w:t>
            </w:r>
          </w:p>
        </w:tc>
        <w:tc>
          <w:tcPr>
            <w:tcW w:w="465"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36</w:t>
            </w:r>
          </w:p>
        </w:tc>
        <w:tc>
          <w:tcPr>
            <w:tcW w:w="789"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5258</w:t>
            </w:r>
          </w:p>
        </w:tc>
        <w:tc>
          <w:tcPr>
            <w:tcW w:w="40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M</w:t>
            </w:r>
          </w:p>
        </w:tc>
        <w:tc>
          <w:tcPr>
            <w:tcW w:w="794"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148</w:t>
            </w:r>
          </w:p>
        </w:tc>
        <w:tc>
          <w:tcPr>
            <w:tcW w:w="1331"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shop_d4</w:t>
            </w:r>
          </w:p>
        </w:tc>
        <w:tc>
          <w:tcPr>
            <w:tcW w:w="847"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0</w:t>
            </w:r>
          </w:p>
        </w:tc>
        <w:tc>
          <w:tcPr>
            <w:tcW w:w="847" w:type="dxa"/>
            <w:shd w:val="clear" w:color="auto" w:fill="auto"/>
            <w:tcMar>
              <w:top w:w="15" w:type="dxa"/>
              <w:left w:w="15" w:type="dxa"/>
              <w:bottom w:w="0" w:type="dxa"/>
              <w:right w:w="15" w:type="dxa"/>
            </w:tcMar>
            <w:vAlign w:val="bottom"/>
            <w:hideMark/>
          </w:tcPr>
          <w:p w:rsidR="00FE0D11" w:rsidRPr="0045478C" w:rsidRDefault="00FE0D11" w:rsidP="00FE0D11">
            <w:pPr>
              <w:jc w:val="center"/>
              <w:rPr>
                <w:rFonts w:ascii="Arial" w:hAnsi="Arial" w:cs="Arial"/>
                <w:sz w:val="20"/>
                <w:szCs w:val="20"/>
                <w:lang w:val="en-US"/>
              </w:rPr>
            </w:pPr>
            <w:r w:rsidRPr="0045478C">
              <w:rPr>
                <w:rFonts w:ascii="Arial" w:hAnsi="Arial" w:cs="Arial"/>
                <w:sz w:val="20"/>
                <w:szCs w:val="20"/>
                <w:lang w:val="en-US"/>
              </w:rPr>
              <w:t>148</w:t>
            </w:r>
          </w:p>
        </w:tc>
      </w:tr>
    </w:tbl>
    <w:p w:rsidR="00467C2E" w:rsidRDefault="000D698B">
      <w:pPr>
        <w:rPr>
          <w:rFonts w:ascii="Arial" w:hAnsi="Arial" w:cs="Arial"/>
          <w:sz w:val="20"/>
          <w:szCs w:val="20"/>
          <w:lang w:val="en-GB"/>
        </w:rPr>
      </w:pPr>
      <w:r w:rsidRPr="00EC5F5A">
        <w:rPr>
          <w:rFonts w:ascii="Arial" w:hAnsi="Arial" w:cs="Arial"/>
          <w:sz w:val="20"/>
          <w:szCs w:val="20"/>
          <w:lang w:val="en-GB"/>
        </w:rPr>
        <w:t>Source:</w:t>
      </w:r>
      <w:r w:rsidR="0045478C">
        <w:rPr>
          <w:rFonts w:ascii="Arial" w:hAnsi="Arial" w:cs="Arial"/>
          <w:sz w:val="20"/>
          <w:szCs w:val="20"/>
          <w:lang w:val="en-GB"/>
        </w:rPr>
        <w:t>Credit/debit card database.</w:t>
      </w:r>
    </w:p>
    <w:p w:rsidR="001054BF" w:rsidRDefault="001054BF" w:rsidP="001054BF">
      <w:pPr>
        <w:spacing w:before="120" w:after="0" w:line="360" w:lineRule="auto"/>
        <w:jc w:val="both"/>
        <w:rPr>
          <w:rFonts w:ascii="Arial" w:hAnsi="Arial" w:cs="Arial"/>
          <w:sz w:val="24"/>
          <w:szCs w:val="24"/>
          <w:lang w:val="en-GB"/>
        </w:rPr>
      </w:pPr>
    </w:p>
    <w:p w:rsidR="001054BF" w:rsidRDefault="001054BF" w:rsidP="001054BF">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While data are available for the full country, </w:t>
      </w:r>
      <w:r w:rsidR="00B1173B">
        <w:rPr>
          <w:rFonts w:ascii="Arial" w:hAnsi="Arial" w:cs="Arial"/>
          <w:sz w:val="24"/>
          <w:szCs w:val="24"/>
          <w:lang w:val="en-GB"/>
        </w:rPr>
        <w:t>our</w:t>
      </w:r>
      <w:r>
        <w:rPr>
          <w:rFonts w:ascii="Arial" w:hAnsi="Arial" w:cs="Arial"/>
          <w:sz w:val="24"/>
          <w:szCs w:val="24"/>
          <w:lang w:val="en-GB"/>
        </w:rPr>
        <w:t xml:space="preserve"> analysis has focused on customers living in the capital city where the usage of credit and debit cards is the highest. In this way, we have tried to limit as much as possible potential biases derived from low credit card penetration rates in rural areas. </w:t>
      </w:r>
    </w:p>
    <w:p w:rsidR="00CC2391" w:rsidRPr="00EC5F5A" w:rsidRDefault="003D6549" w:rsidP="00CC2391">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CC2391" w:rsidRPr="00EC5F5A">
        <w:rPr>
          <w:rFonts w:ascii="Arial" w:hAnsi="Arial" w:cs="Arial"/>
          <w:b/>
          <w:sz w:val="24"/>
          <w:szCs w:val="24"/>
          <w:lang w:val="en-GB"/>
        </w:rPr>
        <w:t xml:space="preserve">. </w:t>
      </w:r>
      <w:r w:rsidR="00E56AA9">
        <w:rPr>
          <w:rFonts w:ascii="Arial" w:hAnsi="Arial" w:cs="Arial"/>
          <w:b/>
          <w:sz w:val="24"/>
          <w:szCs w:val="24"/>
          <w:lang w:val="en-GB"/>
        </w:rPr>
        <w:t>R</w:t>
      </w:r>
      <w:r w:rsidR="00CC2391">
        <w:rPr>
          <w:rFonts w:ascii="Arial" w:hAnsi="Arial" w:cs="Arial"/>
          <w:b/>
          <w:sz w:val="24"/>
          <w:szCs w:val="24"/>
          <w:lang w:val="en-GB"/>
        </w:rPr>
        <w:t>esults</w:t>
      </w:r>
    </w:p>
    <w:p w:rsidR="00204AA4" w:rsidRDefault="00266650" w:rsidP="00365607">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order to </w:t>
      </w:r>
      <w:r w:rsidR="00C37BE1">
        <w:rPr>
          <w:rFonts w:ascii="Arial" w:hAnsi="Arial" w:cs="Arial"/>
          <w:sz w:val="24"/>
          <w:szCs w:val="24"/>
          <w:lang w:val="en-GB"/>
        </w:rPr>
        <w:t>identify</w:t>
      </w:r>
      <w:r>
        <w:rPr>
          <w:rFonts w:ascii="Arial" w:hAnsi="Arial" w:cs="Arial"/>
          <w:sz w:val="24"/>
          <w:szCs w:val="24"/>
          <w:lang w:val="en-GB"/>
        </w:rPr>
        <w:t xml:space="preserve"> selection bias</w:t>
      </w:r>
      <w:r w:rsidR="00C37BE1">
        <w:rPr>
          <w:rFonts w:ascii="Arial" w:hAnsi="Arial" w:cs="Arial"/>
          <w:sz w:val="24"/>
          <w:szCs w:val="24"/>
          <w:lang w:val="en-GB"/>
        </w:rPr>
        <w:t>es</w:t>
      </w:r>
      <w:r>
        <w:rPr>
          <w:rFonts w:ascii="Arial" w:hAnsi="Arial" w:cs="Arial"/>
          <w:sz w:val="24"/>
          <w:szCs w:val="24"/>
          <w:lang w:val="en-GB"/>
        </w:rPr>
        <w:t xml:space="preserve"> in our data, we first </w:t>
      </w:r>
      <w:r w:rsidR="00C37BE1">
        <w:rPr>
          <w:rFonts w:ascii="Arial" w:hAnsi="Arial" w:cs="Arial"/>
          <w:sz w:val="24"/>
          <w:szCs w:val="24"/>
          <w:lang w:val="en-GB"/>
        </w:rPr>
        <w:t xml:space="preserve">analyze </w:t>
      </w:r>
      <w:r w:rsidR="005372E4">
        <w:rPr>
          <w:rFonts w:ascii="Arial" w:hAnsi="Arial" w:cs="Arial"/>
          <w:sz w:val="24"/>
          <w:szCs w:val="24"/>
          <w:lang w:val="en-GB"/>
        </w:rPr>
        <w:t>the incomes of credit card users</w:t>
      </w:r>
      <w:r w:rsidR="00FD0699">
        <w:rPr>
          <w:rFonts w:ascii="Arial" w:hAnsi="Arial" w:cs="Arial"/>
          <w:sz w:val="24"/>
          <w:szCs w:val="24"/>
          <w:lang w:val="en-GB"/>
        </w:rPr>
        <w:t xml:space="preserve"> and compare them with official figures.</w:t>
      </w:r>
      <w:r w:rsidR="00C37BE1">
        <w:rPr>
          <w:rFonts w:ascii="Arial" w:hAnsi="Arial" w:cs="Arial"/>
          <w:sz w:val="24"/>
          <w:szCs w:val="24"/>
          <w:lang w:val="en-GB"/>
        </w:rPr>
        <w:t xml:space="preserve"> Table 2 shows </w:t>
      </w:r>
      <w:r w:rsidR="00E10DA2">
        <w:rPr>
          <w:rFonts w:ascii="Arial" w:hAnsi="Arial" w:cs="Arial"/>
          <w:sz w:val="24"/>
          <w:szCs w:val="24"/>
          <w:lang w:val="en-GB"/>
        </w:rPr>
        <w:t xml:space="preserve">the </w:t>
      </w:r>
      <w:r w:rsidR="00C37BE1">
        <w:rPr>
          <w:rFonts w:ascii="Arial" w:hAnsi="Arial" w:cs="Arial"/>
          <w:sz w:val="24"/>
          <w:szCs w:val="24"/>
          <w:lang w:val="en-GB"/>
        </w:rPr>
        <w:t xml:space="preserve">deciles </w:t>
      </w:r>
      <w:r w:rsidR="00C51A9F">
        <w:rPr>
          <w:rFonts w:ascii="Arial" w:hAnsi="Arial" w:cs="Arial"/>
          <w:sz w:val="24"/>
          <w:szCs w:val="24"/>
          <w:lang w:val="en-GB"/>
        </w:rPr>
        <w:t>of s</w:t>
      </w:r>
      <w:r w:rsidR="00C51A9F" w:rsidRPr="00C51A9F">
        <w:rPr>
          <w:rFonts w:ascii="Arial" w:hAnsi="Arial" w:cs="Arial"/>
          <w:sz w:val="24"/>
          <w:szCs w:val="24"/>
          <w:lang w:val="en-GB"/>
        </w:rPr>
        <w:t>elf-reported monthly individual income</w:t>
      </w:r>
      <w:r w:rsidR="00FD0699">
        <w:rPr>
          <w:rFonts w:ascii="Arial" w:hAnsi="Arial" w:cs="Arial"/>
          <w:sz w:val="24"/>
          <w:szCs w:val="24"/>
          <w:lang w:val="en-GB"/>
        </w:rPr>
        <w:t>s</w:t>
      </w:r>
      <w:r w:rsidR="00C51A9F">
        <w:rPr>
          <w:rFonts w:ascii="Arial" w:hAnsi="Arial" w:cs="Arial"/>
          <w:sz w:val="24"/>
          <w:szCs w:val="24"/>
          <w:lang w:val="en-GB"/>
        </w:rPr>
        <w:t xml:space="preserve"> in our database. </w:t>
      </w:r>
      <w:r w:rsidR="00365607">
        <w:rPr>
          <w:rFonts w:ascii="Arial" w:hAnsi="Arial" w:cs="Arial"/>
          <w:sz w:val="24"/>
          <w:szCs w:val="24"/>
          <w:lang w:val="en-GB"/>
        </w:rPr>
        <w:t xml:space="preserve">The first decile is </w:t>
      </w:r>
      <w:r w:rsidR="003A65B6">
        <w:rPr>
          <w:rFonts w:ascii="Arial" w:hAnsi="Arial" w:cs="Arial"/>
          <w:sz w:val="24"/>
          <w:szCs w:val="24"/>
          <w:lang w:val="en-GB"/>
        </w:rPr>
        <w:t>853</w:t>
      </w:r>
      <w:r w:rsidR="00365607">
        <w:rPr>
          <w:rFonts w:ascii="Arial" w:hAnsi="Arial" w:cs="Arial"/>
          <w:sz w:val="24"/>
          <w:szCs w:val="24"/>
          <w:lang w:val="en-GB"/>
        </w:rPr>
        <w:t xml:space="preserve">, that is, the </w:t>
      </w:r>
      <w:r w:rsidR="00C51A9F">
        <w:rPr>
          <w:rFonts w:ascii="Arial" w:hAnsi="Arial" w:cs="Arial"/>
          <w:sz w:val="24"/>
          <w:szCs w:val="24"/>
          <w:lang w:val="en-GB"/>
        </w:rPr>
        <w:t xml:space="preserve">10 percent of </w:t>
      </w:r>
      <w:r w:rsidR="003A65B6">
        <w:rPr>
          <w:rFonts w:ascii="Arial" w:hAnsi="Arial" w:cs="Arial"/>
          <w:sz w:val="24"/>
          <w:szCs w:val="24"/>
          <w:lang w:val="en-GB"/>
        </w:rPr>
        <w:t xml:space="preserve">credit card users </w:t>
      </w:r>
      <w:r w:rsidR="00C51A9F">
        <w:rPr>
          <w:rFonts w:ascii="Arial" w:hAnsi="Arial" w:cs="Arial"/>
          <w:sz w:val="24"/>
          <w:szCs w:val="24"/>
          <w:lang w:val="en-GB"/>
        </w:rPr>
        <w:t xml:space="preserve">with the lowest </w:t>
      </w:r>
      <w:r w:rsidR="005372E4">
        <w:rPr>
          <w:rFonts w:ascii="Arial" w:hAnsi="Arial" w:cs="Arial"/>
          <w:sz w:val="24"/>
          <w:szCs w:val="24"/>
          <w:lang w:val="en-GB"/>
        </w:rPr>
        <w:t xml:space="preserve">reported </w:t>
      </w:r>
      <w:r w:rsidR="00C51A9F">
        <w:rPr>
          <w:rFonts w:ascii="Arial" w:hAnsi="Arial" w:cs="Arial"/>
          <w:sz w:val="24"/>
          <w:szCs w:val="24"/>
          <w:lang w:val="en-GB"/>
        </w:rPr>
        <w:t>income</w:t>
      </w:r>
      <w:r w:rsidR="003A65B6">
        <w:rPr>
          <w:rFonts w:ascii="Arial" w:hAnsi="Arial" w:cs="Arial"/>
          <w:sz w:val="24"/>
          <w:szCs w:val="24"/>
          <w:lang w:val="en-GB"/>
        </w:rPr>
        <w:t>s</w:t>
      </w:r>
      <w:r w:rsidR="00C51A9F">
        <w:rPr>
          <w:rFonts w:ascii="Arial" w:hAnsi="Arial" w:cs="Arial"/>
          <w:sz w:val="24"/>
          <w:szCs w:val="24"/>
          <w:lang w:val="en-GB"/>
        </w:rPr>
        <w:t xml:space="preserve"> have less than </w:t>
      </w:r>
      <w:r w:rsidR="003A65B6">
        <w:rPr>
          <w:rFonts w:ascii="Arial" w:hAnsi="Arial" w:cs="Arial"/>
          <w:sz w:val="24"/>
          <w:szCs w:val="24"/>
          <w:lang w:val="en-GB"/>
        </w:rPr>
        <w:t>853</w:t>
      </w:r>
      <w:r w:rsidR="00C51A9F">
        <w:rPr>
          <w:rFonts w:ascii="Arial" w:hAnsi="Arial" w:cs="Arial"/>
          <w:sz w:val="24"/>
          <w:szCs w:val="24"/>
          <w:lang w:val="en-GB"/>
        </w:rPr>
        <w:t xml:space="preserve"> monetary units per month.</w:t>
      </w:r>
      <w:r w:rsidR="005372E4">
        <w:rPr>
          <w:rFonts w:ascii="Arial" w:hAnsi="Arial" w:cs="Arial"/>
          <w:sz w:val="24"/>
          <w:szCs w:val="24"/>
          <w:lang w:val="en-GB"/>
        </w:rPr>
        <w:t xml:space="preserve"> </w:t>
      </w:r>
      <w:r w:rsidR="004D2BE9">
        <w:rPr>
          <w:rFonts w:ascii="Arial" w:hAnsi="Arial" w:cs="Arial"/>
          <w:sz w:val="24"/>
          <w:szCs w:val="24"/>
          <w:lang w:val="en-GB"/>
        </w:rPr>
        <w:t xml:space="preserve">According to </w:t>
      </w:r>
      <w:r w:rsidR="00610FA1">
        <w:rPr>
          <w:rFonts w:ascii="Arial" w:hAnsi="Arial" w:cs="Arial"/>
          <w:sz w:val="24"/>
          <w:szCs w:val="24"/>
          <w:lang w:val="en-GB"/>
        </w:rPr>
        <w:t>official statistics (</w:t>
      </w:r>
      <w:r w:rsidR="00610FA1" w:rsidRPr="00FD0699">
        <w:rPr>
          <w:rFonts w:ascii="Arial" w:hAnsi="Arial" w:cs="Arial"/>
          <w:sz w:val="24"/>
          <w:szCs w:val="24"/>
          <w:lang w:val="en-GB"/>
        </w:rPr>
        <w:t>national household survey</w:t>
      </w:r>
      <w:r w:rsidR="00610FA1">
        <w:rPr>
          <w:rFonts w:ascii="Arial" w:hAnsi="Arial" w:cs="Arial"/>
          <w:sz w:val="24"/>
          <w:szCs w:val="24"/>
          <w:lang w:val="en-GB"/>
        </w:rPr>
        <w:t>)</w:t>
      </w:r>
      <w:r w:rsidR="00610FA1">
        <w:rPr>
          <w:rStyle w:val="Refdenotaalpie"/>
          <w:rFonts w:ascii="Arial" w:hAnsi="Arial" w:cs="Arial"/>
          <w:sz w:val="24"/>
          <w:szCs w:val="24"/>
          <w:lang w:val="en-GB"/>
        </w:rPr>
        <w:footnoteReference w:id="5"/>
      </w:r>
      <w:r w:rsidR="004D2BE9">
        <w:rPr>
          <w:rFonts w:ascii="Arial" w:hAnsi="Arial" w:cs="Arial"/>
          <w:sz w:val="24"/>
          <w:szCs w:val="24"/>
          <w:lang w:val="en-GB"/>
        </w:rPr>
        <w:t>, t</w:t>
      </w:r>
      <w:r w:rsidR="00FD0699">
        <w:rPr>
          <w:rFonts w:ascii="Arial" w:hAnsi="Arial" w:cs="Arial"/>
          <w:sz w:val="24"/>
          <w:szCs w:val="24"/>
          <w:lang w:val="en-GB"/>
        </w:rPr>
        <w:t xml:space="preserve">he </w:t>
      </w:r>
      <w:r w:rsidR="00E10DA2">
        <w:rPr>
          <w:rFonts w:ascii="Arial" w:hAnsi="Arial" w:cs="Arial"/>
          <w:sz w:val="24"/>
          <w:szCs w:val="24"/>
          <w:lang w:val="en-GB"/>
        </w:rPr>
        <w:t xml:space="preserve">corresponding figure (first </w:t>
      </w:r>
      <w:r w:rsidR="00E10DA2" w:rsidRPr="00FD0699">
        <w:rPr>
          <w:rFonts w:ascii="Arial" w:hAnsi="Arial" w:cs="Arial"/>
          <w:sz w:val="24"/>
          <w:szCs w:val="24"/>
          <w:lang w:val="en-GB"/>
        </w:rPr>
        <w:t xml:space="preserve">monthly income </w:t>
      </w:r>
      <w:r w:rsidR="00E10DA2">
        <w:rPr>
          <w:rFonts w:ascii="Arial" w:hAnsi="Arial" w:cs="Arial"/>
          <w:sz w:val="24"/>
          <w:szCs w:val="24"/>
          <w:lang w:val="en-GB"/>
        </w:rPr>
        <w:t xml:space="preserve">decile) </w:t>
      </w:r>
      <w:r w:rsidR="004D2BE9">
        <w:rPr>
          <w:rFonts w:ascii="Arial" w:hAnsi="Arial" w:cs="Arial"/>
          <w:sz w:val="24"/>
          <w:szCs w:val="24"/>
          <w:lang w:val="en-GB"/>
        </w:rPr>
        <w:t xml:space="preserve">is around 320monetary units </w:t>
      </w:r>
      <w:r w:rsidR="004D2BE9" w:rsidRPr="00FD0699">
        <w:rPr>
          <w:rFonts w:ascii="Arial" w:hAnsi="Arial" w:cs="Arial"/>
          <w:sz w:val="24"/>
          <w:szCs w:val="24"/>
          <w:lang w:val="en-GB"/>
        </w:rPr>
        <w:t>per capita</w:t>
      </w:r>
      <w:r w:rsidR="00E45646">
        <w:rPr>
          <w:rFonts w:ascii="Arial" w:hAnsi="Arial" w:cs="Arial"/>
          <w:sz w:val="24"/>
          <w:szCs w:val="24"/>
          <w:lang w:val="en-GB"/>
        </w:rPr>
        <w:t xml:space="preserve"> in the area of analysis</w:t>
      </w:r>
      <w:r w:rsidR="00FD0699">
        <w:rPr>
          <w:rFonts w:ascii="Arial" w:hAnsi="Arial" w:cs="Arial"/>
          <w:sz w:val="24"/>
          <w:szCs w:val="24"/>
          <w:lang w:val="en-GB"/>
        </w:rPr>
        <w:t>.</w:t>
      </w:r>
      <w:r w:rsidR="00742966">
        <w:rPr>
          <w:rFonts w:ascii="Arial" w:hAnsi="Arial" w:cs="Arial"/>
          <w:sz w:val="24"/>
          <w:szCs w:val="24"/>
          <w:lang w:val="en-GB"/>
        </w:rPr>
        <w:t xml:space="preserve"> Moreover, official figures report that half of the population </w:t>
      </w:r>
      <w:r w:rsidR="00CC4D0C">
        <w:rPr>
          <w:rFonts w:ascii="Arial" w:hAnsi="Arial" w:cs="Arial"/>
          <w:sz w:val="24"/>
          <w:szCs w:val="24"/>
          <w:lang w:val="en-GB"/>
        </w:rPr>
        <w:t>in</w:t>
      </w:r>
      <w:r w:rsidR="00742966">
        <w:rPr>
          <w:rFonts w:ascii="Arial" w:hAnsi="Arial" w:cs="Arial"/>
          <w:sz w:val="24"/>
          <w:szCs w:val="24"/>
          <w:lang w:val="en-GB"/>
        </w:rPr>
        <w:t xml:space="preserve"> the capital city gets less than </w:t>
      </w:r>
      <w:r w:rsidR="00E10DA2">
        <w:rPr>
          <w:rFonts w:ascii="Arial" w:hAnsi="Arial" w:cs="Arial"/>
          <w:sz w:val="24"/>
          <w:szCs w:val="24"/>
          <w:lang w:val="en-GB"/>
        </w:rPr>
        <w:t xml:space="preserve">850 </w:t>
      </w:r>
      <w:r w:rsidR="00DA7D33">
        <w:rPr>
          <w:rFonts w:ascii="Arial" w:hAnsi="Arial" w:cs="Arial"/>
          <w:sz w:val="24"/>
          <w:szCs w:val="24"/>
          <w:lang w:val="en-GB"/>
        </w:rPr>
        <w:t>per month. Consequently</w:t>
      </w:r>
      <w:r w:rsidR="00204AA4">
        <w:rPr>
          <w:rFonts w:ascii="Arial" w:hAnsi="Arial" w:cs="Arial"/>
          <w:sz w:val="24"/>
          <w:szCs w:val="24"/>
          <w:lang w:val="en-GB"/>
        </w:rPr>
        <w:t xml:space="preserve">, our data </w:t>
      </w:r>
      <w:r w:rsidR="00AF52D3">
        <w:rPr>
          <w:rFonts w:ascii="Arial" w:hAnsi="Arial" w:cs="Arial"/>
          <w:sz w:val="24"/>
          <w:szCs w:val="24"/>
          <w:lang w:val="en-GB"/>
        </w:rPr>
        <w:t xml:space="preserve">appear to be </w:t>
      </w:r>
      <w:r w:rsidR="00204AA4">
        <w:rPr>
          <w:rFonts w:ascii="Arial" w:hAnsi="Arial" w:cs="Arial"/>
          <w:sz w:val="24"/>
          <w:szCs w:val="24"/>
          <w:lang w:val="en-GB"/>
        </w:rPr>
        <w:t>biased towards the upper 50 percent</w:t>
      </w:r>
      <w:r w:rsidR="00DA7D33">
        <w:rPr>
          <w:rFonts w:ascii="Arial" w:hAnsi="Arial" w:cs="Arial"/>
          <w:sz w:val="24"/>
          <w:szCs w:val="24"/>
          <w:lang w:val="en-GB"/>
        </w:rPr>
        <w:t>.</w:t>
      </w:r>
      <w:r w:rsidR="00D03575">
        <w:rPr>
          <w:rFonts w:ascii="Arial" w:hAnsi="Arial" w:cs="Arial"/>
          <w:sz w:val="24"/>
          <w:szCs w:val="24"/>
          <w:lang w:val="en-GB"/>
        </w:rPr>
        <w:t xml:space="preserve"> In fact, the richest decile in our database gets over </w:t>
      </w:r>
      <w:r w:rsidR="003A65B6">
        <w:rPr>
          <w:rFonts w:ascii="Arial" w:hAnsi="Arial" w:cs="Arial"/>
          <w:sz w:val="24"/>
          <w:szCs w:val="24"/>
          <w:lang w:val="en-GB"/>
        </w:rPr>
        <w:t>7</w:t>
      </w:r>
      <w:r w:rsidR="00671178">
        <w:rPr>
          <w:rFonts w:ascii="Arial" w:hAnsi="Arial" w:cs="Arial"/>
          <w:sz w:val="24"/>
          <w:szCs w:val="24"/>
          <w:lang w:val="en-GB"/>
        </w:rPr>
        <w:t>,</w:t>
      </w:r>
      <w:r w:rsidR="003A65B6">
        <w:rPr>
          <w:rFonts w:ascii="Arial" w:hAnsi="Arial" w:cs="Arial"/>
          <w:sz w:val="24"/>
          <w:szCs w:val="24"/>
          <w:lang w:val="en-GB"/>
        </w:rPr>
        <w:t>7</w:t>
      </w:r>
      <w:r w:rsidR="00D03575">
        <w:rPr>
          <w:rFonts w:ascii="Arial" w:hAnsi="Arial" w:cs="Arial"/>
          <w:sz w:val="24"/>
          <w:szCs w:val="24"/>
          <w:lang w:val="en-GB"/>
        </w:rPr>
        <w:t>00</w:t>
      </w:r>
      <w:r w:rsidR="003F3142">
        <w:rPr>
          <w:rFonts w:ascii="Arial" w:hAnsi="Arial" w:cs="Arial"/>
          <w:sz w:val="24"/>
          <w:szCs w:val="24"/>
          <w:lang w:val="en-GB"/>
        </w:rPr>
        <w:t xml:space="preserve"> monetary units per month,</w:t>
      </w:r>
      <w:r w:rsidR="004C6F5C">
        <w:rPr>
          <w:rFonts w:ascii="Arial" w:hAnsi="Arial" w:cs="Arial"/>
          <w:sz w:val="24"/>
          <w:szCs w:val="24"/>
          <w:lang w:val="en-GB"/>
        </w:rPr>
        <w:t xml:space="preserve"> which</w:t>
      </w:r>
      <w:r w:rsidR="005372E4">
        <w:rPr>
          <w:rFonts w:ascii="Arial" w:hAnsi="Arial" w:cs="Arial"/>
          <w:sz w:val="24"/>
          <w:szCs w:val="24"/>
          <w:lang w:val="en-GB"/>
        </w:rPr>
        <w:t xml:space="preserve"> </w:t>
      </w:r>
      <w:r w:rsidR="003A65B6">
        <w:rPr>
          <w:rFonts w:ascii="Arial" w:hAnsi="Arial" w:cs="Arial"/>
          <w:sz w:val="24"/>
          <w:szCs w:val="24"/>
          <w:lang w:val="en-GB"/>
        </w:rPr>
        <w:t xml:space="preserve">almost </w:t>
      </w:r>
      <w:r w:rsidR="003F3142">
        <w:rPr>
          <w:rFonts w:ascii="Arial" w:hAnsi="Arial" w:cs="Arial"/>
          <w:sz w:val="24"/>
          <w:szCs w:val="24"/>
          <w:lang w:val="en-GB"/>
        </w:rPr>
        <w:t>doubles th</w:t>
      </w:r>
      <w:r w:rsidR="004C6F5C">
        <w:rPr>
          <w:rFonts w:ascii="Arial" w:hAnsi="Arial" w:cs="Arial"/>
          <w:sz w:val="24"/>
          <w:szCs w:val="24"/>
          <w:lang w:val="en-GB"/>
        </w:rPr>
        <w:t xml:space="preserve">e figure </w:t>
      </w:r>
      <w:r w:rsidR="003F3142">
        <w:rPr>
          <w:rFonts w:ascii="Arial" w:hAnsi="Arial" w:cs="Arial"/>
          <w:sz w:val="24"/>
          <w:szCs w:val="24"/>
          <w:lang w:val="en-GB"/>
        </w:rPr>
        <w:t xml:space="preserve">reported </w:t>
      </w:r>
      <w:r w:rsidR="003E6CE0">
        <w:rPr>
          <w:rFonts w:ascii="Arial" w:hAnsi="Arial" w:cs="Arial"/>
          <w:sz w:val="24"/>
          <w:szCs w:val="24"/>
          <w:lang w:val="en-GB"/>
        </w:rPr>
        <w:t>by official statistics</w:t>
      </w:r>
      <w:r w:rsidR="004C6F5C">
        <w:rPr>
          <w:rFonts w:ascii="Arial" w:hAnsi="Arial" w:cs="Arial"/>
          <w:sz w:val="24"/>
          <w:szCs w:val="24"/>
          <w:lang w:val="en-GB"/>
        </w:rPr>
        <w:t xml:space="preserve"> for the top income decile</w:t>
      </w:r>
      <w:r w:rsidR="003E6CE0">
        <w:rPr>
          <w:rFonts w:ascii="Arial" w:hAnsi="Arial" w:cs="Arial"/>
          <w:sz w:val="24"/>
          <w:szCs w:val="24"/>
          <w:lang w:val="en-GB"/>
        </w:rPr>
        <w:t xml:space="preserve">. </w:t>
      </w:r>
    </w:p>
    <w:p w:rsidR="008C2158" w:rsidRDefault="008C2158" w:rsidP="007045DA">
      <w:pPr>
        <w:pStyle w:val="Epgrafe"/>
        <w:keepNext/>
        <w:rPr>
          <w:rFonts w:ascii="Arial" w:hAnsi="Arial" w:cs="Arial"/>
          <w:b/>
          <w:i w:val="0"/>
          <w:color w:val="auto"/>
          <w:sz w:val="20"/>
          <w:szCs w:val="20"/>
          <w:lang w:val="en-GB"/>
        </w:rPr>
      </w:pPr>
    </w:p>
    <w:p w:rsidR="007045DA" w:rsidRDefault="007045DA" w:rsidP="007045DA">
      <w:pPr>
        <w:pStyle w:val="Epgrafe"/>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sidR="00B1173B">
        <w:rPr>
          <w:rFonts w:ascii="Arial" w:hAnsi="Arial" w:cs="Arial"/>
          <w:b/>
          <w:i w:val="0"/>
          <w:color w:val="auto"/>
          <w:sz w:val="20"/>
          <w:szCs w:val="20"/>
          <w:lang w:val="en-GB"/>
        </w:rPr>
        <w:t>Self-reported a</w:t>
      </w:r>
      <w:r>
        <w:rPr>
          <w:rFonts w:ascii="Arial" w:hAnsi="Arial" w:cs="Arial"/>
          <w:b/>
          <w:i w:val="0"/>
          <w:color w:val="auto"/>
          <w:sz w:val="20"/>
          <w:szCs w:val="20"/>
          <w:lang w:val="en-GB"/>
        </w:rPr>
        <w:t>verage monthly incomes in capital city in 2016</w:t>
      </w:r>
    </w:p>
    <w:tbl>
      <w:tblPr>
        <w:tblStyle w:val="Tablaconcuadrcula"/>
        <w:tblW w:w="0" w:type="auto"/>
        <w:jc w:val="center"/>
        <w:tblLook w:val="04A0"/>
      </w:tblPr>
      <w:tblGrid>
        <w:gridCol w:w="2265"/>
        <w:gridCol w:w="2266"/>
      </w:tblGrid>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b/>
                <w:sz w:val="20"/>
                <w:szCs w:val="20"/>
                <w:lang w:val="en-US"/>
              </w:rPr>
            </w:pPr>
            <w:r w:rsidRPr="00A2411D">
              <w:rPr>
                <w:rFonts w:ascii="Arial" w:hAnsi="Arial" w:cs="Arial"/>
                <w:b/>
                <w:sz w:val="20"/>
                <w:szCs w:val="20"/>
                <w:lang w:val="en-US"/>
              </w:rPr>
              <w:t>Decile</w:t>
            </w:r>
          </w:p>
        </w:tc>
        <w:tc>
          <w:tcPr>
            <w:tcW w:w="2266" w:type="dxa"/>
            <w:vAlign w:val="bottom"/>
          </w:tcPr>
          <w:p w:rsidR="00A2411D" w:rsidRPr="00A2411D" w:rsidRDefault="00A2411D" w:rsidP="00170EC0">
            <w:pPr>
              <w:spacing w:after="160" w:line="259" w:lineRule="auto"/>
              <w:jc w:val="center"/>
              <w:rPr>
                <w:rFonts w:ascii="Arial" w:hAnsi="Arial" w:cs="Arial"/>
                <w:b/>
                <w:sz w:val="20"/>
                <w:szCs w:val="20"/>
                <w:lang w:val="en-US"/>
              </w:rPr>
            </w:pPr>
            <w:r w:rsidRPr="00A2411D">
              <w:rPr>
                <w:rFonts w:ascii="Arial" w:hAnsi="Arial" w:cs="Arial"/>
                <w:b/>
                <w:sz w:val="20"/>
                <w:szCs w:val="20"/>
                <w:lang w:val="en-US"/>
              </w:rPr>
              <w:t xml:space="preserve">Self-reported monthly individual income </w:t>
            </w:r>
          </w:p>
        </w:tc>
      </w:tr>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1</w:t>
            </w:r>
            <w:r w:rsidRPr="00EA5B0B">
              <w:rPr>
                <w:rFonts w:ascii="Arial" w:hAnsi="Arial" w:cs="Arial"/>
                <w:sz w:val="20"/>
                <w:szCs w:val="20"/>
                <w:vertAlign w:val="superscript"/>
                <w:lang w:val="en-US"/>
              </w:rPr>
              <w:t>st</w:t>
            </w:r>
          </w:p>
        </w:tc>
        <w:tc>
          <w:tcPr>
            <w:tcW w:w="2266" w:type="dxa"/>
            <w:vAlign w:val="bottom"/>
          </w:tcPr>
          <w:p w:rsidR="00A2411D" w:rsidRPr="00A2411D" w:rsidRDefault="00A2411D" w:rsidP="003A65B6">
            <w:pPr>
              <w:spacing w:after="160" w:line="259" w:lineRule="auto"/>
              <w:jc w:val="center"/>
              <w:rPr>
                <w:rFonts w:ascii="Arial" w:hAnsi="Arial" w:cs="Arial"/>
                <w:sz w:val="20"/>
                <w:szCs w:val="20"/>
                <w:lang w:val="en-US"/>
              </w:rPr>
            </w:pPr>
            <w:r w:rsidRPr="00A2411D">
              <w:rPr>
                <w:rFonts w:ascii="Arial" w:hAnsi="Arial" w:cs="Arial"/>
                <w:sz w:val="20"/>
                <w:szCs w:val="20"/>
                <w:lang w:val="en-US"/>
              </w:rPr>
              <w:t xml:space="preserve">  853</w:t>
            </w:r>
          </w:p>
        </w:tc>
      </w:tr>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2</w:t>
            </w:r>
            <w:r w:rsidRPr="00EA5B0B">
              <w:rPr>
                <w:rFonts w:ascii="Arial" w:hAnsi="Arial" w:cs="Arial"/>
                <w:sz w:val="20"/>
                <w:szCs w:val="20"/>
                <w:vertAlign w:val="superscript"/>
                <w:lang w:val="en-US"/>
              </w:rPr>
              <w:t>nd</w:t>
            </w:r>
          </w:p>
        </w:tc>
        <w:tc>
          <w:tcPr>
            <w:tcW w:w="2266"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1200</w:t>
            </w:r>
          </w:p>
        </w:tc>
      </w:tr>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3</w:t>
            </w:r>
            <w:r w:rsidRPr="00EA5B0B">
              <w:rPr>
                <w:rFonts w:ascii="Arial" w:hAnsi="Arial" w:cs="Arial"/>
                <w:sz w:val="20"/>
                <w:szCs w:val="20"/>
                <w:vertAlign w:val="superscript"/>
                <w:lang w:val="en-US"/>
              </w:rPr>
              <w:t>rd</w:t>
            </w:r>
          </w:p>
        </w:tc>
        <w:tc>
          <w:tcPr>
            <w:tcW w:w="2266"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1525.63</w:t>
            </w:r>
          </w:p>
        </w:tc>
      </w:tr>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4</w:t>
            </w:r>
            <w:r w:rsidRPr="00EA5B0B">
              <w:rPr>
                <w:rFonts w:ascii="Arial" w:hAnsi="Arial" w:cs="Arial"/>
                <w:sz w:val="20"/>
                <w:szCs w:val="20"/>
                <w:vertAlign w:val="superscript"/>
                <w:lang w:val="en-US"/>
              </w:rPr>
              <w:t>th</w:t>
            </w:r>
          </w:p>
        </w:tc>
        <w:tc>
          <w:tcPr>
            <w:tcW w:w="2266"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1880.5</w:t>
            </w:r>
          </w:p>
        </w:tc>
      </w:tr>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5</w:t>
            </w:r>
            <w:r w:rsidRPr="00EA5B0B">
              <w:rPr>
                <w:rFonts w:ascii="Arial" w:hAnsi="Arial" w:cs="Arial"/>
                <w:sz w:val="20"/>
                <w:szCs w:val="20"/>
                <w:vertAlign w:val="superscript"/>
                <w:lang w:val="en-US"/>
              </w:rPr>
              <w:t>th</w:t>
            </w:r>
          </w:p>
        </w:tc>
        <w:tc>
          <w:tcPr>
            <w:tcW w:w="2266"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2314.22</w:t>
            </w:r>
          </w:p>
        </w:tc>
      </w:tr>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6</w:t>
            </w:r>
            <w:r w:rsidRPr="00EA5B0B">
              <w:rPr>
                <w:rFonts w:ascii="Arial" w:hAnsi="Arial" w:cs="Arial"/>
                <w:sz w:val="20"/>
                <w:szCs w:val="20"/>
                <w:vertAlign w:val="superscript"/>
                <w:lang w:val="en-US"/>
              </w:rPr>
              <w:t>th</w:t>
            </w:r>
          </w:p>
        </w:tc>
        <w:tc>
          <w:tcPr>
            <w:tcW w:w="2266"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2912.56</w:t>
            </w:r>
          </w:p>
        </w:tc>
      </w:tr>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7</w:t>
            </w:r>
            <w:r w:rsidRPr="00EA5B0B">
              <w:rPr>
                <w:rFonts w:ascii="Arial" w:hAnsi="Arial" w:cs="Arial"/>
                <w:sz w:val="20"/>
                <w:szCs w:val="20"/>
                <w:vertAlign w:val="superscript"/>
                <w:lang w:val="en-US"/>
              </w:rPr>
              <w:t>th</w:t>
            </w:r>
          </w:p>
        </w:tc>
        <w:tc>
          <w:tcPr>
            <w:tcW w:w="2266" w:type="dxa"/>
            <w:vAlign w:val="bottom"/>
          </w:tcPr>
          <w:p w:rsidR="00A2411D" w:rsidRPr="00A2411D" w:rsidRDefault="00A2411D" w:rsidP="003A65B6">
            <w:pPr>
              <w:spacing w:after="160" w:line="259" w:lineRule="auto"/>
              <w:jc w:val="center"/>
              <w:rPr>
                <w:rFonts w:ascii="Arial" w:hAnsi="Arial" w:cs="Arial"/>
                <w:sz w:val="20"/>
                <w:szCs w:val="20"/>
                <w:lang w:val="en-US"/>
              </w:rPr>
            </w:pPr>
            <w:r w:rsidRPr="00A2411D">
              <w:rPr>
                <w:rFonts w:ascii="Arial" w:hAnsi="Arial" w:cs="Arial"/>
                <w:sz w:val="20"/>
                <w:szCs w:val="20"/>
                <w:lang w:val="en-US"/>
              </w:rPr>
              <w:t xml:space="preserve">   3811.33</w:t>
            </w:r>
          </w:p>
        </w:tc>
      </w:tr>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8</w:t>
            </w:r>
            <w:r w:rsidRPr="00EA5B0B">
              <w:rPr>
                <w:rFonts w:ascii="Arial" w:hAnsi="Arial" w:cs="Arial"/>
                <w:sz w:val="20"/>
                <w:szCs w:val="20"/>
                <w:vertAlign w:val="superscript"/>
                <w:lang w:val="en-US"/>
              </w:rPr>
              <w:t>th</w:t>
            </w:r>
          </w:p>
        </w:tc>
        <w:tc>
          <w:tcPr>
            <w:tcW w:w="2266"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5185.67</w:t>
            </w:r>
          </w:p>
        </w:tc>
      </w:tr>
      <w:tr w:rsidR="00A2411D" w:rsidRPr="00EC5F5A" w:rsidTr="007045DA">
        <w:trPr>
          <w:cantSplit/>
          <w:jc w:val="center"/>
        </w:trPr>
        <w:tc>
          <w:tcPr>
            <w:tcW w:w="2265"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9</w:t>
            </w:r>
            <w:r w:rsidRPr="00EA5B0B">
              <w:rPr>
                <w:rFonts w:ascii="Arial" w:hAnsi="Arial" w:cs="Arial"/>
                <w:sz w:val="20"/>
                <w:szCs w:val="20"/>
                <w:vertAlign w:val="superscript"/>
                <w:lang w:val="en-US"/>
              </w:rPr>
              <w:t>th</w:t>
            </w:r>
          </w:p>
        </w:tc>
        <w:tc>
          <w:tcPr>
            <w:tcW w:w="2266" w:type="dxa"/>
            <w:vAlign w:val="bottom"/>
          </w:tcPr>
          <w:p w:rsidR="00A2411D" w:rsidRPr="00A2411D" w:rsidRDefault="00A2411D" w:rsidP="007045DA">
            <w:pPr>
              <w:spacing w:after="160" w:line="259" w:lineRule="auto"/>
              <w:jc w:val="center"/>
              <w:rPr>
                <w:rFonts w:ascii="Arial" w:hAnsi="Arial" w:cs="Arial"/>
                <w:sz w:val="20"/>
                <w:szCs w:val="20"/>
                <w:lang w:val="en-US"/>
              </w:rPr>
            </w:pPr>
            <w:r w:rsidRPr="00A2411D">
              <w:rPr>
                <w:rFonts w:ascii="Arial" w:hAnsi="Arial" w:cs="Arial"/>
                <w:sz w:val="20"/>
                <w:szCs w:val="20"/>
                <w:lang w:val="en-US"/>
              </w:rPr>
              <w:t>7753</w:t>
            </w:r>
          </w:p>
        </w:tc>
      </w:tr>
    </w:tbl>
    <w:p w:rsidR="00420B5F" w:rsidRDefault="00420B5F" w:rsidP="007045DA">
      <w:pPr>
        <w:rPr>
          <w:rFonts w:ascii="Arial" w:hAnsi="Arial" w:cs="Arial"/>
          <w:sz w:val="20"/>
          <w:szCs w:val="20"/>
          <w:lang w:val="en-GB"/>
        </w:rPr>
      </w:pPr>
    </w:p>
    <w:p w:rsidR="000677F0" w:rsidRDefault="00EC4B85" w:rsidP="0068335D">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Since our data are detailed at city district, w</w:t>
      </w:r>
      <w:r w:rsidR="00B72EA7">
        <w:rPr>
          <w:rFonts w:ascii="Arial" w:hAnsi="Arial" w:cs="Arial"/>
          <w:sz w:val="24"/>
          <w:szCs w:val="24"/>
          <w:lang w:val="en-GB"/>
        </w:rPr>
        <w:t xml:space="preserve">e </w:t>
      </w:r>
      <w:r w:rsidR="006D6153">
        <w:rPr>
          <w:rFonts w:ascii="Arial" w:hAnsi="Arial" w:cs="Arial"/>
          <w:sz w:val="24"/>
          <w:szCs w:val="24"/>
          <w:lang w:val="en-GB"/>
        </w:rPr>
        <w:t xml:space="preserve">have </w:t>
      </w:r>
      <w:r w:rsidR="00B72EA7">
        <w:rPr>
          <w:rFonts w:ascii="Arial" w:hAnsi="Arial" w:cs="Arial"/>
          <w:sz w:val="24"/>
          <w:szCs w:val="24"/>
          <w:lang w:val="en-GB"/>
        </w:rPr>
        <w:t>tr</w:t>
      </w:r>
      <w:r w:rsidR="006D6153">
        <w:rPr>
          <w:rFonts w:ascii="Arial" w:hAnsi="Arial" w:cs="Arial"/>
          <w:sz w:val="24"/>
          <w:szCs w:val="24"/>
          <w:lang w:val="en-GB"/>
        </w:rPr>
        <w:t>ied</w:t>
      </w:r>
      <w:r w:rsidR="00B72EA7">
        <w:rPr>
          <w:rFonts w:ascii="Arial" w:hAnsi="Arial" w:cs="Arial"/>
          <w:sz w:val="24"/>
          <w:szCs w:val="24"/>
          <w:lang w:val="en-GB"/>
        </w:rPr>
        <w:t xml:space="preserve"> to get further insights into </w:t>
      </w:r>
      <w:r w:rsidR="00A733AE">
        <w:rPr>
          <w:rFonts w:ascii="Arial" w:hAnsi="Arial" w:cs="Arial"/>
          <w:sz w:val="24"/>
          <w:szCs w:val="24"/>
          <w:lang w:val="en-GB"/>
        </w:rPr>
        <w:t xml:space="preserve">the identified </w:t>
      </w:r>
      <w:r w:rsidR="00B72EA7">
        <w:rPr>
          <w:rFonts w:ascii="Arial" w:hAnsi="Arial" w:cs="Arial"/>
          <w:sz w:val="24"/>
          <w:szCs w:val="24"/>
          <w:lang w:val="en-GB"/>
        </w:rPr>
        <w:t xml:space="preserve">selection </w:t>
      </w:r>
      <w:r>
        <w:rPr>
          <w:rFonts w:ascii="Arial" w:hAnsi="Arial" w:cs="Arial"/>
          <w:sz w:val="24"/>
          <w:szCs w:val="24"/>
          <w:lang w:val="en-GB"/>
        </w:rPr>
        <w:t xml:space="preserve">bias. </w:t>
      </w:r>
      <w:r w:rsidR="00671178">
        <w:rPr>
          <w:rFonts w:ascii="Arial" w:hAnsi="Arial" w:cs="Arial"/>
          <w:sz w:val="24"/>
          <w:szCs w:val="24"/>
          <w:lang w:val="en-GB"/>
        </w:rPr>
        <w:t xml:space="preserve">In particular, we have calculated credit card users’ </w:t>
      </w:r>
      <w:r w:rsidR="00671178" w:rsidRPr="00671178">
        <w:rPr>
          <w:rFonts w:ascii="Arial" w:hAnsi="Arial" w:cs="Arial"/>
          <w:sz w:val="24"/>
          <w:szCs w:val="24"/>
          <w:lang w:val="en-GB"/>
        </w:rPr>
        <w:t>self-reported average</w:t>
      </w:r>
      <w:r w:rsidR="00671178">
        <w:rPr>
          <w:rFonts w:ascii="Arial" w:hAnsi="Arial" w:cs="Arial"/>
          <w:sz w:val="24"/>
          <w:szCs w:val="24"/>
          <w:lang w:val="en-GB"/>
        </w:rPr>
        <w:t xml:space="preserve"> (and median) monthly incomes</w:t>
      </w:r>
      <w:r w:rsidR="00671178" w:rsidRPr="00671178">
        <w:rPr>
          <w:rFonts w:ascii="Arial" w:hAnsi="Arial" w:cs="Arial"/>
          <w:sz w:val="24"/>
          <w:szCs w:val="24"/>
          <w:lang w:val="en-GB"/>
        </w:rPr>
        <w:t xml:space="preserve"> by capital city districts</w:t>
      </w:r>
      <w:r w:rsidR="00EF1147">
        <w:rPr>
          <w:rFonts w:ascii="Arial" w:hAnsi="Arial" w:cs="Arial"/>
          <w:sz w:val="24"/>
          <w:szCs w:val="24"/>
          <w:lang w:val="en-GB"/>
        </w:rPr>
        <w:t xml:space="preserve">. </w:t>
      </w:r>
      <w:r w:rsidR="00190BBA">
        <w:rPr>
          <w:rFonts w:ascii="Arial" w:hAnsi="Arial" w:cs="Arial"/>
          <w:sz w:val="24"/>
          <w:szCs w:val="24"/>
          <w:lang w:val="en-GB"/>
        </w:rPr>
        <w:t>The problem here is that income-related official statistics are not disaggregated at this geographical level. The only available statistics refer to the estimates of monetary poverty rates which are derived from the application of small</w:t>
      </w:r>
      <w:r w:rsidR="005372E4">
        <w:rPr>
          <w:rFonts w:ascii="Arial" w:hAnsi="Arial" w:cs="Arial"/>
          <w:sz w:val="24"/>
          <w:szCs w:val="24"/>
          <w:lang w:val="en-GB"/>
        </w:rPr>
        <w:t xml:space="preserve"> </w:t>
      </w:r>
      <w:r w:rsidR="00190BBA">
        <w:rPr>
          <w:rFonts w:ascii="Arial" w:hAnsi="Arial" w:cs="Arial"/>
          <w:sz w:val="24"/>
          <w:szCs w:val="24"/>
          <w:lang w:val="en-GB"/>
        </w:rPr>
        <w:t>area estimation techniques. The monetary poverty rate is</w:t>
      </w:r>
      <w:r w:rsidR="00190BBA" w:rsidRPr="00190BBA">
        <w:rPr>
          <w:rFonts w:ascii="Arial" w:hAnsi="Arial" w:cs="Arial"/>
          <w:sz w:val="24"/>
          <w:szCs w:val="24"/>
          <w:lang w:val="en-GB"/>
        </w:rPr>
        <w:t xml:space="preserve"> defined as </w:t>
      </w:r>
      <w:r w:rsidR="00190BBA">
        <w:rPr>
          <w:rFonts w:ascii="Arial" w:hAnsi="Arial" w:cs="Arial"/>
          <w:sz w:val="24"/>
          <w:szCs w:val="24"/>
          <w:lang w:val="en-GB"/>
        </w:rPr>
        <w:t>the percentage</w:t>
      </w:r>
      <w:r w:rsidR="00190BBA" w:rsidRPr="00190BBA">
        <w:rPr>
          <w:rFonts w:ascii="Arial" w:hAnsi="Arial" w:cs="Arial"/>
          <w:sz w:val="24"/>
          <w:szCs w:val="24"/>
          <w:lang w:val="en-GB"/>
        </w:rPr>
        <w:t xml:space="preserve"> of people whose expenditure is below the basic consumption basket</w:t>
      </w:r>
      <w:r w:rsidR="00190BBA">
        <w:rPr>
          <w:rFonts w:ascii="Arial" w:hAnsi="Arial" w:cs="Arial"/>
          <w:sz w:val="24"/>
          <w:szCs w:val="24"/>
          <w:lang w:val="en-GB"/>
        </w:rPr>
        <w:t xml:space="preserve"> (including food and non-food items). </w:t>
      </w:r>
      <w:r w:rsidR="00AD3577">
        <w:rPr>
          <w:rFonts w:ascii="Arial" w:hAnsi="Arial" w:cs="Arial"/>
          <w:sz w:val="24"/>
          <w:szCs w:val="24"/>
          <w:lang w:val="en-GB"/>
        </w:rPr>
        <w:t xml:space="preserve">Intuitively, </w:t>
      </w:r>
      <w:r w:rsidR="00DA4A0B">
        <w:rPr>
          <w:rFonts w:ascii="Arial" w:hAnsi="Arial" w:cs="Arial"/>
          <w:sz w:val="24"/>
          <w:szCs w:val="24"/>
          <w:lang w:val="en-GB"/>
        </w:rPr>
        <w:t>w</w:t>
      </w:r>
      <w:r w:rsidR="0068335D" w:rsidRPr="0068335D">
        <w:rPr>
          <w:rFonts w:ascii="Arial" w:hAnsi="Arial" w:cs="Arial"/>
          <w:sz w:val="24"/>
          <w:szCs w:val="24"/>
          <w:lang w:val="en-GB"/>
        </w:rPr>
        <w:t>e can ex</w:t>
      </w:r>
      <w:r w:rsidR="0068335D">
        <w:rPr>
          <w:rFonts w:ascii="Arial" w:hAnsi="Arial" w:cs="Arial"/>
          <w:sz w:val="24"/>
          <w:szCs w:val="24"/>
          <w:lang w:val="en-GB"/>
        </w:rPr>
        <w:t xml:space="preserve">pect that </w:t>
      </w:r>
      <w:r w:rsidR="00CB7B4D">
        <w:rPr>
          <w:rFonts w:ascii="Arial" w:hAnsi="Arial" w:cs="Arial"/>
          <w:sz w:val="24"/>
          <w:szCs w:val="24"/>
          <w:lang w:val="en-GB"/>
        </w:rPr>
        <w:t xml:space="preserve">(i) </w:t>
      </w:r>
      <w:r w:rsidR="0068335D">
        <w:rPr>
          <w:rFonts w:ascii="Arial" w:hAnsi="Arial" w:cs="Arial"/>
          <w:sz w:val="24"/>
          <w:szCs w:val="24"/>
          <w:lang w:val="en-GB"/>
        </w:rPr>
        <w:t xml:space="preserve">most of our data observations come from districts with low poverty rates </w:t>
      </w:r>
      <w:r w:rsidR="00CB7B4D">
        <w:rPr>
          <w:rFonts w:ascii="Arial" w:hAnsi="Arial" w:cs="Arial"/>
          <w:sz w:val="24"/>
          <w:szCs w:val="24"/>
          <w:lang w:val="en-GB"/>
        </w:rPr>
        <w:t xml:space="preserve">and (ii) poverty rates </w:t>
      </w:r>
      <w:r w:rsidR="00E4189C">
        <w:rPr>
          <w:rFonts w:ascii="Arial" w:hAnsi="Arial" w:cs="Arial"/>
          <w:sz w:val="24"/>
          <w:szCs w:val="24"/>
          <w:lang w:val="en-GB"/>
        </w:rPr>
        <w:t>will be</w:t>
      </w:r>
      <w:r w:rsidR="00CB7B4D">
        <w:rPr>
          <w:rFonts w:ascii="Arial" w:hAnsi="Arial" w:cs="Arial"/>
          <w:sz w:val="24"/>
          <w:szCs w:val="24"/>
          <w:lang w:val="en-GB"/>
        </w:rPr>
        <w:t xml:space="preserve"> negatively correlated with </w:t>
      </w:r>
      <w:r w:rsidR="00CB7B4D" w:rsidRPr="00CB7B4D">
        <w:rPr>
          <w:rFonts w:ascii="Arial" w:hAnsi="Arial" w:cs="Arial"/>
          <w:sz w:val="24"/>
          <w:szCs w:val="24"/>
          <w:lang w:val="en-GB"/>
        </w:rPr>
        <w:t xml:space="preserve">self-reported average </w:t>
      </w:r>
      <w:r w:rsidR="00CB7B4D">
        <w:rPr>
          <w:rFonts w:ascii="Arial" w:hAnsi="Arial" w:cs="Arial"/>
          <w:sz w:val="24"/>
          <w:szCs w:val="24"/>
          <w:lang w:val="en-GB"/>
        </w:rPr>
        <w:t xml:space="preserve">(median) </w:t>
      </w:r>
      <w:r w:rsidR="00CB7B4D" w:rsidRPr="00CB7B4D">
        <w:rPr>
          <w:rFonts w:ascii="Arial" w:hAnsi="Arial" w:cs="Arial"/>
          <w:sz w:val="24"/>
          <w:szCs w:val="24"/>
          <w:lang w:val="en-GB"/>
        </w:rPr>
        <w:t>monthly incomes</w:t>
      </w:r>
      <w:r w:rsidR="00437BBF">
        <w:rPr>
          <w:rFonts w:ascii="Arial" w:hAnsi="Arial" w:cs="Arial"/>
          <w:sz w:val="24"/>
          <w:szCs w:val="24"/>
          <w:lang w:val="en-GB"/>
        </w:rPr>
        <w:t xml:space="preserve"> by city districts. </w:t>
      </w:r>
      <w:r w:rsidR="00CA738A" w:rsidRPr="00A423F1">
        <w:rPr>
          <w:rFonts w:ascii="Arial" w:hAnsi="Arial" w:cs="Arial"/>
          <w:sz w:val="24"/>
          <w:szCs w:val="24"/>
          <w:lang w:val="en-GB"/>
        </w:rPr>
        <w:t xml:space="preserve">Results show that the number of records available at district level </w:t>
      </w:r>
      <w:r w:rsidR="003C7B23">
        <w:rPr>
          <w:rFonts w:ascii="Arial" w:hAnsi="Arial" w:cs="Arial"/>
          <w:sz w:val="24"/>
          <w:szCs w:val="24"/>
          <w:lang w:val="en-GB"/>
        </w:rPr>
        <w:t>is</w:t>
      </w:r>
      <w:r w:rsidR="00CA738A" w:rsidRPr="00A423F1">
        <w:rPr>
          <w:rFonts w:ascii="Arial" w:hAnsi="Arial" w:cs="Arial"/>
          <w:sz w:val="24"/>
          <w:szCs w:val="24"/>
          <w:lang w:val="en-GB"/>
        </w:rPr>
        <w:t xml:space="preserve"> negatively correlated with poverty rates. </w:t>
      </w:r>
      <w:r w:rsidR="00A423F1" w:rsidRPr="00A423F1">
        <w:rPr>
          <w:rFonts w:ascii="Arial" w:hAnsi="Arial" w:cs="Arial"/>
          <w:sz w:val="24"/>
          <w:szCs w:val="24"/>
          <w:lang w:val="en-GB"/>
        </w:rPr>
        <w:t xml:space="preserve">Specifically, we have calculated the </w:t>
      </w:r>
      <w:r w:rsidR="00CA738A" w:rsidRPr="00A423F1">
        <w:rPr>
          <w:rFonts w:ascii="Arial" w:hAnsi="Arial" w:cs="Arial"/>
          <w:sz w:val="24"/>
          <w:szCs w:val="24"/>
          <w:lang w:val="en-GB"/>
        </w:rPr>
        <w:t xml:space="preserve">linear correlation coefficients </w:t>
      </w:r>
      <w:r w:rsidR="00A423F1" w:rsidRPr="00A423F1">
        <w:rPr>
          <w:rFonts w:ascii="Arial" w:hAnsi="Arial" w:cs="Arial"/>
          <w:sz w:val="24"/>
          <w:szCs w:val="24"/>
          <w:lang w:val="en-GB"/>
        </w:rPr>
        <w:t>between both the number of credit card users and the number of transaction records by district and poverty r</w:t>
      </w:r>
      <w:r w:rsidR="00CA738A" w:rsidRPr="00A423F1">
        <w:rPr>
          <w:rFonts w:ascii="Arial" w:hAnsi="Arial" w:cs="Arial"/>
          <w:sz w:val="24"/>
          <w:szCs w:val="24"/>
          <w:lang w:val="en-GB"/>
        </w:rPr>
        <w:t>a</w:t>
      </w:r>
      <w:r w:rsidR="00A423F1" w:rsidRPr="00A423F1">
        <w:rPr>
          <w:rFonts w:ascii="Arial" w:hAnsi="Arial" w:cs="Arial"/>
          <w:sz w:val="24"/>
          <w:szCs w:val="24"/>
          <w:lang w:val="en-GB"/>
        </w:rPr>
        <w:t>t</w:t>
      </w:r>
      <w:r w:rsidR="00CA738A" w:rsidRPr="00A423F1">
        <w:rPr>
          <w:rFonts w:ascii="Arial" w:hAnsi="Arial" w:cs="Arial"/>
          <w:sz w:val="24"/>
          <w:szCs w:val="24"/>
          <w:lang w:val="en-GB"/>
        </w:rPr>
        <w:t>e</w:t>
      </w:r>
      <w:r w:rsidR="00A423F1" w:rsidRPr="00A423F1">
        <w:rPr>
          <w:rFonts w:ascii="Arial" w:hAnsi="Arial" w:cs="Arial"/>
          <w:sz w:val="24"/>
          <w:szCs w:val="24"/>
          <w:lang w:val="en-GB"/>
        </w:rPr>
        <w:t>s, getting values in all cases</w:t>
      </w:r>
      <w:r w:rsidR="00CA738A" w:rsidRPr="00A423F1">
        <w:rPr>
          <w:rFonts w:ascii="Arial" w:hAnsi="Arial" w:cs="Arial"/>
          <w:sz w:val="24"/>
          <w:szCs w:val="24"/>
          <w:lang w:val="en-GB"/>
        </w:rPr>
        <w:t xml:space="preserve"> around -0.4. </w:t>
      </w:r>
    </w:p>
    <w:p w:rsidR="00F13FA3" w:rsidRDefault="00F13FA3" w:rsidP="0068335D">
      <w:pPr>
        <w:spacing w:before="120" w:after="0" w:line="360" w:lineRule="auto"/>
        <w:jc w:val="both"/>
        <w:rPr>
          <w:rFonts w:ascii="Arial" w:hAnsi="Arial" w:cs="Arial"/>
          <w:sz w:val="24"/>
          <w:szCs w:val="24"/>
          <w:lang w:val="en-GB"/>
        </w:rPr>
      </w:pPr>
      <w:r>
        <w:rPr>
          <w:rFonts w:ascii="Arial" w:hAnsi="Arial" w:cs="Arial"/>
          <w:sz w:val="24"/>
          <w:szCs w:val="24"/>
          <w:lang w:val="en-GB"/>
        </w:rPr>
        <w:t xml:space="preserve">Figures 1 and 2 show the scatter plots for the monetary poverty rates and the self-reported average and median monthly incomes </w:t>
      </w:r>
      <w:r w:rsidR="00FF260F">
        <w:rPr>
          <w:rFonts w:ascii="Arial" w:hAnsi="Arial" w:cs="Arial"/>
          <w:sz w:val="24"/>
          <w:szCs w:val="24"/>
          <w:lang w:val="en-GB"/>
        </w:rPr>
        <w:t>of</w:t>
      </w:r>
      <w:r>
        <w:rPr>
          <w:rFonts w:ascii="Arial" w:hAnsi="Arial" w:cs="Arial"/>
          <w:sz w:val="24"/>
          <w:szCs w:val="24"/>
          <w:lang w:val="en-GB"/>
        </w:rPr>
        <w:t xml:space="preserve"> credit cards users at district level. Both plots show a negative relationship between </w:t>
      </w:r>
      <w:r w:rsidR="0060526E">
        <w:rPr>
          <w:rFonts w:ascii="Arial" w:hAnsi="Arial" w:cs="Arial"/>
          <w:sz w:val="24"/>
          <w:szCs w:val="24"/>
          <w:lang w:val="en-GB"/>
        </w:rPr>
        <w:t xml:space="preserve">poverty rates and self-reported incomes, with </w:t>
      </w:r>
      <w:r w:rsidR="007C2C76">
        <w:rPr>
          <w:rFonts w:ascii="Arial" w:hAnsi="Arial" w:cs="Arial"/>
          <w:sz w:val="24"/>
          <w:szCs w:val="24"/>
          <w:lang w:val="en-GB"/>
        </w:rPr>
        <w:t xml:space="preserve">linear correlation coefficients between -0.6 and -0.75. </w:t>
      </w:r>
      <w:r w:rsidR="003D6549">
        <w:rPr>
          <w:rFonts w:ascii="Arial" w:hAnsi="Arial" w:cs="Arial"/>
          <w:sz w:val="24"/>
          <w:szCs w:val="24"/>
          <w:lang w:val="en-GB"/>
        </w:rPr>
        <w:t xml:space="preserve">This relationship can be fitted through the estimation of exponential models in which district-related poverty rates are explained </w:t>
      </w:r>
      <w:r w:rsidR="00FF260F">
        <w:rPr>
          <w:rFonts w:ascii="Arial" w:hAnsi="Arial" w:cs="Arial"/>
          <w:sz w:val="24"/>
          <w:szCs w:val="24"/>
          <w:lang w:val="en-GB"/>
        </w:rPr>
        <w:t xml:space="preserve">by </w:t>
      </w:r>
      <w:r w:rsidR="003D6549">
        <w:rPr>
          <w:rFonts w:ascii="Arial" w:hAnsi="Arial" w:cs="Arial"/>
          <w:sz w:val="24"/>
          <w:szCs w:val="24"/>
          <w:lang w:val="en-GB"/>
        </w:rPr>
        <w:t xml:space="preserve">self-reported average and median incomes </w:t>
      </w:r>
      <w:r w:rsidR="00084C2E">
        <w:rPr>
          <w:rFonts w:ascii="Arial" w:hAnsi="Arial" w:cs="Arial"/>
          <w:sz w:val="24"/>
          <w:szCs w:val="24"/>
          <w:lang w:val="en-GB"/>
        </w:rPr>
        <w:t>with</w:t>
      </w:r>
      <w:r w:rsidR="003D6549">
        <w:rPr>
          <w:rFonts w:ascii="Arial" w:hAnsi="Arial" w:cs="Arial"/>
          <w:sz w:val="24"/>
          <w:szCs w:val="24"/>
          <w:lang w:val="en-GB"/>
        </w:rPr>
        <w:t xml:space="preserve"> R</w:t>
      </w:r>
      <w:r w:rsidR="003D6549" w:rsidRPr="00E0380A">
        <w:rPr>
          <w:rFonts w:ascii="Arial" w:hAnsi="Arial" w:cs="Arial"/>
          <w:sz w:val="24"/>
          <w:szCs w:val="24"/>
          <w:vertAlign w:val="superscript"/>
          <w:lang w:val="en-GB"/>
        </w:rPr>
        <w:t>2</w:t>
      </w:r>
      <w:r w:rsidR="003D6549">
        <w:rPr>
          <w:rFonts w:ascii="Arial" w:hAnsi="Arial" w:cs="Arial"/>
          <w:sz w:val="24"/>
          <w:szCs w:val="24"/>
          <w:lang w:val="en-GB"/>
        </w:rPr>
        <w:t xml:space="preserve"> of 0.77 and 0.53, respectively. </w:t>
      </w:r>
    </w:p>
    <w:p w:rsidR="007045DA" w:rsidRDefault="00802D49" w:rsidP="00802D49">
      <w:pPr>
        <w:pStyle w:val="Epgrafe"/>
        <w:keepNext/>
        <w:jc w:val="both"/>
        <w:rPr>
          <w:rFonts w:ascii="Arial" w:hAnsi="Arial" w:cs="Arial"/>
          <w:b/>
          <w:i w:val="0"/>
          <w:color w:val="auto"/>
          <w:sz w:val="20"/>
          <w:szCs w:val="20"/>
          <w:lang w:val="en-GB"/>
        </w:rPr>
      </w:pPr>
      <w:r w:rsidRPr="00802D49">
        <w:rPr>
          <w:rFonts w:ascii="Arial" w:hAnsi="Arial" w:cs="Arial"/>
          <w:b/>
          <w:i w:val="0"/>
          <w:color w:val="auto"/>
          <w:sz w:val="20"/>
          <w:szCs w:val="20"/>
          <w:lang w:val="en-GB"/>
        </w:rPr>
        <w:lastRenderedPageBreak/>
        <w:t>Figure 1. Monetary poverty rates and self-reported average monthly incomes (2016) by capital city districts</w:t>
      </w:r>
    </w:p>
    <w:p w:rsidR="007045DA" w:rsidRDefault="00751F0C" w:rsidP="007045DA">
      <w:pPr>
        <w:pStyle w:val="Epgrafe"/>
        <w:keepNext/>
        <w:rPr>
          <w:rFonts w:ascii="Arial" w:hAnsi="Arial" w:cs="Arial"/>
          <w:b/>
          <w:i w:val="0"/>
          <w:color w:val="auto"/>
          <w:sz w:val="20"/>
          <w:szCs w:val="20"/>
          <w:lang w:val="en-GB"/>
        </w:rPr>
      </w:pPr>
      <w:r>
        <w:rPr>
          <w:rFonts w:ascii="Arial" w:hAnsi="Arial" w:cs="Arial"/>
          <w:b/>
          <w:i w:val="0"/>
          <w:noProof/>
          <w:color w:val="auto"/>
          <w:sz w:val="20"/>
          <w:szCs w:val="20"/>
          <w:lang w:val="es-ES" w:eastAsia="es-ES"/>
        </w:rPr>
        <w:drawing>
          <wp:inline distT="0" distB="0" distL="0" distR="0">
            <wp:extent cx="5759450" cy="3219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9450" cy="3219450"/>
                    </a:xfrm>
                    <a:prstGeom prst="rect">
                      <a:avLst/>
                    </a:prstGeom>
                    <a:noFill/>
                    <a:ln>
                      <a:noFill/>
                    </a:ln>
                  </pic:spPr>
                </pic:pic>
              </a:graphicData>
            </a:graphic>
          </wp:inline>
        </w:drawing>
      </w:r>
    </w:p>
    <w:p w:rsidR="003C1B49" w:rsidRPr="00802D49" w:rsidRDefault="003C1B49" w:rsidP="00F77CC9">
      <w:pPr>
        <w:spacing w:after="0" w:line="360" w:lineRule="auto"/>
        <w:jc w:val="both"/>
        <w:rPr>
          <w:rFonts w:ascii="Arial" w:hAnsi="Arial" w:cs="Arial"/>
          <w:sz w:val="20"/>
          <w:szCs w:val="20"/>
          <w:lang w:val="en-GB"/>
        </w:rPr>
      </w:pPr>
      <w:r w:rsidRPr="00802D49">
        <w:rPr>
          <w:rFonts w:ascii="Arial" w:hAnsi="Arial" w:cs="Arial"/>
          <w:sz w:val="20"/>
          <w:szCs w:val="20"/>
          <w:lang w:val="en-GB"/>
        </w:rPr>
        <w:t>Notes: (1) Monetary poverty rates are defined as % of people whose expenditure is bel</w:t>
      </w:r>
      <w:r>
        <w:rPr>
          <w:rFonts w:ascii="Arial" w:hAnsi="Arial" w:cs="Arial"/>
          <w:sz w:val="20"/>
          <w:szCs w:val="20"/>
          <w:lang w:val="en-GB"/>
        </w:rPr>
        <w:t>ow the basic consumption basket.</w:t>
      </w:r>
      <w:r w:rsidRPr="00802D49">
        <w:rPr>
          <w:rFonts w:ascii="Arial" w:hAnsi="Arial" w:cs="Arial"/>
          <w:sz w:val="20"/>
          <w:szCs w:val="20"/>
          <w:lang w:val="en-GB"/>
        </w:rPr>
        <w:t xml:space="preserve"> (2) Credit/debit card records database</w:t>
      </w:r>
    </w:p>
    <w:p w:rsidR="00F77CC9" w:rsidRDefault="00F77CC9" w:rsidP="00F13FA3">
      <w:pPr>
        <w:pStyle w:val="Epgrafe"/>
        <w:keepNext/>
        <w:jc w:val="both"/>
        <w:rPr>
          <w:rFonts w:ascii="Arial" w:hAnsi="Arial" w:cs="Arial"/>
          <w:b/>
          <w:i w:val="0"/>
          <w:color w:val="auto"/>
          <w:sz w:val="20"/>
          <w:szCs w:val="20"/>
          <w:lang w:val="en-GB"/>
        </w:rPr>
      </w:pPr>
    </w:p>
    <w:p w:rsidR="00F13FA3" w:rsidRDefault="00117E70" w:rsidP="00F13FA3">
      <w:pPr>
        <w:pStyle w:val="Epgrafe"/>
        <w:keepNext/>
        <w:jc w:val="both"/>
        <w:rPr>
          <w:rFonts w:ascii="Arial" w:hAnsi="Arial" w:cs="Arial"/>
          <w:b/>
          <w:i w:val="0"/>
          <w:color w:val="auto"/>
          <w:sz w:val="20"/>
          <w:szCs w:val="20"/>
          <w:lang w:val="en-GB"/>
        </w:rPr>
      </w:pPr>
      <w:r w:rsidRPr="00802D49">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802D49">
        <w:rPr>
          <w:rFonts w:ascii="Arial" w:hAnsi="Arial" w:cs="Arial"/>
          <w:b/>
          <w:i w:val="0"/>
          <w:color w:val="auto"/>
          <w:sz w:val="20"/>
          <w:szCs w:val="20"/>
          <w:lang w:val="en-GB"/>
        </w:rPr>
        <w:t xml:space="preserve">. Monetary poverty rates and self-reported </w:t>
      </w:r>
      <w:r>
        <w:rPr>
          <w:rFonts w:ascii="Arial" w:hAnsi="Arial" w:cs="Arial"/>
          <w:b/>
          <w:i w:val="0"/>
          <w:color w:val="auto"/>
          <w:sz w:val="20"/>
          <w:szCs w:val="20"/>
          <w:lang w:val="en-GB"/>
        </w:rPr>
        <w:t>median</w:t>
      </w:r>
      <w:r w:rsidRPr="00802D49">
        <w:rPr>
          <w:rFonts w:ascii="Arial" w:hAnsi="Arial" w:cs="Arial"/>
          <w:b/>
          <w:i w:val="0"/>
          <w:color w:val="auto"/>
          <w:sz w:val="20"/>
          <w:szCs w:val="20"/>
          <w:lang w:val="en-GB"/>
        </w:rPr>
        <w:t xml:space="preserve"> monthly incomes (2016) by capital city districts</w:t>
      </w:r>
    </w:p>
    <w:p w:rsidR="008C2D35" w:rsidRPr="008C2D35" w:rsidRDefault="00F13FA3" w:rsidP="00F13FA3">
      <w:pPr>
        <w:pStyle w:val="Epgrafe"/>
        <w:keepNext/>
        <w:jc w:val="both"/>
        <w:rPr>
          <w:lang w:val="en-GB"/>
        </w:rPr>
      </w:pPr>
      <w:r>
        <w:rPr>
          <w:noProof/>
          <w:lang w:val="es-ES" w:eastAsia="es-ES"/>
        </w:rPr>
        <w:drawing>
          <wp:inline distT="0" distB="0" distL="0" distR="0">
            <wp:extent cx="5756910" cy="3411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6910" cy="3411220"/>
                    </a:xfrm>
                    <a:prstGeom prst="rect">
                      <a:avLst/>
                    </a:prstGeom>
                    <a:noFill/>
                    <a:ln>
                      <a:noFill/>
                    </a:ln>
                  </pic:spPr>
                </pic:pic>
              </a:graphicData>
            </a:graphic>
          </wp:inline>
        </w:drawing>
      </w:r>
    </w:p>
    <w:p w:rsidR="00802D49" w:rsidRPr="00802D49" w:rsidRDefault="00802D49" w:rsidP="00802D49">
      <w:pPr>
        <w:spacing w:after="0" w:line="360" w:lineRule="auto"/>
        <w:ind w:left="851"/>
        <w:jc w:val="both"/>
        <w:rPr>
          <w:rFonts w:ascii="Arial" w:hAnsi="Arial" w:cs="Arial"/>
          <w:sz w:val="20"/>
          <w:szCs w:val="20"/>
          <w:lang w:val="en-GB"/>
        </w:rPr>
      </w:pPr>
      <w:r w:rsidRPr="00802D49">
        <w:rPr>
          <w:rFonts w:ascii="Arial" w:hAnsi="Arial" w:cs="Arial"/>
          <w:sz w:val="20"/>
          <w:szCs w:val="20"/>
          <w:lang w:val="en-GB"/>
        </w:rPr>
        <w:t>N</w:t>
      </w:r>
      <w:r w:rsidR="003C1B49">
        <w:rPr>
          <w:rFonts w:ascii="Arial" w:hAnsi="Arial" w:cs="Arial"/>
          <w:sz w:val="20"/>
          <w:szCs w:val="20"/>
          <w:lang w:val="en-GB"/>
        </w:rPr>
        <w:t>otes: See notes under Figure 1.</w:t>
      </w:r>
    </w:p>
    <w:p w:rsidR="007045DA" w:rsidRDefault="007045DA" w:rsidP="007045DA">
      <w:pPr>
        <w:pStyle w:val="Epgrafe"/>
        <w:keepNext/>
        <w:rPr>
          <w:rFonts w:ascii="Arial" w:hAnsi="Arial" w:cs="Arial"/>
          <w:b/>
          <w:i w:val="0"/>
          <w:color w:val="auto"/>
          <w:sz w:val="20"/>
          <w:szCs w:val="20"/>
          <w:lang w:val="en-GB"/>
        </w:rPr>
      </w:pPr>
    </w:p>
    <w:p w:rsidR="00E0380A" w:rsidRPr="00E0380A" w:rsidRDefault="004740F1" w:rsidP="00E0380A">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964499">
        <w:rPr>
          <w:rFonts w:ascii="Arial" w:hAnsi="Arial" w:cs="Arial"/>
          <w:b/>
          <w:sz w:val="24"/>
          <w:szCs w:val="24"/>
          <w:lang w:val="en-GB"/>
        </w:rPr>
        <w:t>Concluding remarks</w:t>
      </w:r>
    </w:p>
    <w:p w:rsidR="001F3399" w:rsidRDefault="00E0380A" w:rsidP="001F3399">
      <w:pPr>
        <w:spacing w:before="120" w:after="0" w:line="360" w:lineRule="auto"/>
        <w:jc w:val="both"/>
        <w:rPr>
          <w:rFonts w:ascii="Arial" w:hAnsi="Arial" w:cs="Arial"/>
          <w:sz w:val="24"/>
          <w:szCs w:val="24"/>
          <w:lang w:val="en-GB"/>
        </w:rPr>
      </w:pPr>
      <w:r>
        <w:rPr>
          <w:rFonts w:ascii="Arial" w:hAnsi="Arial" w:cs="Arial"/>
          <w:sz w:val="24"/>
          <w:szCs w:val="24"/>
          <w:lang w:val="en-GB"/>
        </w:rPr>
        <w:t xml:space="preserve">Recent research on the potential use of big data to improve the nowcasting of socioeconomic indicators </w:t>
      </w:r>
      <w:r w:rsidR="006944F1">
        <w:rPr>
          <w:rFonts w:ascii="Arial" w:hAnsi="Arial" w:cs="Arial"/>
          <w:sz w:val="24"/>
          <w:szCs w:val="24"/>
          <w:lang w:val="en-GB"/>
        </w:rPr>
        <w:t>has</w:t>
      </w:r>
      <w:r>
        <w:rPr>
          <w:rFonts w:ascii="Arial" w:hAnsi="Arial" w:cs="Arial"/>
          <w:sz w:val="24"/>
          <w:szCs w:val="24"/>
          <w:lang w:val="en-GB"/>
        </w:rPr>
        <w:t xml:space="preserve"> usually emphasized the advantages of these data sources in terms of the volume, granularity and timely availability of data. </w:t>
      </w:r>
      <w:r w:rsidR="008B385C">
        <w:rPr>
          <w:rFonts w:ascii="Arial" w:hAnsi="Arial" w:cs="Arial"/>
          <w:sz w:val="24"/>
          <w:szCs w:val="24"/>
          <w:lang w:val="en-GB"/>
        </w:rPr>
        <w:t xml:space="preserve">However, the use of these data is not </w:t>
      </w:r>
      <w:r w:rsidR="003C1B49">
        <w:rPr>
          <w:rFonts w:ascii="Arial" w:hAnsi="Arial" w:cs="Arial"/>
          <w:sz w:val="24"/>
          <w:szCs w:val="24"/>
          <w:lang w:val="en-GB"/>
        </w:rPr>
        <w:t>without</w:t>
      </w:r>
      <w:r w:rsidR="008B385C">
        <w:rPr>
          <w:rFonts w:ascii="Arial" w:hAnsi="Arial" w:cs="Arial"/>
          <w:sz w:val="24"/>
          <w:szCs w:val="24"/>
          <w:lang w:val="en-GB"/>
        </w:rPr>
        <w:t xml:space="preserve"> problems, especially in what refers to selection biases. </w:t>
      </w:r>
      <w:r w:rsidR="00EF24C9">
        <w:rPr>
          <w:rFonts w:ascii="Arial" w:hAnsi="Arial" w:cs="Arial"/>
          <w:sz w:val="24"/>
          <w:szCs w:val="24"/>
          <w:lang w:val="en-GB"/>
        </w:rPr>
        <w:t xml:space="preserve">While applications of big data sources generally recognize the possible existence </w:t>
      </w:r>
      <w:r w:rsidR="00312234">
        <w:rPr>
          <w:rFonts w:ascii="Arial" w:hAnsi="Arial" w:cs="Arial"/>
          <w:sz w:val="24"/>
          <w:szCs w:val="24"/>
          <w:lang w:val="en-GB"/>
        </w:rPr>
        <w:t xml:space="preserve">of this kind of problem, </w:t>
      </w:r>
      <w:r w:rsidR="00EF24C9">
        <w:rPr>
          <w:rFonts w:ascii="Arial" w:hAnsi="Arial" w:cs="Arial"/>
          <w:sz w:val="24"/>
          <w:szCs w:val="24"/>
          <w:lang w:val="en-GB"/>
        </w:rPr>
        <w:t xml:space="preserve">there is a lack of in-depth analysis of the extent of these </w:t>
      </w:r>
      <w:r w:rsidR="00CF3E9C">
        <w:rPr>
          <w:rFonts w:ascii="Arial" w:hAnsi="Arial" w:cs="Arial"/>
          <w:sz w:val="24"/>
          <w:szCs w:val="24"/>
          <w:lang w:val="en-GB"/>
        </w:rPr>
        <w:t xml:space="preserve">potential </w:t>
      </w:r>
      <w:r w:rsidR="00EF24C9">
        <w:rPr>
          <w:rFonts w:ascii="Arial" w:hAnsi="Arial" w:cs="Arial"/>
          <w:sz w:val="24"/>
          <w:szCs w:val="24"/>
          <w:lang w:val="en-GB"/>
        </w:rPr>
        <w:t xml:space="preserve">selection biases. </w:t>
      </w:r>
      <w:r w:rsidR="001F3399" w:rsidRPr="00742232">
        <w:rPr>
          <w:rFonts w:ascii="Arial" w:hAnsi="Arial" w:cs="Arial"/>
          <w:sz w:val="24"/>
          <w:szCs w:val="24"/>
          <w:lang w:val="en-GB"/>
        </w:rPr>
        <w:t xml:space="preserve">As Hartford (2014) </w:t>
      </w:r>
      <w:r w:rsidR="001F3399">
        <w:rPr>
          <w:rFonts w:ascii="Arial" w:hAnsi="Arial" w:cs="Arial"/>
          <w:sz w:val="24"/>
          <w:szCs w:val="24"/>
          <w:lang w:val="en-GB"/>
        </w:rPr>
        <w:t>indicates</w:t>
      </w:r>
      <w:r w:rsidR="001F3399" w:rsidRPr="00742232">
        <w:rPr>
          <w:rFonts w:ascii="Arial" w:hAnsi="Arial" w:cs="Arial"/>
          <w:sz w:val="24"/>
          <w:szCs w:val="24"/>
          <w:lang w:val="en-GB"/>
        </w:rPr>
        <w:t xml:space="preserve">: </w:t>
      </w:r>
      <w:r w:rsidR="001F3399">
        <w:rPr>
          <w:rFonts w:ascii="Arial" w:hAnsi="Arial" w:cs="Arial"/>
          <w:sz w:val="24"/>
          <w:szCs w:val="24"/>
          <w:lang w:val="en-GB"/>
        </w:rPr>
        <w:t>“</w:t>
      </w:r>
      <w:r w:rsidR="001F3399" w:rsidRPr="00742232">
        <w:rPr>
          <w:rFonts w:ascii="Arial" w:hAnsi="Arial" w:cs="Arial"/>
          <w:sz w:val="24"/>
          <w:szCs w:val="24"/>
          <w:lang w:val="en-GB"/>
        </w:rPr>
        <w:t>big data’ has arrived, but big insights have not. The challenge now is to</w:t>
      </w:r>
      <w:r w:rsidR="005372E4">
        <w:rPr>
          <w:rFonts w:ascii="Arial" w:hAnsi="Arial" w:cs="Arial"/>
          <w:sz w:val="24"/>
          <w:szCs w:val="24"/>
          <w:lang w:val="en-GB"/>
        </w:rPr>
        <w:t xml:space="preserve"> </w:t>
      </w:r>
      <w:r w:rsidR="001F3399" w:rsidRPr="00742232">
        <w:rPr>
          <w:rFonts w:ascii="Arial" w:hAnsi="Arial" w:cs="Arial"/>
          <w:sz w:val="24"/>
          <w:szCs w:val="24"/>
          <w:lang w:val="en-GB"/>
        </w:rPr>
        <w:t xml:space="preserve">solve new problems and gain new answers </w:t>
      </w:r>
      <w:r w:rsidR="001F3399">
        <w:rPr>
          <w:rFonts w:ascii="Arial" w:hAnsi="Arial" w:cs="Arial"/>
          <w:sz w:val="24"/>
          <w:szCs w:val="24"/>
          <w:lang w:val="en-GB"/>
        </w:rPr>
        <w:t>-</w:t>
      </w:r>
      <w:r w:rsidR="001F3399" w:rsidRPr="00742232">
        <w:rPr>
          <w:rFonts w:ascii="Arial" w:hAnsi="Arial" w:cs="Arial"/>
          <w:sz w:val="24"/>
          <w:szCs w:val="24"/>
          <w:lang w:val="en-GB"/>
        </w:rPr>
        <w:t xml:space="preserve"> without making the same old statistical mistakes</w:t>
      </w:r>
      <w:r w:rsidR="005372E4">
        <w:rPr>
          <w:rFonts w:ascii="Arial" w:hAnsi="Arial" w:cs="Arial"/>
          <w:sz w:val="24"/>
          <w:szCs w:val="24"/>
          <w:lang w:val="en-GB"/>
        </w:rPr>
        <w:t xml:space="preserve"> </w:t>
      </w:r>
      <w:r w:rsidR="001F3399" w:rsidRPr="00742232">
        <w:rPr>
          <w:rFonts w:ascii="Arial" w:hAnsi="Arial" w:cs="Arial"/>
          <w:sz w:val="24"/>
          <w:szCs w:val="24"/>
          <w:lang w:val="en-GB"/>
        </w:rPr>
        <w:t>on a grander scale than ever.</w:t>
      </w:r>
      <w:r w:rsidR="001F3399">
        <w:rPr>
          <w:rFonts w:ascii="Arial" w:hAnsi="Arial" w:cs="Arial"/>
          <w:sz w:val="24"/>
          <w:szCs w:val="24"/>
          <w:lang w:val="en-GB"/>
        </w:rPr>
        <w:t>”</w:t>
      </w:r>
    </w:p>
    <w:p w:rsidR="00CF3E9C" w:rsidRDefault="00CF3E9C" w:rsidP="00742232">
      <w:pPr>
        <w:spacing w:before="120" w:after="0" w:line="360" w:lineRule="auto"/>
        <w:jc w:val="both"/>
        <w:rPr>
          <w:rFonts w:ascii="Arial" w:hAnsi="Arial" w:cs="Arial"/>
          <w:sz w:val="24"/>
          <w:szCs w:val="24"/>
          <w:lang w:val="en-GB"/>
        </w:rPr>
      </w:pPr>
      <w:r>
        <w:rPr>
          <w:rFonts w:ascii="Arial" w:hAnsi="Arial" w:cs="Arial"/>
          <w:sz w:val="24"/>
          <w:szCs w:val="24"/>
          <w:lang w:val="en-GB"/>
        </w:rPr>
        <w:t>This paper has tried to show some evidence on this issue by analy</w:t>
      </w:r>
      <w:r w:rsidR="006C4282">
        <w:rPr>
          <w:rFonts w:ascii="Arial" w:hAnsi="Arial" w:cs="Arial"/>
          <w:sz w:val="24"/>
          <w:szCs w:val="24"/>
          <w:lang w:val="en-GB"/>
        </w:rPr>
        <w:t>z</w:t>
      </w:r>
      <w:r>
        <w:rPr>
          <w:rFonts w:ascii="Arial" w:hAnsi="Arial" w:cs="Arial"/>
          <w:sz w:val="24"/>
          <w:szCs w:val="24"/>
          <w:lang w:val="en-GB"/>
        </w:rPr>
        <w:t xml:space="preserve">ing </w:t>
      </w:r>
      <w:r w:rsidR="00101072" w:rsidRPr="00101072">
        <w:rPr>
          <w:rFonts w:ascii="Arial" w:hAnsi="Arial" w:cs="Arial"/>
          <w:sz w:val="24"/>
          <w:szCs w:val="24"/>
          <w:lang w:val="en-GB"/>
        </w:rPr>
        <w:t>individual data from credit and debit card payments</w:t>
      </w:r>
      <w:r w:rsidR="00101072">
        <w:rPr>
          <w:rFonts w:ascii="Arial" w:hAnsi="Arial" w:cs="Arial"/>
          <w:sz w:val="24"/>
          <w:szCs w:val="24"/>
          <w:lang w:val="en-GB"/>
        </w:rPr>
        <w:t xml:space="preserve"> and comparing it with survey-based statistics. </w:t>
      </w:r>
      <w:r w:rsidR="000D422E">
        <w:rPr>
          <w:rFonts w:ascii="Arial" w:hAnsi="Arial" w:cs="Arial"/>
          <w:sz w:val="24"/>
          <w:szCs w:val="24"/>
          <w:lang w:val="en-GB"/>
        </w:rPr>
        <w:t xml:space="preserve">Results show that our database </w:t>
      </w:r>
      <w:r w:rsidR="000B1BC8">
        <w:rPr>
          <w:rFonts w:ascii="Arial" w:hAnsi="Arial" w:cs="Arial"/>
          <w:sz w:val="24"/>
          <w:szCs w:val="24"/>
          <w:lang w:val="en-GB"/>
        </w:rPr>
        <w:t>(</w:t>
      </w:r>
      <w:r w:rsidR="000D422E">
        <w:rPr>
          <w:rFonts w:ascii="Arial" w:hAnsi="Arial" w:cs="Arial"/>
          <w:sz w:val="24"/>
          <w:szCs w:val="24"/>
          <w:lang w:val="en-GB"/>
        </w:rPr>
        <w:t>as a whole</w:t>
      </w:r>
      <w:r w:rsidR="000B1BC8">
        <w:rPr>
          <w:rFonts w:ascii="Arial" w:hAnsi="Arial" w:cs="Arial"/>
          <w:sz w:val="24"/>
          <w:szCs w:val="24"/>
          <w:lang w:val="en-GB"/>
        </w:rPr>
        <w:t>)</w:t>
      </w:r>
      <w:r w:rsidR="000D422E">
        <w:rPr>
          <w:rFonts w:ascii="Arial" w:hAnsi="Arial" w:cs="Arial"/>
          <w:sz w:val="24"/>
          <w:szCs w:val="24"/>
          <w:lang w:val="en-GB"/>
        </w:rPr>
        <w:t xml:space="preserve"> is biased towards the top 50% of the population. </w:t>
      </w:r>
      <w:r w:rsidR="002F42E1">
        <w:rPr>
          <w:rFonts w:ascii="Arial" w:hAnsi="Arial" w:cs="Arial"/>
          <w:sz w:val="24"/>
          <w:szCs w:val="24"/>
          <w:lang w:val="en-GB"/>
        </w:rPr>
        <w:t>When data are disaggregated by</w:t>
      </w:r>
      <w:r w:rsidR="000D422E">
        <w:rPr>
          <w:rFonts w:ascii="Arial" w:hAnsi="Arial" w:cs="Arial"/>
          <w:sz w:val="24"/>
          <w:szCs w:val="24"/>
          <w:lang w:val="en-GB"/>
        </w:rPr>
        <w:t xml:space="preserve"> city district</w:t>
      </w:r>
      <w:r w:rsidR="002F42E1">
        <w:rPr>
          <w:rFonts w:ascii="Arial" w:hAnsi="Arial" w:cs="Arial"/>
          <w:sz w:val="24"/>
          <w:szCs w:val="24"/>
          <w:lang w:val="en-GB"/>
        </w:rPr>
        <w:t xml:space="preserve">, </w:t>
      </w:r>
      <w:r w:rsidR="00800FC1">
        <w:rPr>
          <w:rFonts w:ascii="Arial" w:hAnsi="Arial" w:cs="Arial"/>
          <w:sz w:val="24"/>
          <w:szCs w:val="24"/>
          <w:lang w:val="en-GB"/>
        </w:rPr>
        <w:t xml:space="preserve">negative correlations are found between poverty rates and both the number of records and self-reported customer incomes. </w:t>
      </w:r>
      <w:r w:rsidR="001F3399">
        <w:rPr>
          <w:rFonts w:ascii="Arial" w:hAnsi="Arial" w:cs="Arial"/>
          <w:sz w:val="24"/>
          <w:szCs w:val="24"/>
          <w:lang w:val="en-GB"/>
        </w:rPr>
        <w:t>Despite the identified selection biases, the</w:t>
      </w:r>
      <w:r w:rsidR="00D05C4E">
        <w:rPr>
          <w:rFonts w:ascii="Arial" w:hAnsi="Arial" w:cs="Arial"/>
          <w:sz w:val="24"/>
          <w:szCs w:val="24"/>
          <w:lang w:val="en-GB"/>
        </w:rPr>
        <w:t xml:space="preserve"> fairly high correlations observed at district level suggest that the combination of these data with other big data sources along with other socioeconomic statistics at district level might help to improve indicators derived from small area estimation techniques</w:t>
      </w:r>
      <w:r w:rsidR="00635697">
        <w:rPr>
          <w:rFonts w:ascii="Arial" w:hAnsi="Arial" w:cs="Arial"/>
          <w:sz w:val="24"/>
          <w:szCs w:val="24"/>
          <w:lang w:val="en-GB"/>
        </w:rPr>
        <w:t xml:space="preserve"> as shown by Marchetti et al. (2015, 2017)</w:t>
      </w:r>
      <w:bookmarkStart w:id="0" w:name="_GoBack"/>
      <w:bookmarkEnd w:id="0"/>
      <w:r w:rsidR="00D05C4E">
        <w:rPr>
          <w:rFonts w:ascii="Arial" w:hAnsi="Arial" w:cs="Arial"/>
          <w:sz w:val="24"/>
          <w:szCs w:val="24"/>
          <w:lang w:val="en-GB"/>
        </w:rPr>
        <w:t xml:space="preserve">. </w:t>
      </w:r>
      <w:r w:rsidR="001435BD">
        <w:rPr>
          <w:rFonts w:ascii="Arial" w:hAnsi="Arial" w:cs="Arial"/>
          <w:sz w:val="24"/>
          <w:szCs w:val="24"/>
          <w:lang w:val="en-GB"/>
        </w:rPr>
        <w:t xml:space="preserve">Future research </w:t>
      </w:r>
      <w:r w:rsidR="000B1BC8">
        <w:rPr>
          <w:rFonts w:ascii="Arial" w:hAnsi="Arial" w:cs="Arial"/>
          <w:sz w:val="24"/>
          <w:szCs w:val="24"/>
          <w:lang w:val="en-GB"/>
        </w:rPr>
        <w:t>of</w:t>
      </w:r>
      <w:r w:rsidR="001435BD">
        <w:rPr>
          <w:rFonts w:ascii="Arial" w:hAnsi="Arial" w:cs="Arial"/>
          <w:sz w:val="24"/>
          <w:szCs w:val="24"/>
          <w:lang w:val="en-GB"/>
        </w:rPr>
        <w:t xml:space="preserve"> this ongoing project will explore such issues. </w:t>
      </w:r>
    </w:p>
    <w:p w:rsidR="00742232" w:rsidRPr="00EC5F5A" w:rsidRDefault="00742232" w:rsidP="00F30C27">
      <w:pPr>
        <w:spacing w:before="120" w:after="0" w:line="360" w:lineRule="auto"/>
        <w:jc w:val="both"/>
        <w:rPr>
          <w:rFonts w:ascii="Arial" w:hAnsi="Arial" w:cs="Arial"/>
          <w:b/>
          <w:sz w:val="24"/>
          <w:szCs w:val="24"/>
          <w:lang w:val="en-GB"/>
        </w:rPr>
      </w:pPr>
    </w:p>
    <w:p w:rsidR="00F30C27" w:rsidRPr="0050698F" w:rsidRDefault="00F30C27" w:rsidP="00CC1C1D">
      <w:pPr>
        <w:spacing w:before="360" w:after="0" w:line="360" w:lineRule="auto"/>
        <w:jc w:val="both"/>
        <w:rPr>
          <w:rFonts w:ascii="Arial" w:hAnsi="Arial" w:cs="Arial"/>
          <w:b/>
          <w:sz w:val="24"/>
          <w:szCs w:val="24"/>
          <w:lang w:val="es-ES"/>
        </w:rPr>
      </w:pPr>
      <w:r w:rsidRPr="0050698F">
        <w:rPr>
          <w:rFonts w:ascii="Arial" w:hAnsi="Arial" w:cs="Arial"/>
          <w:b/>
          <w:sz w:val="24"/>
          <w:szCs w:val="24"/>
          <w:lang w:val="es-ES"/>
        </w:rPr>
        <w:t>5. References</w:t>
      </w:r>
    </w:p>
    <w:p w:rsidR="00857959" w:rsidRDefault="00857959" w:rsidP="004D74DB">
      <w:pPr>
        <w:shd w:val="clear" w:color="auto" w:fill="FFFFFF" w:themeFill="background1"/>
        <w:spacing w:before="120" w:after="0" w:line="360" w:lineRule="auto"/>
        <w:jc w:val="both"/>
        <w:rPr>
          <w:rFonts w:ascii="Arial" w:hAnsi="Arial" w:cs="Arial"/>
          <w:sz w:val="24"/>
          <w:szCs w:val="24"/>
          <w:lang w:val="en-GB"/>
        </w:rPr>
      </w:pPr>
      <w:r w:rsidRPr="0050698F">
        <w:rPr>
          <w:rFonts w:ascii="Arial" w:hAnsi="Arial" w:cs="Arial"/>
          <w:sz w:val="24"/>
          <w:szCs w:val="24"/>
          <w:lang w:val="es-ES"/>
        </w:rPr>
        <w:t xml:space="preserve">Buono, D., Mazzi, G.L, Kapetanios, G., et al. </w:t>
      </w:r>
      <w:r w:rsidRPr="004D74DB">
        <w:rPr>
          <w:rFonts w:ascii="Arial" w:hAnsi="Arial" w:cs="Arial"/>
          <w:sz w:val="24"/>
          <w:szCs w:val="24"/>
          <w:lang w:val="en-GB"/>
        </w:rPr>
        <w:t>(2017)</w:t>
      </w:r>
      <w:r w:rsidR="00A6346A" w:rsidRPr="004D74DB">
        <w:rPr>
          <w:rFonts w:ascii="Arial" w:hAnsi="Arial" w:cs="Arial"/>
          <w:sz w:val="24"/>
          <w:szCs w:val="24"/>
          <w:lang w:val="en-GB"/>
        </w:rPr>
        <w:t xml:space="preserve">, </w:t>
      </w:r>
      <w:r w:rsidRPr="004D74DB">
        <w:rPr>
          <w:rFonts w:ascii="Arial" w:hAnsi="Arial" w:cs="Arial"/>
          <w:sz w:val="24"/>
          <w:szCs w:val="24"/>
          <w:lang w:val="en-GB"/>
        </w:rPr>
        <w:t xml:space="preserve">Big </w:t>
      </w:r>
      <w:r w:rsidR="00A6346A" w:rsidRPr="004D74DB">
        <w:rPr>
          <w:rFonts w:ascii="Arial" w:hAnsi="Arial" w:cs="Arial"/>
          <w:sz w:val="24"/>
          <w:szCs w:val="24"/>
          <w:lang w:val="en-GB"/>
        </w:rPr>
        <w:t>Data Types for Macroeconomic Nowcasting</w:t>
      </w:r>
      <w:r w:rsidR="005372E4">
        <w:rPr>
          <w:rFonts w:ascii="Arial" w:hAnsi="Arial" w:cs="Arial"/>
          <w:sz w:val="24"/>
          <w:szCs w:val="24"/>
          <w:lang w:val="en-GB"/>
        </w:rPr>
        <w:t xml:space="preserve"> </w:t>
      </w:r>
      <w:r w:rsidRPr="004D74DB">
        <w:rPr>
          <w:rFonts w:ascii="Arial" w:hAnsi="Arial" w:cs="Arial"/>
          <w:sz w:val="24"/>
          <w:szCs w:val="24"/>
          <w:lang w:val="en-GB"/>
        </w:rPr>
        <w:t>(pp.93-145). In Eurostat (Ed.), Eurostat Review on National and Macroeconomic Indicators (1/2017)</w:t>
      </w:r>
      <w:r w:rsidR="00A6346A" w:rsidRPr="004D74DB">
        <w:rPr>
          <w:rFonts w:ascii="Arial" w:hAnsi="Arial" w:cs="Arial"/>
          <w:sz w:val="24"/>
          <w:szCs w:val="24"/>
          <w:lang w:val="en-GB"/>
        </w:rPr>
        <w:t>, Eurostat, Brussels</w:t>
      </w:r>
      <w:r w:rsidRPr="004D74DB">
        <w:rPr>
          <w:rFonts w:ascii="Arial" w:hAnsi="Arial" w:cs="Arial"/>
          <w:sz w:val="24"/>
          <w:szCs w:val="24"/>
          <w:lang w:val="en-GB"/>
        </w:rPr>
        <w:t>.</w:t>
      </w:r>
    </w:p>
    <w:p w:rsidR="00F77CC9" w:rsidRPr="004D74DB" w:rsidRDefault="00E10B3E" w:rsidP="00F77CC9">
      <w:pPr>
        <w:shd w:val="clear" w:color="auto" w:fill="FFFFFF" w:themeFill="background1"/>
        <w:spacing w:before="120" w:after="0" w:line="360" w:lineRule="auto"/>
        <w:jc w:val="both"/>
        <w:rPr>
          <w:rFonts w:ascii="Arial" w:hAnsi="Arial" w:cs="Arial"/>
          <w:sz w:val="24"/>
          <w:szCs w:val="24"/>
          <w:lang w:val="en-GB"/>
        </w:rPr>
      </w:pPr>
      <w:r w:rsidRPr="00E10B3E">
        <w:rPr>
          <w:rFonts w:ascii="Arial" w:hAnsi="Arial" w:cs="Arial"/>
          <w:sz w:val="24"/>
          <w:szCs w:val="24"/>
          <w:lang w:val="es-ES"/>
        </w:rPr>
        <w:t>Di Clemente, R., Luengo-Oroz, M.,</w:t>
      </w:r>
      <w:r>
        <w:rPr>
          <w:rFonts w:ascii="Arial" w:hAnsi="Arial" w:cs="Arial"/>
          <w:sz w:val="24"/>
          <w:szCs w:val="24"/>
          <w:lang w:val="es-ES"/>
        </w:rPr>
        <w:t xml:space="preserve"> Travizano, M. et al. </w:t>
      </w:r>
      <w:r w:rsidRPr="00E10B3E">
        <w:rPr>
          <w:rFonts w:ascii="Arial" w:hAnsi="Arial" w:cs="Arial"/>
          <w:sz w:val="24"/>
          <w:szCs w:val="24"/>
          <w:lang w:val="en-US"/>
        </w:rPr>
        <w:t>(201</w:t>
      </w:r>
      <w:r>
        <w:rPr>
          <w:rFonts w:ascii="Arial" w:hAnsi="Arial" w:cs="Arial"/>
          <w:sz w:val="24"/>
          <w:szCs w:val="24"/>
          <w:lang w:val="en-US"/>
        </w:rPr>
        <w:t>8</w:t>
      </w:r>
      <w:r w:rsidRPr="00E10B3E">
        <w:rPr>
          <w:rFonts w:ascii="Arial" w:hAnsi="Arial" w:cs="Arial"/>
          <w:sz w:val="24"/>
          <w:szCs w:val="24"/>
          <w:lang w:val="en-US"/>
        </w:rPr>
        <w:t>), Sequence of Purchases in Credit Card Data Reve</w:t>
      </w:r>
      <w:r>
        <w:rPr>
          <w:rFonts w:ascii="Arial" w:hAnsi="Arial" w:cs="Arial"/>
          <w:sz w:val="24"/>
          <w:szCs w:val="24"/>
          <w:lang w:val="en-US"/>
        </w:rPr>
        <w:t>al</w:t>
      </w:r>
      <w:r w:rsidRPr="00E10B3E">
        <w:rPr>
          <w:rFonts w:ascii="Arial" w:hAnsi="Arial" w:cs="Arial"/>
          <w:sz w:val="24"/>
          <w:szCs w:val="24"/>
          <w:lang w:val="en-US"/>
        </w:rPr>
        <w:t xml:space="preserve"> Life Styles in Urban Population. </w:t>
      </w:r>
      <w:r>
        <w:rPr>
          <w:rFonts w:ascii="Arial" w:hAnsi="Arial" w:cs="Arial"/>
          <w:sz w:val="24"/>
          <w:szCs w:val="24"/>
          <w:lang w:val="en-US"/>
        </w:rPr>
        <w:t xml:space="preserve">Available at: </w:t>
      </w:r>
      <w:hyperlink r:id="rId12" w:history="1">
        <w:r w:rsidR="00F77CC9" w:rsidRPr="00BA286A">
          <w:rPr>
            <w:rStyle w:val="Hipervnculo"/>
            <w:rFonts w:ascii="Arial" w:hAnsi="Arial" w:cs="Arial"/>
            <w:sz w:val="24"/>
            <w:szCs w:val="24"/>
            <w:lang w:val="en-US"/>
          </w:rPr>
          <w:t>http://www.mit.edu/~rdicle/spending.html</w:t>
        </w:r>
      </w:hyperlink>
      <w:r w:rsidR="003C7B23">
        <w:t xml:space="preserve"> </w:t>
      </w:r>
      <w:r w:rsidR="00F77CC9" w:rsidRPr="004D74DB">
        <w:rPr>
          <w:rFonts w:ascii="Arial" w:hAnsi="Arial" w:cs="Arial"/>
          <w:sz w:val="24"/>
          <w:szCs w:val="24"/>
          <w:lang w:val="en-GB"/>
        </w:rPr>
        <w:t xml:space="preserve">(Accessed: </w:t>
      </w:r>
      <w:r w:rsidR="00F77CC9">
        <w:rPr>
          <w:rFonts w:ascii="Arial" w:hAnsi="Arial" w:cs="Arial"/>
          <w:sz w:val="24"/>
          <w:szCs w:val="24"/>
          <w:lang w:val="en-GB"/>
        </w:rPr>
        <w:t>30</w:t>
      </w:r>
      <w:r w:rsidR="00F77CC9" w:rsidRPr="004D74DB">
        <w:rPr>
          <w:rFonts w:ascii="Arial" w:hAnsi="Arial" w:cs="Arial"/>
          <w:sz w:val="24"/>
          <w:szCs w:val="24"/>
          <w:lang w:val="en-GB"/>
        </w:rPr>
        <w:t xml:space="preserve"> April 2018).</w:t>
      </w:r>
    </w:p>
    <w:p w:rsidR="00E10B3E" w:rsidRPr="00F77CC9" w:rsidRDefault="00E10B3E" w:rsidP="004D74DB">
      <w:pPr>
        <w:shd w:val="clear" w:color="auto" w:fill="FFFFFF" w:themeFill="background1"/>
        <w:spacing w:before="120" w:after="0" w:line="360" w:lineRule="auto"/>
        <w:jc w:val="both"/>
        <w:rPr>
          <w:rFonts w:ascii="Arial" w:hAnsi="Arial" w:cs="Arial"/>
          <w:sz w:val="24"/>
          <w:szCs w:val="24"/>
          <w:lang w:val="en-GB"/>
        </w:rPr>
      </w:pPr>
    </w:p>
    <w:p w:rsidR="00857959" w:rsidRPr="004D74DB" w:rsidRDefault="00857959" w:rsidP="004D74DB">
      <w:pPr>
        <w:shd w:val="clear" w:color="auto" w:fill="FFFFFF" w:themeFill="background1"/>
        <w:spacing w:before="120" w:after="0" w:line="360" w:lineRule="auto"/>
        <w:jc w:val="both"/>
        <w:rPr>
          <w:rFonts w:ascii="Arial" w:hAnsi="Arial" w:cs="Arial"/>
          <w:sz w:val="24"/>
          <w:szCs w:val="24"/>
          <w:lang w:val="en-GB"/>
        </w:rPr>
      </w:pPr>
      <w:r w:rsidRPr="004D74DB">
        <w:rPr>
          <w:rFonts w:ascii="Arial" w:hAnsi="Arial" w:cs="Arial"/>
          <w:sz w:val="24"/>
          <w:szCs w:val="24"/>
          <w:lang w:val="en-US"/>
        </w:rPr>
        <w:t xml:space="preserve">Duarte, C., Rodrigues, P.M.M., </w:t>
      </w:r>
      <w:r w:rsidR="00A6346A" w:rsidRPr="004D74DB">
        <w:rPr>
          <w:rFonts w:ascii="Arial" w:hAnsi="Arial" w:cs="Arial"/>
          <w:sz w:val="24"/>
          <w:szCs w:val="24"/>
          <w:lang w:val="en-US"/>
        </w:rPr>
        <w:t>and</w:t>
      </w:r>
      <w:r w:rsidR="005372E4">
        <w:rPr>
          <w:rFonts w:ascii="Arial" w:hAnsi="Arial" w:cs="Arial"/>
          <w:sz w:val="24"/>
          <w:szCs w:val="24"/>
          <w:lang w:val="en-US"/>
        </w:rPr>
        <w:t xml:space="preserve"> </w:t>
      </w:r>
      <w:r w:rsidRPr="004D74DB">
        <w:rPr>
          <w:rFonts w:ascii="Arial" w:hAnsi="Arial" w:cs="Arial"/>
          <w:sz w:val="24"/>
          <w:szCs w:val="24"/>
          <w:lang w:val="en-US"/>
        </w:rPr>
        <w:t>Rua</w:t>
      </w:r>
      <w:r w:rsidR="00635697">
        <w:rPr>
          <w:rFonts w:ascii="Arial" w:hAnsi="Arial" w:cs="Arial"/>
          <w:sz w:val="24"/>
          <w:szCs w:val="24"/>
          <w:lang w:val="en-US"/>
        </w:rPr>
        <w:t>,</w:t>
      </w:r>
      <w:r w:rsidRPr="004D74DB">
        <w:rPr>
          <w:rFonts w:ascii="Arial" w:hAnsi="Arial" w:cs="Arial"/>
          <w:sz w:val="24"/>
          <w:szCs w:val="24"/>
          <w:lang w:val="en-US"/>
        </w:rPr>
        <w:t xml:space="preserve"> A. (2017)</w:t>
      </w:r>
      <w:r w:rsidR="00F56A78" w:rsidRPr="004D74DB">
        <w:rPr>
          <w:rFonts w:ascii="Arial" w:hAnsi="Arial" w:cs="Arial"/>
          <w:sz w:val="24"/>
          <w:szCs w:val="24"/>
          <w:lang w:val="en-US"/>
        </w:rPr>
        <w:t>,</w:t>
      </w:r>
      <w:r w:rsidRPr="004D74DB">
        <w:rPr>
          <w:rFonts w:ascii="Arial" w:hAnsi="Arial" w:cs="Arial"/>
          <w:sz w:val="24"/>
          <w:szCs w:val="24"/>
          <w:lang w:val="en-GB"/>
        </w:rPr>
        <w:t xml:space="preserve">A </w:t>
      </w:r>
      <w:r w:rsidR="00A6346A" w:rsidRPr="004D74DB">
        <w:rPr>
          <w:rFonts w:ascii="Arial" w:hAnsi="Arial" w:cs="Arial"/>
          <w:sz w:val="24"/>
          <w:szCs w:val="24"/>
          <w:lang w:val="en-GB"/>
        </w:rPr>
        <w:t xml:space="preserve">Mixed Frequency Approach to the Forecasting of Private Consumption with </w:t>
      </w:r>
      <w:r w:rsidRPr="004D74DB">
        <w:rPr>
          <w:rFonts w:ascii="Arial" w:hAnsi="Arial" w:cs="Arial"/>
          <w:sz w:val="24"/>
          <w:szCs w:val="24"/>
          <w:lang w:val="en-GB"/>
        </w:rPr>
        <w:t>ATM</w:t>
      </w:r>
      <w:r w:rsidR="00A6346A" w:rsidRPr="004D74DB">
        <w:rPr>
          <w:rFonts w:ascii="Arial" w:hAnsi="Arial" w:cs="Arial"/>
          <w:sz w:val="24"/>
          <w:szCs w:val="24"/>
          <w:lang w:val="en-GB"/>
        </w:rPr>
        <w:t>/</w:t>
      </w:r>
      <w:r w:rsidRPr="004D74DB">
        <w:rPr>
          <w:rFonts w:ascii="Arial" w:hAnsi="Arial" w:cs="Arial"/>
          <w:sz w:val="24"/>
          <w:szCs w:val="24"/>
          <w:lang w:val="en-GB"/>
        </w:rPr>
        <w:t xml:space="preserve">POS </w:t>
      </w:r>
      <w:r w:rsidR="00A6346A" w:rsidRPr="004D74DB">
        <w:rPr>
          <w:rFonts w:ascii="Arial" w:hAnsi="Arial" w:cs="Arial"/>
          <w:sz w:val="24"/>
          <w:szCs w:val="24"/>
          <w:lang w:val="en-GB"/>
        </w:rPr>
        <w:t>Data</w:t>
      </w:r>
      <w:r w:rsidR="00F56A78" w:rsidRPr="004D74DB">
        <w:rPr>
          <w:rFonts w:ascii="Arial" w:hAnsi="Arial" w:cs="Arial"/>
          <w:sz w:val="24"/>
          <w:szCs w:val="24"/>
          <w:lang w:val="en-GB"/>
        </w:rPr>
        <w:t>,</w:t>
      </w:r>
      <w:r w:rsidRPr="004D74DB">
        <w:rPr>
          <w:rFonts w:ascii="Arial" w:hAnsi="Arial" w:cs="Arial"/>
          <w:sz w:val="24"/>
          <w:szCs w:val="24"/>
          <w:lang w:val="en-GB"/>
        </w:rPr>
        <w:t xml:space="preserve"> International Journal of</w:t>
      </w:r>
      <w:r w:rsidR="003C7B23">
        <w:rPr>
          <w:rFonts w:ascii="Arial" w:hAnsi="Arial" w:cs="Arial"/>
          <w:sz w:val="24"/>
          <w:szCs w:val="24"/>
          <w:lang w:val="en-GB"/>
        </w:rPr>
        <w:t xml:space="preserve"> </w:t>
      </w:r>
      <w:r w:rsidRPr="004D74DB">
        <w:rPr>
          <w:rFonts w:ascii="Arial" w:hAnsi="Arial" w:cs="Arial"/>
          <w:sz w:val="24"/>
          <w:szCs w:val="24"/>
          <w:lang w:val="en-GB"/>
        </w:rPr>
        <w:t xml:space="preserve">Forecasting, 33(1), </w:t>
      </w:r>
      <w:r w:rsidR="00F56A78" w:rsidRPr="004D74DB">
        <w:rPr>
          <w:rFonts w:ascii="Arial" w:hAnsi="Arial" w:cs="Arial"/>
          <w:sz w:val="24"/>
          <w:szCs w:val="24"/>
          <w:lang w:val="en-GB"/>
        </w:rPr>
        <w:t xml:space="preserve">pp. </w:t>
      </w:r>
      <w:r w:rsidRPr="004D74DB">
        <w:rPr>
          <w:rFonts w:ascii="Arial" w:hAnsi="Arial" w:cs="Arial"/>
          <w:sz w:val="24"/>
          <w:szCs w:val="24"/>
          <w:lang w:val="en-GB"/>
        </w:rPr>
        <w:t>61-75.</w:t>
      </w:r>
    </w:p>
    <w:p w:rsidR="00846F51" w:rsidRPr="004D74DB" w:rsidRDefault="00846F51" w:rsidP="004D74DB">
      <w:pPr>
        <w:shd w:val="clear" w:color="auto" w:fill="FFFFFF" w:themeFill="background1"/>
        <w:spacing w:before="120" w:after="0" w:line="360" w:lineRule="auto"/>
        <w:jc w:val="both"/>
        <w:rPr>
          <w:rFonts w:ascii="Arial" w:hAnsi="Arial" w:cs="Arial"/>
          <w:sz w:val="24"/>
          <w:szCs w:val="24"/>
          <w:lang w:val="en-US"/>
        </w:rPr>
      </w:pPr>
      <w:r w:rsidRPr="004D74DB">
        <w:rPr>
          <w:rFonts w:ascii="Arial" w:hAnsi="Arial" w:cs="Arial"/>
          <w:sz w:val="24"/>
          <w:szCs w:val="24"/>
          <w:lang w:val="en-US"/>
        </w:rPr>
        <w:t>Galbraith, J.W and Tkacz</w:t>
      </w:r>
      <w:r w:rsidR="00635697">
        <w:rPr>
          <w:rFonts w:ascii="Arial" w:hAnsi="Arial" w:cs="Arial"/>
          <w:sz w:val="24"/>
          <w:szCs w:val="24"/>
          <w:lang w:val="en-US"/>
        </w:rPr>
        <w:t>,</w:t>
      </w:r>
      <w:r w:rsidR="003C7B23">
        <w:rPr>
          <w:rFonts w:ascii="Arial" w:hAnsi="Arial" w:cs="Arial"/>
          <w:sz w:val="24"/>
          <w:szCs w:val="24"/>
          <w:lang w:val="en-US"/>
        </w:rPr>
        <w:t xml:space="preserve"> </w:t>
      </w:r>
      <w:r w:rsidR="00635697" w:rsidRPr="004D74DB">
        <w:rPr>
          <w:rFonts w:ascii="Arial" w:hAnsi="Arial" w:cs="Arial"/>
          <w:sz w:val="24"/>
          <w:szCs w:val="24"/>
          <w:lang w:val="en-US"/>
        </w:rPr>
        <w:t>G.</w:t>
      </w:r>
      <w:r w:rsidRPr="004D74DB">
        <w:rPr>
          <w:rFonts w:ascii="Arial" w:hAnsi="Arial" w:cs="Arial"/>
          <w:sz w:val="24"/>
          <w:szCs w:val="24"/>
          <w:lang w:val="en-US"/>
        </w:rPr>
        <w:t xml:space="preserve">(2007), Analyzing Economic Effects of Extreme Events using Debit and Payments System Data, CIRANO Scientific Series, Working Paper 2011s-70. </w:t>
      </w:r>
    </w:p>
    <w:p w:rsidR="00846F51" w:rsidRPr="004D74DB" w:rsidRDefault="00846F51" w:rsidP="004D74DB">
      <w:pPr>
        <w:shd w:val="clear" w:color="auto" w:fill="FFFFFF" w:themeFill="background1"/>
        <w:spacing w:before="120" w:after="0" w:line="360" w:lineRule="auto"/>
        <w:jc w:val="both"/>
        <w:rPr>
          <w:rFonts w:ascii="Arial" w:hAnsi="Arial" w:cs="Arial"/>
          <w:sz w:val="24"/>
          <w:szCs w:val="24"/>
          <w:lang w:val="en-US"/>
        </w:rPr>
      </w:pPr>
      <w:r w:rsidRPr="004D74DB">
        <w:rPr>
          <w:rFonts w:ascii="Arial" w:hAnsi="Arial" w:cs="Arial"/>
          <w:sz w:val="24"/>
          <w:szCs w:val="24"/>
          <w:lang w:val="en-US"/>
        </w:rPr>
        <w:t>Galbraith, J.W</w:t>
      </w:r>
      <w:r w:rsidR="00635697">
        <w:rPr>
          <w:rFonts w:ascii="Arial" w:hAnsi="Arial" w:cs="Arial"/>
          <w:sz w:val="24"/>
          <w:szCs w:val="24"/>
          <w:lang w:val="en-US"/>
        </w:rPr>
        <w:t>.</w:t>
      </w:r>
      <w:r w:rsidRPr="004D74DB">
        <w:rPr>
          <w:rFonts w:ascii="Arial" w:hAnsi="Arial" w:cs="Arial"/>
          <w:sz w:val="24"/>
          <w:szCs w:val="24"/>
          <w:lang w:val="en-US"/>
        </w:rPr>
        <w:t xml:space="preserve"> and Tkacz</w:t>
      </w:r>
      <w:r w:rsidR="00635697">
        <w:rPr>
          <w:rFonts w:ascii="Arial" w:hAnsi="Arial" w:cs="Arial"/>
          <w:sz w:val="24"/>
          <w:szCs w:val="24"/>
          <w:lang w:val="en-US"/>
        </w:rPr>
        <w:t>,</w:t>
      </w:r>
      <w:r w:rsidR="003C7B23">
        <w:rPr>
          <w:rFonts w:ascii="Arial" w:hAnsi="Arial" w:cs="Arial"/>
          <w:sz w:val="24"/>
          <w:szCs w:val="24"/>
          <w:lang w:val="en-US"/>
        </w:rPr>
        <w:t xml:space="preserve"> </w:t>
      </w:r>
      <w:r w:rsidR="00635697" w:rsidRPr="004D74DB">
        <w:rPr>
          <w:rFonts w:ascii="Arial" w:hAnsi="Arial" w:cs="Arial"/>
          <w:sz w:val="24"/>
          <w:szCs w:val="24"/>
          <w:lang w:val="en-US"/>
        </w:rPr>
        <w:t xml:space="preserve">G. </w:t>
      </w:r>
      <w:r w:rsidRPr="004D74DB">
        <w:rPr>
          <w:rFonts w:ascii="Arial" w:hAnsi="Arial" w:cs="Arial"/>
          <w:sz w:val="24"/>
          <w:szCs w:val="24"/>
          <w:lang w:val="en-US"/>
        </w:rPr>
        <w:t>(2015), Nowcasting GDP with Electronic Payments Data, European Central Bank, Working Paper No 10 / August 2015</w:t>
      </w:r>
    </w:p>
    <w:p w:rsidR="00846F51" w:rsidRPr="004D74DB" w:rsidRDefault="00846F51" w:rsidP="004D74DB">
      <w:pPr>
        <w:shd w:val="clear" w:color="auto" w:fill="FFFFFF" w:themeFill="background1"/>
        <w:spacing w:before="120" w:after="0" w:line="360" w:lineRule="auto"/>
        <w:jc w:val="both"/>
        <w:rPr>
          <w:rFonts w:ascii="Arial" w:hAnsi="Arial" w:cs="Arial"/>
          <w:sz w:val="24"/>
          <w:szCs w:val="24"/>
          <w:lang w:val="en-GB"/>
        </w:rPr>
      </w:pPr>
      <w:r w:rsidRPr="004D74DB">
        <w:rPr>
          <w:rFonts w:ascii="Arial" w:hAnsi="Arial" w:cs="Arial"/>
          <w:sz w:val="24"/>
          <w:szCs w:val="24"/>
          <w:lang w:val="en-US"/>
        </w:rPr>
        <w:t xml:space="preserve">Gil, M., Pérez, J.J, and Urtasun, A. (2017), Nowcasting Private Consumption: Traditional Indicators, Uncertainty Measures, and the Role of Internet Search Query Data. Available at: </w:t>
      </w:r>
      <w:hyperlink r:id="rId13" w:history="1">
        <w:r w:rsidRPr="004D74DB">
          <w:rPr>
            <w:rStyle w:val="Hipervnculo"/>
            <w:rFonts w:ascii="Arial" w:hAnsi="Arial" w:cs="Arial"/>
            <w:sz w:val="24"/>
            <w:szCs w:val="24"/>
            <w:lang w:val="en-US"/>
          </w:rPr>
          <w:t>https://ecomod.net/system/files/Urtasun_Consumption_and_big_data.pdf</w:t>
        </w:r>
      </w:hyperlink>
      <w:r w:rsidRPr="004D74DB">
        <w:rPr>
          <w:rFonts w:ascii="Arial" w:hAnsi="Arial" w:cs="Arial"/>
          <w:sz w:val="24"/>
          <w:szCs w:val="24"/>
          <w:lang w:val="en-GB"/>
        </w:rPr>
        <w:t>(Accessed: 26 April 2018).</w:t>
      </w:r>
    </w:p>
    <w:p w:rsidR="00742232" w:rsidRPr="004D74DB" w:rsidRDefault="00742232" w:rsidP="004D74DB">
      <w:pPr>
        <w:shd w:val="clear" w:color="auto" w:fill="FFFFFF" w:themeFill="background1"/>
        <w:spacing w:before="120" w:after="0" w:line="360" w:lineRule="auto"/>
        <w:jc w:val="both"/>
        <w:rPr>
          <w:rFonts w:ascii="Arial" w:hAnsi="Arial" w:cs="Arial"/>
          <w:sz w:val="24"/>
          <w:szCs w:val="24"/>
          <w:lang w:val="en-GB"/>
        </w:rPr>
      </w:pPr>
      <w:r w:rsidRPr="004D74DB">
        <w:rPr>
          <w:rFonts w:ascii="Arial" w:hAnsi="Arial" w:cs="Arial"/>
          <w:sz w:val="24"/>
          <w:szCs w:val="24"/>
          <w:lang w:val="en-GB"/>
        </w:rPr>
        <w:t xml:space="preserve">Hartford, T. (2014), Big Data: Are We Making a Big Mistake?, Financial Times, 28.03.2014. Available at: </w:t>
      </w:r>
      <w:hyperlink r:id="rId14" w:history="1">
        <w:r w:rsidRPr="004D74DB">
          <w:rPr>
            <w:rStyle w:val="Hipervnculo"/>
            <w:rFonts w:ascii="Arial" w:hAnsi="Arial" w:cs="Arial"/>
            <w:sz w:val="24"/>
            <w:szCs w:val="24"/>
            <w:lang w:val="en-GB"/>
          </w:rPr>
          <w:t>https://www.ft.com/content/21a6e7d8-b479-11e3-a09a-00144feabdc0</w:t>
        </w:r>
      </w:hyperlink>
      <w:r w:rsidRPr="004D74DB">
        <w:rPr>
          <w:rFonts w:ascii="Arial" w:hAnsi="Arial" w:cs="Arial"/>
          <w:sz w:val="24"/>
          <w:szCs w:val="24"/>
          <w:lang w:val="en-GB"/>
        </w:rPr>
        <w:t xml:space="preserve"> (Accessed: 26 April 2018).</w:t>
      </w:r>
    </w:p>
    <w:p w:rsidR="00773633" w:rsidRPr="004D74DB" w:rsidRDefault="00773633" w:rsidP="004D74DB">
      <w:pPr>
        <w:shd w:val="clear" w:color="auto" w:fill="FFFFFF" w:themeFill="background1"/>
        <w:spacing w:before="120" w:after="0" w:line="360" w:lineRule="auto"/>
        <w:jc w:val="both"/>
        <w:rPr>
          <w:rFonts w:ascii="Arial" w:hAnsi="Arial" w:cs="Arial"/>
          <w:sz w:val="24"/>
          <w:szCs w:val="24"/>
          <w:lang w:val="en-US"/>
        </w:rPr>
      </w:pPr>
      <w:r w:rsidRPr="004D74DB">
        <w:rPr>
          <w:rFonts w:ascii="Arial" w:hAnsi="Arial" w:cs="Arial"/>
          <w:sz w:val="24"/>
          <w:szCs w:val="24"/>
          <w:lang w:val="es-ES"/>
        </w:rPr>
        <w:t xml:space="preserve">Hernández, M., Hong, L., Frias-Martínez, V. et al. </w:t>
      </w:r>
      <w:r w:rsidRPr="004D74DB">
        <w:rPr>
          <w:rFonts w:ascii="Arial" w:hAnsi="Arial" w:cs="Arial"/>
          <w:sz w:val="24"/>
          <w:szCs w:val="24"/>
          <w:lang w:val="en-US"/>
        </w:rPr>
        <w:t>(2017), Estimating Poverty Using Cell Phone Data. Evidence from Guatemala, World Bank Working Paper, 7969.</w:t>
      </w:r>
    </w:p>
    <w:p w:rsidR="00857959" w:rsidRPr="004D74DB" w:rsidRDefault="00857959" w:rsidP="004D74DB">
      <w:pPr>
        <w:shd w:val="clear" w:color="auto" w:fill="FFFFFF" w:themeFill="background1"/>
        <w:spacing w:before="120" w:after="0" w:line="360" w:lineRule="auto"/>
        <w:jc w:val="both"/>
        <w:rPr>
          <w:rFonts w:ascii="Arial" w:hAnsi="Arial" w:cs="Arial"/>
          <w:sz w:val="24"/>
          <w:szCs w:val="24"/>
          <w:lang w:val="en-GB"/>
        </w:rPr>
      </w:pPr>
      <w:r w:rsidRPr="004D74DB">
        <w:rPr>
          <w:rFonts w:ascii="Arial" w:hAnsi="Arial" w:cs="Arial"/>
          <w:sz w:val="24"/>
          <w:szCs w:val="24"/>
          <w:lang w:val="en-GB"/>
        </w:rPr>
        <w:t xml:space="preserve">Klein, T., </w:t>
      </w:r>
      <w:r w:rsidR="00A6346A" w:rsidRPr="004D74DB">
        <w:rPr>
          <w:rFonts w:ascii="Arial" w:hAnsi="Arial" w:cs="Arial"/>
          <w:sz w:val="24"/>
          <w:szCs w:val="24"/>
          <w:lang w:val="en-GB"/>
        </w:rPr>
        <w:t>and</w:t>
      </w:r>
      <w:r w:rsidRPr="004D74DB">
        <w:rPr>
          <w:rFonts w:ascii="Arial" w:hAnsi="Arial" w:cs="Arial"/>
          <w:sz w:val="24"/>
          <w:szCs w:val="24"/>
          <w:lang w:val="en-GB"/>
        </w:rPr>
        <w:t>Verhulst, S. (2017)</w:t>
      </w:r>
      <w:r w:rsidR="00A6346A" w:rsidRPr="004D74DB">
        <w:rPr>
          <w:rFonts w:ascii="Arial" w:hAnsi="Arial" w:cs="Arial"/>
          <w:sz w:val="24"/>
          <w:szCs w:val="24"/>
          <w:lang w:val="en-GB"/>
        </w:rPr>
        <w:t>,</w:t>
      </w:r>
      <w:r w:rsidR="005372E4">
        <w:rPr>
          <w:rFonts w:ascii="Arial" w:hAnsi="Arial" w:cs="Arial"/>
          <w:sz w:val="24"/>
          <w:szCs w:val="24"/>
          <w:lang w:val="en-GB"/>
        </w:rPr>
        <w:t xml:space="preserve"> </w:t>
      </w:r>
      <w:r w:rsidR="00A6346A" w:rsidRPr="004D74DB">
        <w:rPr>
          <w:rFonts w:ascii="Arial" w:hAnsi="Arial" w:cs="Arial"/>
          <w:sz w:val="24"/>
          <w:szCs w:val="24"/>
          <w:lang w:val="en-GB"/>
        </w:rPr>
        <w:t>Access to New Data Sources for Statistics: Business Models and Incentives for the Corporate Sector</w:t>
      </w:r>
      <w:r w:rsidR="00773633" w:rsidRPr="004D74DB">
        <w:rPr>
          <w:rFonts w:ascii="Arial" w:hAnsi="Arial" w:cs="Arial"/>
          <w:sz w:val="24"/>
          <w:szCs w:val="24"/>
          <w:lang w:val="en-GB"/>
        </w:rPr>
        <w:t xml:space="preserve">, </w:t>
      </w:r>
      <w:r w:rsidRPr="004D74DB">
        <w:rPr>
          <w:rFonts w:ascii="Arial" w:hAnsi="Arial" w:cs="Arial"/>
          <w:sz w:val="24"/>
          <w:szCs w:val="24"/>
          <w:lang w:val="en-GB"/>
        </w:rPr>
        <w:t>OECD Statistics Working Papers</w:t>
      </w:r>
      <w:r w:rsidR="00A6346A" w:rsidRPr="004D74DB">
        <w:rPr>
          <w:rFonts w:ascii="Arial" w:hAnsi="Arial" w:cs="Arial"/>
          <w:sz w:val="24"/>
          <w:szCs w:val="24"/>
          <w:lang w:val="en-GB"/>
        </w:rPr>
        <w:t xml:space="preserve"> (2017/06), </w:t>
      </w:r>
      <w:r w:rsidRPr="004D74DB">
        <w:rPr>
          <w:rFonts w:ascii="Arial" w:hAnsi="Arial" w:cs="Arial"/>
          <w:sz w:val="24"/>
          <w:szCs w:val="24"/>
          <w:lang w:val="en-GB"/>
        </w:rPr>
        <w:t>OECD</w:t>
      </w:r>
      <w:r w:rsidR="00A6346A" w:rsidRPr="004D74DB">
        <w:rPr>
          <w:rFonts w:ascii="Arial" w:hAnsi="Arial" w:cs="Arial"/>
          <w:sz w:val="24"/>
          <w:szCs w:val="24"/>
          <w:lang w:val="en-GB"/>
        </w:rPr>
        <w:t>, Paris.</w:t>
      </w:r>
    </w:p>
    <w:p w:rsidR="00857959" w:rsidRPr="004D74DB" w:rsidRDefault="00857959" w:rsidP="004D74DB">
      <w:pPr>
        <w:shd w:val="clear" w:color="auto" w:fill="FFFFFF" w:themeFill="background1"/>
        <w:spacing w:before="120" w:after="0" w:line="360" w:lineRule="auto"/>
        <w:jc w:val="both"/>
        <w:rPr>
          <w:rFonts w:ascii="Arial" w:hAnsi="Arial" w:cs="Arial"/>
          <w:sz w:val="24"/>
          <w:szCs w:val="24"/>
          <w:lang w:val="en-GB"/>
        </w:rPr>
      </w:pPr>
      <w:r w:rsidRPr="004D74DB">
        <w:rPr>
          <w:rFonts w:ascii="Arial" w:hAnsi="Arial" w:cs="Arial"/>
          <w:sz w:val="24"/>
          <w:szCs w:val="24"/>
          <w:lang w:val="en-GB"/>
        </w:rPr>
        <w:t xml:space="preserve">Marchetti, S., Giusti, C., </w:t>
      </w:r>
      <w:r w:rsidR="00773633" w:rsidRPr="004D74DB">
        <w:rPr>
          <w:rFonts w:ascii="Arial" w:hAnsi="Arial" w:cs="Arial"/>
          <w:sz w:val="24"/>
          <w:szCs w:val="24"/>
          <w:lang w:val="en-GB"/>
        </w:rPr>
        <w:t>and</w:t>
      </w:r>
      <w:r w:rsidR="005372E4">
        <w:rPr>
          <w:rFonts w:ascii="Arial" w:hAnsi="Arial" w:cs="Arial"/>
          <w:sz w:val="24"/>
          <w:szCs w:val="24"/>
          <w:lang w:val="en-GB"/>
        </w:rPr>
        <w:t xml:space="preserve"> </w:t>
      </w:r>
      <w:r w:rsidRPr="004D74DB">
        <w:rPr>
          <w:rFonts w:ascii="Arial" w:hAnsi="Arial" w:cs="Arial"/>
          <w:sz w:val="24"/>
          <w:szCs w:val="24"/>
          <w:lang w:val="en-GB"/>
        </w:rPr>
        <w:t xml:space="preserve">Pratesi, M. (2017). The </w:t>
      </w:r>
      <w:r w:rsidR="00A6346A" w:rsidRPr="004D74DB">
        <w:rPr>
          <w:rFonts w:ascii="Arial" w:hAnsi="Arial" w:cs="Arial"/>
          <w:sz w:val="24"/>
          <w:szCs w:val="24"/>
          <w:lang w:val="en-GB"/>
        </w:rPr>
        <w:t xml:space="preserve">Use of Big Data from Twitter for Small Area Estimation of Households' Share of Food Consumption Expenditure in </w:t>
      </w:r>
      <w:r w:rsidRPr="004D74DB">
        <w:rPr>
          <w:rFonts w:ascii="Arial" w:hAnsi="Arial" w:cs="Arial"/>
          <w:sz w:val="24"/>
          <w:szCs w:val="24"/>
          <w:lang w:val="en-GB"/>
        </w:rPr>
        <w:t>Italy</w:t>
      </w:r>
      <w:r w:rsidR="00A6346A" w:rsidRPr="004D74DB">
        <w:rPr>
          <w:rFonts w:ascii="Arial" w:hAnsi="Arial" w:cs="Arial"/>
          <w:sz w:val="24"/>
          <w:szCs w:val="24"/>
          <w:lang w:val="en-GB"/>
        </w:rPr>
        <w:t xml:space="preserve"> (pp.44-58)</w:t>
      </w:r>
      <w:r w:rsidRPr="004D74DB">
        <w:rPr>
          <w:rFonts w:ascii="Arial" w:hAnsi="Arial" w:cs="Arial"/>
          <w:sz w:val="24"/>
          <w:szCs w:val="24"/>
          <w:lang w:val="en-GB"/>
        </w:rPr>
        <w:t>. In C. Articus et al. (Eds.)</w:t>
      </w:r>
      <w:r w:rsidR="00A6346A" w:rsidRPr="004D74DB">
        <w:rPr>
          <w:rFonts w:ascii="Arial" w:hAnsi="Arial" w:cs="Arial"/>
          <w:sz w:val="24"/>
          <w:szCs w:val="24"/>
          <w:lang w:val="en-GB"/>
        </w:rPr>
        <w:t>,</w:t>
      </w:r>
      <w:r w:rsidRPr="004D74DB">
        <w:rPr>
          <w:rFonts w:ascii="Arial" w:hAnsi="Arial" w:cs="Arial"/>
          <w:sz w:val="24"/>
          <w:szCs w:val="24"/>
          <w:lang w:val="en-GB"/>
        </w:rPr>
        <w:t xml:space="preserve"> Future </w:t>
      </w:r>
      <w:r w:rsidR="00A6346A" w:rsidRPr="004D74DB">
        <w:rPr>
          <w:rFonts w:ascii="Arial" w:hAnsi="Arial" w:cs="Arial"/>
          <w:sz w:val="24"/>
          <w:szCs w:val="24"/>
          <w:lang w:val="en-GB"/>
        </w:rPr>
        <w:t xml:space="preserve">Needs in Statistics, </w:t>
      </w:r>
      <w:r w:rsidRPr="004D74DB">
        <w:rPr>
          <w:rFonts w:ascii="Arial" w:hAnsi="Arial" w:cs="Arial"/>
          <w:sz w:val="24"/>
          <w:szCs w:val="24"/>
          <w:lang w:val="en-GB"/>
        </w:rPr>
        <w:t>InGRID Deliverable 23.2</w:t>
      </w:r>
      <w:r w:rsidR="00A6346A" w:rsidRPr="004D74DB">
        <w:rPr>
          <w:rFonts w:ascii="Arial" w:hAnsi="Arial" w:cs="Arial"/>
          <w:sz w:val="24"/>
          <w:szCs w:val="24"/>
          <w:lang w:val="en-GB"/>
        </w:rPr>
        <w:t xml:space="preserve">, InGRID project, </w:t>
      </w:r>
      <w:r w:rsidRPr="004D74DB">
        <w:rPr>
          <w:rFonts w:ascii="Arial" w:hAnsi="Arial" w:cs="Arial"/>
          <w:sz w:val="24"/>
          <w:szCs w:val="24"/>
          <w:lang w:val="en-GB"/>
        </w:rPr>
        <w:t>Trier.</w:t>
      </w:r>
    </w:p>
    <w:p w:rsidR="00857959" w:rsidRPr="004D74DB" w:rsidRDefault="00857959" w:rsidP="004D74DB">
      <w:pPr>
        <w:shd w:val="clear" w:color="auto" w:fill="FFFFFF" w:themeFill="background1"/>
        <w:spacing w:before="120" w:after="0" w:line="360" w:lineRule="auto"/>
        <w:jc w:val="both"/>
        <w:rPr>
          <w:rFonts w:ascii="Arial" w:hAnsi="Arial" w:cs="Arial"/>
          <w:sz w:val="24"/>
          <w:szCs w:val="24"/>
          <w:lang w:val="en-GB"/>
        </w:rPr>
      </w:pPr>
      <w:r w:rsidRPr="004D74DB">
        <w:rPr>
          <w:rFonts w:ascii="Arial" w:hAnsi="Arial" w:cs="Arial"/>
          <w:sz w:val="24"/>
          <w:szCs w:val="24"/>
          <w:lang w:val="en-GB"/>
        </w:rPr>
        <w:t>Marchetti, S., Giusti, C., Pratesi, M., et al. (2015)</w:t>
      </w:r>
      <w:r w:rsidR="00A6346A" w:rsidRPr="004D74DB">
        <w:rPr>
          <w:rFonts w:ascii="Arial" w:hAnsi="Arial" w:cs="Arial"/>
          <w:sz w:val="24"/>
          <w:szCs w:val="24"/>
          <w:lang w:val="en-GB"/>
        </w:rPr>
        <w:t xml:space="preserve">, </w:t>
      </w:r>
      <w:r w:rsidRPr="004D74DB">
        <w:rPr>
          <w:rFonts w:ascii="Arial" w:hAnsi="Arial" w:cs="Arial"/>
          <w:sz w:val="24"/>
          <w:szCs w:val="24"/>
          <w:lang w:val="en-GB"/>
        </w:rPr>
        <w:t xml:space="preserve">Small </w:t>
      </w:r>
      <w:r w:rsidR="00A6346A" w:rsidRPr="004D74DB">
        <w:rPr>
          <w:rFonts w:ascii="Arial" w:hAnsi="Arial" w:cs="Arial"/>
          <w:sz w:val="24"/>
          <w:szCs w:val="24"/>
          <w:lang w:val="en-GB"/>
        </w:rPr>
        <w:t xml:space="preserve">Area Model-Based Estimators Using Big Data Sources, </w:t>
      </w:r>
      <w:r w:rsidRPr="004D74DB">
        <w:rPr>
          <w:rFonts w:ascii="Arial" w:hAnsi="Arial" w:cs="Arial"/>
          <w:sz w:val="24"/>
          <w:szCs w:val="24"/>
          <w:lang w:val="en-GB"/>
        </w:rPr>
        <w:t>Journal of Official Statistics, 31(2), pp. 263-281.</w:t>
      </w:r>
    </w:p>
    <w:p w:rsidR="00A6346A" w:rsidRPr="00857959" w:rsidRDefault="00857959" w:rsidP="004D74DB">
      <w:pPr>
        <w:shd w:val="clear" w:color="auto" w:fill="FFFFFF" w:themeFill="background1"/>
        <w:spacing w:before="120" w:after="0" w:line="360" w:lineRule="auto"/>
        <w:jc w:val="both"/>
        <w:rPr>
          <w:rFonts w:ascii="Arial" w:hAnsi="Arial" w:cs="Arial"/>
          <w:sz w:val="24"/>
          <w:szCs w:val="24"/>
          <w:lang w:val="en-GB"/>
        </w:rPr>
      </w:pPr>
      <w:r w:rsidRPr="004D74DB">
        <w:rPr>
          <w:rFonts w:ascii="Arial" w:hAnsi="Arial" w:cs="Arial"/>
          <w:sz w:val="24"/>
          <w:szCs w:val="24"/>
          <w:lang w:val="es-ES"/>
        </w:rPr>
        <w:t xml:space="preserve">Vaitla, B., Bosco, C., Alegana, V. et al. </w:t>
      </w:r>
      <w:r w:rsidRPr="004D74DB">
        <w:rPr>
          <w:rFonts w:ascii="Arial" w:hAnsi="Arial" w:cs="Arial"/>
          <w:sz w:val="24"/>
          <w:szCs w:val="24"/>
          <w:lang w:val="en-GB"/>
        </w:rPr>
        <w:t>(2017)</w:t>
      </w:r>
      <w:r w:rsidR="00A6346A" w:rsidRPr="004D74DB">
        <w:rPr>
          <w:rFonts w:ascii="Arial" w:hAnsi="Arial" w:cs="Arial"/>
          <w:sz w:val="24"/>
          <w:szCs w:val="24"/>
          <w:lang w:val="en-GB"/>
        </w:rPr>
        <w:t xml:space="preserve">, </w:t>
      </w:r>
      <w:r w:rsidRPr="004D74DB">
        <w:rPr>
          <w:rFonts w:ascii="Arial" w:hAnsi="Arial" w:cs="Arial"/>
          <w:sz w:val="24"/>
          <w:szCs w:val="24"/>
          <w:lang w:val="en-GB"/>
        </w:rPr>
        <w:t xml:space="preserve">Big </w:t>
      </w:r>
      <w:r w:rsidR="00A6346A" w:rsidRPr="004D74DB">
        <w:rPr>
          <w:rFonts w:ascii="Arial" w:hAnsi="Arial" w:cs="Arial"/>
          <w:sz w:val="24"/>
          <w:szCs w:val="24"/>
          <w:lang w:val="en-GB"/>
        </w:rPr>
        <w:t>Data and The Well-Being of Women and Girls</w:t>
      </w:r>
      <w:r w:rsidR="00773633" w:rsidRPr="004D74DB">
        <w:rPr>
          <w:rFonts w:ascii="Arial" w:hAnsi="Arial" w:cs="Arial"/>
          <w:sz w:val="24"/>
          <w:szCs w:val="24"/>
          <w:lang w:val="en-GB"/>
        </w:rPr>
        <w:t xml:space="preserve">, </w:t>
      </w:r>
      <w:r w:rsidRPr="004D74DB">
        <w:rPr>
          <w:rFonts w:ascii="Arial" w:hAnsi="Arial" w:cs="Arial"/>
          <w:sz w:val="24"/>
          <w:szCs w:val="24"/>
          <w:lang w:val="en-GB"/>
        </w:rPr>
        <w:t>Report o</w:t>
      </w:r>
      <w:r w:rsidR="00A6346A" w:rsidRPr="004D74DB">
        <w:rPr>
          <w:rFonts w:ascii="Arial" w:hAnsi="Arial" w:cs="Arial"/>
          <w:sz w:val="24"/>
          <w:szCs w:val="24"/>
          <w:lang w:val="en-GB"/>
        </w:rPr>
        <w:t xml:space="preserve">f Data2X with the UN Foundation. Available at: </w:t>
      </w:r>
      <w:r w:rsidRPr="004D74DB">
        <w:rPr>
          <w:rFonts w:ascii="Arial" w:hAnsi="Arial" w:cs="Arial"/>
          <w:sz w:val="24"/>
          <w:szCs w:val="24"/>
          <w:lang w:val="en-GB"/>
        </w:rPr>
        <w:t xml:space="preserve"> http://humnetlab.mit.edu/wordpress/publications/</w:t>
      </w:r>
      <w:r w:rsidR="00A6346A" w:rsidRPr="004D74DB">
        <w:rPr>
          <w:rFonts w:ascii="Arial" w:hAnsi="Arial" w:cs="Arial"/>
          <w:sz w:val="24"/>
          <w:szCs w:val="24"/>
          <w:lang w:val="en-GB"/>
        </w:rPr>
        <w:t xml:space="preserve"> (Accessed: 26 February 2018).</w:t>
      </w:r>
    </w:p>
    <w:sectPr w:rsidR="00A6346A" w:rsidRPr="00857959"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C89" w:rsidRDefault="00A60C89" w:rsidP="00E82B25">
      <w:pPr>
        <w:spacing w:after="0" w:line="240" w:lineRule="auto"/>
      </w:pPr>
      <w:r>
        <w:separator/>
      </w:r>
    </w:p>
  </w:endnote>
  <w:endnote w:type="continuationSeparator" w:id="1">
    <w:p w:rsidR="00A60C89" w:rsidRDefault="00A60C89" w:rsidP="00E8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6665"/>
      <w:docPartObj>
        <w:docPartGallery w:val="Page Numbers (Bottom of Page)"/>
        <w:docPartUnique/>
      </w:docPartObj>
    </w:sdtPr>
    <w:sdtEndPr>
      <w:rPr>
        <w:rFonts w:ascii="Arial" w:hAnsi="Arial" w:cs="Arial"/>
        <w:sz w:val="24"/>
        <w:szCs w:val="24"/>
      </w:rPr>
    </w:sdtEndPr>
    <w:sdtContent>
      <w:p w:rsidR="00E10DA2" w:rsidRPr="009378F5" w:rsidRDefault="00264605" w:rsidP="0035694D">
        <w:pPr>
          <w:pStyle w:val="Piedepgina"/>
          <w:jc w:val="right"/>
          <w:rPr>
            <w:rFonts w:ascii="Arial" w:hAnsi="Arial" w:cs="Arial"/>
            <w:sz w:val="24"/>
            <w:szCs w:val="24"/>
          </w:rPr>
        </w:pPr>
        <w:r w:rsidRPr="009378F5">
          <w:rPr>
            <w:rFonts w:ascii="Arial" w:hAnsi="Arial" w:cs="Arial"/>
            <w:sz w:val="24"/>
            <w:szCs w:val="24"/>
          </w:rPr>
          <w:fldChar w:fldCharType="begin"/>
        </w:r>
        <w:r w:rsidR="00E10DA2" w:rsidRPr="009378F5">
          <w:rPr>
            <w:rFonts w:ascii="Arial" w:hAnsi="Arial" w:cs="Arial"/>
            <w:sz w:val="24"/>
            <w:szCs w:val="24"/>
          </w:rPr>
          <w:instrText>PAGE   \* MERGEFORMAT</w:instrText>
        </w:r>
        <w:r w:rsidRPr="009378F5">
          <w:rPr>
            <w:rFonts w:ascii="Arial" w:hAnsi="Arial" w:cs="Arial"/>
            <w:sz w:val="24"/>
            <w:szCs w:val="24"/>
          </w:rPr>
          <w:fldChar w:fldCharType="separate"/>
        </w:r>
        <w:r w:rsidR="003C7B23">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C89" w:rsidRDefault="00A60C89" w:rsidP="00E82B25">
      <w:pPr>
        <w:spacing w:after="0" w:line="240" w:lineRule="auto"/>
      </w:pPr>
      <w:r>
        <w:separator/>
      </w:r>
    </w:p>
  </w:footnote>
  <w:footnote w:type="continuationSeparator" w:id="1">
    <w:p w:rsidR="00A60C89" w:rsidRDefault="00A60C89" w:rsidP="00E82B25">
      <w:pPr>
        <w:spacing w:after="0" w:line="240" w:lineRule="auto"/>
      </w:pPr>
      <w:r>
        <w:continuationSeparator/>
      </w:r>
    </w:p>
  </w:footnote>
  <w:footnote w:id="2">
    <w:p w:rsidR="006B19EE" w:rsidRPr="002F42E1" w:rsidRDefault="006B19EE" w:rsidP="002F42E1">
      <w:pPr>
        <w:pStyle w:val="Textonotapie"/>
        <w:jc w:val="both"/>
        <w:rPr>
          <w:rFonts w:ascii="Arial" w:hAnsi="Arial" w:cs="Arial"/>
          <w:lang w:val="en-US"/>
        </w:rPr>
      </w:pPr>
      <w:r w:rsidRPr="002F42E1">
        <w:rPr>
          <w:rStyle w:val="Refdenotaalpie"/>
          <w:rFonts w:ascii="Arial" w:hAnsi="Arial" w:cs="Arial"/>
        </w:rPr>
        <w:footnoteRef/>
      </w:r>
      <w:r w:rsidRPr="002F42E1">
        <w:rPr>
          <w:rFonts w:ascii="Arial" w:hAnsi="Arial" w:cs="Arial"/>
          <w:lang w:val="en-US"/>
        </w:rPr>
        <w:t xml:space="preserve">This </w:t>
      </w:r>
      <w:r w:rsidR="002F42E1" w:rsidRPr="002F42E1">
        <w:rPr>
          <w:rFonts w:ascii="Arial" w:hAnsi="Arial" w:cs="Arial"/>
          <w:lang w:val="en-US"/>
        </w:rPr>
        <w:t xml:space="preserve">paper is part on an ongoing </w:t>
      </w:r>
      <w:r w:rsidR="00175E26">
        <w:rPr>
          <w:rFonts w:ascii="Arial" w:hAnsi="Arial" w:cs="Arial"/>
          <w:lang w:val="en-US"/>
        </w:rPr>
        <w:t>p</w:t>
      </w:r>
      <w:r w:rsidR="002F42E1" w:rsidRPr="002F42E1">
        <w:rPr>
          <w:rFonts w:ascii="Arial" w:hAnsi="Arial" w:cs="Arial"/>
          <w:lang w:val="en-US"/>
        </w:rPr>
        <w:t xml:space="preserve">roject about the use of big data sources to improve official statistics in middle/low income countries. </w:t>
      </w:r>
    </w:p>
  </w:footnote>
  <w:footnote w:id="3">
    <w:p w:rsidR="00E10DA2" w:rsidRPr="00815A31" w:rsidRDefault="005372E4" w:rsidP="00815A31">
      <w:pPr>
        <w:spacing w:before="120" w:after="0" w:line="360" w:lineRule="auto"/>
        <w:jc w:val="both"/>
        <w:rPr>
          <w:rFonts w:ascii="Arial" w:hAnsi="Arial" w:cs="Arial"/>
          <w:sz w:val="20"/>
          <w:szCs w:val="20"/>
          <w:lang w:val="en-GB"/>
        </w:rPr>
      </w:pPr>
      <w:r>
        <w:rPr>
          <w:rFonts w:ascii="Arial" w:hAnsi="Arial" w:cs="Arial"/>
          <w:sz w:val="20"/>
          <w:szCs w:val="20"/>
        </w:rPr>
        <w:t xml:space="preserve"> </w:t>
      </w:r>
      <w:r w:rsidR="00E10DA2" w:rsidRPr="00815A31">
        <w:rPr>
          <w:rStyle w:val="Refdenotaalpie"/>
          <w:rFonts w:ascii="Arial" w:hAnsi="Arial" w:cs="Arial"/>
          <w:sz w:val="20"/>
          <w:szCs w:val="20"/>
        </w:rPr>
        <w:footnoteRef/>
      </w:r>
      <w:r w:rsidR="00E10DA2">
        <w:rPr>
          <w:rFonts w:ascii="Arial" w:hAnsi="Arial" w:cs="Arial"/>
          <w:sz w:val="20"/>
          <w:szCs w:val="20"/>
        </w:rPr>
        <w:t xml:space="preserve">See </w:t>
      </w:r>
      <w:r w:rsidR="00E10DA2" w:rsidRPr="00815A31">
        <w:rPr>
          <w:rFonts w:ascii="Arial" w:hAnsi="Arial" w:cs="Arial"/>
          <w:sz w:val="20"/>
          <w:szCs w:val="20"/>
          <w:lang w:val="en-GB"/>
        </w:rPr>
        <w:t xml:space="preserve">Hernández et al. (2017) </w:t>
      </w:r>
      <w:r w:rsidR="00E10DA2">
        <w:rPr>
          <w:rFonts w:ascii="Arial" w:hAnsi="Arial" w:cs="Arial"/>
          <w:sz w:val="20"/>
          <w:szCs w:val="20"/>
          <w:lang w:val="en-GB"/>
        </w:rPr>
        <w:t xml:space="preserve">for a recent application of </w:t>
      </w:r>
      <w:r w:rsidR="00E10DA2" w:rsidRPr="00815A31">
        <w:rPr>
          <w:rFonts w:ascii="Arial" w:hAnsi="Arial" w:cs="Arial"/>
          <w:sz w:val="20"/>
          <w:szCs w:val="20"/>
          <w:lang w:val="en-GB"/>
        </w:rPr>
        <w:t>cell phone data to estimate poverty rates in Guatemala.</w:t>
      </w:r>
    </w:p>
    <w:p w:rsidR="00E10DA2" w:rsidRPr="00815A31" w:rsidRDefault="00E10DA2">
      <w:pPr>
        <w:pStyle w:val="Textonotapie"/>
        <w:rPr>
          <w:lang w:val="en-GB"/>
        </w:rPr>
      </w:pPr>
    </w:p>
  </w:footnote>
  <w:footnote w:id="4">
    <w:p w:rsidR="00E10DA2" w:rsidRPr="004C6B1E" w:rsidRDefault="00E10DA2">
      <w:pPr>
        <w:pStyle w:val="Textonotapie"/>
        <w:rPr>
          <w:rFonts w:ascii="Arial" w:hAnsi="Arial" w:cs="Arial"/>
          <w:lang w:val="en-US"/>
        </w:rPr>
      </w:pPr>
      <w:r w:rsidRPr="004C6B1E">
        <w:rPr>
          <w:rStyle w:val="Refdenotaalpie"/>
          <w:rFonts w:ascii="Arial" w:hAnsi="Arial" w:cs="Arial"/>
        </w:rPr>
        <w:footnoteRef/>
      </w:r>
      <w:r w:rsidR="005372E4">
        <w:rPr>
          <w:rFonts w:ascii="Arial" w:hAnsi="Arial" w:cs="Arial"/>
          <w:lang w:val="en-US"/>
        </w:rPr>
        <w:t xml:space="preserve"> </w:t>
      </w:r>
      <w:r w:rsidRPr="004C6B1E">
        <w:rPr>
          <w:rFonts w:ascii="Arial" w:hAnsi="Arial" w:cs="Arial"/>
          <w:lang w:val="en-US"/>
        </w:rPr>
        <w:t>Names are omitted for confidentiality reasons.</w:t>
      </w:r>
    </w:p>
  </w:footnote>
  <w:footnote w:id="5">
    <w:p w:rsidR="00610FA1" w:rsidRPr="00D21A51" w:rsidRDefault="00610FA1">
      <w:pPr>
        <w:pStyle w:val="Textonotapie"/>
        <w:rPr>
          <w:rFonts w:ascii="Arial" w:hAnsi="Arial" w:cs="Arial"/>
          <w:lang w:val="en-US"/>
        </w:rPr>
      </w:pPr>
      <w:r w:rsidRPr="00D21A51">
        <w:rPr>
          <w:rStyle w:val="Refdenotaalpie"/>
          <w:rFonts w:ascii="Arial" w:hAnsi="Arial" w:cs="Arial"/>
        </w:rPr>
        <w:footnoteRef/>
      </w:r>
      <w:r w:rsidRPr="00D21A51">
        <w:rPr>
          <w:rFonts w:ascii="Arial" w:hAnsi="Arial" w:cs="Arial"/>
        </w:rPr>
        <w:t xml:space="preserve"> As stated in the previous footnote,</w:t>
      </w:r>
      <w:r w:rsidR="00D21A51">
        <w:rPr>
          <w:rFonts w:ascii="Arial" w:hAnsi="Arial" w:cs="Arial"/>
        </w:rPr>
        <w:t xml:space="preserve"> specific</w:t>
      </w:r>
      <w:r w:rsidRPr="00D21A51">
        <w:rPr>
          <w:rFonts w:ascii="Arial" w:hAnsi="Arial" w:cs="Arial"/>
        </w:rPr>
        <w:t xml:space="preserve"> n</w:t>
      </w:r>
      <w:r w:rsidRPr="00D21A51">
        <w:rPr>
          <w:rFonts w:ascii="Arial" w:hAnsi="Arial" w:cs="Arial"/>
          <w:lang w:val="en-US"/>
        </w:rPr>
        <w:t>ames are omitted for confidentiality reasons.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2" w:rsidRDefault="00264605">
    <w:pPr>
      <w:pStyle w:val="Encabezado"/>
    </w:pPr>
    <w:r w:rsidRPr="00264605">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2" w:rsidRDefault="00264605">
    <w:pPr>
      <w:pStyle w:val="Encabezado"/>
    </w:pPr>
    <w:r w:rsidRPr="00264605">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2" w:rsidRDefault="00264605">
    <w:pPr>
      <w:pStyle w:val="Encabezado"/>
    </w:pPr>
    <w:r w:rsidRPr="00264605">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0F3"/>
    <w:multiLevelType w:val="hybridMultilevel"/>
    <w:tmpl w:val="C752133E"/>
    <w:lvl w:ilvl="0" w:tplc="927641F0">
      <w:start w:val="1"/>
      <w:numFmt w:val="bullet"/>
      <w:lvlText w:val="•"/>
      <w:lvlJc w:val="left"/>
      <w:pPr>
        <w:tabs>
          <w:tab w:val="num" w:pos="720"/>
        </w:tabs>
        <w:ind w:left="720" w:hanging="360"/>
      </w:pPr>
      <w:rPr>
        <w:rFonts w:ascii="Arial" w:hAnsi="Arial" w:hint="default"/>
      </w:rPr>
    </w:lvl>
    <w:lvl w:ilvl="1" w:tplc="1FC29E5C" w:tentative="1">
      <w:start w:val="1"/>
      <w:numFmt w:val="bullet"/>
      <w:lvlText w:val="•"/>
      <w:lvlJc w:val="left"/>
      <w:pPr>
        <w:tabs>
          <w:tab w:val="num" w:pos="1440"/>
        </w:tabs>
        <w:ind w:left="1440" w:hanging="360"/>
      </w:pPr>
      <w:rPr>
        <w:rFonts w:ascii="Arial" w:hAnsi="Arial" w:hint="default"/>
      </w:rPr>
    </w:lvl>
    <w:lvl w:ilvl="2" w:tplc="DC8C6B06" w:tentative="1">
      <w:start w:val="1"/>
      <w:numFmt w:val="bullet"/>
      <w:lvlText w:val="•"/>
      <w:lvlJc w:val="left"/>
      <w:pPr>
        <w:tabs>
          <w:tab w:val="num" w:pos="2160"/>
        </w:tabs>
        <w:ind w:left="2160" w:hanging="360"/>
      </w:pPr>
      <w:rPr>
        <w:rFonts w:ascii="Arial" w:hAnsi="Arial" w:hint="default"/>
      </w:rPr>
    </w:lvl>
    <w:lvl w:ilvl="3" w:tplc="3A0A225E" w:tentative="1">
      <w:start w:val="1"/>
      <w:numFmt w:val="bullet"/>
      <w:lvlText w:val="•"/>
      <w:lvlJc w:val="left"/>
      <w:pPr>
        <w:tabs>
          <w:tab w:val="num" w:pos="2880"/>
        </w:tabs>
        <w:ind w:left="2880" w:hanging="360"/>
      </w:pPr>
      <w:rPr>
        <w:rFonts w:ascii="Arial" w:hAnsi="Arial" w:hint="default"/>
      </w:rPr>
    </w:lvl>
    <w:lvl w:ilvl="4" w:tplc="D862EABA" w:tentative="1">
      <w:start w:val="1"/>
      <w:numFmt w:val="bullet"/>
      <w:lvlText w:val="•"/>
      <w:lvlJc w:val="left"/>
      <w:pPr>
        <w:tabs>
          <w:tab w:val="num" w:pos="3600"/>
        </w:tabs>
        <w:ind w:left="3600" w:hanging="360"/>
      </w:pPr>
      <w:rPr>
        <w:rFonts w:ascii="Arial" w:hAnsi="Arial" w:hint="default"/>
      </w:rPr>
    </w:lvl>
    <w:lvl w:ilvl="5" w:tplc="8916B9C8" w:tentative="1">
      <w:start w:val="1"/>
      <w:numFmt w:val="bullet"/>
      <w:lvlText w:val="•"/>
      <w:lvlJc w:val="left"/>
      <w:pPr>
        <w:tabs>
          <w:tab w:val="num" w:pos="4320"/>
        </w:tabs>
        <w:ind w:left="4320" w:hanging="360"/>
      </w:pPr>
      <w:rPr>
        <w:rFonts w:ascii="Arial" w:hAnsi="Arial" w:hint="default"/>
      </w:rPr>
    </w:lvl>
    <w:lvl w:ilvl="6" w:tplc="C45A265E" w:tentative="1">
      <w:start w:val="1"/>
      <w:numFmt w:val="bullet"/>
      <w:lvlText w:val="•"/>
      <w:lvlJc w:val="left"/>
      <w:pPr>
        <w:tabs>
          <w:tab w:val="num" w:pos="5040"/>
        </w:tabs>
        <w:ind w:left="5040" w:hanging="360"/>
      </w:pPr>
      <w:rPr>
        <w:rFonts w:ascii="Arial" w:hAnsi="Arial" w:hint="default"/>
      </w:rPr>
    </w:lvl>
    <w:lvl w:ilvl="7" w:tplc="486838FA" w:tentative="1">
      <w:start w:val="1"/>
      <w:numFmt w:val="bullet"/>
      <w:lvlText w:val="•"/>
      <w:lvlJc w:val="left"/>
      <w:pPr>
        <w:tabs>
          <w:tab w:val="num" w:pos="5760"/>
        </w:tabs>
        <w:ind w:left="5760" w:hanging="360"/>
      </w:pPr>
      <w:rPr>
        <w:rFonts w:ascii="Arial" w:hAnsi="Arial" w:hint="default"/>
      </w:rPr>
    </w:lvl>
    <w:lvl w:ilvl="8" w:tplc="185868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E369C"/>
    <w:rsid w:val="00000BCA"/>
    <w:rsid w:val="000058E9"/>
    <w:rsid w:val="00022F71"/>
    <w:rsid w:val="0002464A"/>
    <w:rsid w:val="00026CD3"/>
    <w:rsid w:val="00047C24"/>
    <w:rsid w:val="0005688C"/>
    <w:rsid w:val="000677F0"/>
    <w:rsid w:val="00070925"/>
    <w:rsid w:val="00075ABA"/>
    <w:rsid w:val="000761C6"/>
    <w:rsid w:val="0007704A"/>
    <w:rsid w:val="000772BE"/>
    <w:rsid w:val="00084A55"/>
    <w:rsid w:val="00084C2E"/>
    <w:rsid w:val="00086116"/>
    <w:rsid w:val="00092BF2"/>
    <w:rsid w:val="000957CC"/>
    <w:rsid w:val="000B1BC8"/>
    <w:rsid w:val="000C6472"/>
    <w:rsid w:val="000D422E"/>
    <w:rsid w:val="000D698B"/>
    <w:rsid w:val="000D705A"/>
    <w:rsid w:val="000F337F"/>
    <w:rsid w:val="00101072"/>
    <w:rsid w:val="001054BF"/>
    <w:rsid w:val="00112BD9"/>
    <w:rsid w:val="00114D5C"/>
    <w:rsid w:val="00117E70"/>
    <w:rsid w:val="001315CB"/>
    <w:rsid w:val="00133E07"/>
    <w:rsid w:val="00142A8D"/>
    <w:rsid w:val="00142DF9"/>
    <w:rsid w:val="001435BD"/>
    <w:rsid w:val="00143FBA"/>
    <w:rsid w:val="00157DAD"/>
    <w:rsid w:val="00160406"/>
    <w:rsid w:val="0016243B"/>
    <w:rsid w:val="0016743D"/>
    <w:rsid w:val="00170830"/>
    <w:rsid w:val="00170EC0"/>
    <w:rsid w:val="00175E26"/>
    <w:rsid w:val="00182357"/>
    <w:rsid w:val="00190BBA"/>
    <w:rsid w:val="00193393"/>
    <w:rsid w:val="001A4677"/>
    <w:rsid w:val="001D35CD"/>
    <w:rsid w:val="001E0BFE"/>
    <w:rsid w:val="001E43DC"/>
    <w:rsid w:val="001E731F"/>
    <w:rsid w:val="001F3399"/>
    <w:rsid w:val="00204AA4"/>
    <w:rsid w:val="00207D1C"/>
    <w:rsid w:val="00217771"/>
    <w:rsid w:val="00221F17"/>
    <w:rsid w:val="0022713A"/>
    <w:rsid w:val="00234927"/>
    <w:rsid w:val="0023623C"/>
    <w:rsid w:val="0023678A"/>
    <w:rsid w:val="00242620"/>
    <w:rsid w:val="00264605"/>
    <w:rsid w:val="00266650"/>
    <w:rsid w:val="00277976"/>
    <w:rsid w:val="0028150C"/>
    <w:rsid w:val="00282B53"/>
    <w:rsid w:val="00293580"/>
    <w:rsid w:val="002A3E93"/>
    <w:rsid w:val="002B6D33"/>
    <w:rsid w:val="002D4883"/>
    <w:rsid w:val="002E0092"/>
    <w:rsid w:val="002E7F7A"/>
    <w:rsid w:val="002F42E1"/>
    <w:rsid w:val="0031038B"/>
    <w:rsid w:val="00312234"/>
    <w:rsid w:val="003202E1"/>
    <w:rsid w:val="00322664"/>
    <w:rsid w:val="0032466F"/>
    <w:rsid w:val="00336E21"/>
    <w:rsid w:val="0035694D"/>
    <w:rsid w:val="00356D39"/>
    <w:rsid w:val="00362815"/>
    <w:rsid w:val="00365607"/>
    <w:rsid w:val="00380DF9"/>
    <w:rsid w:val="00391B30"/>
    <w:rsid w:val="00395F69"/>
    <w:rsid w:val="003A1D16"/>
    <w:rsid w:val="003A65B6"/>
    <w:rsid w:val="003C1B49"/>
    <w:rsid w:val="003C348A"/>
    <w:rsid w:val="003C6FD6"/>
    <w:rsid w:val="003C7B23"/>
    <w:rsid w:val="003D6549"/>
    <w:rsid w:val="003E6CE0"/>
    <w:rsid w:val="003F3142"/>
    <w:rsid w:val="00412438"/>
    <w:rsid w:val="004150F5"/>
    <w:rsid w:val="00420B5F"/>
    <w:rsid w:val="004228CA"/>
    <w:rsid w:val="00437BBF"/>
    <w:rsid w:val="00442A7B"/>
    <w:rsid w:val="0045478C"/>
    <w:rsid w:val="00460F80"/>
    <w:rsid w:val="00467C2E"/>
    <w:rsid w:val="00467EB0"/>
    <w:rsid w:val="0047298F"/>
    <w:rsid w:val="004740F1"/>
    <w:rsid w:val="00493026"/>
    <w:rsid w:val="00496681"/>
    <w:rsid w:val="004A12A7"/>
    <w:rsid w:val="004A1A99"/>
    <w:rsid w:val="004B34AA"/>
    <w:rsid w:val="004B39C1"/>
    <w:rsid w:val="004B6729"/>
    <w:rsid w:val="004B74DF"/>
    <w:rsid w:val="004C0B14"/>
    <w:rsid w:val="004C5048"/>
    <w:rsid w:val="004C6B1E"/>
    <w:rsid w:val="004C6F5C"/>
    <w:rsid w:val="004D2BE9"/>
    <w:rsid w:val="004D74DB"/>
    <w:rsid w:val="004E3B38"/>
    <w:rsid w:val="004E4A45"/>
    <w:rsid w:val="004F04B4"/>
    <w:rsid w:val="004F3A42"/>
    <w:rsid w:val="0050698F"/>
    <w:rsid w:val="005215E8"/>
    <w:rsid w:val="00523942"/>
    <w:rsid w:val="00526E6A"/>
    <w:rsid w:val="00530FD6"/>
    <w:rsid w:val="005372E4"/>
    <w:rsid w:val="00542827"/>
    <w:rsid w:val="0055169F"/>
    <w:rsid w:val="0056672A"/>
    <w:rsid w:val="005723EF"/>
    <w:rsid w:val="005812C5"/>
    <w:rsid w:val="0058190C"/>
    <w:rsid w:val="0058503F"/>
    <w:rsid w:val="00590DEB"/>
    <w:rsid w:val="00593A99"/>
    <w:rsid w:val="005A1F57"/>
    <w:rsid w:val="005A4570"/>
    <w:rsid w:val="005B05D6"/>
    <w:rsid w:val="005B6971"/>
    <w:rsid w:val="005B6F57"/>
    <w:rsid w:val="005C3DF8"/>
    <w:rsid w:val="0060410B"/>
    <w:rsid w:val="0060526E"/>
    <w:rsid w:val="006052BF"/>
    <w:rsid w:val="00606A86"/>
    <w:rsid w:val="00610FA1"/>
    <w:rsid w:val="006255E8"/>
    <w:rsid w:val="00631BD0"/>
    <w:rsid w:val="00634C22"/>
    <w:rsid w:val="00635697"/>
    <w:rsid w:val="00640B9A"/>
    <w:rsid w:val="00643BE7"/>
    <w:rsid w:val="00653D6C"/>
    <w:rsid w:val="00667788"/>
    <w:rsid w:val="00671178"/>
    <w:rsid w:val="0068335D"/>
    <w:rsid w:val="00683469"/>
    <w:rsid w:val="0069009D"/>
    <w:rsid w:val="006944F1"/>
    <w:rsid w:val="0069506E"/>
    <w:rsid w:val="00697934"/>
    <w:rsid w:val="006A2D0A"/>
    <w:rsid w:val="006B19EE"/>
    <w:rsid w:val="006B2080"/>
    <w:rsid w:val="006B5A4A"/>
    <w:rsid w:val="006C4282"/>
    <w:rsid w:val="006C5879"/>
    <w:rsid w:val="006C7DE3"/>
    <w:rsid w:val="006D6153"/>
    <w:rsid w:val="006D7EA8"/>
    <w:rsid w:val="007045DA"/>
    <w:rsid w:val="00704AE7"/>
    <w:rsid w:val="007166B8"/>
    <w:rsid w:val="00733D8E"/>
    <w:rsid w:val="00742232"/>
    <w:rsid w:val="00742966"/>
    <w:rsid w:val="0074303D"/>
    <w:rsid w:val="00745FC1"/>
    <w:rsid w:val="00751F0C"/>
    <w:rsid w:val="007630CE"/>
    <w:rsid w:val="007730C4"/>
    <w:rsid w:val="00773633"/>
    <w:rsid w:val="00776C97"/>
    <w:rsid w:val="00793071"/>
    <w:rsid w:val="007A1076"/>
    <w:rsid w:val="007C2C76"/>
    <w:rsid w:val="007C7C44"/>
    <w:rsid w:val="007E0161"/>
    <w:rsid w:val="007E6D8C"/>
    <w:rsid w:val="00800FC1"/>
    <w:rsid w:val="00802D49"/>
    <w:rsid w:val="00812E54"/>
    <w:rsid w:val="00815A31"/>
    <w:rsid w:val="008173A2"/>
    <w:rsid w:val="0082373C"/>
    <w:rsid w:val="008267AE"/>
    <w:rsid w:val="00833906"/>
    <w:rsid w:val="0084581E"/>
    <w:rsid w:val="008463A0"/>
    <w:rsid w:val="00846F51"/>
    <w:rsid w:val="00857959"/>
    <w:rsid w:val="00867B2C"/>
    <w:rsid w:val="00867D31"/>
    <w:rsid w:val="00873330"/>
    <w:rsid w:val="00874AAA"/>
    <w:rsid w:val="0087526F"/>
    <w:rsid w:val="00883326"/>
    <w:rsid w:val="00890E60"/>
    <w:rsid w:val="0089453E"/>
    <w:rsid w:val="008972E0"/>
    <w:rsid w:val="008A11FF"/>
    <w:rsid w:val="008A71D2"/>
    <w:rsid w:val="008B0935"/>
    <w:rsid w:val="008B0D05"/>
    <w:rsid w:val="008B385C"/>
    <w:rsid w:val="008C2158"/>
    <w:rsid w:val="008C2D35"/>
    <w:rsid w:val="008D56E1"/>
    <w:rsid w:val="008D6094"/>
    <w:rsid w:val="008D741B"/>
    <w:rsid w:val="00901884"/>
    <w:rsid w:val="00902A7F"/>
    <w:rsid w:val="009100D6"/>
    <w:rsid w:val="0091158F"/>
    <w:rsid w:val="009162E8"/>
    <w:rsid w:val="009378F5"/>
    <w:rsid w:val="00943320"/>
    <w:rsid w:val="009508C7"/>
    <w:rsid w:val="00964499"/>
    <w:rsid w:val="00965A6F"/>
    <w:rsid w:val="00973B8D"/>
    <w:rsid w:val="00974E12"/>
    <w:rsid w:val="009820AF"/>
    <w:rsid w:val="00986652"/>
    <w:rsid w:val="00986F5D"/>
    <w:rsid w:val="009A04F1"/>
    <w:rsid w:val="009A352A"/>
    <w:rsid w:val="009A4A69"/>
    <w:rsid w:val="009F1799"/>
    <w:rsid w:val="009F5D5D"/>
    <w:rsid w:val="00A04AF1"/>
    <w:rsid w:val="00A05BE5"/>
    <w:rsid w:val="00A14F19"/>
    <w:rsid w:val="00A233BC"/>
    <w:rsid w:val="00A23816"/>
    <w:rsid w:val="00A2411D"/>
    <w:rsid w:val="00A41185"/>
    <w:rsid w:val="00A423F1"/>
    <w:rsid w:val="00A454B6"/>
    <w:rsid w:val="00A531F2"/>
    <w:rsid w:val="00A6013E"/>
    <w:rsid w:val="00A60C89"/>
    <w:rsid w:val="00A6346A"/>
    <w:rsid w:val="00A733AE"/>
    <w:rsid w:val="00A75FC8"/>
    <w:rsid w:val="00AA0ECE"/>
    <w:rsid w:val="00AA6361"/>
    <w:rsid w:val="00AC1ED1"/>
    <w:rsid w:val="00AD1423"/>
    <w:rsid w:val="00AD3577"/>
    <w:rsid w:val="00AD4AEE"/>
    <w:rsid w:val="00AD4EE7"/>
    <w:rsid w:val="00AF119C"/>
    <w:rsid w:val="00AF52D3"/>
    <w:rsid w:val="00AF667A"/>
    <w:rsid w:val="00B1173B"/>
    <w:rsid w:val="00B3499F"/>
    <w:rsid w:val="00B36A1F"/>
    <w:rsid w:val="00B46B42"/>
    <w:rsid w:val="00B47197"/>
    <w:rsid w:val="00B519C0"/>
    <w:rsid w:val="00B61AC9"/>
    <w:rsid w:val="00B72169"/>
    <w:rsid w:val="00B72EA7"/>
    <w:rsid w:val="00B74218"/>
    <w:rsid w:val="00B77A7F"/>
    <w:rsid w:val="00B86FC7"/>
    <w:rsid w:val="00B912C3"/>
    <w:rsid w:val="00B920F5"/>
    <w:rsid w:val="00B96617"/>
    <w:rsid w:val="00B97811"/>
    <w:rsid w:val="00BB19AC"/>
    <w:rsid w:val="00BC26CE"/>
    <w:rsid w:val="00BC36B0"/>
    <w:rsid w:val="00BF6DBC"/>
    <w:rsid w:val="00C13723"/>
    <w:rsid w:val="00C16E8E"/>
    <w:rsid w:val="00C23159"/>
    <w:rsid w:val="00C2330F"/>
    <w:rsid w:val="00C261EA"/>
    <w:rsid w:val="00C37BE1"/>
    <w:rsid w:val="00C40213"/>
    <w:rsid w:val="00C444A7"/>
    <w:rsid w:val="00C51A9F"/>
    <w:rsid w:val="00C55909"/>
    <w:rsid w:val="00C6059D"/>
    <w:rsid w:val="00C67996"/>
    <w:rsid w:val="00C726EA"/>
    <w:rsid w:val="00C72B95"/>
    <w:rsid w:val="00C74A1D"/>
    <w:rsid w:val="00C80CD0"/>
    <w:rsid w:val="00C82DB8"/>
    <w:rsid w:val="00CA738A"/>
    <w:rsid w:val="00CA7449"/>
    <w:rsid w:val="00CB2B44"/>
    <w:rsid w:val="00CB4074"/>
    <w:rsid w:val="00CB7B4D"/>
    <w:rsid w:val="00CC1C1D"/>
    <w:rsid w:val="00CC2391"/>
    <w:rsid w:val="00CC4D0C"/>
    <w:rsid w:val="00CD599D"/>
    <w:rsid w:val="00CE501B"/>
    <w:rsid w:val="00CE6439"/>
    <w:rsid w:val="00CE79A0"/>
    <w:rsid w:val="00CE7E71"/>
    <w:rsid w:val="00CF13A8"/>
    <w:rsid w:val="00CF33AD"/>
    <w:rsid w:val="00CF3E9C"/>
    <w:rsid w:val="00CF656A"/>
    <w:rsid w:val="00D0258C"/>
    <w:rsid w:val="00D0270E"/>
    <w:rsid w:val="00D02EFA"/>
    <w:rsid w:val="00D03575"/>
    <w:rsid w:val="00D05C4E"/>
    <w:rsid w:val="00D14ED4"/>
    <w:rsid w:val="00D20550"/>
    <w:rsid w:val="00D21A51"/>
    <w:rsid w:val="00D3638C"/>
    <w:rsid w:val="00D41A2E"/>
    <w:rsid w:val="00D52194"/>
    <w:rsid w:val="00D64BED"/>
    <w:rsid w:val="00D65C24"/>
    <w:rsid w:val="00D75345"/>
    <w:rsid w:val="00D81467"/>
    <w:rsid w:val="00D95381"/>
    <w:rsid w:val="00DA4A0B"/>
    <w:rsid w:val="00DA74F6"/>
    <w:rsid w:val="00DA7D33"/>
    <w:rsid w:val="00DC21D5"/>
    <w:rsid w:val="00DD3131"/>
    <w:rsid w:val="00DD4526"/>
    <w:rsid w:val="00DD4977"/>
    <w:rsid w:val="00DD6195"/>
    <w:rsid w:val="00DD715E"/>
    <w:rsid w:val="00DE01B4"/>
    <w:rsid w:val="00DE7AF6"/>
    <w:rsid w:val="00DF27A8"/>
    <w:rsid w:val="00E0380A"/>
    <w:rsid w:val="00E10B3E"/>
    <w:rsid w:val="00E10DA2"/>
    <w:rsid w:val="00E173AD"/>
    <w:rsid w:val="00E24B34"/>
    <w:rsid w:val="00E261EB"/>
    <w:rsid w:val="00E3332C"/>
    <w:rsid w:val="00E35AD7"/>
    <w:rsid w:val="00E416BF"/>
    <w:rsid w:val="00E4189C"/>
    <w:rsid w:val="00E455A3"/>
    <w:rsid w:val="00E45646"/>
    <w:rsid w:val="00E470BB"/>
    <w:rsid w:val="00E56AA9"/>
    <w:rsid w:val="00E7228E"/>
    <w:rsid w:val="00E82B25"/>
    <w:rsid w:val="00E92831"/>
    <w:rsid w:val="00E9313B"/>
    <w:rsid w:val="00E9756E"/>
    <w:rsid w:val="00EA3CB2"/>
    <w:rsid w:val="00EA5448"/>
    <w:rsid w:val="00EA5B0B"/>
    <w:rsid w:val="00EA6BA8"/>
    <w:rsid w:val="00EB7A63"/>
    <w:rsid w:val="00EC4B85"/>
    <w:rsid w:val="00EC5F5A"/>
    <w:rsid w:val="00EE4A70"/>
    <w:rsid w:val="00EF03DC"/>
    <w:rsid w:val="00EF1147"/>
    <w:rsid w:val="00EF24C9"/>
    <w:rsid w:val="00EF34EC"/>
    <w:rsid w:val="00F0026F"/>
    <w:rsid w:val="00F13FA3"/>
    <w:rsid w:val="00F15F1C"/>
    <w:rsid w:val="00F30C27"/>
    <w:rsid w:val="00F46BC4"/>
    <w:rsid w:val="00F51570"/>
    <w:rsid w:val="00F56A78"/>
    <w:rsid w:val="00F64478"/>
    <w:rsid w:val="00F74EA2"/>
    <w:rsid w:val="00F77CC9"/>
    <w:rsid w:val="00F86983"/>
    <w:rsid w:val="00F956E8"/>
    <w:rsid w:val="00F971AF"/>
    <w:rsid w:val="00FA2672"/>
    <w:rsid w:val="00FA30D4"/>
    <w:rsid w:val="00FA6477"/>
    <w:rsid w:val="00FB0C15"/>
    <w:rsid w:val="00FB0F4A"/>
    <w:rsid w:val="00FC3BF1"/>
    <w:rsid w:val="00FD0699"/>
    <w:rsid w:val="00FE0D11"/>
    <w:rsid w:val="00FE1D8C"/>
    <w:rsid w:val="00FE369C"/>
    <w:rsid w:val="00FF26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47197"/>
    <w:pPr>
      <w:spacing w:after="0" w:line="240" w:lineRule="auto"/>
    </w:pPr>
  </w:style>
  <w:style w:type="paragraph" w:styleId="Textodeglobo">
    <w:name w:val="Balloon Text"/>
    <w:basedOn w:val="Normal"/>
    <w:link w:val="TextodegloboCar"/>
    <w:uiPriority w:val="99"/>
    <w:semiHidden/>
    <w:unhideWhenUsed/>
    <w:rsid w:val="00B4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197"/>
    <w:rPr>
      <w:rFonts w:ascii="Segoe UI" w:hAnsi="Segoe UI" w:cs="Segoe UI"/>
      <w:sz w:val="18"/>
      <w:szCs w:val="18"/>
    </w:rPr>
  </w:style>
  <w:style w:type="paragraph" w:styleId="Encabezado">
    <w:name w:val="header"/>
    <w:basedOn w:val="Normal"/>
    <w:link w:val="EncabezadoCar"/>
    <w:uiPriority w:val="99"/>
    <w:unhideWhenUsed/>
    <w:rsid w:val="00E82B2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82B25"/>
  </w:style>
  <w:style w:type="paragraph" w:styleId="Piedepgina">
    <w:name w:val="footer"/>
    <w:basedOn w:val="Normal"/>
    <w:link w:val="PiedepginaCar"/>
    <w:uiPriority w:val="99"/>
    <w:unhideWhenUsed/>
    <w:rsid w:val="00E82B2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82B25"/>
  </w:style>
  <w:style w:type="character" w:styleId="Refdecomentario">
    <w:name w:val="annotation reference"/>
    <w:basedOn w:val="Fuentedeprrafopredeter"/>
    <w:uiPriority w:val="99"/>
    <w:semiHidden/>
    <w:unhideWhenUsed/>
    <w:rsid w:val="00697934"/>
    <w:rPr>
      <w:sz w:val="16"/>
      <w:szCs w:val="16"/>
    </w:rPr>
  </w:style>
  <w:style w:type="paragraph" w:styleId="Textocomentario">
    <w:name w:val="annotation text"/>
    <w:basedOn w:val="Normal"/>
    <w:link w:val="TextocomentarioCar"/>
    <w:uiPriority w:val="99"/>
    <w:semiHidden/>
    <w:unhideWhenUsed/>
    <w:rsid w:val="00697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934"/>
    <w:rPr>
      <w:sz w:val="20"/>
      <w:szCs w:val="20"/>
    </w:rPr>
  </w:style>
  <w:style w:type="paragraph" w:styleId="Asuntodelcomentario">
    <w:name w:val="annotation subject"/>
    <w:basedOn w:val="Textocomentario"/>
    <w:next w:val="Textocomentario"/>
    <w:link w:val="AsuntodelcomentarioCar"/>
    <w:uiPriority w:val="99"/>
    <w:semiHidden/>
    <w:unhideWhenUsed/>
    <w:rsid w:val="00697934"/>
    <w:rPr>
      <w:b/>
      <w:bCs/>
    </w:rPr>
  </w:style>
  <w:style w:type="character" w:customStyle="1" w:styleId="AsuntodelcomentarioCar">
    <w:name w:val="Asunto del comentario Car"/>
    <w:basedOn w:val="TextocomentarioCar"/>
    <w:link w:val="Asuntodelcomentario"/>
    <w:uiPriority w:val="99"/>
    <w:semiHidden/>
    <w:rsid w:val="00697934"/>
    <w:rPr>
      <w:b/>
      <w:bCs/>
      <w:sz w:val="20"/>
      <w:szCs w:val="20"/>
    </w:rPr>
  </w:style>
  <w:style w:type="character" w:styleId="Hipervnculo">
    <w:name w:val="Hyperlink"/>
    <w:basedOn w:val="Fuentedeprrafopredeter"/>
    <w:uiPriority w:val="99"/>
    <w:unhideWhenUsed/>
    <w:rsid w:val="00A454B6"/>
    <w:rPr>
      <w:color w:val="0563C1" w:themeColor="hyperlink"/>
      <w:u w:val="single"/>
    </w:rPr>
  </w:style>
  <w:style w:type="paragraph" w:styleId="Textonotapie">
    <w:name w:val="footnote text"/>
    <w:basedOn w:val="Normal"/>
    <w:link w:val="TextonotapieCar"/>
    <w:uiPriority w:val="99"/>
    <w:semiHidden/>
    <w:unhideWhenUsed/>
    <w:rsid w:val="00F30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C27"/>
    <w:rPr>
      <w:sz w:val="20"/>
      <w:szCs w:val="20"/>
    </w:rPr>
  </w:style>
  <w:style w:type="character" w:styleId="Refdenotaalpie">
    <w:name w:val="footnote reference"/>
    <w:basedOn w:val="Fuentedeprrafopredeter"/>
    <w:uiPriority w:val="99"/>
    <w:semiHidden/>
    <w:unhideWhenUsed/>
    <w:rsid w:val="00F30C27"/>
    <w:rPr>
      <w:vertAlign w:val="superscript"/>
    </w:rPr>
  </w:style>
  <w:style w:type="paragraph" w:styleId="Epgrafe">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NormalWeb">
    <w:name w:val="Normal (Web)"/>
    <w:basedOn w:val="Normal"/>
    <w:uiPriority w:val="99"/>
    <w:semiHidden/>
    <w:unhideWhenUsed/>
    <w:rsid w:val="00114D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D7534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a16">
    <w:name w:val="Pa16"/>
    <w:basedOn w:val="Normal"/>
    <w:next w:val="Normal"/>
    <w:uiPriority w:val="99"/>
    <w:rsid w:val="00846F51"/>
    <w:pPr>
      <w:autoSpaceDE w:val="0"/>
      <w:autoSpaceDN w:val="0"/>
      <w:adjustRightInd w:val="0"/>
      <w:spacing w:after="0" w:line="191" w:lineRule="atLeast"/>
    </w:pPr>
    <w:rPr>
      <w:rFonts w:ascii="Myriad Pro Light" w:hAnsi="Myriad Pro Light"/>
      <w:sz w:val="24"/>
      <w:szCs w:val="24"/>
      <w:lang w:val="es-ES"/>
    </w:rPr>
  </w:style>
</w:styles>
</file>

<file path=word/webSettings.xml><?xml version="1.0" encoding="utf-8"?>
<w:webSettings xmlns:r="http://schemas.openxmlformats.org/officeDocument/2006/relationships" xmlns:w="http://schemas.openxmlformats.org/wordprocessingml/2006/main">
  <w:divs>
    <w:div w:id="126054036">
      <w:bodyDiv w:val="1"/>
      <w:marLeft w:val="0"/>
      <w:marRight w:val="0"/>
      <w:marTop w:val="0"/>
      <w:marBottom w:val="0"/>
      <w:divBdr>
        <w:top w:val="none" w:sz="0" w:space="0" w:color="auto"/>
        <w:left w:val="none" w:sz="0" w:space="0" w:color="auto"/>
        <w:bottom w:val="none" w:sz="0" w:space="0" w:color="auto"/>
        <w:right w:val="none" w:sz="0" w:space="0" w:color="auto"/>
      </w:divBdr>
    </w:div>
    <w:div w:id="140856802">
      <w:bodyDiv w:val="1"/>
      <w:marLeft w:val="0"/>
      <w:marRight w:val="0"/>
      <w:marTop w:val="0"/>
      <w:marBottom w:val="0"/>
      <w:divBdr>
        <w:top w:val="none" w:sz="0" w:space="0" w:color="auto"/>
        <w:left w:val="none" w:sz="0" w:space="0" w:color="auto"/>
        <w:bottom w:val="none" w:sz="0" w:space="0" w:color="auto"/>
        <w:right w:val="none" w:sz="0" w:space="0" w:color="auto"/>
      </w:divBdr>
    </w:div>
    <w:div w:id="184487468">
      <w:bodyDiv w:val="1"/>
      <w:marLeft w:val="0"/>
      <w:marRight w:val="0"/>
      <w:marTop w:val="0"/>
      <w:marBottom w:val="0"/>
      <w:divBdr>
        <w:top w:val="none" w:sz="0" w:space="0" w:color="auto"/>
        <w:left w:val="none" w:sz="0" w:space="0" w:color="auto"/>
        <w:bottom w:val="none" w:sz="0" w:space="0" w:color="auto"/>
        <w:right w:val="none" w:sz="0" w:space="0" w:color="auto"/>
      </w:divBdr>
    </w:div>
    <w:div w:id="385876615">
      <w:bodyDiv w:val="1"/>
      <w:marLeft w:val="0"/>
      <w:marRight w:val="0"/>
      <w:marTop w:val="0"/>
      <w:marBottom w:val="0"/>
      <w:divBdr>
        <w:top w:val="none" w:sz="0" w:space="0" w:color="auto"/>
        <w:left w:val="none" w:sz="0" w:space="0" w:color="auto"/>
        <w:bottom w:val="none" w:sz="0" w:space="0" w:color="auto"/>
        <w:right w:val="none" w:sz="0" w:space="0" w:color="auto"/>
      </w:divBdr>
    </w:div>
    <w:div w:id="450711699">
      <w:bodyDiv w:val="1"/>
      <w:marLeft w:val="0"/>
      <w:marRight w:val="0"/>
      <w:marTop w:val="0"/>
      <w:marBottom w:val="0"/>
      <w:divBdr>
        <w:top w:val="none" w:sz="0" w:space="0" w:color="auto"/>
        <w:left w:val="none" w:sz="0" w:space="0" w:color="auto"/>
        <w:bottom w:val="none" w:sz="0" w:space="0" w:color="auto"/>
        <w:right w:val="none" w:sz="0" w:space="0" w:color="auto"/>
      </w:divBdr>
    </w:div>
    <w:div w:id="471794768">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26882510">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74675475">
      <w:bodyDiv w:val="1"/>
      <w:marLeft w:val="0"/>
      <w:marRight w:val="0"/>
      <w:marTop w:val="0"/>
      <w:marBottom w:val="0"/>
      <w:divBdr>
        <w:top w:val="none" w:sz="0" w:space="0" w:color="auto"/>
        <w:left w:val="none" w:sz="0" w:space="0" w:color="auto"/>
        <w:bottom w:val="none" w:sz="0" w:space="0" w:color="auto"/>
        <w:right w:val="none" w:sz="0" w:space="0" w:color="auto"/>
      </w:divBdr>
    </w:div>
    <w:div w:id="1637761294">
      <w:bodyDiv w:val="1"/>
      <w:marLeft w:val="0"/>
      <w:marRight w:val="0"/>
      <w:marTop w:val="0"/>
      <w:marBottom w:val="0"/>
      <w:divBdr>
        <w:top w:val="none" w:sz="0" w:space="0" w:color="auto"/>
        <w:left w:val="none" w:sz="0" w:space="0" w:color="auto"/>
        <w:bottom w:val="none" w:sz="0" w:space="0" w:color="auto"/>
        <w:right w:val="none" w:sz="0" w:space="0" w:color="auto"/>
      </w:divBdr>
    </w:div>
    <w:div w:id="1713995627">
      <w:bodyDiv w:val="1"/>
      <w:marLeft w:val="0"/>
      <w:marRight w:val="0"/>
      <w:marTop w:val="0"/>
      <w:marBottom w:val="0"/>
      <w:divBdr>
        <w:top w:val="none" w:sz="0" w:space="0" w:color="auto"/>
        <w:left w:val="none" w:sz="0" w:space="0" w:color="auto"/>
        <w:bottom w:val="none" w:sz="0" w:space="0" w:color="auto"/>
        <w:right w:val="none" w:sz="0" w:space="0" w:color="auto"/>
      </w:divBdr>
    </w:div>
    <w:div w:id="1799106189">
      <w:bodyDiv w:val="1"/>
      <w:marLeft w:val="0"/>
      <w:marRight w:val="0"/>
      <w:marTop w:val="0"/>
      <w:marBottom w:val="0"/>
      <w:divBdr>
        <w:top w:val="none" w:sz="0" w:space="0" w:color="auto"/>
        <w:left w:val="none" w:sz="0" w:space="0" w:color="auto"/>
        <w:bottom w:val="none" w:sz="0" w:space="0" w:color="auto"/>
        <w:right w:val="none" w:sz="0" w:space="0" w:color="auto"/>
      </w:divBdr>
      <w:divsChild>
        <w:div w:id="1855807105">
          <w:marLeft w:val="446"/>
          <w:marRight w:val="0"/>
          <w:marTop w:val="0"/>
          <w:marBottom w:val="0"/>
          <w:divBdr>
            <w:top w:val="none" w:sz="0" w:space="0" w:color="auto"/>
            <w:left w:val="none" w:sz="0" w:space="0" w:color="auto"/>
            <w:bottom w:val="none" w:sz="0" w:space="0" w:color="auto"/>
            <w:right w:val="none" w:sz="0" w:space="0" w:color="auto"/>
          </w:divBdr>
        </w:div>
        <w:div w:id="285430436">
          <w:marLeft w:val="446"/>
          <w:marRight w:val="0"/>
          <w:marTop w:val="0"/>
          <w:marBottom w:val="0"/>
          <w:divBdr>
            <w:top w:val="none" w:sz="0" w:space="0" w:color="auto"/>
            <w:left w:val="none" w:sz="0" w:space="0" w:color="auto"/>
            <w:bottom w:val="none" w:sz="0" w:space="0" w:color="auto"/>
            <w:right w:val="none" w:sz="0" w:space="0" w:color="auto"/>
          </w:divBdr>
        </w:div>
        <w:div w:id="1936739890">
          <w:marLeft w:val="446"/>
          <w:marRight w:val="0"/>
          <w:marTop w:val="0"/>
          <w:marBottom w:val="0"/>
          <w:divBdr>
            <w:top w:val="none" w:sz="0" w:space="0" w:color="auto"/>
            <w:left w:val="none" w:sz="0" w:space="0" w:color="auto"/>
            <w:bottom w:val="none" w:sz="0" w:space="0" w:color="auto"/>
            <w:right w:val="none" w:sz="0" w:space="0" w:color="auto"/>
          </w:divBdr>
        </w:div>
        <w:div w:id="1862622290">
          <w:marLeft w:val="446"/>
          <w:marRight w:val="0"/>
          <w:marTop w:val="0"/>
          <w:marBottom w:val="0"/>
          <w:divBdr>
            <w:top w:val="none" w:sz="0" w:space="0" w:color="auto"/>
            <w:left w:val="none" w:sz="0" w:space="0" w:color="auto"/>
            <w:bottom w:val="none" w:sz="0" w:space="0" w:color="auto"/>
            <w:right w:val="none" w:sz="0" w:space="0" w:color="auto"/>
          </w:divBdr>
        </w:div>
        <w:div w:id="140192302">
          <w:marLeft w:val="446"/>
          <w:marRight w:val="0"/>
          <w:marTop w:val="0"/>
          <w:marBottom w:val="0"/>
          <w:divBdr>
            <w:top w:val="none" w:sz="0" w:space="0" w:color="auto"/>
            <w:left w:val="none" w:sz="0" w:space="0" w:color="auto"/>
            <w:bottom w:val="none" w:sz="0" w:space="0" w:color="auto"/>
            <w:right w:val="none" w:sz="0" w:space="0" w:color="auto"/>
          </w:divBdr>
        </w:div>
        <w:div w:id="139344475">
          <w:marLeft w:val="446"/>
          <w:marRight w:val="0"/>
          <w:marTop w:val="0"/>
          <w:marBottom w:val="0"/>
          <w:divBdr>
            <w:top w:val="none" w:sz="0" w:space="0" w:color="auto"/>
            <w:left w:val="none" w:sz="0" w:space="0" w:color="auto"/>
            <w:bottom w:val="none" w:sz="0" w:space="0" w:color="auto"/>
            <w:right w:val="none" w:sz="0" w:space="0" w:color="auto"/>
          </w:divBdr>
        </w:div>
        <w:div w:id="1378506851">
          <w:marLeft w:val="446"/>
          <w:marRight w:val="0"/>
          <w:marTop w:val="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aldivieso@outlook.com" TargetMode="External"/><Relationship Id="rId13" Type="http://schemas.openxmlformats.org/officeDocument/2006/relationships/hyperlink" Target="https://ecomod.net/system/files/Urtasun_Consumption_and_big_data.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t.edu/~rdicle/spendin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lia@uniovi.es" TargetMode="External"/><Relationship Id="rId14" Type="http://schemas.openxmlformats.org/officeDocument/2006/relationships/hyperlink" Target="https://www.ft.com/content/21a6e7d8-b479-11e3-a09a-00144feabd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72B5-4837-4C98-ACE5-7E70F48D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8</Pages>
  <Words>2242</Words>
  <Characters>12332</Characters>
  <Application>Microsoft Office Word</Application>
  <DocSecurity>0</DocSecurity>
  <Lines>102</Lines>
  <Paragraphs>29</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ACER</cp:lastModifiedBy>
  <cp:revision>497</cp:revision>
  <cp:lastPrinted>2018-04-30T10:03:00Z</cp:lastPrinted>
  <dcterms:created xsi:type="dcterms:W3CDTF">2018-04-19T08:49:00Z</dcterms:created>
  <dcterms:modified xsi:type="dcterms:W3CDTF">2018-05-06T16:47:00Z</dcterms:modified>
</cp:coreProperties>
</file>