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2B" w:rsidRDefault="00AD302B" w:rsidP="00616BB8">
      <w:pPr>
        <w:spacing w:before="480" w:after="480" w:line="360" w:lineRule="auto"/>
        <w:jc w:val="center"/>
        <w:rPr>
          <w:rFonts w:ascii="Arial" w:hAnsi="Arial" w:cs="Arial"/>
          <w:b/>
          <w:sz w:val="48"/>
          <w:szCs w:val="48"/>
          <w:lang w:val="en-US"/>
        </w:rPr>
      </w:pPr>
      <w:bookmarkStart w:id="0" w:name="_GoBack"/>
      <w:bookmarkEnd w:id="0"/>
      <w:r w:rsidRPr="00AD302B">
        <w:rPr>
          <w:rFonts w:ascii="Arial" w:hAnsi="Arial" w:cs="Arial"/>
          <w:b/>
          <w:sz w:val="48"/>
          <w:szCs w:val="48"/>
          <w:lang w:val="en-US"/>
        </w:rPr>
        <w:t>Local decisions and new guidelines of the Official Statistics</w:t>
      </w:r>
    </w:p>
    <w:p w:rsidR="004A1A99" w:rsidRPr="0018043C" w:rsidRDefault="0018043C" w:rsidP="00616BB8">
      <w:pPr>
        <w:spacing w:before="480" w:after="480" w:line="360" w:lineRule="auto"/>
        <w:jc w:val="center"/>
        <w:rPr>
          <w:rFonts w:ascii="Arial" w:hAnsi="Arial" w:cs="Arial"/>
          <w:b/>
          <w:sz w:val="24"/>
          <w:szCs w:val="24"/>
          <w:lang w:val="en-US"/>
        </w:rPr>
      </w:pPr>
      <w:r w:rsidRPr="0018043C">
        <w:rPr>
          <w:rFonts w:ascii="Arial" w:hAnsi="Arial" w:cs="Arial"/>
          <w:b/>
          <w:sz w:val="24"/>
          <w:szCs w:val="24"/>
          <w:lang w:val="en-US"/>
        </w:rPr>
        <w:t xml:space="preserve">An experiment </w:t>
      </w:r>
      <w:r w:rsidRPr="004B14A8">
        <w:rPr>
          <w:rFonts w:ascii="Arial" w:hAnsi="Arial" w:cs="Arial"/>
          <w:b/>
          <w:sz w:val="24"/>
          <w:szCs w:val="24"/>
          <w:lang w:val="en-US"/>
        </w:rPr>
        <w:t xml:space="preserve">with </w:t>
      </w:r>
      <w:r w:rsidRPr="00616BB8">
        <w:rPr>
          <w:rFonts w:ascii="Arial" w:hAnsi="Arial" w:cs="Arial"/>
          <w:b/>
          <w:i/>
          <w:sz w:val="24"/>
          <w:szCs w:val="24"/>
          <w:lang w:val="en-US"/>
        </w:rPr>
        <w:t>Early School Leavers</w:t>
      </w:r>
      <w:r w:rsidRPr="004B14A8">
        <w:rPr>
          <w:rFonts w:ascii="Arial" w:hAnsi="Arial" w:cs="Arial"/>
          <w:b/>
          <w:sz w:val="24"/>
          <w:szCs w:val="24"/>
          <w:lang w:val="en-US"/>
        </w:rPr>
        <w:t xml:space="preserve"> to</w:t>
      </w:r>
      <w:r w:rsidRPr="0018043C">
        <w:rPr>
          <w:rFonts w:ascii="Arial" w:hAnsi="Arial" w:cs="Arial"/>
          <w:b/>
          <w:sz w:val="24"/>
          <w:szCs w:val="24"/>
          <w:lang w:val="en-US"/>
        </w:rPr>
        <w:t xml:space="preserve"> measure the quality of integrated administrative data used to support local policies</w:t>
      </w:r>
      <w:r w:rsidR="00685B68">
        <w:rPr>
          <w:rStyle w:val="Odwoanieprzypisudolnego"/>
          <w:rFonts w:ascii="Arial" w:hAnsi="Arial" w:cs="Arial"/>
          <w:b/>
          <w:sz w:val="24"/>
          <w:szCs w:val="24"/>
          <w:lang w:val="en-US"/>
        </w:rPr>
        <w:footnoteReference w:id="1"/>
      </w:r>
    </w:p>
    <w:p w:rsidR="00D0270E" w:rsidRPr="004B14A8" w:rsidRDefault="004B14A8" w:rsidP="001C25AA">
      <w:pPr>
        <w:ind w:right="1134"/>
        <w:rPr>
          <w:rFonts w:ascii="Arial" w:hAnsi="Arial" w:cs="Arial"/>
          <w:sz w:val="24"/>
          <w:szCs w:val="24"/>
          <w:lang w:val="it-IT"/>
        </w:rPr>
      </w:pPr>
      <w:r w:rsidRPr="004B14A8">
        <w:rPr>
          <w:rFonts w:ascii="Arial" w:hAnsi="Arial" w:cs="Arial"/>
          <w:sz w:val="24"/>
          <w:szCs w:val="24"/>
          <w:lang w:val="it-IT"/>
        </w:rPr>
        <w:t>Simona Ballabio</w:t>
      </w:r>
      <w:r w:rsidR="000D705A" w:rsidRPr="004B14A8">
        <w:rPr>
          <w:rFonts w:ascii="Arial" w:hAnsi="Arial" w:cs="Arial"/>
          <w:sz w:val="24"/>
          <w:szCs w:val="24"/>
          <w:lang w:val="it-IT"/>
        </w:rPr>
        <w:t xml:space="preserve">, </w:t>
      </w:r>
      <w:r w:rsidR="001C25AA" w:rsidRPr="004B14A8">
        <w:rPr>
          <w:rFonts w:ascii="Arial" w:hAnsi="Arial" w:cs="Arial"/>
          <w:sz w:val="24"/>
          <w:szCs w:val="24"/>
          <w:lang w:val="it-IT"/>
        </w:rPr>
        <w:t>Istat</w:t>
      </w:r>
      <w:r w:rsidRPr="004B14A8">
        <w:rPr>
          <w:rFonts w:ascii="Arial" w:hAnsi="Arial" w:cs="Arial"/>
          <w:sz w:val="24"/>
          <w:szCs w:val="24"/>
          <w:lang w:val="it-IT"/>
        </w:rPr>
        <w:t xml:space="preserve"> - </w:t>
      </w:r>
      <w:r w:rsidR="001C25AA" w:rsidRPr="004B14A8">
        <w:rPr>
          <w:rFonts w:ascii="Arial" w:hAnsi="Arial" w:cs="Arial"/>
          <w:sz w:val="24"/>
          <w:szCs w:val="24"/>
          <w:lang w:val="it-IT"/>
        </w:rPr>
        <w:t xml:space="preserve"> Italian NSI</w:t>
      </w:r>
      <w:r w:rsidR="000D705A" w:rsidRPr="004B14A8">
        <w:rPr>
          <w:rFonts w:ascii="Arial" w:hAnsi="Arial" w:cs="Arial"/>
          <w:sz w:val="24"/>
          <w:szCs w:val="24"/>
          <w:lang w:val="it-IT"/>
        </w:rPr>
        <w:t xml:space="preserve">, </w:t>
      </w:r>
      <w:hyperlink r:id="rId8" w:history="1">
        <w:r w:rsidRPr="004B14A8">
          <w:rPr>
            <w:rStyle w:val="Hipercze"/>
            <w:rFonts w:ascii="Arial" w:hAnsi="Arial" w:cs="Arial"/>
            <w:sz w:val="24"/>
            <w:szCs w:val="24"/>
            <w:lang w:val="it-IT"/>
          </w:rPr>
          <w:t>ballabio@istat.it</w:t>
        </w:r>
      </w:hyperlink>
    </w:p>
    <w:p w:rsidR="004B14A8" w:rsidRDefault="004B14A8" w:rsidP="001C25AA">
      <w:pPr>
        <w:ind w:right="1134"/>
        <w:rPr>
          <w:rFonts w:ascii="Arial" w:hAnsi="Arial" w:cs="Arial"/>
          <w:sz w:val="24"/>
          <w:szCs w:val="24"/>
          <w:lang w:val="it-IT"/>
        </w:rPr>
      </w:pPr>
      <w:r>
        <w:rPr>
          <w:rFonts w:ascii="Arial" w:hAnsi="Arial" w:cs="Arial"/>
          <w:sz w:val="24"/>
          <w:szCs w:val="24"/>
          <w:lang w:val="it-IT"/>
        </w:rPr>
        <w:t xml:space="preserve">Arianna Carra, Istat – Italian NSI, </w:t>
      </w:r>
      <w:hyperlink r:id="rId9" w:history="1">
        <w:r w:rsidRPr="00FE3D80">
          <w:rPr>
            <w:rStyle w:val="Hipercze"/>
            <w:rFonts w:ascii="Arial" w:hAnsi="Arial" w:cs="Arial"/>
            <w:sz w:val="24"/>
            <w:szCs w:val="24"/>
            <w:lang w:val="it-IT"/>
          </w:rPr>
          <w:t>carra@istat.it</w:t>
        </w:r>
      </w:hyperlink>
    </w:p>
    <w:p w:rsidR="004B14A8" w:rsidRDefault="004B14A8" w:rsidP="001C25AA">
      <w:pPr>
        <w:ind w:right="1134"/>
        <w:rPr>
          <w:rFonts w:ascii="Arial" w:hAnsi="Arial" w:cs="Arial"/>
          <w:sz w:val="24"/>
          <w:szCs w:val="24"/>
          <w:lang w:val="it-IT"/>
        </w:rPr>
      </w:pPr>
      <w:r>
        <w:rPr>
          <w:rFonts w:ascii="Arial" w:hAnsi="Arial" w:cs="Arial"/>
          <w:sz w:val="24"/>
          <w:szCs w:val="24"/>
          <w:lang w:val="it-IT"/>
        </w:rPr>
        <w:t xml:space="preserve">Sara Casacci, Istat – Italian NSI, </w:t>
      </w:r>
      <w:hyperlink r:id="rId10" w:history="1">
        <w:r w:rsidRPr="00FE3D80">
          <w:rPr>
            <w:rStyle w:val="Hipercze"/>
            <w:rFonts w:ascii="Arial" w:hAnsi="Arial" w:cs="Arial"/>
            <w:sz w:val="24"/>
            <w:szCs w:val="24"/>
            <w:lang w:val="it-IT"/>
          </w:rPr>
          <w:t>casacci@istat.it</w:t>
        </w:r>
      </w:hyperlink>
    </w:p>
    <w:p w:rsidR="004B14A8" w:rsidRDefault="004B14A8" w:rsidP="001C25AA">
      <w:pPr>
        <w:ind w:right="1134"/>
        <w:rPr>
          <w:rFonts w:ascii="Arial" w:hAnsi="Arial" w:cs="Arial"/>
          <w:sz w:val="24"/>
          <w:szCs w:val="24"/>
          <w:lang w:val="it-IT"/>
        </w:rPr>
      </w:pPr>
      <w:r>
        <w:rPr>
          <w:rFonts w:ascii="Arial" w:hAnsi="Arial" w:cs="Arial"/>
          <w:sz w:val="24"/>
          <w:szCs w:val="24"/>
          <w:lang w:val="it-IT"/>
        </w:rPr>
        <w:t xml:space="preserve">Daniela Ferrazza, Istat – Italian NSI, </w:t>
      </w:r>
      <w:hyperlink r:id="rId11" w:history="1">
        <w:r w:rsidRPr="00FE3D80">
          <w:rPr>
            <w:rStyle w:val="Hipercze"/>
            <w:rFonts w:ascii="Arial" w:hAnsi="Arial" w:cs="Arial"/>
            <w:sz w:val="24"/>
            <w:szCs w:val="24"/>
            <w:lang w:val="it-IT"/>
          </w:rPr>
          <w:t>ferrazza@istat.it</w:t>
        </w:r>
      </w:hyperlink>
    </w:p>
    <w:p w:rsidR="004B14A8" w:rsidRDefault="004B14A8" w:rsidP="001C25AA">
      <w:pPr>
        <w:ind w:right="1134"/>
        <w:rPr>
          <w:rFonts w:ascii="Arial" w:hAnsi="Arial" w:cs="Arial"/>
          <w:sz w:val="24"/>
          <w:szCs w:val="24"/>
          <w:lang w:val="it-IT"/>
        </w:rPr>
      </w:pPr>
      <w:r>
        <w:rPr>
          <w:rFonts w:ascii="Arial" w:hAnsi="Arial" w:cs="Arial"/>
          <w:sz w:val="24"/>
          <w:szCs w:val="24"/>
          <w:lang w:val="it-IT"/>
        </w:rPr>
        <w:t xml:space="preserve">Flavio Verrecchia, Istat – Italian NSI, </w:t>
      </w:r>
      <w:hyperlink r:id="rId12" w:history="1">
        <w:r w:rsidRPr="00FE3D80">
          <w:rPr>
            <w:rStyle w:val="Hipercze"/>
            <w:rFonts w:ascii="Arial" w:hAnsi="Arial" w:cs="Arial"/>
            <w:sz w:val="24"/>
            <w:szCs w:val="24"/>
            <w:lang w:val="it-IT"/>
          </w:rPr>
          <w:t>verrecchia@istat.it</w:t>
        </w:r>
      </w:hyperlink>
    </w:p>
    <w:p w:rsidR="004B14A8" w:rsidRDefault="004B14A8" w:rsidP="001C25AA">
      <w:pPr>
        <w:ind w:right="1134"/>
        <w:rPr>
          <w:rFonts w:ascii="Arial" w:hAnsi="Arial" w:cs="Arial"/>
          <w:sz w:val="24"/>
          <w:szCs w:val="24"/>
          <w:lang w:val="it-IT"/>
        </w:rPr>
      </w:pPr>
      <w:r>
        <w:rPr>
          <w:rFonts w:ascii="Arial" w:hAnsi="Arial" w:cs="Arial"/>
          <w:sz w:val="24"/>
          <w:szCs w:val="24"/>
          <w:lang w:val="it-IT"/>
        </w:rPr>
        <w:t xml:space="preserve">Alberto Vitalini, Istat – Italian NSI, </w:t>
      </w:r>
      <w:hyperlink r:id="rId13" w:history="1">
        <w:r w:rsidRPr="00FE3D80">
          <w:rPr>
            <w:rStyle w:val="Hipercze"/>
            <w:rFonts w:ascii="Arial" w:hAnsi="Arial" w:cs="Arial"/>
            <w:sz w:val="24"/>
            <w:szCs w:val="24"/>
            <w:lang w:val="it-IT"/>
          </w:rPr>
          <w:t>vitalini@istat.it</w:t>
        </w:r>
      </w:hyperlink>
    </w:p>
    <w:p w:rsidR="004B14A8" w:rsidRDefault="004B14A8" w:rsidP="001C25AA">
      <w:pPr>
        <w:ind w:right="1134"/>
        <w:rPr>
          <w:rFonts w:ascii="Arial" w:hAnsi="Arial" w:cs="Arial"/>
          <w:sz w:val="24"/>
          <w:szCs w:val="24"/>
          <w:lang w:val="it-IT"/>
        </w:rPr>
      </w:pPr>
      <w:r>
        <w:rPr>
          <w:rFonts w:ascii="Arial" w:hAnsi="Arial" w:cs="Arial"/>
          <w:sz w:val="24"/>
          <w:szCs w:val="24"/>
          <w:lang w:val="it-IT"/>
        </w:rPr>
        <w:t xml:space="preserve">Lorena Carmen Viviano, Istat – Italian NSI, </w:t>
      </w:r>
      <w:hyperlink r:id="rId14" w:history="1">
        <w:r w:rsidR="00A81A31" w:rsidRPr="00FE3D80">
          <w:rPr>
            <w:rStyle w:val="Hipercze"/>
            <w:rFonts w:ascii="Arial" w:hAnsi="Arial" w:cs="Arial"/>
            <w:sz w:val="24"/>
            <w:szCs w:val="24"/>
            <w:lang w:val="it-IT"/>
          </w:rPr>
          <w:t>lovivian@istat.it</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6D32D1" w:rsidRPr="006D32D1" w:rsidRDefault="006D32D1" w:rsidP="006D32D1">
      <w:pPr>
        <w:spacing w:after="0" w:line="240" w:lineRule="auto"/>
        <w:jc w:val="both"/>
        <w:rPr>
          <w:rFonts w:ascii="Arial" w:hAnsi="Arial" w:cs="Arial"/>
          <w:i/>
          <w:sz w:val="20"/>
          <w:szCs w:val="20"/>
          <w:lang w:val="en-US"/>
        </w:rPr>
      </w:pPr>
      <w:r w:rsidRPr="006D32D1">
        <w:rPr>
          <w:rFonts w:ascii="Arial" w:hAnsi="Arial" w:cs="Arial"/>
          <w:i/>
          <w:sz w:val="20"/>
          <w:szCs w:val="20"/>
          <w:lang w:val="en-US"/>
        </w:rPr>
        <w:t xml:space="preserve">The work is based on the experimental use of data from the ArchIMEDe project (ARCHivio Integrato di Microdati Economici e Demografici – i.e. Integrated Archive of Economic and Demographic Microdata) of the Italian Institute of Statistics (ISTAT), created with the aim of expanding the supply of information of regional and local interest through the production of micro-data from administrative sources. In a scenario of possible integration and/or transition from survey sources to administrative sources of Italian official statistics, the first step in the study of phenomena is the problematization of operational measures and existing definitions. Although the data used - coming from secondary sources - are not structurally similar to those of ISTAT sample surveys and are not even directly comparable, the new boundaries of official statistics show an increasing interrelationship which, at local level, requires an integrated reading of phenomena through the different sources available in order to obtain the best information and the best quality. The contribution, conceived as part of the SPoT project (data and methodologies for the development of Statistics for Policies on the Territory), proposes a case study of Early School Leavers, defined as young people between 18 and 24 years of age who do not have a secondary school qualification and who are not enrolled in an education cycle. </w:t>
      </w:r>
    </w:p>
    <w:p w:rsidR="006D32D1" w:rsidRPr="006D32D1" w:rsidRDefault="006D32D1" w:rsidP="006D32D1">
      <w:pPr>
        <w:spacing w:after="0" w:line="240" w:lineRule="auto"/>
        <w:jc w:val="both"/>
        <w:rPr>
          <w:rFonts w:ascii="Arial" w:hAnsi="Arial" w:cs="Arial"/>
          <w:i/>
          <w:sz w:val="20"/>
          <w:szCs w:val="20"/>
          <w:lang w:val="en-US"/>
        </w:rPr>
      </w:pPr>
      <w:r w:rsidRPr="006D32D1">
        <w:rPr>
          <w:rFonts w:ascii="Arial" w:hAnsi="Arial" w:cs="Arial"/>
          <w:i/>
          <w:sz w:val="20"/>
          <w:szCs w:val="20"/>
          <w:lang w:val="en-US"/>
        </w:rPr>
        <w:t>The paper presents the results of some analyses carried out on residents in Lombardy using spatial association measures and hot spot maps. These results highlight, at the same time, elements which are useful from a substantial point of view for the understanding of the phenomenon at a local level, as well as methodological aspects relating to strengths and weaknesses in the use of secondary sources for experimental statistics to support local policies.</w:t>
      </w:r>
    </w:p>
    <w:p w:rsidR="00C726EA" w:rsidRDefault="00C726EA" w:rsidP="00C726EA">
      <w:pPr>
        <w:spacing w:before="240" w:after="0" w:line="360" w:lineRule="auto"/>
        <w:jc w:val="both"/>
        <w:rPr>
          <w:rFonts w:ascii="Arial" w:hAnsi="Arial" w:cs="Arial"/>
          <w:sz w:val="20"/>
          <w:szCs w:val="20"/>
          <w:lang w:val="en-US"/>
        </w:rPr>
      </w:pPr>
      <w:r w:rsidRPr="00EC5F5A">
        <w:rPr>
          <w:rFonts w:ascii="Arial" w:hAnsi="Arial" w:cs="Arial"/>
          <w:b/>
          <w:sz w:val="20"/>
          <w:szCs w:val="20"/>
          <w:lang w:val="en-GB"/>
        </w:rPr>
        <w:t xml:space="preserve">Keywords: </w:t>
      </w:r>
      <w:r w:rsidR="000A004A" w:rsidRPr="000A004A">
        <w:rPr>
          <w:rFonts w:ascii="Arial" w:hAnsi="Arial" w:cs="Arial"/>
          <w:sz w:val="20"/>
          <w:szCs w:val="20"/>
          <w:lang w:val="en-US"/>
        </w:rPr>
        <w:t xml:space="preserve">Experimental statistics, </w:t>
      </w:r>
      <w:r w:rsidR="000A004A">
        <w:rPr>
          <w:rFonts w:ascii="Arial" w:hAnsi="Arial" w:cs="Arial"/>
          <w:sz w:val="20"/>
          <w:szCs w:val="20"/>
          <w:lang w:val="en-US"/>
        </w:rPr>
        <w:t>A</w:t>
      </w:r>
      <w:r w:rsidR="000A004A" w:rsidRPr="000A004A">
        <w:rPr>
          <w:rFonts w:ascii="Arial" w:hAnsi="Arial" w:cs="Arial"/>
          <w:sz w:val="20"/>
          <w:szCs w:val="20"/>
          <w:lang w:val="en-US"/>
        </w:rPr>
        <w:t>dministrative data, ArchIMEDe, Early School Leavers, sub-regional and local data.</w:t>
      </w:r>
    </w:p>
    <w:p w:rsidR="000153F7" w:rsidRPr="00EC5F5A" w:rsidRDefault="000153F7" w:rsidP="00C726EA">
      <w:pPr>
        <w:spacing w:before="240" w:after="0" w:line="360" w:lineRule="auto"/>
        <w:jc w:val="both"/>
        <w:rPr>
          <w:rFonts w:ascii="Arial" w:hAnsi="Arial" w:cs="Arial"/>
          <w:sz w:val="20"/>
          <w:szCs w:val="20"/>
          <w:lang w:val="en-GB"/>
        </w:rPr>
      </w:pPr>
    </w:p>
    <w:p w:rsidR="00AA18D2" w:rsidRPr="00AA18D2" w:rsidRDefault="00493026" w:rsidP="00AA18D2">
      <w:pPr>
        <w:spacing w:before="360" w:after="0" w:line="360" w:lineRule="auto"/>
        <w:jc w:val="both"/>
        <w:rPr>
          <w:rFonts w:ascii="Arial" w:hAnsi="Arial" w:cs="Arial"/>
          <w:b/>
          <w:sz w:val="24"/>
          <w:szCs w:val="24"/>
          <w:lang w:val="en-US"/>
        </w:rPr>
      </w:pPr>
      <w:r w:rsidRPr="00EC5F5A">
        <w:rPr>
          <w:rFonts w:ascii="Arial" w:hAnsi="Arial" w:cs="Arial"/>
          <w:b/>
          <w:sz w:val="24"/>
          <w:szCs w:val="24"/>
          <w:lang w:val="en-GB"/>
        </w:rPr>
        <w:t xml:space="preserve">1. </w:t>
      </w:r>
      <w:r w:rsidR="00AA18D2" w:rsidRPr="00AA18D2">
        <w:rPr>
          <w:rFonts w:ascii="Arial" w:hAnsi="Arial" w:cs="Arial"/>
          <w:b/>
          <w:sz w:val="24"/>
          <w:szCs w:val="24"/>
          <w:lang w:val="en-US"/>
        </w:rPr>
        <w:t>Introduction</w:t>
      </w:r>
    </w:p>
    <w:p w:rsidR="00F908DC" w:rsidRDefault="00C267F3">
      <w:pPr>
        <w:spacing w:before="120" w:after="0" w:line="360" w:lineRule="auto"/>
        <w:jc w:val="both"/>
        <w:rPr>
          <w:rFonts w:ascii="Arial" w:hAnsi="Arial" w:cs="Arial"/>
          <w:sz w:val="24"/>
          <w:szCs w:val="24"/>
          <w:lang w:val="en-US"/>
        </w:rPr>
      </w:pPr>
      <w:r w:rsidRPr="00C267F3">
        <w:rPr>
          <w:rFonts w:ascii="Arial" w:hAnsi="Arial" w:cs="Arial"/>
          <w:sz w:val="24"/>
          <w:szCs w:val="24"/>
          <w:lang w:val="en-US"/>
        </w:rPr>
        <w:t>Official statistics are passing through an important change of perspective, where experimentation on secondary data collection becomes an ordinary activity, strictly connected with the evolution of sample survey data.</w:t>
      </w:r>
      <w:r w:rsidR="000153F7">
        <w:rPr>
          <w:rFonts w:ascii="Arial" w:hAnsi="Arial" w:cs="Arial"/>
          <w:sz w:val="24"/>
          <w:szCs w:val="24"/>
          <w:lang w:val="en-US"/>
        </w:rPr>
        <w:t xml:space="preserve"> </w:t>
      </w:r>
      <w:r w:rsidRPr="00C267F3">
        <w:rPr>
          <w:rFonts w:ascii="Arial" w:hAnsi="Arial" w:cs="Arial"/>
          <w:sz w:val="24"/>
          <w:szCs w:val="24"/>
          <w:lang w:val="en-US"/>
        </w:rPr>
        <w:t>During last years a lot of human and instrumental resources has been invested at the Italian Institute of Statistics (ISTAT) in order to expand statistics from administrative source.</w:t>
      </w:r>
      <w:r w:rsidR="00251ED5">
        <w:rPr>
          <w:rFonts w:ascii="Arial" w:hAnsi="Arial" w:cs="Arial"/>
          <w:sz w:val="24"/>
          <w:szCs w:val="24"/>
          <w:lang w:val="en-US"/>
        </w:rPr>
        <w:t xml:space="preserve"> </w:t>
      </w:r>
      <w:r w:rsidRPr="00C267F3">
        <w:rPr>
          <w:rFonts w:ascii="Arial" w:hAnsi="Arial" w:cs="Arial"/>
          <w:sz w:val="24"/>
          <w:szCs w:val="24"/>
          <w:lang w:val="en-US"/>
        </w:rPr>
        <w:t xml:space="preserve">The goal of this effort is to expand ISTAT information offer through the production of register based statistics, which led to implementation of elementary collections of longitudinal and cross section data. </w:t>
      </w:r>
      <w:r w:rsidR="000153F7">
        <w:rPr>
          <w:rFonts w:ascii="Arial" w:hAnsi="Arial" w:cs="Arial"/>
          <w:sz w:val="24"/>
          <w:szCs w:val="24"/>
          <w:lang w:val="en-US"/>
        </w:rPr>
        <w:t xml:space="preserve"> </w:t>
      </w:r>
      <w:r w:rsidRPr="00C267F3">
        <w:rPr>
          <w:rFonts w:ascii="Arial" w:hAnsi="Arial" w:cs="Arial"/>
          <w:sz w:val="24"/>
          <w:szCs w:val="24"/>
          <w:lang w:val="en-US"/>
        </w:rPr>
        <w:t>When facing an important issue (whether social or economic), public decisionmaker and scientists need to know how the phenomenon is distributed locally; how it is distributed within some sub-populations of interest, in order to shape knowledge and policies as closest as possible to</w:t>
      </w:r>
      <w:r w:rsidR="00563579">
        <w:rPr>
          <w:rFonts w:ascii="Arial" w:hAnsi="Arial" w:cs="Arial"/>
          <w:sz w:val="24"/>
          <w:szCs w:val="24"/>
          <w:lang w:val="en-US"/>
        </w:rPr>
        <w:t xml:space="preserve"> </w:t>
      </w:r>
      <w:r w:rsidR="000B47D7">
        <w:rPr>
          <w:rFonts w:ascii="Arial" w:hAnsi="Arial" w:cs="Arial"/>
          <w:sz w:val="24"/>
          <w:szCs w:val="24"/>
          <w:lang w:val="en-US"/>
        </w:rPr>
        <w:t>population needs</w:t>
      </w:r>
      <w:r w:rsidRPr="00C267F3">
        <w:rPr>
          <w:rFonts w:ascii="Arial" w:hAnsi="Arial" w:cs="Arial"/>
          <w:sz w:val="24"/>
          <w:szCs w:val="24"/>
          <w:lang w:val="en-US"/>
        </w:rPr>
        <w:t>.</w:t>
      </w:r>
      <w:r w:rsidR="000153F7">
        <w:rPr>
          <w:rFonts w:ascii="Arial" w:hAnsi="Arial" w:cs="Arial"/>
          <w:sz w:val="24"/>
          <w:szCs w:val="24"/>
          <w:lang w:val="en-US"/>
        </w:rPr>
        <w:t xml:space="preserve"> </w:t>
      </w:r>
      <w:r w:rsidR="00793D80" w:rsidRPr="00C267F3">
        <w:rPr>
          <w:rFonts w:ascii="Arial" w:hAnsi="Arial" w:cs="Arial"/>
          <w:sz w:val="24"/>
          <w:szCs w:val="24"/>
          <w:lang w:val="en-US"/>
        </w:rPr>
        <w:t>What is the optimal level of territoria</w:t>
      </w:r>
      <w:r w:rsidR="00793D80">
        <w:rPr>
          <w:rFonts w:ascii="Arial" w:hAnsi="Arial" w:cs="Arial"/>
          <w:sz w:val="24"/>
          <w:szCs w:val="24"/>
          <w:lang w:val="en-US"/>
        </w:rPr>
        <w:t xml:space="preserve">l detail to support policies?  </w:t>
      </w:r>
      <w:r w:rsidRPr="00C267F3">
        <w:rPr>
          <w:rFonts w:ascii="Arial" w:hAnsi="Arial" w:cs="Arial"/>
          <w:sz w:val="24"/>
          <w:szCs w:val="24"/>
          <w:lang w:val="en-US"/>
        </w:rPr>
        <w:t xml:space="preserve">Sample survey data typically refer to national and regional level, but often </w:t>
      </w:r>
      <w:r w:rsidR="00357185">
        <w:rPr>
          <w:rFonts w:ascii="Arial" w:hAnsi="Arial" w:cs="Arial"/>
          <w:sz w:val="24"/>
          <w:szCs w:val="24"/>
          <w:lang w:val="en-US"/>
        </w:rPr>
        <w:t xml:space="preserve">user need </w:t>
      </w:r>
      <w:r w:rsidR="00357185" w:rsidRPr="00357185">
        <w:rPr>
          <w:rFonts w:ascii="Arial" w:hAnsi="Arial" w:cs="Arial"/>
          <w:sz w:val="24"/>
          <w:szCs w:val="24"/>
          <w:lang w:val="en-US"/>
        </w:rPr>
        <w:t xml:space="preserve">statistics </w:t>
      </w:r>
      <w:r w:rsidR="00357185">
        <w:rPr>
          <w:rFonts w:ascii="Arial" w:hAnsi="Arial" w:cs="Arial"/>
          <w:sz w:val="24"/>
          <w:szCs w:val="24"/>
          <w:lang w:val="en-US"/>
        </w:rPr>
        <w:t xml:space="preserve">at </w:t>
      </w:r>
      <w:r w:rsidR="00357185" w:rsidRPr="00357185">
        <w:rPr>
          <w:rFonts w:ascii="Arial" w:hAnsi="Arial" w:cs="Arial"/>
          <w:sz w:val="24"/>
          <w:szCs w:val="24"/>
          <w:lang w:val="en-US"/>
        </w:rPr>
        <w:t>district and municipality level</w:t>
      </w:r>
      <w:r w:rsidRPr="00C267F3">
        <w:rPr>
          <w:rFonts w:ascii="Arial" w:hAnsi="Arial" w:cs="Arial"/>
          <w:sz w:val="24"/>
          <w:szCs w:val="24"/>
          <w:lang w:val="en-US"/>
        </w:rPr>
        <w:t>. Despite typical deficit in administrative data (</w:t>
      </w:r>
      <w:r w:rsidR="003F0A5D">
        <w:rPr>
          <w:rFonts w:ascii="Arial" w:hAnsi="Arial" w:cs="Arial"/>
          <w:sz w:val="24"/>
          <w:szCs w:val="24"/>
          <w:lang w:val="en-US"/>
        </w:rPr>
        <w:t>Eurostat 2003)</w:t>
      </w:r>
      <w:r w:rsidRPr="00C267F3">
        <w:rPr>
          <w:rFonts w:ascii="Arial" w:hAnsi="Arial" w:cs="Arial"/>
          <w:sz w:val="24"/>
          <w:szCs w:val="24"/>
          <w:lang w:val="en-US"/>
        </w:rPr>
        <w:t xml:space="preserve"> they proved to have high potential to spread. In fact, they reach higher levels of detail and they allow to move smoothly within different definitions and different perimeters, unhooked from the administrative structures of the territories.</w:t>
      </w:r>
      <w:r w:rsidR="000153F7">
        <w:rPr>
          <w:rFonts w:ascii="Arial" w:hAnsi="Arial" w:cs="Arial"/>
          <w:sz w:val="24"/>
          <w:szCs w:val="24"/>
          <w:lang w:val="en-US"/>
        </w:rPr>
        <w:t xml:space="preserve"> </w:t>
      </w:r>
      <w:r w:rsidRPr="00C267F3">
        <w:rPr>
          <w:rFonts w:ascii="Arial" w:hAnsi="Arial" w:cs="Arial"/>
          <w:sz w:val="24"/>
          <w:szCs w:val="24"/>
          <w:lang w:val="en-US"/>
        </w:rPr>
        <w:t xml:space="preserve">In this work we aim to highlights strengths of administrative data through a </w:t>
      </w:r>
      <w:r w:rsidR="00596F44">
        <w:rPr>
          <w:rFonts w:ascii="Arial" w:hAnsi="Arial" w:cs="Arial"/>
          <w:sz w:val="24"/>
          <w:szCs w:val="24"/>
          <w:lang w:val="en-US"/>
        </w:rPr>
        <w:t>case study: ‘ELET people’,</w:t>
      </w:r>
      <w:r w:rsidRPr="00C267F3">
        <w:rPr>
          <w:rFonts w:ascii="Arial" w:hAnsi="Arial" w:cs="Arial"/>
          <w:sz w:val="24"/>
          <w:szCs w:val="24"/>
          <w:lang w:val="en-US"/>
        </w:rPr>
        <w:t xml:space="preserve"> Early leavers from education and training (previously known as ESL - Early school leavers). According to Eurostat definition </w:t>
      </w:r>
      <w:r w:rsidR="003F0A5D" w:rsidRPr="00C267F3">
        <w:rPr>
          <w:rFonts w:ascii="Arial" w:hAnsi="Arial" w:cs="Arial"/>
          <w:sz w:val="24"/>
          <w:szCs w:val="24"/>
          <w:lang w:val="en-US"/>
        </w:rPr>
        <w:t>(</w:t>
      </w:r>
      <w:r w:rsidR="003F0A5D">
        <w:rPr>
          <w:rFonts w:ascii="Arial" w:hAnsi="Arial" w:cs="Arial"/>
          <w:sz w:val="24"/>
          <w:szCs w:val="24"/>
          <w:lang w:val="en-US"/>
        </w:rPr>
        <w:t>Eurostat 2003)</w:t>
      </w:r>
      <w:r w:rsidR="003F0A5D" w:rsidRPr="00C267F3">
        <w:rPr>
          <w:rFonts w:ascii="Arial" w:hAnsi="Arial" w:cs="Arial"/>
          <w:sz w:val="24"/>
          <w:szCs w:val="24"/>
          <w:lang w:val="en-US"/>
        </w:rPr>
        <w:t xml:space="preserve"> </w:t>
      </w:r>
      <w:r w:rsidRPr="00C267F3">
        <w:rPr>
          <w:rFonts w:ascii="Arial" w:hAnsi="Arial" w:cs="Arial"/>
          <w:sz w:val="24"/>
          <w:szCs w:val="24"/>
          <w:lang w:val="en-US"/>
        </w:rPr>
        <w:t xml:space="preserve">in this category we include </w:t>
      </w:r>
      <w:r w:rsidR="00815188" w:rsidRPr="00815188">
        <w:rPr>
          <w:rFonts w:ascii="Arial" w:hAnsi="Arial" w:cs="Arial"/>
          <w:sz w:val="24"/>
          <w:szCs w:val="24"/>
          <w:lang w:val="en-US"/>
        </w:rPr>
        <w:t>young people between 18 and 24 years of age who do not have a secondary school qualification and who are not enrolled in an education cycle</w:t>
      </w:r>
      <w:r w:rsidRPr="00C267F3">
        <w:rPr>
          <w:rFonts w:ascii="Arial" w:hAnsi="Arial" w:cs="Arial"/>
          <w:sz w:val="24"/>
          <w:szCs w:val="24"/>
          <w:lang w:val="en-US"/>
        </w:rPr>
        <w:t>.</w:t>
      </w:r>
      <w:r w:rsidR="000153F7">
        <w:rPr>
          <w:rFonts w:ascii="Arial" w:hAnsi="Arial" w:cs="Arial"/>
          <w:sz w:val="24"/>
          <w:szCs w:val="24"/>
          <w:lang w:val="en-US"/>
        </w:rPr>
        <w:t xml:space="preserve"> </w:t>
      </w:r>
      <w:r w:rsidRPr="00C267F3">
        <w:rPr>
          <w:rFonts w:ascii="Arial" w:hAnsi="Arial" w:cs="Arial"/>
          <w:sz w:val="24"/>
          <w:szCs w:val="24"/>
          <w:lang w:val="en-US"/>
        </w:rPr>
        <w:t xml:space="preserve">This topic being so crucial from an </w:t>
      </w:r>
      <w:r w:rsidR="00596F44" w:rsidRPr="00C267F3">
        <w:rPr>
          <w:rFonts w:ascii="Arial" w:hAnsi="Arial" w:cs="Arial"/>
          <w:sz w:val="24"/>
          <w:szCs w:val="24"/>
          <w:lang w:val="en-US"/>
        </w:rPr>
        <w:t>European</w:t>
      </w:r>
      <w:r w:rsidRPr="00C267F3">
        <w:rPr>
          <w:rFonts w:ascii="Arial" w:hAnsi="Arial" w:cs="Arial"/>
          <w:sz w:val="24"/>
          <w:szCs w:val="24"/>
          <w:lang w:val="en-US"/>
        </w:rPr>
        <w:t xml:space="preserve"> perspective, that the Strategic framework for European cooperation in education and training (ET2020) defines a goal to be achieved by 2020: ELET in the EU-28 should be not more than 10%.</w:t>
      </w:r>
      <w:r w:rsidR="000153F7">
        <w:rPr>
          <w:rFonts w:ascii="Arial" w:hAnsi="Arial" w:cs="Arial"/>
          <w:sz w:val="24"/>
          <w:szCs w:val="24"/>
          <w:lang w:val="en-US"/>
        </w:rPr>
        <w:t xml:space="preserve"> </w:t>
      </w:r>
      <w:r w:rsidRPr="00C267F3">
        <w:rPr>
          <w:rFonts w:ascii="Arial" w:hAnsi="Arial" w:cs="Arial"/>
          <w:sz w:val="24"/>
          <w:szCs w:val="24"/>
          <w:lang w:val="en-US"/>
        </w:rPr>
        <w:t>This contribution is conceived as part of the SPoT project</w:t>
      </w:r>
      <w:r w:rsidR="00596F44">
        <w:rPr>
          <w:rStyle w:val="Odwoanieprzypisudolnego"/>
          <w:rFonts w:ascii="Arial" w:hAnsi="Arial" w:cs="Arial"/>
          <w:sz w:val="24"/>
          <w:szCs w:val="24"/>
          <w:lang w:val="en-US"/>
        </w:rPr>
        <w:footnoteReference w:id="2"/>
      </w:r>
      <w:r w:rsidRPr="00C267F3">
        <w:rPr>
          <w:rFonts w:ascii="Arial" w:hAnsi="Arial" w:cs="Arial"/>
          <w:sz w:val="24"/>
          <w:szCs w:val="24"/>
          <w:lang w:val="en-US"/>
        </w:rPr>
        <w:t xml:space="preserve"> which refers to ArchIMEDe </w:t>
      </w:r>
      <w:r w:rsidR="00705F77">
        <w:rPr>
          <w:rFonts w:ascii="Arial" w:hAnsi="Arial" w:cs="Arial"/>
          <w:sz w:val="24"/>
          <w:szCs w:val="24"/>
          <w:lang w:val="en-US"/>
        </w:rPr>
        <w:t>data</w:t>
      </w:r>
      <w:r w:rsidR="00596F44">
        <w:rPr>
          <w:rStyle w:val="Odwoanieprzypisudolnego"/>
          <w:rFonts w:ascii="Arial" w:hAnsi="Arial" w:cs="Arial"/>
          <w:sz w:val="24"/>
          <w:szCs w:val="24"/>
          <w:lang w:val="en-US"/>
        </w:rPr>
        <w:footnoteReference w:id="3"/>
      </w:r>
      <w:r w:rsidRPr="00C267F3">
        <w:rPr>
          <w:rFonts w:ascii="Arial" w:hAnsi="Arial" w:cs="Arial"/>
          <w:sz w:val="24"/>
          <w:szCs w:val="24"/>
          <w:lang w:val="en-US"/>
        </w:rPr>
        <w:t xml:space="preserve"> in order to obtain both substantial information about ELET and peculiar features regarding quality of statistical information.</w:t>
      </w:r>
      <w:r w:rsidR="000153F7">
        <w:rPr>
          <w:rFonts w:ascii="Arial" w:hAnsi="Arial" w:cs="Arial"/>
          <w:sz w:val="24"/>
          <w:szCs w:val="24"/>
          <w:lang w:val="en-US"/>
        </w:rPr>
        <w:t xml:space="preserve"> W</w:t>
      </w:r>
      <w:r w:rsidRPr="00C267F3">
        <w:rPr>
          <w:rFonts w:ascii="Arial" w:hAnsi="Arial" w:cs="Arial"/>
          <w:sz w:val="24"/>
          <w:szCs w:val="24"/>
          <w:lang w:val="en-US"/>
        </w:rPr>
        <w:t xml:space="preserve">e used </w:t>
      </w:r>
      <w:r w:rsidR="000153F7">
        <w:rPr>
          <w:rFonts w:ascii="Arial" w:hAnsi="Arial" w:cs="Arial"/>
          <w:sz w:val="24"/>
          <w:szCs w:val="24"/>
          <w:lang w:val="en-US"/>
        </w:rPr>
        <w:t>2012</w:t>
      </w:r>
      <w:r w:rsidR="000153F7" w:rsidRPr="00C267F3">
        <w:rPr>
          <w:rFonts w:ascii="Arial" w:hAnsi="Arial" w:cs="Arial"/>
          <w:sz w:val="24"/>
          <w:szCs w:val="24"/>
          <w:lang w:val="en-US"/>
        </w:rPr>
        <w:t xml:space="preserve"> </w:t>
      </w:r>
      <w:r w:rsidRPr="00C267F3">
        <w:rPr>
          <w:rFonts w:ascii="Arial" w:hAnsi="Arial" w:cs="Arial"/>
          <w:sz w:val="24"/>
          <w:szCs w:val="24"/>
          <w:lang w:val="en-US"/>
        </w:rPr>
        <w:lastRenderedPageBreak/>
        <w:t>data, also because of its proximity to the census year that allows us to have robust reference data.</w:t>
      </w:r>
    </w:p>
    <w:p w:rsidR="00D0258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184296">
        <w:rPr>
          <w:rFonts w:ascii="Arial" w:hAnsi="Arial" w:cs="Arial"/>
          <w:b/>
          <w:sz w:val="24"/>
          <w:szCs w:val="24"/>
          <w:lang w:val="en-GB"/>
        </w:rPr>
        <w:t>Data</w:t>
      </w:r>
      <w:r w:rsidR="00541C12">
        <w:rPr>
          <w:rFonts w:ascii="Arial" w:hAnsi="Arial" w:cs="Arial"/>
          <w:b/>
          <w:sz w:val="24"/>
          <w:szCs w:val="24"/>
          <w:lang w:val="en-GB"/>
        </w:rPr>
        <w:t xml:space="preserve"> and Methods</w:t>
      </w:r>
    </w:p>
    <w:p w:rsidR="00184296" w:rsidRPr="00CD37CF" w:rsidRDefault="00184296" w:rsidP="00CC1C1D">
      <w:pPr>
        <w:spacing w:before="360" w:after="0" w:line="360" w:lineRule="auto"/>
        <w:jc w:val="both"/>
        <w:rPr>
          <w:rFonts w:ascii="Arial" w:hAnsi="Arial" w:cs="Arial"/>
          <w:i/>
          <w:sz w:val="24"/>
          <w:szCs w:val="24"/>
          <w:lang w:val="en-GB"/>
        </w:rPr>
      </w:pPr>
      <w:r w:rsidRPr="00CD37CF">
        <w:rPr>
          <w:rFonts w:ascii="Arial" w:hAnsi="Arial" w:cs="Arial"/>
          <w:i/>
          <w:sz w:val="24"/>
          <w:szCs w:val="24"/>
          <w:lang w:val="en-GB"/>
        </w:rPr>
        <w:t>2.1 SIM Highlights</w:t>
      </w:r>
    </w:p>
    <w:p w:rsidR="00B82882" w:rsidRPr="00B82882" w:rsidRDefault="00B82882" w:rsidP="00B82882">
      <w:pPr>
        <w:spacing w:before="120" w:after="0" w:line="360" w:lineRule="auto"/>
        <w:jc w:val="both"/>
        <w:rPr>
          <w:rFonts w:ascii="Arial" w:hAnsi="Arial" w:cs="Arial"/>
          <w:sz w:val="24"/>
          <w:szCs w:val="24"/>
          <w:lang w:val="en-US"/>
        </w:rPr>
      </w:pPr>
      <w:r w:rsidRPr="00B82882">
        <w:rPr>
          <w:rFonts w:ascii="Arial" w:hAnsi="Arial" w:cs="Arial"/>
          <w:sz w:val="24"/>
          <w:szCs w:val="24"/>
          <w:lang w:val="en-US"/>
        </w:rPr>
        <w:t xml:space="preserve">Centralized management of administrative data is an important activity towards modernizing production processes with the aim </w:t>
      </w:r>
      <w:r w:rsidR="006B66E4">
        <w:rPr>
          <w:rFonts w:ascii="Arial" w:hAnsi="Arial" w:cs="Arial"/>
          <w:sz w:val="24"/>
          <w:szCs w:val="24"/>
          <w:lang w:val="en-US"/>
        </w:rPr>
        <w:t>of</w:t>
      </w:r>
      <w:r w:rsidR="006B66E4" w:rsidRPr="00B82882">
        <w:rPr>
          <w:rFonts w:ascii="Arial" w:hAnsi="Arial" w:cs="Arial"/>
          <w:sz w:val="24"/>
          <w:szCs w:val="24"/>
          <w:lang w:val="en-US"/>
        </w:rPr>
        <w:t xml:space="preserve"> </w:t>
      </w:r>
      <w:r w:rsidRPr="00B82882">
        <w:rPr>
          <w:rFonts w:ascii="Arial" w:hAnsi="Arial" w:cs="Arial"/>
          <w:sz w:val="24"/>
          <w:szCs w:val="24"/>
          <w:lang w:val="en-US"/>
        </w:rPr>
        <w:t xml:space="preserve">maximizing production efficiency and informational content of statistics. </w:t>
      </w:r>
    </w:p>
    <w:p w:rsidR="00B82882" w:rsidRPr="0051766C" w:rsidRDefault="00B82882" w:rsidP="00B82882">
      <w:pPr>
        <w:spacing w:before="120" w:after="0" w:line="360" w:lineRule="auto"/>
        <w:jc w:val="both"/>
        <w:rPr>
          <w:rFonts w:ascii="Arial" w:hAnsi="Arial" w:cs="Arial"/>
          <w:sz w:val="24"/>
          <w:szCs w:val="24"/>
          <w:lang w:val="en-US"/>
        </w:rPr>
      </w:pPr>
      <w:r w:rsidRPr="00B82882">
        <w:rPr>
          <w:rFonts w:ascii="Arial" w:hAnsi="Arial" w:cs="Arial"/>
          <w:sz w:val="24"/>
          <w:szCs w:val="24"/>
          <w:lang w:val="en-US"/>
        </w:rPr>
        <w:t>In this context</w:t>
      </w:r>
      <w:r w:rsidR="006B66E4">
        <w:rPr>
          <w:rFonts w:ascii="Arial" w:hAnsi="Arial" w:cs="Arial"/>
          <w:sz w:val="24"/>
          <w:szCs w:val="24"/>
          <w:lang w:val="en-US"/>
        </w:rPr>
        <w:t>,</w:t>
      </w:r>
      <w:r w:rsidRPr="00B82882">
        <w:rPr>
          <w:rFonts w:ascii="Arial" w:hAnsi="Arial" w:cs="Arial"/>
          <w:sz w:val="24"/>
          <w:szCs w:val="24"/>
          <w:lang w:val="en-US"/>
        </w:rPr>
        <w:t xml:space="preserve"> the Integrated Micro-data System (SIM – Sistema Integrato di Microdati) is the </w:t>
      </w:r>
      <w:r w:rsidR="00705F77">
        <w:rPr>
          <w:rFonts w:ascii="Arial" w:hAnsi="Arial" w:cs="Arial"/>
          <w:sz w:val="24"/>
          <w:szCs w:val="24"/>
          <w:lang w:val="en-US"/>
        </w:rPr>
        <w:t>main</w:t>
      </w:r>
      <w:r w:rsidR="00705F77" w:rsidRPr="00B82882">
        <w:rPr>
          <w:rFonts w:ascii="Arial" w:hAnsi="Arial" w:cs="Arial"/>
          <w:sz w:val="24"/>
          <w:szCs w:val="24"/>
          <w:lang w:val="en-US"/>
        </w:rPr>
        <w:t xml:space="preserve"> </w:t>
      </w:r>
      <w:r w:rsidRPr="00B82882">
        <w:rPr>
          <w:rFonts w:ascii="Arial" w:hAnsi="Arial" w:cs="Arial"/>
          <w:sz w:val="24"/>
          <w:szCs w:val="24"/>
          <w:lang w:val="en-US"/>
        </w:rPr>
        <w:t xml:space="preserve">repository of administrative data in ISTAT and it is conceived to support </w:t>
      </w:r>
      <w:r w:rsidR="00E23764" w:rsidRPr="00E23764">
        <w:rPr>
          <w:rFonts w:ascii="Arial" w:hAnsi="Arial" w:cs="Arial"/>
          <w:bCs/>
          <w:sz w:val="24"/>
          <w:szCs w:val="24"/>
        </w:rPr>
        <w:t>transversely</w:t>
      </w:r>
      <w:r w:rsidR="00E23764" w:rsidRPr="00E23764" w:rsidDel="00E23764">
        <w:rPr>
          <w:rFonts w:ascii="Arial" w:hAnsi="Arial" w:cs="Arial"/>
          <w:sz w:val="24"/>
          <w:szCs w:val="24"/>
          <w:lang w:val="en-US"/>
        </w:rPr>
        <w:t xml:space="preserve"> </w:t>
      </w:r>
      <w:r w:rsidRPr="00B82882">
        <w:rPr>
          <w:rFonts w:ascii="Arial" w:hAnsi="Arial" w:cs="Arial"/>
          <w:sz w:val="24"/>
          <w:szCs w:val="24"/>
          <w:lang w:val="en-US"/>
        </w:rPr>
        <w:t xml:space="preserve">the Institute's production processes. SIM hosts </w:t>
      </w:r>
      <w:r w:rsidRPr="00B82882">
        <w:rPr>
          <w:rFonts w:ascii="Arial" w:hAnsi="Arial" w:cs="Arial"/>
          <w:i/>
          <w:sz w:val="24"/>
          <w:szCs w:val="24"/>
          <w:lang w:val="en-US"/>
        </w:rPr>
        <w:t>micro data</w:t>
      </w:r>
      <w:r w:rsidRPr="00B82882">
        <w:rPr>
          <w:rFonts w:ascii="Arial" w:hAnsi="Arial" w:cs="Arial"/>
          <w:sz w:val="24"/>
          <w:szCs w:val="24"/>
          <w:lang w:val="en-US"/>
        </w:rPr>
        <w:t xml:space="preserve">, </w:t>
      </w:r>
      <w:r w:rsidR="005B5415">
        <w:rPr>
          <w:rFonts w:ascii="Arial" w:hAnsi="Arial" w:cs="Arial"/>
          <w:sz w:val="24"/>
          <w:szCs w:val="24"/>
          <w:lang w:val="en-US"/>
        </w:rPr>
        <w:t xml:space="preserve">since </w:t>
      </w:r>
      <w:r w:rsidR="005B5415" w:rsidRPr="00B82882">
        <w:rPr>
          <w:rFonts w:ascii="Arial" w:hAnsi="Arial" w:cs="Arial"/>
          <w:sz w:val="24"/>
          <w:szCs w:val="24"/>
          <w:lang w:val="en-US"/>
        </w:rPr>
        <w:t xml:space="preserve"> </w:t>
      </w:r>
      <w:r w:rsidRPr="00B82882">
        <w:rPr>
          <w:rFonts w:ascii="Arial" w:hAnsi="Arial" w:cs="Arial"/>
          <w:sz w:val="24"/>
          <w:szCs w:val="24"/>
          <w:lang w:val="en-US"/>
        </w:rPr>
        <w:t xml:space="preserve">they refer to the basic units of official statistics: Individuals, Economic Units, </w:t>
      </w:r>
      <w:r w:rsidR="00064DF3">
        <w:rPr>
          <w:rFonts w:ascii="Arial" w:hAnsi="Arial" w:cs="Arial"/>
          <w:sz w:val="24"/>
          <w:szCs w:val="24"/>
          <w:lang w:val="en-US"/>
        </w:rPr>
        <w:t>Places</w:t>
      </w:r>
      <w:r w:rsidRPr="00B82882">
        <w:rPr>
          <w:rFonts w:ascii="Arial" w:hAnsi="Arial" w:cs="Arial"/>
          <w:sz w:val="24"/>
          <w:szCs w:val="24"/>
          <w:lang w:val="en-US"/>
        </w:rPr>
        <w:t xml:space="preserve">. </w:t>
      </w:r>
      <w:r w:rsidR="00B36167">
        <w:rPr>
          <w:rFonts w:ascii="Arial" w:hAnsi="Arial" w:cs="Arial"/>
          <w:sz w:val="24"/>
          <w:szCs w:val="24"/>
          <w:lang w:val="en-US"/>
        </w:rPr>
        <w:t>R</w:t>
      </w:r>
      <w:r w:rsidR="00DB2873" w:rsidRPr="00B82882">
        <w:rPr>
          <w:rFonts w:ascii="Arial" w:hAnsi="Arial" w:cs="Arial"/>
          <w:sz w:val="24"/>
          <w:szCs w:val="24"/>
          <w:lang w:val="en-US"/>
        </w:rPr>
        <w:t xml:space="preserve">elations </w:t>
      </w:r>
      <w:r w:rsidR="00A81004">
        <w:rPr>
          <w:rFonts w:ascii="Arial" w:hAnsi="Arial" w:cs="Arial"/>
          <w:sz w:val="24"/>
          <w:szCs w:val="24"/>
          <w:lang w:val="en-US"/>
        </w:rPr>
        <w:t>among</w:t>
      </w:r>
      <w:r w:rsidR="00DB2873" w:rsidRPr="00B82882">
        <w:rPr>
          <w:rFonts w:ascii="Arial" w:hAnsi="Arial" w:cs="Arial"/>
          <w:sz w:val="24"/>
          <w:szCs w:val="24"/>
          <w:lang w:val="en-US"/>
        </w:rPr>
        <w:t xml:space="preserve"> units of the same type lead to 'Complex units' (</w:t>
      </w:r>
      <w:r w:rsidR="00DB2873">
        <w:rPr>
          <w:rFonts w:ascii="Arial" w:hAnsi="Arial" w:cs="Arial"/>
          <w:sz w:val="24"/>
          <w:szCs w:val="24"/>
          <w:lang w:val="en-US"/>
        </w:rPr>
        <w:t>e.g. households, groups of enterprises</w:t>
      </w:r>
      <w:r w:rsidR="00DB2873" w:rsidRPr="00B82882">
        <w:rPr>
          <w:rFonts w:ascii="Arial" w:hAnsi="Arial" w:cs="Arial"/>
          <w:sz w:val="24"/>
          <w:szCs w:val="24"/>
          <w:lang w:val="en-US"/>
        </w:rPr>
        <w:t xml:space="preserve">); relations between units of different types lead to ‘Micro-data systems’, </w:t>
      </w:r>
      <w:r w:rsidR="00DB2873">
        <w:rPr>
          <w:rFonts w:ascii="Arial" w:hAnsi="Arial" w:cs="Arial"/>
          <w:sz w:val="24"/>
          <w:szCs w:val="24"/>
          <w:lang w:val="en-US"/>
        </w:rPr>
        <w:t xml:space="preserve">e.g. </w:t>
      </w:r>
      <w:r w:rsidR="00DB2873" w:rsidRPr="00B82882">
        <w:rPr>
          <w:rFonts w:ascii="Arial" w:hAnsi="Arial" w:cs="Arial"/>
          <w:sz w:val="24"/>
          <w:szCs w:val="24"/>
          <w:lang w:val="en-US"/>
        </w:rPr>
        <w:t>Leed systems - Linked employer employee data (Individuals-Economic Units), Student</w:t>
      </w:r>
      <w:r w:rsidR="00811A2B">
        <w:rPr>
          <w:rFonts w:ascii="Arial" w:hAnsi="Arial" w:cs="Arial"/>
          <w:sz w:val="24"/>
          <w:szCs w:val="24"/>
          <w:lang w:val="en-US"/>
        </w:rPr>
        <w:t>s</w:t>
      </w:r>
      <w:r w:rsidR="00DB2873" w:rsidRPr="00B82882">
        <w:rPr>
          <w:rFonts w:ascii="Arial" w:hAnsi="Arial" w:cs="Arial"/>
          <w:sz w:val="24"/>
          <w:szCs w:val="24"/>
          <w:lang w:val="en-US"/>
        </w:rPr>
        <w:t>-School/U</w:t>
      </w:r>
      <w:r w:rsidR="00E6684B">
        <w:rPr>
          <w:rFonts w:ascii="Arial" w:hAnsi="Arial" w:cs="Arial"/>
          <w:sz w:val="24"/>
          <w:szCs w:val="24"/>
          <w:lang w:val="en-US"/>
        </w:rPr>
        <w:t>niversity systems (</w:t>
      </w:r>
      <w:r w:rsidR="00DB2873" w:rsidRPr="00B82882">
        <w:rPr>
          <w:rFonts w:ascii="Arial" w:hAnsi="Arial" w:cs="Arial"/>
          <w:sz w:val="24"/>
          <w:szCs w:val="24"/>
          <w:lang w:val="en-US"/>
        </w:rPr>
        <w:t>Individuals-Economic Units), Mobilit</w:t>
      </w:r>
      <w:r w:rsidR="00811A2B">
        <w:rPr>
          <w:rFonts w:ascii="Arial" w:hAnsi="Arial" w:cs="Arial"/>
          <w:sz w:val="24"/>
          <w:szCs w:val="24"/>
          <w:lang w:val="en-US"/>
        </w:rPr>
        <w:t>y systems (Individuals-Places).</w:t>
      </w:r>
      <w:r w:rsidRPr="0051766C">
        <w:rPr>
          <w:rFonts w:ascii="Arial" w:hAnsi="Arial" w:cs="Arial"/>
          <w:sz w:val="24"/>
          <w:szCs w:val="24"/>
          <w:lang w:val="en-US"/>
        </w:rPr>
        <w:t xml:space="preserve">SIM is an </w:t>
      </w:r>
      <w:r w:rsidRPr="0051766C">
        <w:rPr>
          <w:rFonts w:ascii="Arial" w:hAnsi="Arial" w:cs="Arial"/>
          <w:i/>
          <w:sz w:val="24"/>
          <w:szCs w:val="24"/>
          <w:lang w:val="en-US"/>
        </w:rPr>
        <w:t>integrated system</w:t>
      </w:r>
      <w:r w:rsidRPr="0051766C">
        <w:rPr>
          <w:rFonts w:ascii="Arial" w:hAnsi="Arial" w:cs="Arial"/>
          <w:sz w:val="24"/>
          <w:szCs w:val="24"/>
          <w:lang w:val="en-US"/>
        </w:rPr>
        <w:t xml:space="preserve"> </w:t>
      </w:r>
      <w:r w:rsidR="00021916" w:rsidRPr="0051766C">
        <w:rPr>
          <w:rFonts w:ascii="Arial" w:hAnsi="Arial" w:cs="Arial"/>
          <w:sz w:val="24"/>
          <w:szCs w:val="24"/>
          <w:lang w:val="en-US"/>
        </w:rPr>
        <w:t xml:space="preserve">since </w:t>
      </w:r>
      <w:r w:rsidR="00E32F40" w:rsidRPr="0051766C">
        <w:rPr>
          <w:rFonts w:ascii="Arial" w:hAnsi="Arial" w:cs="Arial"/>
          <w:sz w:val="24"/>
          <w:szCs w:val="24"/>
        </w:rPr>
        <w:t>(a</w:t>
      </w:r>
      <w:r w:rsidR="00021916" w:rsidRPr="0051766C">
        <w:rPr>
          <w:rFonts w:ascii="Arial" w:hAnsi="Arial" w:cs="Arial"/>
          <w:sz w:val="24"/>
          <w:szCs w:val="24"/>
        </w:rPr>
        <w:t>) it identifies each object in the administrative sources with a unique and stable (over time) ID number</w:t>
      </w:r>
      <w:r w:rsidR="009B7943">
        <w:rPr>
          <w:rStyle w:val="Odwoanieprzypisudolnego"/>
          <w:rFonts w:ascii="Arial" w:hAnsi="Arial" w:cs="Arial"/>
          <w:sz w:val="24"/>
          <w:szCs w:val="24"/>
        </w:rPr>
        <w:footnoteReference w:id="4"/>
      </w:r>
      <w:r w:rsidR="00021916" w:rsidRPr="0051766C">
        <w:rPr>
          <w:rFonts w:ascii="Arial" w:hAnsi="Arial" w:cs="Arial"/>
          <w:sz w:val="24"/>
          <w:szCs w:val="24"/>
        </w:rPr>
        <w:t>; (</w:t>
      </w:r>
      <w:r w:rsidR="00E32F40" w:rsidRPr="0051766C">
        <w:rPr>
          <w:rFonts w:ascii="Arial" w:hAnsi="Arial" w:cs="Arial"/>
          <w:sz w:val="24"/>
          <w:szCs w:val="24"/>
        </w:rPr>
        <w:t>b</w:t>
      </w:r>
      <w:r w:rsidR="00021916" w:rsidRPr="0051766C">
        <w:rPr>
          <w:rFonts w:ascii="Arial" w:hAnsi="Arial" w:cs="Arial"/>
          <w:sz w:val="24"/>
          <w:szCs w:val="24"/>
        </w:rPr>
        <w:t xml:space="preserve">) it defines, for each object, the logical and physical relationships among </w:t>
      </w:r>
      <w:r w:rsidR="00E32F40" w:rsidRPr="0051766C">
        <w:rPr>
          <w:rFonts w:ascii="Arial" w:hAnsi="Arial" w:cs="Arial"/>
          <w:sz w:val="24"/>
          <w:szCs w:val="24"/>
        </w:rPr>
        <w:t xml:space="preserve">different </w:t>
      </w:r>
      <w:r w:rsidR="00021916" w:rsidRPr="0051766C">
        <w:rPr>
          <w:rFonts w:ascii="Arial" w:hAnsi="Arial" w:cs="Arial"/>
          <w:sz w:val="24"/>
          <w:szCs w:val="24"/>
        </w:rPr>
        <w:t>administrative data sources (Ambroselli and Garofalo 2015)</w:t>
      </w:r>
      <w:r w:rsidRPr="0051766C">
        <w:rPr>
          <w:rFonts w:ascii="Arial" w:hAnsi="Arial" w:cs="Arial"/>
          <w:sz w:val="24"/>
          <w:szCs w:val="24"/>
          <w:lang w:val="en-US"/>
        </w:rPr>
        <w:t xml:space="preserve">. </w:t>
      </w:r>
    </w:p>
    <w:p w:rsidR="009E2275" w:rsidRPr="00CD37CF" w:rsidRDefault="009E2275" w:rsidP="009E2275">
      <w:pPr>
        <w:spacing w:before="360" w:after="0" w:line="360" w:lineRule="auto"/>
        <w:jc w:val="both"/>
        <w:rPr>
          <w:rFonts w:ascii="Arial" w:hAnsi="Arial" w:cs="Arial"/>
          <w:i/>
          <w:sz w:val="24"/>
          <w:szCs w:val="24"/>
          <w:lang w:val="en-GB"/>
        </w:rPr>
      </w:pPr>
      <w:r w:rsidRPr="00CD37CF">
        <w:rPr>
          <w:rFonts w:ascii="Arial" w:hAnsi="Arial" w:cs="Arial"/>
          <w:i/>
          <w:sz w:val="24"/>
          <w:szCs w:val="24"/>
          <w:lang w:val="en-GB"/>
        </w:rPr>
        <w:t>2.2 ARCHiMeDe</w:t>
      </w:r>
    </w:p>
    <w:p w:rsidR="00FE37CD" w:rsidRPr="00FE37CD" w:rsidRDefault="006B66E4" w:rsidP="00FE37CD">
      <w:pPr>
        <w:spacing w:before="360" w:after="0" w:line="360" w:lineRule="auto"/>
        <w:jc w:val="both"/>
        <w:rPr>
          <w:rFonts w:ascii="Arial" w:hAnsi="Arial" w:cs="Arial"/>
          <w:sz w:val="24"/>
          <w:szCs w:val="24"/>
          <w:lang w:val="en-US"/>
        </w:rPr>
      </w:pPr>
      <w:r>
        <w:rPr>
          <w:rFonts w:ascii="Arial" w:hAnsi="Arial" w:cs="Arial"/>
          <w:sz w:val="24"/>
          <w:szCs w:val="24"/>
        </w:rPr>
        <w:t>Given</w:t>
      </w:r>
      <w:r w:rsidRPr="006B66E4">
        <w:rPr>
          <w:rFonts w:ascii="Arial" w:hAnsi="Arial" w:cs="Arial"/>
          <w:sz w:val="24"/>
          <w:szCs w:val="24"/>
        </w:rPr>
        <w:t xml:space="preserve"> this amount of information, Istat developed </w:t>
      </w:r>
      <w:r w:rsidR="00E90A4F" w:rsidRPr="00C267F3">
        <w:rPr>
          <w:rFonts w:ascii="Arial" w:hAnsi="Arial" w:cs="Arial"/>
          <w:sz w:val="24"/>
          <w:szCs w:val="24"/>
          <w:lang w:val="en-US"/>
        </w:rPr>
        <w:t>ArchIMEDe</w:t>
      </w:r>
      <w:r w:rsidR="00E90A4F">
        <w:rPr>
          <w:rFonts w:ascii="Arial" w:hAnsi="Arial" w:cs="Arial"/>
          <w:sz w:val="24"/>
          <w:szCs w:val="24"/>
          <w:lang w:val="en-US"/>
        </w:rPr>
        <w:t xml:space="preserve"> project</w:t>
      </w:r>
      <w:r w:rsidRPr="006B66E4">
        <w:rPr>
          <w:rFonts w:ascii="Arial" w:hAnsi="Arial" w:cs="Arial"/>
          <w:sz w:val="24"/>
          <w:szCs w:val="24"/>
        </w:rPr>
        <w:t xml:space="preserve"> with the </w:t>
      </w:r>
      <w:r w:rsidR="00074942">
        <w:rPr>
          <w:rFonts w:ascii="Arial" w:hAnsi="Arial" w:cs="Arial"/>
          <w:sz w:val="24"/>
          <w:szCs w:val="24"/>
        </w:rPr>
        <w:t>purpose</w:t>
      </w:r>
      <w:r w:rsidRPr="006B66E4">
        <w:rPr>
          <w:rFonts w:ascii="Arial" w:hAnsi="Arial" w:cs="Arial"/>
          <w:sz w:val="24"/>
          <w:szCs w:val="24"/>
        </w:rPr>
        <w:t xml:space="preserve"> of exploring the informative contents of the SIM, in order to produce new statistical microdata collections </w:t>
      </w:r>
      <w:r w:rsidR="00E90A4F">
        <w:rPr>
          <w:rFonts w:ascii="Arial" w:hAnsi="Arial" w:cs="Arial"/>
          <w:sz w:val="24"/>
          <w:szCs w:val="24"/>
        </w:rPr>
        <w:t xml:space="preserve">- </w:t>
      </w:r>
      <w:r w:rsidRPr="006B66E4">
        <w:rPr>
          <w:rFonts w:ascii="Arial" w:hAnsi="Arial" w:cs="Arial"/>
          <w:sz w:val="24"/>
          <w:szCs w:val="24"/>
        </w:rPr>
        <w:t xml:space="preserve">made available </w:t>
      </w:r>
      <w:r w:rsidR="006E3A47">
        <w:rPr>
          <w:rFonts w:ascii="Arial" w:hAnsi="Arial" w:cs="Arial"/>
          <w:sz w:val="24"/>
          <w:szCs w:val="24"/>
        </w:rPr>
        <w:t xml:space="preserve">to selected users </w:t>
      </w:r>
      <w:r w:rsidR="00E90A4F">
        <w:rPr>
          <w:rFonts w:ascii="Arial" w:hAnsi="Arial" w:cs="Arial"/>
          <w:sz w:val="24"/>
          <w:szCs w:val="24"/>
        </w:rPr>
        <w:t xml:space="preserve">- </w:t>
      </w:r>
      <w:r w:rsidR="00FE37CD" w:rsidRPr="00FE37CD">
        <w:rPr>
          <w:rFonts w:ascii="Arial" w:hAnsi="Arial" w:cs="Arial"/>
          <w:sz w:val="24"/>
          <w:szCs w:val="24"/>
          <w:lang w:val="en-US"/>
        </w:rPr>
        <w:t xml:space="preserve"> for </w:t>
      </w:r>
      <w:r w:rsidR="00E36038" w:rsidRPr="00E36038">
        <w:rPr>
          <w:rFonts w:ascii="Arial" w:hAnsi="Arial" w:cs="Arial"/>
          <w:sz w:val="24"/>
          <w:szCs w:val="24"/>
          <w:lang w:val="en-US"/>
        </w:rPr>
        <w:t>territorial planning</w:t>
      </w:r>
      <w:r w:rsidR="00E36038" w:rsidRPr="00E36038" w:rsidDel="00E36038">
        <w:rPr>
          <w:rFonts w:ascii="Arial" w:hAnsi="Arial" w:cs="Arial"/>
          <w:sz w:val="24"/>
          <w:szCs w:val="24"/>
          <w:lang w:val="en-US"/>
        </w:rPr>
        <w:t xml:space="preserve"> </w:t>
      </w:r>
      <w:r w:rsidR="00FE37CD" w:rsidRPr="00FE37CD">
        <w:rPr>
          <w:rFonts w:ascii="Arial" w:hAnsi="Arial" w:cs="Arial"/>
          <w:sz w:val="24"/>
          <w:szCs w:val="24"/>
          <w:lang w:val="en-US"/>
        </w:rPr>
        <w:t>and evaluation of public policies at national, regional and local levels</w:t>
      </w:r>
      <w:r w:rsidR="00D95DA2">
        <w:rPr>
          <w:rFonts w:ascii="Arial" w:hAnsi="Arial" w:cs="Arial"/>
          <w:sz w:val="24"/>
          <w:szCs w:val="24"/>
          <w:lang w:val="en-US"/>
        </w:rPr>
        <w:t xml:space="preserve"> (Garofalo 2014)</w:t>
      </w:r>
      <w:r w:rsidR="00FE37CD" w:rsidRPr="00FE37CD">
        <w:rPr>
          <w:rFonts w:ascii="Arial" w:hAnsi="Arial" w:cs="Arial"/>
          <w:sz w:val="24"/>
          <w:szCs w:val="24"/>
          <w:lang w:val="en-US"/>
        </w:rPr>
        <w:t>.</w:t>
      </w:r>
    </w:p>
    <w:p w:rsidR="003D3901" w:rsidRPr="00EC4E89" w:rsidRDefault="003F2E3B" w:rsidP="003D3901">
      <w:pPr>
        <w:spacing w:after="0" w:line="360" w:lineRule="auto"/>
        <w:jc w:val="both"/>
        <w:rPr>
          <w:rFonts w:ascii="Arial" w:hAnsi="Arial" w:cs="Arial"/>
          <w:sz w:val="24"/>
          <w:szCs w:val="24"/>
          <w:lang w:val="en-GB"/>
        </w:rPr>
      </w:pPr>
      <w:r w:rsidRPr="00EC4E89">
        <w:rPr>
          <w:rFonts w:ascii="Arial" w:hAnsi="Arial" w:cs="Arial"/>
          <w:sz w:val="24"/>
          <w:szCs w:val="24"/>
          <w:lang w:val="en-GB"/>
        </w:rPr>
        <w:t xml:space="preserve">The application </w:t>
      </w:r>
      <w:r w:rsidR="00907A1A">
        <w:rPr>
          <w:rFonts w:ascii="Arial" w:hAnsi="Arial" w:cs="Arial"/>
          <w:sz w:val="24"/>
          <w:szCs w:val="24"/>
          <w:lang w:val="en-GB"/>
        </w:rPr>
        <w:t>illustrated</w:t>
      </w:r>
      <w:r w:rsidRPr="00EC4E89">
        <w:rPr>
          <w:rFonts w:ascii="Arial" w:hAnsi="Arial" w:cs="Arial"/>
          <w:sz w:val="24"/>
          <w:szCs w:val="24"/>
          <w:lang w:val="en-GB"/>
        </w:rPr>
        <w:t xml:space="preserve"> in this paper </w:t>
      </w:r>
      <w:r w:rsidR="00907A1A">
        <w:rPr>
          <w:rFonts w:ascii="Arial" w:hAnsi="Arial" w:cs="Arial"/>
          <w:sz w:val="24"/>
          <w:szCs w:val="24"/>
          <w:lang w:val="en-GB"/>
        </w:rPr>
        <w:t xml:space="preserve">is based on </w:t>
      </w:r>
      <w:r w:rsidRPr="00EC4E89">
        <w:rPr>
          <w:rFonts w:ascii="Arial" w:hAnsi="Arial" w:cs="Arial"/>
          <w:sz w:val="24"/>
          <w:szCs w:val="24"/>
          <w:lang w:val="en-GB"/>
        </w:rPr>
        <w:t xml:space="preserve">a collection of microdata produced </w:t>
      </w:r>
      <w:r w:rsidR="00CA7E28" w:rsidRPr="00CA7E28">
        <w:rPr>
          <w:rFonts w:ascii="Arial" w:hAnsi="Arial" w:cs="Arial"/>
          <w:sz w:val="24"/>
          <w:szCs w:val="24"/>
          <w:lang w:val="en-GB"/>
        </w:rPr>
        <w:t xml:space="preserve">from integrated administrative sources </w:t>
      </w:r>
      <w:r w:rsidRPr="00EC4E89">
        <w:rPr>
          <w:rFonts w:ascii="Arial" w:hAnsi="Arial" w:cs="Arial"/>
          <w:sz w:val="24"/>
          <w:szCs w:val="24"/>
          <w:lang w:val="en-GB"/>
        </w:rPr>
        <w:t xml:space="preserve">to study the socio-economic </w:t>
      </w:r>
      <w:r w:rsidR="007010B8">
        <w:rPr>
          <w:rFonts w:ascii="Arial" w:hAnsi="Arial" w:cs="Arial"/>
          <w:sz w:val="24"/>
          <w:szCs w:val="24"/>
          <w:lang w:val="en-GB"/>
        </w:rPr>
        <w:t>conditions</w:t>
      </w:r>
      <w:r w:rsidRPr="00EC4E89">
        <w:rPr>
          <w:rFonts w:ascii="Arial" w:hAnsi="Arial" w:cs="Arial"/>
          <w:sz w:val="24"/>
          <w:szCs w:val="24"/>
          <w:lang w:val="en-GB"/>
        </w:rPr>
        <w:t xml:space="preserve"> of individuals and households</w:t>
      </w:r>
      <w:r w:rsidRPr="00EC4E89">
        <w:rPr>
          <w:rFonts w:ascii="Arial" w:hAnsi="Arial" w:cs="Arial"/>
          <w:sz w:val="24"/>
          <w:szCs w:val="24"/>
        </w:rPr>
        <w:t xml:space="preserve">. </w:t>
      </w:r>
      <w:r w:rsidRPr="00EC4E89">
        <w:rPr>
          <w:rFonts w:ascii="Arial" w:hAnsi="Arial" w:cs="Arial"/>
          <w:sz w:val="24"/>
          <w:szCs w:val="24"/>
          <w:lang w:val="en-GB"/>
        </w:rPr>
        <w:t xml:space="preserve">The </w:t>
      </w:r>
      <w:r w:rsidR="00826763">
        <w:rPr>
          <w:rFonts w:ascii="Arial" w:hAnsi="Arial" w:cs="Arial"/>
          <w:sz w:val="24"/>
          <w:szCs w:val="24"/>
          <w:lang w:val="en-GB"/>
        </w:rPr>
        <w:t>dataset</w:t>
      </w:r>
      <w:r w:rsidRPr="00EC4E89">
        <w:rPr>
          <w:rFonts w:ascii="Arial" w:hAnsi="Arial" w:cs="Arial"/>
          <w:sz w:val="24"/>
          <w:szCs w:val="24"/>
          <w:lang w:val="en-GB"/>
        </w:rPr>
        <w:t xml:space="preserve"> </w:t>
      </w:r>
      <w:r w:rsidR="00DE2BE9">
        <w:rPr>
          <w:rFonts w:ascii="Arial" w:hAnsi="Arial" w:cs="Arial"/>
          <w:sz w:val="24"/>
          <w:szCs w:val="24"/>
          <w:lang w:val="en-GB"/>
        </w:rPr>
        <w:t>compiles</w:t>
      </w:r>
      <w:r w:rsidRPr="00EC4E89">
        <w:rPr>
          <w:rFonts w:ascii="Arial" w:hAnsi="Arial" w:cs="Arial"/>
          <w:sz w:val="24"/>
          <w:szCs w:val="24"/>
          <w:lang w:val="en-GB"/>
        </w:rPr>
        <w:t xml:space="preserve"> information on socio-demographic characteristics (e.g. age, sex, citizenship, highest level of education), occupation (e.g. </w:t>
      </w:r>
      <w:r w:rsidR="002308F9" w:rsidRPr="00EC4E89">
        <w:rPr>
          <w:rFonts w:ascii="Arial" w:hAnsi="Arial" w:cs="Arial"/>
          <w:sz w:val="24"/>
          <w:szCs w:val="24"/>
          <w:lang w:eastAsia="it-IT"/>
        </w:rPr>
        <w:lastRenderedPageBreak/>
        <w:t>individual participation in the labor market during the year</w:t>
      </w:r>
      <w:r w:rsidR="00BC74A8">
        <w:rPr>
          <w:rFonts w:ascii="Arial" w:hAnsi="Arial" w:cs="Arial"/>
          <w:sz w:val="24"/>
          <w:szCs w:val="24"/>
          <w:lang w:eastAsia="it-IT"/>
        </w:rPr>
        <w:t xml:space="preserve"> and </w:t>
      </w:r>
      <w:r w:rsidR="00BC74A8" w:rsidRPr="00EC4E89">
        <w:rPr>
          <w:rFonts w:ascii="Arial" w:hAnsi="Arial" w:cs="Arial"/>
          <w:sz w:val="24"/>
          <w:szCs w:val="24"/>
          <w:lang w:val="en-GB"/>
        </w:rPr>
        <w:t>type of employment</w:t>
      </w:r>
      <w:r w:rsidR="003D3901" w:rsidRPr="00EC4E89">
        <w:rPr>
          <w:rFonts w:ascii="Arial" w:hAnsi="Arial" w:cs="Arial"/>
          <w:sz w:val="24"/>
          <w:szCs w:val="24"/>
          <w:lang w:val="en-GB"/>
        </w:rPr>
        <w:t>), education (</w:t>
      </w:r>
      <w:r w:rsidR="00D05AA7" w:rsidRPr="00D05AA7">
        <w:rPr>
          <w:rFonts w:ascii="Arial" w:hAnsi="Arial" w:cs="Arial"/>
          <w:sz w:val="24"/>
          <w:szCs w:val="24"/>
          <w:lang w:val="en-GB"/>
        </w:rPr>
        <w:t xml:space="preserve">school </w:t>
      </w:r>
      <w:r w:rsidR="00D05AA7">
        <w:rPr>
          <w:rFonts w:ascii="Arial" w:hAnsi="Arial" w:cs="Arial"/>
          <w:sz w:val="24"/>
          <w:szCs w:val="24"/>
          <w:lang w:val="en-GB"/>
        </w:rPr>
        <w:t xml:space="preserve">and university </w:t>
      </w:r>
      <w:r w:rsidR="00D05AA7" w:rsidRPr="00D05AA7">
        <w:rPr>
          <w:rFonts w:ascii="Arial" w:hAnsi="Arial" w:cs="Arial"/>
          <w:sz w:val="24"/>
          <w:szCs w:val="24"/>
          <w:lang w:val="en-GB"/>
        </w:rPr>
        <w:t>enrollment</w:t>
      </w:r>
      <w:r w:rsidR="003D3901" w:rsidRPr="00EC4E89">
        <w:rPr>
          <w:rFonts w:ascii="Arial" w:hAnsi="Arial" w:cs="Arial"/>
          <w:sz w:val="24"/>
          <w:szCs w:val="24"/>
          <w:lang w:val="en-GB"/>
        </w:rPr>
        <w:t xml:space="preserve">) </w:t>
      </w:r>
      <w:r w:rsidR="00883243">
        <w:rPr>
          <w:rFonts w:ascii="Arial" w:hAnsi="Arial" w:cs="Arial"/>
          <w:sz w:val="24"/>
          <w:szCs w:val="24"/>
          <w:lang w:val="en-GB"/>
        </w:rPr>
        <w:t>and income</w:t>
      </w:r>
      <w:r w:rsidR="003447E5">
        <w:rPr>
          <w:rFonts w:ascii="Arial" w:hAnsi="Arial" w:cs="Arial"/>
          <w:sz w:val="24"/>
          <w:szCs w:val="24"/>
          <w:lang w:val="en-GB"/>
        </w:rPr>
        <w:t xml:space="preserve"> of individuals</w:t>
      </w:r>
      <w:r w:rsidRPr="00EC4E89">
        <w:rPr>
          <w:rFonts w:ascii="Arial" w:hAnsi="Arial" w:cs="Arial"/>
          <w:sz w:val="24"/>
          <w:szCs w:val="24"/>
          <w:lang w:val="en-GB"/>
        </w:rPr>
        <w:t>.</w:t>
      </w:r>
      <w:r w:rsidR="003D3901" w:rsidRPr="00EC4E89">
        <w:rPr>
          <w:rFonts w:ascii="Arial" w:hAnsi="Arial" w:cs="Arial"/>
          <w:sz w:val="24"/>
          <w:szCs w:val="24"/>
          <w:lang w:val="en-GB"/>
        </w:rPr>
        <w:t xml:space="preserve"> </w:t>
      </w:r>
      <w:r w:rsidR="002013F4">
        <w:rPr>
          <w:rFonts w:ascii="Arial" w:hAnsi="Arial" w:cs="Arial"/>
          <w:sz w:val="24"/>
          <w:szCs w:val="24"/>
          <w:lang w:val="en-GB"/>
        </w:rPr>
        <w:t>The integration of administrative sources (</w:t>
      </w:r>
      <w:r w:rsidR="002013F4" w:rsidRPr="002013F4">
        <w:rPr>
          <w:rFonts w:ascii="Arial" w:hAnsi="Arial" w:cs="Arial"/>
          <w:sz w:val="24"/>
          <w:szCs w:val="24"/>
          <w:lang w:val="en-GB"/>
        </w:rPr>
        <w:t xml:space="preserve">Municipal Population Registers, Tax Returns Register, Central Register of Pensioners, Social Security </w:t>
      </w:r>
      <w:r w:rsidR="00E22821">
        <w:rPr>
          <w:rFonts w:ascii="Arial" w:hAnsi="Arial" w:cs="Arial"/>
          <w:sz w:val="24"/>
          <w:szCs w:val="24"/>
          <w:lang w:val="en-GB"/>
        </w:rPr>
        <w:t>Archives</w:t>
      </w:r>
      <w:r w:rsidR="002013F4" w:rsidRPr="002013F4">
        <w:rPr>
          <w:rFonts w:ascii="Arial" w:hAnsi="Arial" w:cs="Arial"/>
          <w:sz w:val="24"/>
          <w:szCs w:val="24"/>
          <w:lang w:val="en-GB"/>
        </w:rPr>
        <w:t>, Social Security Benefits Register, Student Registers</w:t>
      </w:r>
      <w:r w:rsidR="002013F4">
        <w:rPr>
          <w:rFonts w:ascii="Arial" w:hAnsi="Arial" w:cs="Arial"/>
          <w:sz w:val="24"/>
          <w:szCs w:val="24"/>
          <w:lang w:val="en-GB"/>
        </w:rPr>
        <w:t>)</w:t>
      </w:r>
      <w:r w:rsidR="003C6DCE" w:rsidRPr="003C6DCE">
        <w:rPr>
          <w:rFonts w:ascii="Arial" w:hAnsi="Arial" w:cs="Arial"/>
          <w:sz w:val="24"/>
          <w:szCs w:val="24"/>
          <w:lang w:val="en-GB"/>
        </w:rPr>
        <w:t xml:space="preserve"> </w:t>
      </w:r>
      <w:r w:rsidR="004E3771">
        <w:rPr>
          <w:rFonts w:ascii="Arial" w:hAnsi="Arial" w:cs="Arial"/>
          <w:sz w:val="24"/>
          <w:szCs w:val="24"/>
          <w:lang w:val="en-GB"/>
        </w:rPr>
        <w:t>permits</w:t>
      </w:r>
      <w:r w:rsidR="003C6DCE">
        <w:rPr>
          <w:rFonts w:ascii="Arial" w:hAnsi="Arial" w:cs="Arial"/>
          <w:sz w:val="24"/>
          <w:szCs w:val="24"/>
          <w:lang w:val="en-GB"/>
        </w:rPr>
        <w:t xml:space="preserve"> an </w:t>
      </w:r>
      <w:r w:rsidR="003C6DCE" w:rsidRPr="00525223">
        <w:rPr>
          <w:rFonts w:ascii="Arial" w:hAnsi="Arial" w:cs="Arial"/>
          <w:sz w:val="24"/>
          <w:szCs w:val="24"/>
          <w:lang w:val="en-GB"/>
        </w:rPr>
        <w:t xml:space="preserve">informational </w:t>
      </w:r>
      <w:r w:rsidR="00426B61" w:rsidRPr="00426B61">
        <w:rPr>
          <w:rFonts w:ascii="Arial" w:hAnsi="Arial" w:cs="Arial"/>
          <w:sz w:val="24"/>
          <w:szCs w:val="24"/>
        </w:rPr>
        <w:t>enhancement</w:t>
      </w:r>
      <w:r w:rsidR="00426B61" w:rsidRPr="00426B61">
        <w:rPr>
          <w:rFonts w:ascii="Arial" w:hAnsi="Arial" w:cs="Arial"/>
          <w:sz w:val="24"/>
          <w:szCs w:val="24"/>
          <w:lang w:val="en-GB"/>
        </w:rPr>
        <w:t xml:space="preserve"> </w:t>
      </w:r>
      <w:r w:rsidR="008F7385">
        <w:rPr>
          <w:rFonts w:ascii="Arial" w:hAnsi="Arial" w:cs="Arial"/>
          <w:sz w:val="24"/>
          <w:szCs w:val="24"/>
          <w:lang w:val="en-GB"/>
        </w:rPr>
        <w:t>and</w:t>
      </w:r>
      <w:r w:rsidR="003C6DCE">
        <w:rPr>
          <w:rFonts w:ascii="Arial" w:hAnsi="Arial" w:cs="Arial"/>
          <w:sz w:val="24"/>
          <w:szCs w:val="24"/>
          <w:lang w:val="en-GB"/>
        </w:rPr>
        <w:t xml:space="preserve"> a partial correction</w:t>
      </w:r>
      <w:r w:rsidR="003C6DCE" w:rsidRPr="00525223">
        <w:rPr>
          <w:rFonts w:ascii="Arial" w:hAnsi="Arial" w:cs="Arial"/>
          <w:sz w:val="24"/>
          <w:szCs w:val="24"/>
          <w:lang w:val="en-GB"/>
        </w:rPr>
        <w:t xml:space="preserve"> for under</w:t>
      </w:r>
      <w:r w:rsidR="003C6DCE">
        <w:rPr>
          <w:rFonts w:ascii="Arial" w:hAnsi="Arial" w:cs="Arial"/>
          <w:sz w:val="24"/>
          <w:szCs w:val="24"/>
          <w:lang w:val="en-GB"/>
        </w:rPr>
        <w:t xml:space="preserve">/over </w:t>
      </w:r>
      <w:r w:rsidR="003C6DCE" w:rsidRPr="00525223">
        <w:rPr>
          <w:rFonts w:ascii="Arial" w:hAnsi="Arial" w:cs="Arial"/>
          <w:sz w:val="24"/>
          <w:szCs w:val="24"/>
          <w:lang w:val="en-GB"/>
        </w:rPr>
        <w:t xml:space="preserve">coverage of some </w:t>
      </w:r>
      <w:r w:rsidR="003C6DCE">
        <w:rPr>
          <w:rFonts w:ascii="Arial" w:hAnsi="Arial" w:cs="Arial"/>
          <w:sz w:val="24"/>
          <w:szCs w:val="24"/>
          <w:lang w:val="en-GB"/>
        </w:rPr>
        <w:t xml:space="preserve">sub-population. </w:t>
      </w:r>
      <w:r w:rsidR="003C6DCE" w:rsidRPr="003C6DCE">
        <w:rPr>
          <w:rFonts w:ascii="Arial" w:hAnsi="Arial" w:cs="Arial"/>
          <w:sz w:val="24"/>
          <w:szCs w:val="24"/>
          <w:lang w:val="en-GB"/>
        </w:rPr>
        <w:t>Furthermore</w:t>
      </w:r>
      <w:r w:rsidR="003C6DCE">
        <w:rPr>
          <w:rFonts w:ascii="Arial" w:hAnsi="Arial" w:cs="Arial"/>
          <w:sz w:val="24"/>
          <w:szCs w:val="24"/>
          <w:lang w:val="en-GB"/>
        </w:rPr>
        <w:t xml:space="preserve">, it </w:t>
      </w:r>
      <w:r w:rsidR="002013F4">
        <w:rPr>
          <w:rFonts w:ascii="Arial" w:hAnsi="Arial" w:cs="Arial"/>
          <w:sz w:val="24"/>
          <w:szCs w:val="24"/>
          <w:lang w:val="en-GB"/>
        </w:rPr>
        <w:t xml:space="preserve">aims to </w:t>
      </w:r>
      <w:r w:rsidR="002013F4" w:rsidRPr="00525223">
        <w:rPr>
          <w:rFonts w:ascii="Arial" w:hAnsi="Arial" w:cs="Arial"/>
          <w:sz w:val="24"/>
          <w:szCs w:val="24"/>
          <w:lang w:val="en-GB"/>
        </w:rPr>
        <w:t>harmonize data under a single common denominator.</w:t>
      </w:r>
      <w:r w:rsidR="002013F4" w:rsidRPr="00FB33A0">
        <w:rPr>
          <w:rFonts w:ascii="Arial" w:hAnsi="Arial" w:cs="Arial"/>
          <w:sz w:val="24"/>
          <w:szCs w:val="24"/>
          <w:lang w:val="en-US"/>
        </w:rPr>
        <w:t xml:space="preserve"> </w:t>
      </w:r>
      <w:r w:rsidR="00DD497A">
        <w:rPr>
          <w:rFonts w:ascii="Arial" w:hAnsi="Arial" w:cs="Arial"/>
          <w:sz w:val="24"/>
          <w:szCs w:val="24"/>
          <w:lang w:val="en-GB"/>
        </w:rPr>
        <w:t>However</w:t>
      </w:r>
      <w:r w:rsidR="002013F4" w:rsidRPr="00525223">
        <w:rPr>
          <w:rFonts w:ascii="Arial" w:hAnsi="Arial" w:cs="Arial"/>
          <w:sz w:val="24"/>
          <w:szCs w:val="24"/>
          <w:lang w:val="en-GB"/>
        </w:rPr>
        <w:t xml:space="preserve">, </w:t>
      </w:r>
      <w:r w:rsidR="002013F4">
        <w:rPr>
          <w:rFonts w:ascii="Arial" w:hAnsi="Arial" w:cs="Arial"/>
          <w:sz w:val="24"/>
          <w:szCs w:val="24"/>
          <w:lang w:val="en-GB"/>
        </w:rPr>
        <w:t xml:space="preserve">some </w:t>
      </w:r>
      <w:r w:rsidR="006626B7">
        <w:rPr>
          <w:rFonts w:ascii="Arial" w:hAnsi="Arial" w:cs="Arial"/>
          <w:sz w:val="24"/>
          <w:szCs w:val="24"/>
          <w:lang w:val="en-GB"/>
        </w:rPr>
        <w:t>'</w:t>
      </w:r>
      <w:r w:rsidR="002013F4" w:rsidRPr="00525223">
        <w:rPr>
          <w:rFonts w:ascii="Arial" w:hAnsi="Arial" w:cs="Arial"/>
          <w:sz w:val="24"/>
          <w:szCs w:val="24"/>
          <w:lang w:val="en-GB"/>
        </w:rPr>
        <w:t>errors</w:t>
      </w:r>
      <w:r w:rsidR="006626B7">
        <w:rPr>
          <w:rFonts w:ascii="Arial" w:hAnsi="Arial" w:cs="Arial"/>
          <w:sz w:val="24"/>
          <w:szCs w:val="24"/>
          <w:lang w:val="en-GB"/>
        </w:rPr>
        <w:t>'</w:t>
      </w:r>
      <w:r w:rsidR="002013F4" w:rsidRPr="00525223">
        <w:rPr>
          <w:rFonts w:ascii="Arial" w:hAnsi="Arial" w:cs="Arial"/>
          <w:sz w:val="24"/>
          <w:szCs w:val="24"/>
          <w:lang w:val="en-GB"/>
        </w:rPr>
        <w:t xml:space="preserve"> </w:t>
      </w:r>
      <w:r w:rsidR="000E4B4B">
        <w:rPr>
          <w:rFonts w:ascii="Arial" w:hAnsi="Arial" w:cs="Arial"/>
          <w:sz w:val="24"/>
          <w:szCs w:val="24"/>
          <w:lang w:val="en-GB"/>
        </w:rPr>
        <w:t>(</w:t>
      </w:r>
      <w:r w:rsidR="00FC55D5">
        <w:rPr>
          <w:rFonts w:ascii="Arial" w:hAnsi="Arial" w:cs="Arial"/>
          <w:sz w:val="24"/>
          <w:szCs w:val="24"/>
          <w:lang w:val="en-GB"/>
        </w:rPr>
        <w:t xml:space="preserve">under-over </w:t>
      </w:r>
      <w:r w:rsidR="000E4B4B">
        <w:rPr>
          <w:rFonts w:ascii="Arial" w:hAnsi="Arial" w:cs="Arial"/>
          <w:sz w:val="24"/>
          <w:szCs w:val="24"/>
          <w:lang w:val="en-GB"/>
        </w:rPr>
        <w:t xml:space="preserve">coverage, missing values, inconsistencies) </w:t>
      </w:r>
      <w:r w:rsidR="006626B7">
        <w:rPr>
          <w:rFonts w:ascii="Arial" w:hAnsi="Arial" w:cs="Arial"/>
          <w:sz w:val="24"/>
          <w:szCs w:val="24"/>
          <w:lang w:val="en-GB"/>
        </w:rPr>
        <w:t xml:space="preserve">and informational gaps </w:t>
      </w:r>
      <w:r w:rsidR="002013F4">
        <w:rPr>
          <w:rFonts w:ascii="Arial" w:hAnsi="Arial" w:cs="Arial"/>
          <w:sz w:val="24"/>
          <w:szCs w:val="24"/>
          <w:lang w:val="en-GB"/>
        </w:rPr>
        <w:t>are still present</w:t>
      </w:r>
      <w:r w:rsidR="003F751C">
        <w:rPr>
          <w:rFonts w:ascii="Arial" w:hAnsi="Arial" w:cs="Arial"/>
          <w:sz w:val="24"/>
          <w:szCs w:val="24"/>
          <w:lang w:val="en-GB"/>
        </w:rPr>
        <w:t xml:space="preserve"> </w:t>
      </w:r>
      <w:r w:rsidR="00B45DB4">
        <w:rPr>
          <w:rFonts w:ascii="Arial" w:hAnsi="Arial" w:cs="Arial"/>
          <w:sz w:val="24"/>
          <w:szCs w:val="24"/>
          <w:lang w:val="en-GB"/>
        </w:rPr>
        <w:t xml:space="preserve">and </w:t>
      </w:r>
      <w:r w:rsidR="003F751C" w:rsidRPr="00EC4E89">
        <w:rPr>
          <w:rFonts w:ascii="Arial" w:hAnsi="Arial" w:cs="Arial"/>
          <w:sz w:val="24"/>
          <w:szCs w:val="24"/>
          <w:lang w:val="en-GB"/>
        </w:rPr>
        <w:t>comparability with surveys</w:t>
      </w:r>
      <w:r w:rsidR="00B45DB4">
        <w:rPr>
          <w:rFonts w:ascii="Arial" w:hAnsi="Arial" w:cs="Arial"/>
          <w:sz w:val="24"/>
          <w:szCs w:val="24"/>
          <w:lang w:val="en-GB"/>
        </w:rPr>
        <w:t xml:space="preserve"> is not guaranteed</w:t>
      </w:r>
      <w:r w:rsidR="002013F4">
        <w:rPr>
          <w:rFonts w:ascii="Arial" w:hAnsi="Arial" w:cs="Arial"/>
          <w:sz w:val="24"/>
          <w:szCs w:val="24"/>
          <w:lang w:val="en-GB"/>
        </w:rPr>
        <w:t>.</w:t>
      </w:r>
      <w:r w:rsidR="003F751C">
        <w:rPr>
          <w:rFonts w:ascii="Arial" w:hAnsi="Arial" w:cs="Arial"/>
          <w:sz w:val="24"/>
          <w:szCs w:val="24"/>
          <w:lang w:val="en-GB"/>
        </w:rPr>
        <w:t xml:space="preserve"> </w:t>
      </w:r>
      <w:r w:rsidR="003D3901" w:rsidRPr="00EC4E89">
        <w:rPr>
          <w:rFonts w:ascii="Arial" w:hAnsi="Arial" w:cs="Arial"/>
          <w:sz w:val="24"/>
          <w:szCs w:val="24"/>
          <w:lang w:val="en-GB"/>
        </w:rPr>
        <w:t xml:space="preserve">Despite </w:t>
      </w:r>
      <w:r w:rsidR="003F751C">
        <w:rPr>
          <w:rFonts w:ascii="Arial" w:hAnsi="Arial" w:cs="Arial"/>
          <w:sz w:val="24"/>
          <w:szCs w:val="24"/>
          <w:lang w:val="en-GB"/>
        </w:rPr>
        <w:t>these</w:t>
      </w:r>
      <w:r w:rsidR="003D3901" w:rsidRPr="00EC4E89">
        <w:rPr>
          <w:rFonts w:ascii="Arial" w:hAnsi="Arial" w:cs="Arial"/>
          <w:sz w:val="24"/>
          <w:szCs w:val="24"/>
          <w:lang w:val="en-GB"/>
        </w:rPr>
        <w:t xml:space="preserve"> limitations, the information produced within the project allows to expand significantly the territorial detail to which data are disseminated.</w:t>
      </w:r>
    </w:p>
    <w:p w:rsidR="00541C12" w:rsidRPr="000B47D7" w:rsidRDefault="00541C12" w:rsidP="00C82A25">
      <w:pPr>
        <w:spacing w:before="360" w:after="0" w:line="360" w:lineRule="auto"/>
        <w:jc w:val="both"/>
        <w:rPr>
          <w:rFonts w:ascii="Arial" w:hAnsi="Arial" w:cs="Arial"/>
          <w:i/>
          <w:sz w:val="24"/>
          <w:szCs w:val="24"/>
          <w:lang w:val="en-GB"/>
        </w:rPr>
      </w:pPr>
      <w:r>
        <w:rPr>
          <w:rFonts w:ascii="Arial" w:hAnsi="Arial" w:cs="Arial"/>
          <w:i/>
          <w:sz w:val="24"/>
          <w:szCs w:val="24"/>
          <w:lang w:val="en-GB"/>
        </w:rPr>
        <w:t>2.3</w:t>
      </w:r>
      <w:r w:rsidRPr="00CD37CF">
        <w:rPr>
          <w:rFonts w:ascii="Arial" w:hAnsi="Arial" w:cs="Arial"/>
          <w:i/>
          <w:sz w:val="24"/>
          <w:szCs w:val="24"/>
          <w:lang w:val="en-GB"/>
        </w:rPr>
        <w:t xml:space="preserve"> </w:t>
      </w:r>
      <w:r>
        <w:rPr>
          <w:rFonts w:ascii="Arial" w:hAnsi="Arial" w:cs="Arial"/>
          <w:i/>
          <w:sz w:val="24"/>
          <w:szCs w:val="24"/>
          <w:lang w:val="en-GB"/>
        </w:rPr>
        <w:t>Methods</w:t>
      </w:r>
    </w:p>
    <w:p w:rsidR="00BC0E06" w:rsidRPr="00CE4BD2" w:rsidRDefault="005A4A27" w:rsidP="00BC0E06">
      <w:pPr>
        <w:spacing w:before="120" w:after="0" w:line="360" w:lineRule="auto"/>
        <w:jc w:val="both"/>
        <w:rPr>
          <w:rFonts w:ascii="Arial" w:hAnsi="Arial" w:cs="Arial"/>
          <w:sz w:val="24"/>
          <w:szCs w:val="24"/>
          <w:lang w:val="en-US"/>
        </w:rPr>
      </w:pPr>
      <w:r w:rsidRPr="00CD37CF">
        <w:rPr>
          <w:rFonts w:ascii="Arial" w:hAnsi="Arial" w:cs="Arial"/>
          <w:sz w:val="24"/>
          <w:szCs w:val="24"/>
          <w:lang w:val="en-US"/>
        </w:rPr>
        <w:t xml:space="preserve">As mentioned above, </w:t>
      </w:r>
      <w:r w:rsidR="00563579">
        <w:rPr>
          <w:rFonts w:ascii="Arial" w:hAnsi="Arial" w:cs="Arial"/>
          <w:sz w:val="24"/>
          <w:szCs w:val="24"/>
          <w:lang w:val="en-US"/>
        </w:rPr>
        <w:t>we use</w:t>
      </w:r>
      <w:r>
        <w:rPr>
          <w:rFonts w:ascii="Arial" w:hAnsi="Arial" w:cs="Arial"/>
          <w:sz w:val="24"/>
          <w:szCs w:val="24"/>
          <w:lang w:val="en-US"/>
        </w:rPr>
        <w:t xml:space="preserve"> </w:t>
      </w:r>
      <w:r w:rsidRPr="00CD37CF">
        <w:rPr>
          <w:rFonts w:ascii="Arial" w:hAnsi="Arial" w:cs="Arial"/>
          <w:sz w:val="24"/>
          <w:szCs w:val="24"/>
          <w:lang w:val="en-US"/>
        </w:rPr>
        <w:t>ETEL population incidence o</w:t>
      </w:r>
      <w:r>
        <w:rPr>
          <w:rFonts w:ascii="Arial" w:hAnsi="Arial" w:cs="Arial"/>
          <w:sz w:val="24"/>
          <w:szCs w:val="24"/>
          <w:lang w:val="en-US"/>
        </w:rPr>
        <w:t>n the total population (18-24). T</w:t>
      </w:r>
      <w:r w:rsidRPr="00CD37CF">
        <w:rPr>
          <w:rFonts w:ascii="Arial" w:hAnsi="Arial" w:cs="Arial"/>
          <w:sz w:val="24"/>
          <w:szCs w:val="24"/>
          <w:lang w:val="en-US"/>
        </w:rPr>
        <w:t>o visualize the distribution of the phenomenon on a territory</w:t>
      </w:r>
      <w:r>
        <w:rPr>
          <w:rFonts w:ascii="Arial" w:hAnsi="Arial" w:cs="Arial"/>
          <w:sz w:val="24"/>
          <w:szCs w:val="24"/>
          <w:lang w:val="en-US"/>
        </w:rPr>
        <w:t xml:space="preserve">, </w:t>
      </w:r>
      <w:r w:rsidRPr="00CD37CF">
        <w:rPr>
          <w:rFonts w:ascii="Arial" w:hAnsi="Arial" w:cs="Arial"/>
          <w:sz w:val="24"/>
          <w:szCs w:val="24"/>
          <w:lang w:val="en-US"/>
        </w:rPr>
        <w:t xml:space="preserve">Hot spot maps were drawn up using the value of the indicator in the various areas, with the aim of </w:t>
      </w:r>
      <w:r w:rsidRPr="006E033C">
        <w:rPr>
          <w:rFonts w:ascii="Arial" w:hAnsi="Arial" w:cs="Arial"/>
          <w:sz w:val="24"/>
          <w:szCs w:val="24"/>
          <w:lang w:val="en-US"/>
        </w:rPr>
        <w:t>making immediately</w:t>
      </w:r>
      <w:r w:rsidRPr="00CD37CF">
        <w:rPr>
          <w:rFonts w:ascii="Arial" w:hAnsi="Arial" w:cs="Arial"/>
          <w:sz w:val="24"/>
          <w:szCs w:val="24"/>
          <w:lang w:val="en-US"/>
        </w:rPr>
        <w:t xml:space="preserve"> visible the contrast between areas where the phenomenon is more intense (hot, red and orange areas) and areas where it is less intense (cold, blue areas).</w:t>
      </w:r>
      <w:r w:rsidR="00BC0E06" w:rsidRPr="00CD37CF">
        <w:rPr>
          <w:rFonts w:ascii="Arial" w:hAnsi="Arial" w:cs="Arial"/>
          <w:sz w:val="24"/>
          <w:szCs w:val="24"/>
          <w:lang w:val="en-US"/>
        </w:rPr>
        <w:t xml:space="preserve">Furthermore, a specific spatial correlation indicator </w:t>
      </w:r>
      <w:r w:rsidR="00BC0E06">
        <w:rPr>
          <w:rFonts w:ascii="Arial" w:hAnsi="Arial" w:cs="Arial"/>
          <w:sz w:val="24"/>
          <w:szCs w:val="24"/>
          <w:lang w:val="en-US"/>
        </w:rPr>
        <w:t xml:space="preserve">of </w:t>
      </w:r>
      <w:r w:rsidR="00BC0E06" w:rsidRPr="00CD37CF">
        <w:rPr>
          <w:rFonts w:ascii="Arial" w:hAnsi="Arial" w:cs="Arial"/>
          <w:sz w:val="24"/>
          <w:szCs w:val="24"/>
          <w:lang w:val="en-US"/>
        </w:rPr>
        <w:t>LISA</w:t>
      </w:r>
      <w:r w:rsidR="00BC0E06">
        <w:rPr>
          <w:rFonts w:ascii="Arial" w:hAnsi="Arial" w:cs="Arial"/>
          <w:sz w:val="24"/>
          <w:szCs w:val="24"/>
          <w:lang w:val="en-US"/>
        </w:rPr>
        <w:t xml:space="preserve"> family -</w:t>
      </w:r>
      <w:r w:rsidR="00BC0E06" w:rsidRPr="00CE4BD2">
        <w:rPr>
          <w:rFonts w:ascii="Arial" w:hAnsi="Arial" w:cs="Arial"/>
          <w:sz w:val="24"/>
          <w:szCs w:val="24"/>
          <w:lang w:val="en-US"/>
        </w:rPr>
        <w:t>Anselin Local Moran's I</w:t>
      </w:r>
      <w:r w:rsidR="00BC0E06">
        <w:rPr>
          <w:rFonts w:ascii="Arial" w:hAnsi="Arial" w:cs="Arial"/>
          <w:sz w:val="24"/>
          <w:szCs w:val="24"/>
          <w:lang w:val="en-US"/>
        </w:rPr>
        <w:t>ndicator</w:t>
      </w:r>
      <w:r w:rsidR="00BC0E06" w:rsidRPr="00CE4BD2">
        <w:rPr>
          <w:rFonts w:ascii="Arial" w:hAnsi="Arial" w:cs="Arial"/>
          <w:sz w:val="24"/>
          <w:szCs w:val="24"/>
          <w:lang w:val="en-US"/>
        </w:rPr>
        <w:t>-</w:t>
      </w:r>
      <w:r w:rsidR="00BC0E06" w:rsidRPr="00CD37CF">
        <w:rPr>
          <w:rFonts w:ascii="Arial" w:hAnsi="Arial" w:cs="Arial"/>
          <w:sz w:val="24"/>
          <w:szCs w:val="24"/>
          <w:lang w:val="en-US"/>
        </w:rPr>
        <w:t xml:space="preserve"> has been </w:t>
      </w:r>
      <w:r w:rsidR="00BC0E06">
        <w:rPr>
          <w:rFonts w:ascii="Arial" w:hAnsi="Arial" w:cs="Arial"/>
          <w:sz w:val="24"/>
          <w:szCs w:val="24"/>
          <w:lang w:val="en-US"/>
        </w:rPr>
        <w:t>us</w:t>
      </w:r>
      <w:r w:rsidR="00BC0E06" w:rsidRPr="00CD37CF">
        <w:rPr>
          <w:rFonts w:ascii="Arial" w:hAnsi="Arial" w:cs="Arial"/>
          <w:sz w:val="24"/>
          <w:szCs w:val="24"/>
          <w:lang w:val="en-US"/>
        </w:rPr>
        <w:t xml:space="preserve">ed in order to </w:t>
      </w:r>
      <w:r w:rsidR="00BC0E06" w:rsidRPr="00CE4BD2">
        <w:rPr>
          <w:rFonts w:ascii="Arial" w:hAnsi="Arial" w:cs="Arial"/>
          <w:sz w:val="24"/>
          <w:szCs w:val="24"/>
          <w:lang w:val="en-US"/>
        </w:rPr>
        <w:t xml:space="preserve">perform a cluster and outlier analysis </w:t>
      </w:r>
      <w:r w:rsidR="00BC0E06">
        <w:rPr>
          <w:rFonts w:ascii="Arial" w:hAnsi="Arial" w:cs="Arial"/>
          <w:sz w:val="24"/>
          <w:szCs w:val="24"/>
          <w:lang w:val="en-US"/>
        </w:rPr>
        <w:t xml:space="preserve">of </w:t>
      </w:r>
      <w:r w:rsidR="00BC0E06" w:rsidRPr="00CD37CF">
        <w:rPr>
          <w:rFonts w:ascii="Arial" w:hAnsi="Arial" w:cs="Arial"/>
          <w:sz w:val="24"/>
          <w:szCs w:val="24"/>
          <w:lang w:val="en-US"/>
        </w:rPr>
        <w:t>municipalit</w:t>
      </w:r>
      <w:r w:rsidR="00BC0E06">
        <w:rPr>
          <w:rFonts w:ascii="Arial" w:hAnsi="Arial" w:cs="Arial"/>
          <w:sz w:val="24"/>
          <w:szCs w:val="24"/>
          <w:lang w:val="en-US"/>
        </w:rPr>
        <w:t>ies</w:t>
      </w:r>
      <w:r w:rsidR="00BC0E06" w:rsidRPr="00CD37CF">
        <w:rPr>
          <w:rFonts w:ascii="Arial" w:hAnsi="Arial" w:cs="Arial"/>
          <w:sz w:val="24"/>
          <w:szCs w:val="24"/>
          <w:lang w:val="en-US"/>
        </w:rPr>
        <w:t xml:space="preserve">. </w:t>
      </w:r>
      <w:r w:rsidR="00BC0E06">
        <w:rPr>
          <w:rFonts w:ascii="Arial" w:hAnsi="Arial" w:cs="Arial"/>
          <w:sz w:val="24"/>
          <w:szCs w:val="24"/>
          <w:lang w:val="en-US"/>
        </w:rPr>
        <w:t>which</w:t>
      </w:r>
      <w:r w:rsidR="00BC0E06" w:rsidRPr="00CE4BD2">
        <w:rPr>
          <w:rFonts w:ascii="Arial" w:hAnsi="Arial" w:cs="Arial"/>
          <w:sz w:val="24"/>
          <w:szCs w:val="24"/>
          <w:lang w:val="en-US"/>
        </w:rPr>
        <w:t xml:space="preserve"> </w:t>
      </w:r>
      <w:r w:rsidR="00BC0E06" w:rsidRPr="00CD37CF">
        <w:rPr>
          <w:rFonts w:ascii="Arial" w:hAnsi="Arial" w:cs="Arial"/>
          <w:sz w:val="24"/>
          <w:szCs w:val="24"/>
          <w:lang w:val="en-US"/>
        </w:rPr>
        <w:t>allows</w:t>
      </w:r>
      <w:r w:rsidR="00BC0E06" w:rsidRPr="00CE4BD2">
        <w:rPr>
          <w:rFonts w:ascii="Arial" w:hAnsi="Arial" w:cs="Arial"/>
          <w:sz w:val="24"/>
          <w:szCs w:val="24"/>
          <w:lang w:val="en-US"/>
        </w:rPr>
        <w:t xml:space="preserve"> to identify concentrations of high values, concentrations of low values, and spatial outliers. It can help answer different kinds of questions:Are there </w:t>
      </w:r>
      <w:r w:rsidR="00BC0E06" w:rsidRPr="00CD37CF">
        <w:rPr>
          <w:rFonts w:ascii="Arial" w:hAnsi="Arial" w:cs="Arial"/>
          <w:sz w:val="24"/>
          <w:szCs w:val="24"/>
          <w:lang w:val="en-US"/>
        </w:rPr>
        <w:t>municipalities</w:t>
      </w:r>
      <w:r w:rsidR="00BC0E06" w:rsidRPr="00CE4BD2">
        <w:rPr>
          <w:rFonts w:ascii="Arial" w:hAnsi="Arial" w:cs="Arial"/>
          <w:sz w:val="24"/>
          <w:szCs w:val="24"/>
          <w:lang w:val="en-US"/>
        </w:rPr>
        <w:t xml:space="preserve"> in a study area with anomalous patterns?</w:t>
      </w:r>
      <w:r w:rsidR="00BC0E06">
        <w:rPr>
          <w:rFonts w:ascii="Arial" w:hAnsi="Arial" w:cs="Arial"/>
          <w:sz w:val="24"/>
          <w:szCs w:val="24"/>
          <w:lang w:val="en-US"/>
        </w:rPr>
        <w:t xml:space="preserve"> </w:t>
      </w:r>
      <w:r w:rsidR="00BC0E06" w:rsidRPr="00CE4BD2">
        <w:rPr>
          <w:rFonts w:ascii="Arial" w:hAnsi="Arial" w:cs="Arial"/>
          <w:sz w:val="24"/>
          <w:szCs w:val="24"/>
          <w:lang w:val="en-US"/>
        </w:rPr>
        <w:t>Where are the unexpectedly high value of E</w:t>
      </w:r>
      <w:r w:rsidR="00BC0E06">
        <w:rPr>
          <w:rFonts w:ascii="Arial" w:hAnsi="Arial" w:cs="Arial"/>
          <w:sz w:val="24"/>
          <w:szCs w:val="24"/>
          <w:lang w:val="en-US"/>
        </w:rPr>
        <w:t>T</w:t>
      </w:r>
      <w:r w:rsidR="00BC0E06" w:rsidRPr="00CE4BD2">
        <w:rPr>
          <w:rFonts w:ascii="Arial" w:hAnsi="Arial" w:cs="Arial"/>
          <w:sz w:val="24"/>
          <w:szCs w:val="24"/>
          <w:lang w:val="en-US"/>
        </w:rPr>
        <w:t>EL across the study area?</w:t>
      </w:r>
      <w:r w:rsidR="00BC0E06">
        <w:rPr>
          <w:rFonts w:ascii="Arial" w:hAnsi="Arial" w:cs="Arial"/>
          <w:sz w:val="24"/>
          <w:szCs w:val="24"/>
          <w:lang w:val="en-US"/>
        </w:rPr>
        <w:t xml:space="preserve"> Are there </w:t>
      </w:r>
      <w:r w:rsidR="00BC0E06" w:rsidRPr="00CD37CF">
        <w:rPr>
          <w:rFonts w:ascii="Arial" w:hAnsi="Arial" w:cs="Arial"/>
          <w:sz w:val="24"/>
          <w:szCs w:val="24"/>
          <w:lang w:val="en-US"/>
        </w:rPr>
        <w:t xml:space="preserve">clusters of municipalities with similar characteristics with respect </w:t>
      </w:r>
      <w:r w:rsidR="00BC0E06">
        <w:rPr>
          <w:rFonts w:ascii="Arial" w:hAnsi="Arial" w:cs="Arial"/>
          <w:sz w:val="24"/>
          <w:szCs w:val="24"/>
          <w:lang w:val="en-US"/>
        </w:rPr>
        <w:t>the ETEL indicator?</w:t>
      </w:r>
    </w:p>
    <w:p w:rsidR="005A4A27" w:rsidRPr="00CE4BD2" w:rsidRDefault="005A4A27" w:rsidP="005A4A27">
      <w:pPr>
        <w:spacing w:before="120" w:after="0" w:line="360" w:lineRule="auto"/>
        <w:jc w:val="both"/>
        <w:rPr>
          <w:rFonts w:ascii="Arial" w:hAnsi="Arial" w:cs="Arial"/>
          <w:sz w:val="24"/>
          <w:szCs w:val="24"/>
          <w:lang w:val="en-US"/>
        </w:rPr>
      </w:pPr>
      <w:r w:rsidRPr="00CE4BD2">
        <w:rPr>
          <w:rFonts w:ascii="Arial" w:hAnsi="Arial" w:cs="Arial"/>
          <w:sz w:val="24"/>
          <w:szCs w:val="24"/>
          <w:lang w:val="en-US"/>
        </w:rPr>
        <w:t xml:space="preserve">Are there </w:t>
      </w:r>
      <w:r w:rsidRPr="00CD37CF">
        <w:rPr>
          <w:rFonts w:ascii="Arial" w:hAnsi="Arial" w:cs="Arial"/>
          <w:sz w:val="24"/>
          <w:szCs w:val="24"/>
          <w:lang w:val="en-US"/>
        </w:rPr>
        <w:t>municipalities</w:t>
      </w:r>
      <w:r w:rsidRPr="00CE4BD2">
        <w:rPr>
          <w:rFonts w:ascii="Arial" w:hAnsi="Arial" w:cs="Arial"/>
          <w:sz w:val="24"/>
          <w:szCs w:val="24"/>
          <w:lang w:val="en-US"/>
        </w:rPr>
        <w:t xml:space="preserve"> in a study area with anomalous patterns?</w:t>
      </w:r>
      <w:r>
        <w:rPr>
          <w:rFonts w:ascii="Arial" w:hAnsi="Arial" w:cs="Arial"/>
          <w:sz w:val="24"/>
          <w:szCs w:val="24"/>
          <w:lang w:val="en-US"/>
        </w:rPr>
        <w:t xml:space="preserve"> </w:t>
      </w:r>
      <w:r w:rsidRPr="00CE4BD2">
        <w:rPr>
          <w:rFonts w:ascii="Arial" w:hAnsi="Arial" w:cs="Arial"/>
          <w:sz w:val="24"/>
          <w:szCs w:val="24"/>
          <w:lang w:val="en-US"/>
        </w:rPr>
        <w:t>Where are the unexpectedly high value of E</w:t>
      </w:r>
      <w:r>
        <w:rPr>
          <w:rFonts w:ascii="Arial" w:hAnsi="Arial" w:cs="Arial"/>
          <w:sz w:val="24"/>
          <w:szCs w:val="24"/>
          <w:lang w:val="en-US"/>
        </w:rPr>
        <w:t>T</w:t>
      </w:r>
      <w:r w:rsidRPr="00CE4BD2">
        <w:rPr>
          <w:rFonts w:ascii="Arial" w:hAnsi="Arial" w:cs="Arial"/>
          <w:sz w:val="24"/>
          <w:szCs w:val="24"/>
          <w:lang w:val="en-US"/>
        </w:rPr>
        <w:t>EL across the study area?</w:t>
      </w:r>
      <w:r>
        <w:rPr>
          <w:rFonts w:ascii="Arial" w:hAnsi="Arial" w:cs="Arial"/>
          <w:sz w:val="24"/>
          <w:szCs w:val="24"/>
          <w:lang w:val="en-US"/>
        </w:rPr>
        <w:t xml:space="preserve"> Are there </w:t>
      </w:r>
      <w:r w:rsidRPr="00CD37CF">
        <w:rPr>
          <w:rFonts w:ascii="Arial" w:hAnsi="Arial" w:cs="Arial"/>
          <w:sz w:val="24"/>
          <w:szCs w:val="24"/>
          <w:lang w:val="en-US"/>
        </w:rPr>
        <w:t xml:space="preserve">clusters of municipalities with similar characteristics with respect </w:t>
      </w:r>
      <w:r>
        <w:rPr>
          <w:rFonts w:ascii="Arial" w:hAnsi="Arial" w:cs="Arial"/>
          <w:sz w:val="24"/>
          <w:szCs w:val="24"/>
          <w:lang w:val="en-US"/>
        </w:rPr>
        <w:t xml:space="preserve"> the ETEL indicator?</w:t>
      </w:r>
    </w:p>
    <w:p w:rsidR="004740F1" w:rsidRPr="00C82A25" w:rsidRDefault="00541C12" w:rsidP="00C82A25">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AF573B" w:rsidRPr="00EC5F5A">
        <w:rPr>
          <w:rFonts w:ascii="Arial" w:hAnsi="Arial" w:cs="Arial"/>
          <w:b/>
          <w:sz w:val="24"/>
          <w:szCs w:val="24"/>
          <w:lang w:val="en-GB"/>
        </w:rPr>
        <w:t xml:space="preserve">. </w:t>
      </w:r>
      <w:r w:rsidR="00AF573B">
        <w:rPr>
          <w:rFonts w:ascii="Arial" w:hAnsi="Arial" w:cs="Arial"/>
          <w:b/>
          <w:sz w:val="24"/>
          <w:szCs w:val="24"/>
          <w:lang w:val="en-GB"/>
        </w:rPr>
        <w:t>Results</w:t>
      </w:r>
    </w:p>
    <w:p w:rsidR="00400289" w:rsidRPr="00400289" w:rsidRDefault="000229C2" w:rsidP="00400289">
      <w:pPr>
        <w:spacing w:before="120" w:after="0" w:line="360" w:lineRule="auto"/>
        <w:jc w:val="both"/>
        <w:rPr>
          <w:rFonts w:ascii="Arial" w:hAnsi="Arial" w:cs="Arial"/>
          <w:sz w:val="24"/>
          <w:szCs w:val="24"/>
          <w:lang w:val="en-US"/>
        </w:rPr>
      </w:pPr>
      <w:r>
        <w:rPr>
          <w:rFonts w:ascii="Arial" w:hAnsi="Arial" w:cs="Arial"/>
          <w:sz w:val="24"/>
          <w:szCs w:val="24"/>
          <w:lang w:val="en-US"/>
        </w:rPr>
        <w:t xml:space="preserve">As seen below, archives store enormous quantity of data at high level of detail. </w:t>
      </w:r>
      <w:r w:rsidR="00890695">
        <w:rPr>
          <w:rFonts w:ascii="Arial" w:hAnsi="Arial" w:cs="Arial"/>
          <w:sz w:val="24"/>
          <w:szCs w:val="24"/>
          <w:lang w:val="en-US"/>
        </w:rPr>
        <w:t xml:space="preserve">Researchers can surf this ocean, picking up variables they need and combining them in a flexible way. This is what we did to build ETEL indicator: we built a derived variable </w:t>
      </w:r>
      <w:r w:rsidR="00890695">
        <w:rPr>
          <w:rFonts w:ascii="Arial" w:hAnsi="Arial" w:cs="Arial"/>
          <w:sz w:val="24"/>
          <w:szCs w:val="24"/>
          <w:lang w:val="en-US"/>
        </w:rPr>
        <w:lastRenderedPageBreak/>
        <w:t xml:space="preserve">by mixing single variables referred to conceptual </w:t>
      </w:r>
      <w:r w:rsidR="00405D8D">
        <w:rPr>
          <w:rFonts w:ascii="Arial" w:hAnsi="Arial" w:cs="Arial"/>
          <w:sz w:val="24"/>
          <w:szCs w:val="24"/>
          <w:lang w:val="en-US"/>
        </w:rPr>
        <w:t>dimensions</w:t>
      </w:r>
      <w:r w:rsidR="00890695">
        <w:rPr>
          <w:rFonts w:ascii="Arial" w:hAnsi="Arial" w:cs="Arial"/>
          <w:sz w:val="24"/>
          <w:szCs w:val="24"/>
          <w:lang w:val="en-US"/>
        </w:rPr>
        <w:t xml:space="preserve"> (age, instruction, education).</w:t>
      </w:r>
      <w:r w:rsidR="00405D8D">
        <w:rPr>
          <w:rFonts w:ascii="Arial" w:hAnsi="Arial" w:cs="Arial"/>
          <w:sz w:val="24"/>
          <w:szCs w:val="24"/>
          <w:lang w:val="en-US"/>
        </w:rPr>
        <w:t>In cartogram 1 incidence of ETEL on 18-24 population is shown as a H</w:t>
      </w:r>
      <w:r w:rsidR="00405D8D" w:rsidRPr="00400289">
        <w:rPr>
          <w:rFonts w:ascii="Arial" w:hAnsi="Arial" w:cs="Arial"/>
          <w:sz w:val="24"/>
          <w:szCs w:val="24"/>
          <w:lang w:val="en-US"/>
        </w:rPr>
        <w:t xml:space="preserve">ot </w:t>
      </w:r>
      <w:r w:rsidR="00400289" w:rsidRPr="00400289">
        <w:rPr>
          <w:rFonts w:ascii="Arial" w:hAnsi="Arial" w:cs="Arial"/>
          <w:sz w:val="24"/>
          <w:szCs w:val="24"/>
          <w:lang w:val="en-US"/>
        </w:rPr>
        <w:t>spot ma</w:t>
      </w:r>
      <w:r w:rsidR="00405D8D">
        <w:rPr>
          <w:rFonts w:ascii="Arial" w:hAnsi="Arial" w:cs="Arial"/>
          <w:sz w:val="24"/>
          <w:szCs w:val="24"/>
          <w:lang w:val="en-US"/>
        </w:rPr>
        <w:t>p, which</w:t>
      </w:r>
      <w:r w:rsidR="00710A77">
        <w:rPr>
          <w:rFonts w:ascii="Arial" w:hAnsi="Arial" w:cs="Arial"/>
          <w:sz w:val="24"/>
          <w:szCs w:val="24"/>
          <w:lang w:val="en-US"/>
        </w:rPr>
        <w:t xml:space="preserve"> </w:t>
      </w:r>
      <w:r w:rsidR="00400289" w:rsidRPr="00400289">
        <w:rPr>
          <w:rFonts w:ascii="Arial" w:hAnsi="Arial" w:cs="Arial"/>
          <w:sz w:val="24"/>
          <w:szCs w:val="24"/>
          <w:lang w:val="en-US"/>
        </w:rPr>
        <w:t xml:space="preserve">enables </w:t>
      </w:r>
      <w:r w:rsidR="00405D8D">
        <w:rPr>
          <w:rFonts w:ascii="Arial" w:hAnsi="Arial" w:cs="Arial"/>
          <w:sz w:val="24"/>
          <w:szCs w:val="24"/>
          <w:lang w:val="en-US"/>
        </w:rPr>
        <w:t xml:space="preserve">us </w:t>
      </w:r>
      <w:r w:rsidR="00400289" w:rsidRPr="00400289">
        <w:rPr>
          <w:rFonts w:ascii="Arial" w:hAnsi="Arial" w:cs="Arial"/>
          <w:sz w:val="24"/>
          <w:szCs w:val="24"/>
          <w:lang w:val="en-US"/>
        </w:rPr>
        <w:t>to go deep to a municipal analysis level</w:t>
      </w:r>
      <w:r w:rsidR="00405D8D">
        <w:rPr>
          <w:rFonts w:ascii="Arial" w:hAnsi="Arial" w:cs="Arial"/>
          <w:sz w:val="24"/>
          <w:szCs w:val="24"/>
          <w:lang w:val="en-US"/>
        </w:rPr>
        <w:t>.</w:t>
      </w:r>
      <w:r w:rsidR="00400289" w:rsidRPr="00400289">
        <w:rPr>
          <w:rFonts w:ascii="Arial" w:hAnsi="Arial" w:cs="Arial"/>
          <w:sz w:val="24"/>
          <w:szCs w:val="24"/>
          <w:lang w:val="en-US"/>
        </w:rPr>
        <w:t xml:space="preserve"> </w:t>
      </w:r>
    </w:p>
    <w:p w:rsidR="00806957" w:rsidRPr="00400289" w:rsidRDefault="00806957" w:rsidP="00806957">
      <w:pPr>
        <w:spacing w:before="120" w:after="0" w:line="360" w:lineRule="auto"/>
        <w:jc w:val="both"/>
        <w:rPr>
          <w:rFonts w:ascii="Arial" w:hAnsi="Arial" w:cs="Arial"/>
          <w:sz w:val="24"/>
          <w:szCs w:val="24"/>
          <w:lang w:val="en-US"/>
        </w:rPr>
      </w:pPr>
      <w:r w:rsidRPr="00400289">
        <w:rPr>
          <w:rFonts w:ascii="Arial" w:hAnsi="Arial" w:cs="Arial"/>
          <w:sz w:val="24"/>
          <w:szCs w:val="24"/>
          <w:lang w:val="en-US"/>
        </w:rPr>
        <w:t xml:space="preserve">There are some clearly distinguishable </w:t>
      </w:r>
      <w:r>
        <w:rPr>
          <w:rFonts w:ascii="Arial" w:hAnsi="Arial" w:cs="Arial"/>
          <w:sz w:val="24"/>
          <w:szCs w:val="24"/>
          <w:lang w:val="en-US"/>
        </w:rPr>
        <w:t>‘</w:t>
      </w:r>
      <w:r w:rsidRPr="00400289">
        <w:rPr>
          <w:rFonts w:ascii="Arial" w:hAnsi="Arial" w:cs="Arial"/>
          <w:sz w:val="24"/>
          <w:szCs w:val="24"/>
          <w:lang w:val="en-US"/>
        </w:rPr>
        <w:t>hot</w:t>
      </w:r>
      <w:r>
        <w:rPr>
          <w:rFonts w:ascii="Arial" w:hAnsi="Arial" w:cs="Arial"/>
          <w:sz w:val="24"/>
          <w:szCs w:val="24"/>
          <w:lang w:val="en-US"/>
        </w:rPr>
        <w:t>’</w:t>
      </w:r>
      <w:r w:rsidRPr="00400289">
        <w:rPr>
          <w:rFonts w:ascii="Arial" w:hAnsi="Arial" w:cs="Arial"/>
          <w:sz w:val="24"/>
          <w:szCs w:val="24"/>
          <w:lang w:val="en-US"/>
        </w:rPr>
        <w:t xml:space="preserve"> areas in the north-west of Pavia</w:t>
      </w:r>
      <w:r>
        <w:rPr>
          <w:rFonts w:ascii="Arial" w:hAnsi="Arial" w:cs="Arial"/>
          <w:sz w:val="24"/>
          <w:szCs w:val="24"/>
          <w:lang w:val="en-US"/>
        </w:rPr>
        <w:t xml:space="preserve"> area</w:t>
      </w:r>
      <w:r w:rsidRPr="00400289">
        <w:rPr>
          <w:rFonts w:ascii="Arial" w:hAnsi="Arial" w:cs="Arial"/>
          <w:sz w:val="24"/>
          <w:szCs w:val="24"/>
          <w:lang w:val="en-US"/>
        </w:rPr>
        <w:t>, in the south of Brescia</w:t>
      </w:r>
      <w:r>
        <w:rPr>
          <w:rFonts w:ascii="Arial" w:hAnsi="Arial" w:cs="Arial"/>
          <w:sz w:val="24"/>
          <w:szCs w:val="24"/>
          <w:lang w:val="en-US"/>
        </w:rPr>
        <w:t xml:space="preserve"> area</w:t>
      </w:r>
      <w:r w:rsidRPr="00400289">
        <w:rPr>
          <w:rFonts w:ascii="Arial" w:hAnsi="Arial" w:cs="Arial"/>
          <w:sz w:val="24"/>
          <w:szCs w:val="24"/>
          <w:lang w:val="en-US"/>
        </w:rPr>
        <w:t xml:space="preserve"> and on the border with the Bergamo</w:t>
      </w:r>
      <w:r>
        <w:rPr>
          <w:rFonts w:ascii="Arial" w:hAnsi="Arial" w:cs="Arial"/>
          <w:sz w:val="24"/>
          <w:szCs w:val="24"/>
          <w:lang w:val="en-US"/>
        </w:rPr>
        <w:t xml:space="preserve"> area</w:t>
      </w:r>
      <w:r w:rsidRPr="00400289">
        <w:rPr>
          <w:rFonts w:ascii="Arial" w:hAnsi="Arial" w:cs="Arial"/>
          <w:sz w:val="24"/>
          <w:szCs w:val="24"/>
          <w:lang w:val="en-US"/>
        </w:rPr>
        <w:t xml:space="preserve">. In addition, </w:t>
      </w:r>
      <w:r>
        <w:rPr>
          <w:rFonts w:ascii="Arial" w:hAnsi="Arial" w:cs="Arial"/>
          <w:sz w:val="24"/>
          <w:szCs w:val="24"/>
          <w:lang w:val="en-US"/>
        </w:rPr>
        <w:t>’</w:t>
      </w:r>
      <w:r w:rsidRPr="00400289">
        <w:rPr>
          <w:rFonts w:ascii="Arial" w:hAnsi="Arial" w:cs="Arial"/>
          <w:sz w:val="24"/>
          <w:szCs w:val="24"/>
          <w:lang w:val="en-US"/>
        </w:rPr>
        <w:t>hot</w:t>
      </w:r>
      <w:r>
        <w:rPr>
          <w:rFonts w:ascii="Arial" w:hAnsi="Arial" w:cs="Arial"/>
          <w:sz w:val="24"/>
          <w:szCs w:val="24"/>
          <w:lang w:val="en-US"/>
        </w:rPr>
        <w:t>’</w:t>
      </w:r>
      <w:r w:rsidRPr="00400289">
        <w:rPr>
          <w:rFonts w:ascii="Arial" w:hAnsi="Arial" w:cs="Arial"/>
          <w:sz w:val="24"/>
          <w:szCs w:val="24"/>
          <w:lang w:val="en-US"/>
        </w:rPr>
        <w:t xml:space="preserve"> areas are emerging in the </w:t>
      </w:r>
      <w:r w:rsidR="00D64DFD">
        <w:rPr>
          <w:rFonts w:ascii="Arial" w:hAnsi="Arial" w:cs="Arial"/>
          <w:sz w:val="24"/>
          <w:szCs w:val="24"/>
          <w:lang w:val="en-US"/>
        </w:rPr>
        <w:t>area of Insubria (from now on ‘Insubria’)</w:t>
      </w:r>
      <w:r>
        <w:rPr>
          <w:rFonts w:ascii="Arial" w:hAnsi="Arial" w:cs="Arial"/>
          <w:sz w:val="24"/>
          <w:szCs w:val="24"/>
          <w:lang w:val="en-US"/>
        </w:rPr>
        <w:t>, at the swiss border. information at a subregional level offer an important tool for policymaker in order to scale efforts where more needed.</w:t>
      </w:r>
    </w:p>
    <w:p w:rsidR="00A870FF" w:rsidRPr="00EC5F5A" w:rsidRDefault="00A26717" w:rsidP="00A870FF">
      <w:pPr>
        <w:pStyle w:val="Legenda"/>
        <w:keepNext/>
        <w:jc w:val="both"/>
        <w:rPr>
          <w:rFonts w:ascii="Arial" w:hAnsi="Arial" w:cs="Arial"/>
          <w:b/>
          <w:i w:val="0"/>
          <w:color w:val="auto"/>
          <w:sz w:val="20"/>
          <w:szCs w:val="20"/>
          <w:lang w:val="en-GB"/>
        </w:rPr>
      </w:pPr>
      <w:r>
        <w:rPr>
          <w:rFonts w:ascii="Arial" w:hAnsi="Arial" w:cs="Arial"/>
          <w:b/>
          <w:i w:val="0"/>
          <w:color w:val="auto"/>
          <w:sz w:val="20"/>
          <w:szCs w:val="20"/>
          <w:lang w:val="en-GB"/>
        </w:rPr>
        <w:t>Cartogram</w:t>
      </w:r>
      <w:r w:rsidRPr="00EC5F5A">
        <w:rPr>
          <w:rFonts w:ascii="Arial" w:hAnsi="Arial" w:cs="Arial"/>
          <w:b/>
          <w:i w:val="0"/>
          <w:color w:val="auto"/>
          <w:sz w:val="20"/>
          <w:szCs w:val="20"/>
          <w:lang w:val="en-GB"/>
        </w:rPr>
        <w:t xml:space="preserve"> </w:t>
      </w:r>
      <w:r w:rsidR="00692AE8" w:rsidRPr="00BF6DBC">
        <w:rPr>
          <w:rFonts w:ascii="Arial" w:hAnsi="Arial" w:cs="Arial"/>
          <w:b/>
          <w:i w:val="0"/>
          <w:color w:val="auto"/>
          <w:sz w:val="20"/>
          <w:szCs w:val="20"/>
          <w:lang w:val="en-GB"/>
        </w:rPr>
        <w:fldChar w:fldCharType="begin"/>
      </w:r>
      <w:r w:rsidR="00A870FF" w:rsidRPr="00EC5F5A">
        <w:rPr>
          <w:rFonts w:ascii="Arial" w:hAnsi="Arial" w:cs="Arial"/>
          <w:b/>
          <w:i w:val="0"/>
          <w:color w:val="auto"/>
          <w:sz w:val="20"/>
          <w:szCs w:val="20"/>
          <w:lang w:val="en-GB"/>
        </w:rPr>
        <w:instrText xml:space="preserve"> SEQ Figure \* ARABIC </w:instrText>
      </w:r>
      <w:r w:rsidR="00692AE8" w:rsidRPr="00BF6DBC">
        <w:rPr>
          <w:rFonts w:ascii="Arial" w:hAnsi="Arial" w:cs="Arial"/>
          <w:b/>
          <w:i w:val="0"/>
          <w:color w:val="auto"/>
          <w:sz w:val="20"/>
          <w:szCs w:val="20"/>
          <w:lang w:val="en-GB"/>
        </w:rPr>
        <w:fldChar w:fldCharType="separate"/>
      </w:r>
      <w:r w:rsidR="00EE0EB7">
        <w:rPr>
          <w:rFonts w:ascii="Arial" w:hAnsi="Arial" w:cs="Arial"/>
          <w:b/>
          <w:i w:val="0"/>
          <w:noProof/>
          <w:color w:val="auto"/>
          <w:sz w:val="20"/>
          <w:szCs w:val="20"/>
          <w:lang w:val="en-GB"/>
        </w:rPr>
        <w:t>1</w:t>
      </w:r>
      <w:r w:rsidR="00692AE8" w:rsidRPr="00BF6DBC">
        <w:rPr>
          <w:rFonts w:ascii="Arial" w:hAnsi="Arial" w:cs="Arial"/>
          <w:b/>
          <w:i w:val="0"/>
          <w:color w:val="auto"/>
          <w:sz w:val="20"/>
          <w:szCs w:val="20"/>
          <w:lang w:val="en-GB"/>
        </w:rPr>
        <w:fldChar w:fldCharType="end"/>
      </w:r>
      <w:r w:rsidR="00A870FF" w:rsidRPr="00EC5F5A">
        <w:rPr>
          <w:rFonts w:ascii="Arial" w:hAnsi="Arial" w:cs="Arial"/>
          <w:b/>
          <w:i w:val="0"/>
          <w:color w:val="auto"/>
          <w:sz w:val="20"/>
          <w:szCs w:val="20"/>
          <w:lang w:val="en-GB"/>
        </w:rPr>
        <w:t xml:space="preserve">. </w:t>
      </w:r>
      <w:r w:rsidR="00405D8D">
        <w:rPr>
          <w:rFonts w:ascii="Arial" w:hAnsi="Arial" w:cs="Arial"/>
          <w:b/>
          <w:i w:val="0"/>
          <w:color w:val="auto"/>
          <w:sz w:val="20"/>
          <w:szCs w:val="20"/>
          <w:lang w:val="en-GB"/>
        </w:rPr>
        <w:t xml:space="preserve">Incidence of ETEL population, </w:t>
      </w:r>
      <w:r w:rsidR="002A783E">
        <w:rPr>
          <w:rFonts w:ascii="Arial" w:hAnsi="Arial" w:cs="Arial"/>
          <w:b/>
          <w:i w:val="0"/>
          <w:color w:val="auto"/>
          <w:sz w:val="20"/>
          <w:szCs w:val="20"/>
          <w:lang w:val="en-GB"/>
        </w:rPr>
        <w:t xml:space="preserve">by </w:t>
      </w:r>
      <w:r w:rsidR="00405D8D">
        <w:rPr>
          <w:rFonts w:ascii="Arial" w:hAnsi="Arial" w:cs="Arial"/>
          <w:b/>
          <w:i w:val="0"/>
          <w:color w:val="auto"/>
          <w:sz w:val="20"/>
          <w:szCs w:val="20"/>
          <w:lang w:val="en-GB"/>
        </w:rPr>
        <w:t>Municipalities, Lombardia</w:t>
      </w:r>
      <w:r w:rsidR="00563579">
        <w:rPr>
          <w:rFonts w:ascii="Arial" w:hAnsi="Arial" w:cs="Arial"/>
          <w:b/>
          <w:i w:val="0"/>
          <w:color w:val="auto"/>
          <w:sz w:val="20"/>
          <w:szCs w:val="20"/>
          <w:lang w:val="en-GB"/>
        </w:rPr>
        <w:t>, 2012</w:t>
      </w:r>
    </w:p>
    <w:p w:rsidR="00A870FF" w:rsidRPr="00A870FF" w:rsidRDefault="001D7EE1" w:rsidP="00400289">
      <w:pPr>
        <w:spacing w:before="120" w:after="0" w:line="360" w:lineRule="auto"/>
        <w:jc w:val="both"/>
        <w:rPr>
          <w:rFonts w:ascii="Arial" w:hAnsi="Arial" w:cs="Arial"/>
          <w:sz w:val="24"/>
          <w:szCs w:val="24"/>
          <w:lang w:val="en-GB"/>
        </w:rPr>
      </w:pPr>
      <w:r w:rsidRPr="00473777">
        <w:rPr>
          <w:noProof/>
          <w:sz w:val="24"/>
          <w:lang w:eastAsia="pl-PL"/>
        </w:rPr>
        <w:drawing>
          <wp:inline distT="0" distB="0" distL="0" distR="0">
            <wp:extent cx="4006800" cy="37728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6800" cy="3772800"/>
                    </a:xfrm>
                    <a:prstGeom prst="rect">
                      <a:avLst/>
                    </a:prstGeom>
                    <a:noFill/>
                    <a:ln>
                      <a:noFill/>
                    </a:ln>
                    <a:extLst/>
                  </pic:spPr>
                </pic:pic>
              </a:graphicData>
            </a:graphic>
          </wp:inline>
        </w:drawing>
      </w:r>
      <w:r w:rsidRPr="00F51CDE">
        <w:rPr>
          <w:noProof/>
          <w:sz w:val="24"/>
          <w:lang w:eastAsia="pl-PL"/>
        </w:rPr>
        <w:drawing>
          <wp:inline distT="0" distB="0" distL="0" distR="0">
            <wp:extent cx="823901" cy="111078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792" cy="1117377"/>
                    </a:xfrm>
                    <a:prstGeom prst="rect">
                      <a:avLst/>
                    </a:prstGeom>
                    <a:noFill/>
                    <a:ln>
                      <a:noFill/>
                    </a:ln>
                    <a:effectLst/>
                    <a:extLst/>
                  </pic:spPr>
                </pic:pic>
              </a:graphicData>
            </a:graphic>
          </wp:inline>
        </w:drawing>
      </w:r>
    </w:p>
    <w:p w:rsidR="00563579" w:rsidRPr="00563579" w:rsidRDefault="00563579" w:rsidP="00563579">
      <w:pPr>
        <w:spacing w:after="0" w:line="360" w:lineRule="auto"/>
        <w:jc w:val="both"/>
        <w:rPr>
          <w:rFonts w:ascii="Arial" w:hAnsi="Arial" w:cs="Arial"/>
          <w:sz w:val="20"/>
          <w:szCs w:val="20"/>
          <w:lang w:val="en-GB"/>
        </w:rPr>
      </w:pPr>
      <w:r w:rsidRPr="00822486">
        <w:rPr>
          <w:rFonts w:ascii="Arial" w:hAnsi="Arial" w:cs="Arial"/>
          <w:b/>
          <w:sz w:val="20"/>
          <w:szCs w:val="20"/>
          <w:lang w:val="en-GB"/>
        </w:rPr>
        <w:t>Source</w:t>
      </w:r>
      <w:r w:rsidRPr="00563579">
        <w:rPr>
          <w:rFonts w:ascii="Arial" w:hAnsi="Arial" w:cs="Arial"/>
          <w:sz w:val="20"/>
          <w:szCs w:val="20"/>
          <w:lang w:val="en-GB"/>
        </w:rPr>
        <w:t>:</w:t>
      </w:r>
      <w:r w:rsidRPr="00822486">
        <w:rPr>
          <w:rFonts w:ascii="Arial" w:hAnsi="Arial" w:cs="Arial"/>
          <w:sz w:val="20"/>
          <w:szCs w:val="20"/>
          <w:lang w:val="en-GB"/>
        </w:rPr>
        <w:t xml:space="preserve"> </w:t>
      </w:r>
      <w:r>
        <w:rPr>
          <w:rFonts w:ascii="Arial" w:hAnsi="Arial" w:cs="Arial"/>
          <w:sz w:val="20"/>
          <w:szCs w:val="20"/>
          <w:lang w:val="en-GB"/>
        </w:rPr>
        <w:t xml:space="preserve">Experimental </w:t>
      </w:r>
      <w:r w:rsidRPr="00822486">
        <w:rPr>
          <w:rFonts w:ascii="Arial" w:hAnsi="Arial" w:cs="Arial"/>
          <w:sz w:val="20"/>
          <w:szCs w:val="20"/>
          <w:lang w:val="en-US"/>
        </w:rPr>
        <w:t>ArchIMEDe</w:t>
      </w:r>
      <w:r>
        <w:rPr>
          <w:rFonts w:ascii="Arial" w:hAnsi="Arial" w:cs="Arial"/>
          <w:sz w:val="20"/>
          <w:szCs w:val="20"/>
          <w:lang w:val="en-US"/>
        </w:rPr>
        <w:t xml:space="preserve"> data.</w:t>
      </w:r>
    </w:p>
    <w:p w:rsidR="001B0368" w:rsidRPr="0079622A" w:rsidRDefault="001B0368" w:rsidP="001B0368">
      <w:pPr>
        <w:rPr>
          <w:rFonts w:ascii="Arial" w:eastAsia="Times New Roman" w:hAnsi="Arial" w:cs="Arial"/>
          <w:sz w:val="20"/>
          <w:szCs w:val="20"/>
          <w:lang w:val="en-US" w:eastAsia="it-IT"/>
        </w:rPr>
      </w:pPr>
      <w:r w:rsidRPr="001B0368">
        <w:rPr>
          <w:rFonts w:ascii="Arial" w:hAnsi="Arial" w:cs="Arial"/>
          <w:b/>
          <w:sz w:val="20"/>
          <w:szCs w:val="20"/>
          <w:lang w:val="en-US"/>
        </w:rPr>
        <w:t>Note</w:t>
      </w:r>
      <w:r w:rsidRPr="007F1405">
        <w:rPr>
          <w:rFonts w:ascii="Arial" w:hAnsi="Arial" w:cs="Arial"/>
          <w:sz w:val="20"/>
          <w:szCs w:val="20"/>
          <w:lang w:val="en-US"/>
        </w:rPr>
        <w:t xml:space="preserve">: Orange and red indicate "hot" areas, which may be critical. Red indicates municipalities whose index values are greater than or equal </w:t>
      </w:r>
      <w:r w:rsidRPr="0079622A">
        <w:rPr>
          <w:rFonts w:ascii="Arial" w:eastAsia="Times New Roman" w:hAnsi="Arial" w:cs="Arial"/>
          <w:sz w:val="20"/>
          <w:szCs w:val="20"/>
          <w:lang w:val="en-US" w:eastAsia="it-IT"/>
        </w:rPr>
        <w:t>the upper</w:t>
      </w:r>
      <w:r>
        <w:rPr>
          <w:rFonts w:ascii="Arial" w:eastAsia="Times New Roman" w:hAnsi="Arial" w:cs="Arial"/>
          <w:sz w:val="20"/>
          <w:szCs w:val="20"/>
          <w:lang w:val="en-US" w:eastAsia="it-IT"/>
        </w:rPr>
        <w:t xml:space="preserve"> </w:t>
      </w:r>
      <w:r w:rsidRPr="0079622A">
        <w:rPr>
          <w:rFonts w:ascii="Arial" w:eastAsia="Times New Roman" w:hAnsi="Arial" w:cs="Arial"/>
          <w:sz w:val="20"/>
          <w:szCs w:val="20"/>
          <w:lang w:val="en-US" w:eastAsia="it-IT"/>
        </w:rPr>
        <w:t>quartile plus 1.5 the length of the interquartile range</w:t>
      </w:r>
      <w:r w:rsidRPr="007F1405">
        <w:rPr>
          <w:rFonts w:ascii="Arial" w:hAnsi="Arial" w:cs="Arial"/>
          <w:sz w:val="20"/>
          <w:szCs w:val="20"/>
          <w:lang w:val="en-US"/>
        </w:rPr>
        <w:t>. Orange indicates the remaining municipalities belonging to the last quartile of the index distribution considered.</w:t>
      </w:r>
    </w:p>
    <w:p w:rsidR="00E20A66" w:rsidRDefault="00E20A66" w:rsidP="00E20A66">
      <w:pPr>
        <w:pStyle w:val="Legenda"/>
        <w:keepNext/>
        <w:jc w:val="both"/>
        <w:rPr>
          <w:rFonts w:ascii="Arial" w:hAnsi="Arial" w:cs="Arial"/>
          <w:b/>
          <w:i w:val="0"/>
          <w:color w:val="auto"/>
          <w:sz w:val="20"/>
          <w:szCs w:val="20"/>
          <w:lang w:val="en-GB"/>
        </w:rPr>
      </w:pPr>
    </w:p>
    <w:p w:rsidR="00806957" w:rsidRPr="00400289" w:rsidRDefault="00806957" w:rsidP="00806957">
      <w:pPr>
        <w:spacing w:before="120" w:after="0" w:line="360" w:lineRule="auto"/>
        <w:jc w:val="both"/>
        <w:rPr>
          <w:rFonts w:ascii="Arial" w:hAnsi="Arial" w:cs="Arial"/>
          <w:sz w:val="24"/>
          <w:szCs w:val="24"/>
          <w:lang w:val="en-US"/>
        </w:rPr>
      </w:pPr>
      <w:r>
        <w:rPr>
          <w:rFonts w:ascii="Arial" w:hAnsi="Arial" w:cs="Arial"/>
          <w:sz w:val="24"/>
          <w:szCs w:val="24"/>
          <w:lang w:val="en-US"/>
        </w:rPr>
        <w:t>E</w:t>
      </w:r>
      <w:r w:rsidRPr="00400289">
        <w:rPr>
          <w:rFonts w:ascii="Arial" w:hAnsi="Arial" w:cs="Arial"/>
          <w:sz w:val="24"/>
          <w:szCs w:val="24"/>
          <w:lang w:val="en-US"/>
        </w:rPr>
        <w:t xml:space="preserve">vidence is confirmed by LISA </w:t>
      </w:r>
      <w:r>
        <w:rPr>
          <w:rFonts w:ascii="Arial" w:hAnsi="Arial" w:cs="Arial"/>
          <w:sz w:val="24"/>
          <w:szCs w:val="24"/>
          <w:lang w:val="en-US"/>
        </w:rPr>
        <w:t>indicator</w:t>
      </w:r>
      <w:r w:rsidRPr="00400289">
        <w:rPr>
          <w:rFonts w:ascii="Arial" w:hAnsi="Arial" w:cs="Arial"/>
          <w:sz w:val="24"/>
          <w:szCs w:val="24"/>
          <w:lang w:val="en-US"/>
        </w:rPr>
        <w:t xml:space="preserve"> which identifies areas with high spatial autocorrelation.</w:t>
      </w:r>
      <w:r>
        <w:rPr>
          <w:rFonts w:ascii="Arial" w:hAnsi="Arial" w:cs="Arial"/>
          <w:sz w:val="24"/>
          <w:szCs w:val="24"/>
          <w:lang w:val="en-US"/>
        </w:rPr>
        <w:t xml:space="preserve"> R</w:t>
      </w:r>
      <w:r w:rsidRPr="00400289">
        <w:rPr>
          <w:rFonts w:ascii="Arial" w:hAnsi="Arial" w:cs="Arial"/>
          <w:sz w:val="24"/>
          <w:szCs w:val="24"/>
          <w:lang w:val="en-US"/>
        </w:rPr>
        <w:t xml:space="preserve">ed areas highlight clusters of municipalities that have a high indicator value and are close to municipalities with a high indicator value (high-high); while blue areas highlight clusters of municipalities with low indicator values that are close to municipalities with a low indicator value (low-low). </w:t>
      </w:r>
    </w:p>
    <w:p w:rsidR="00806957" w:rsidRPr="00400289" w:rsidRDefault="00806957" w:rsidP="00806957">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’Hot’</w:t>
      </w:r>
      <w:r w:rsidRPr="00400289">
        <w:rPr>
          <w:rFonts w:ascii="Arial" w:hAnsi="Arial" w:cs="Arial"/>
          <w:sz w:val="24"/>
          <w:szCs w:val="24"/>
          <w:lang w:val="en-US"/>
        </w:rPr>
        <w:t xml:space="preserve"> areas </w:t>
      </w:r>
      <w:r>
        <w:rPr>
          <w:rFonts w:ascii="Arial" w:hAnsi="Arial" w:cs="Arial"/>
          <w:sz w:val="24"/>
          <w:szCs w:val="24"/>
          <w:lang w:val="en-US"/>
        </w:rPr>
        <w:t>in Cartogram 1</w:t>
      </w:r>
      <w:r w:rsidRPr="00400289">
        <w:rPr>
          <w:rFonts w:ascii="Arial" w:hAnsi="Arial" w:cs="Arial"/>
          <w:sz w:val="24"/>
          <w:szCs w:val="24"/>
          <w:lang w:val="en-US"/>
        </w:rPr>
        <w:t xml:space="preserve"> are further specified: in addition to the </w:t>
      </w:r>
      <w:r w:rsidR="008B2CF6">
        <w:rPr>
          <w:rFonts w:ascii="Arial" w:hAnsi="Arial" w:cs="Arial"/>
          <w:sz w:val="24"/>
          <w:szCs w:val="24"/>
          <w:lang w:val="en-US"/>
        </w:rPr>
        <w:t>Insubria</w:t>
      </w:r>
      <w:r w:rsidRPr="00400289">
        <w:rPr>
          <w:rFonts w:ascii="Arial" w:hAnsi="Arial" w:cs="Arial"/>
          <w:sz w:val="24"/>
          <w:szCs w:val="24"/>
          <w:lang w:val="en-US"/>
        </w:rPr>
        <w:t>, the area of Pavia, Lodigiano, and above all</w:t>
      </w:r>
      <w:r>
        <w:rPr>
          <w:rFonts w:ascii="Arial" w:hAnsi="Arial" w:cs="Arial"/>
          <w:sz w:val="24"/>
          <w:szCs w:val="24"/>
          <w:lang w:val="en-US"/>
        </w:rPr>
        <w:t xml:space="preserve">, Brescia, Bergamo and Mantova. </w:t>
      </w:r>
    </w:p>
    <w:p w:rsidR="00806957" w:rsidRPr="00DB4A86" w:rsidRDefault="00806957" w:rsidP="00806957">
      <w:pPr>
        <w:spacing w:before="120" w:after="0" w:line="360" w:lineRule="auto"/>
        <w:jc w:val="both"/>
        <w:rPr>
          <w:rFonts w:ascii="Arial" w:hAnsi="Arial" w:cs="Arial"/>
          <w:sz w:val="24"/>
          <w:szCs w:val="24"/>
          <w:lang w:val="en-US"/>
        </w:rPr>
      </w:pPr>
      <w:r w:rsidRPr="00400289">
        <w:rPr>
          <w:rFonts w:ascii="Arial" w:hAnsi="Arial" w:cs="Arial"/>
          <w:sz w:val="24"/>
          <w:szCs w:val="24"/>
          <w:lang w:val="en-US"/>
        </w:rPr>
        <w:t>Could this information be useful for local policy making?</w:t>
      </w:r>
      <w:r w:rsidRPr="00AF573B">
        <w:rPr>
          <w:rFonts w:ascii="Arial" w:hAnsi="Arial" w:cs="Arial"/>
          <w:sz w:val="24"/>
          <w:szCs w:val="24"/>
          <w:lang w:val="en-US"/>
        </w:rPr>
        <w:t xml:space="preserve"> </w:t>
      </w:r>
      <w:r w:rsidRPr="00400289">
        <w:rPr>
          <w:rFonts w:ascii="Arial" w:hAnsi="Arial" w:cs="Arial"/>
          <w:sz w:val="24"/>
          <w:szCs w:val="24"/>
          <w:lang w:val="en-US"/>
        </w:rPr>
        <w:t>Is the observed result due to a real phenomenon?</w:t>
      </w:r>
      <w:r>
        <w:rPr>
          <w:rFonts w:ascii="Arial" w:hAnsi="Arial" w:cs="Arial"/>
          <w:sz w:val="24"/>
          <w:szCs w:val="24"/>
          <w:lang w:val="en-US"/>
        </w:rPr>
        <w:t xml:space="preserve"> In order to answer the</w:t>
      </w:r>
      <w:r w:rsidRPr="00400289">
        <w:rPr>
          <w:rFonts w:ascii="Arial" w:hAnsi="Arial" w:cs="Arial"/>
          <w:sz w:val="24"/>
          <w:szCs w:val="24"/>
          <w:lang w:val="en-US"/>
        </w:rPr>
        <w:t>s</w:t>
      </w:r>
      <w:r>
        <w:rPr>
          <w:rFonts w:ascii="Arial" w:hAnsi="Arial" w:cs="Arial"/>
          <w:sz w:val="24"/>
          <w:szCs w:val="24"/>
          <w:lang w:val="en-US"/>
        </w:rPr>
        <w:t>e</w:t>
      </w:r>
      <w:r w:rsidRPr="00400289">
        <w:rPr>
          <w:rFonts w:ascii="Arial" w:hAnsi="Arial" w:cs="Arial"/>
          <w:sz w:val="24"/>
          <w:szCs w:val="24"/>
          <w:lang w:val="en-US"/>
        </w:rPr>
        <w:t xml:space="preserve"> question, it is </w:t>
      </w:r>
      <w:r>
        <w:rPr>
          <w:rFonts w:ascii="Arial" w:hAnsi="Arial" w:cs="Arial"/>
          <w:sz w:val="24"/>
          <w:szCs w:val="24"/>
          <w:lang w:val="en-US"/>
        </w:rPr>
        <w:t>useful</w:t>
      </w:r>
      <w:r w:rsidRPr="00400289">
        <w:rPr>
          <w:rFonts w:ascii="Arial" w:hAnsi="Arial" w:cs="Arial"/>
          <w:sz w:val="24"/>
          <w:szCs w:val="24"/>
          <w:lang w:val="en-US"/>
        </w:rPr>
        <w:t xml:space="preserve"> to </w:t>
      </w:r>
      <w:r>
        <w:rPr>
          <w:rFonts w:ascii="Arial" w:hAnsi="Arial" w:cs="Arial"/>
          <w:sz w:val="24"/>
          <w:szCs w:val="24"/>
          <w:lang w:val="en-US"/>
        </w:rPr>
        <w:t>reflect about</w:t>
      </w:r>
      <w:r w:rsidRPr="00400289">
        <w:rPr>
          <w:rFonts w:ascii="Arial" w:hAnsi="Arial" w:cs="Arial"/>
          <w:sz w:val="24"/>
          <w:szCs w:val="24"/>
          <w:lang w:val="en-US"/>
        </w:rPr>
        <w:t xml:space="preserve"> </w:t>
      </w:r>
      <w:r>
        <w:rPr>
          <w:rFonts w:ascii="Arial" w:hAnsi="Arial" w:cs="Arial"/>
          <w:sz w:val="24"/>
          <w:szCs w:val="24"/>
          <w:lang w:val="en-US"/>
        </w:rPr>
        <w:t>quality</w:t>
      </w:r>
      <w:r w:rsidRPr="00400289">
        <w:rPr>
          <w:rFonts w:ascii="Arial" w:hAnsi="Arial" w:cs="Arial"/>
          <w:sz w:val="24"/>
          <w:szCs w:val="24"/>
          <w:lang w:val="en-US"/>
        </w:rPr>
        <w:t xml:space="preserve"> </w:t>
      </w:r>
      <w:r>
        <w:rPr>
          <w:rFonts w:ascii="Arial" w:hAnsi="Arial" w:cs="Arial"/>
          <w:sz w:val="24"/>
          <w:szCs w:val="24"/>
          <w:lang w:val="en-US"/>
        </w:rPr>
        <w:t xml:space="preserve">in </w:t>
      </w:r>
      <w:r w:rsidRPr="00B917AA">
        <w:rPr>
          <w:rFonts w:ascii="Arial" w:hAnsi="Arial" w:cs="Arial"/>
          <w:i/>
          <w:sz w:val="24"/>
          <w:szCs w:val="24"/>
          <w:lang w:val="en-US"/>
        </w:rPr>
        <w:t>these</w:t>
      </w:r>
      <w:r>
        <w:rPr>
          <w:rFonts w:ascii="Arial" w:hAnsi="Arial" w:cs="Arial"/>
          <w:sz w:val="24"/>
          <w:szCs w:val="24"/>
          <w:lang w:val="en-US"/>
        </w:rPr>
        <w:t xml:space="preserve"> administrative data.</w:t>
      </w:r>
      <w:r w:rsidR="00251ED5">
        <w:rPr>
          <w:rFonts w:ascii="Arial" w:hAnsi="Arial" w:cs="Arial"/>
          <w:sz w:val="24"/>
          <w:szCs w:val="24"/>
          <w:lang w:val="en-US"/>
        </w:rPr>
        <w:t xml:space="preserve"> </w:t>
      </w:r>
      <w:r w:rsidRPr="00DB4A86">
        <w:rPr>
          <w:rFonts w:ascii="Arial" w:hAnsi="Arial" w:cs="Arial"/>
          <w:sz w:val="24"/>
          <w:szCs w:val="24"/>
          <w:lang w:val="en-US"/>
        </w:rPr>
        <w:t>ArchIMED</w:t>
      </w:r>
      <w:r>
        <w:rPr>
          <w:rFonts w:ascii="Arial" w:hAnsi="Arial" w:cs="Arial"/>
          <w:sz w:val="24"/>
          <w:szCs w:val="24"/>
          <w:lang w:val="en-US"/>
        </w:rPr>
        <w:t>e</w:t>
      </w:r>
      <w:r w:rsidRPr="00DB4A86">
        <w:rPr>
          <w:rFonts w:ascii="Arial" w:hAnsi="Arial" w:cs="Arial"/>
          <w:sz w:val="24"/>
          <w:szCs w:val="24"/>
          <w:lang w:val="en-US"/>
        </w:rPr>
        <w:t xml:space="preserve"> does not yet contain data on regional training. A future integration of this specific repository is a must fo</w:t>
      </w:r>
      <w:r>
        <w:rPr>
          <w:rFonts w:ascii="Arial" w:hAnsi="Arial" w:cs="Arial"/>
          <w:sz w:val="24"/>
          <w:szCs w:val="24"/>
          <w:lang w:val="en-US"/>
        </w:rPr>
        <w:t xml:space="preserve">r further project developments. </w:t>
      </w:r>
      <w:r w:rsidRPr="00DB4A86">
        <w:rPr>
          <w:rFonts w:ascii="Arial" w:hAnsi="Arial" w:cs="Arial"/>
          <w:sz w:val="24"/>
          <w:szCs w:val="24"/>
          <w:lang w:val="en-US"/>
        </w:rPr>
        <w:t xml:space="preserve">In addition, there is another emerging consideration about the quality of archive data which is, however, linked to a 'latent' competence and could unveil a systematic error source </w:t>
      </w:r>
      <w:r w:rsidR="00251ED5">
        <w:rPr>
          <w:rFonts w:ascii="Arial" w:hAnsi="Arial" w:cs="Arial"/>
          <w:sz w:val="24"/>
          <w:szCs w:val="24"/>
          <w:lang w:val="en-US"/>
        </w:rPr>
        <w:t xml:space="preserve"> </w:t>
      </w:r>
      <w:r>
        <w:rPr>
          <w:rFonts w:ascii="Arial" w:hAnsi="Arial" w:cs="Arial"/>
          <w:sz w:val="24"/>
          <w:szCs w:val="24"/>
          <w:lang w:val="en-US"/>
        </w:rPr>
        <w:t>There</w:t>
      </w:r>
      <w:r w:rsidRPr="00DB4A86">
        <w:rPr>
          <w:rFonts w:ascii="Arial" w:hAnsi="Arial" w:cs="Arial"/>
          <w:sz w:val="24"/>
          <w:szCs w:val="24"/>
          <w:lang w:val="en-US"/>
        </w:rPr>
        <w:t xml:space="preserve"> is an high risk of misleading reading without a direct knowledge of the area, which make some evidence</w:t>
      </w:r>
      <w:r>
        <w:rPr>
          <w:rFonts w:ascii="Arial" w:hAnsi="Arial" w:cs="Arial"/>
          <w:sz w:val="24"/>
          <w:szCs w:val="24"/>
          <w:lang w:val="en-US"/>
        </w:rPr>
        <w:t xml:space="preserve">s sound like counter-intuitive. </w:t>
      </w:r>
      <w:r w:rsidR="008B2CF6">
        <w:rPr>
          <w:rFonts w:ascii="Arial" w:hAnsi="Arial" w:cs="Arial"/>
          <w:sz w:val="24"/>
          <w:szCs w:val="24"/>
          <w:lang w:val="en-US"/>
        </w:rPr>
        <w:t xml:space="preserve">Insubria has </w:t>
      </w:r>
      <w:r w:rsidRPr="00DB4A86">
        <w:rPr>
          <w:rFonts w:ascii="Arial" w:hAnsi="Arial" w:cs="Arial"/>
          <w:sz w:val="24"/>
          <w:szCs w:val="24"/>
          <w:lang w:val="en-US"/>
        </w:rPr>
        <w:t xml:space="preserve">historically </w:t>
      </w:r>
      <w:r>
        <w:rPr>
          <w:rFonts w:ascii="Arial" w:hAnsi="Arial" w:cs="Arial"/>
          <w:sz w:val="24"/>
          <w:szCs w:val="24"/>
          <w:lang w:val="en-US"/>
        </w:rPr>
        <w:t>an</w:t>
      </w:r>
      <w:r w:rsidRPr="00DB4A86">
        <w:rPr>
          <w:rFonts w:ascii="Arial" w:hAnsi="Arial" w:cs="Arial"/>
          <w:sz w:val="24"/>
          <w:szCs w:val="24"/>
          <w:lang w:val="en-US"/>
        </w:rPr>
        <w:t xml:space="preserve"> high level of social and human capital</w:t>
      </w:r>
      <w:r>
        <w:rPr>
          <w:rFonts w:ascii="Arial" w:hAnsi="Arial" w:cs="Arial"/>
          <w:sz w:val="24"/>
          <w:szCs w:val="24"/>
          <w:lang w:val="en-US"/>
        </w:rPr>
        <w:t xml:space="preserve"> area</w:t>
      </w:r>
      <w:r w:rsidRPr="00DB4A86">
        <w:rPr>
          <w:rFonts w:ascii="Arial" w:hAnsi="Arial" w:cs="Arial"/>
          <w:sz w:val="24"/>
          <w:szCs w:val="24"/>
          <w:lang w:val="en-US"/>
        </w:rPr>
        <w:t>, in contradiction with the supp</w:t>
      </w:r>
      <w:r>
        <w:rPr>
          <w:rFonts w:ascii="Arial" w:hAnsi="Arial" w:cs="Arial"/>
          <w:sz w:val="24"/>
          <w:szCs w:val="24"/>
          <w:lang w:val="en-US"/>
        </w:rPr>
        <w:t xml:space="preserve">osed higher intensity of ETEL. </w:t>
      </w:r>
      <w:r w:rsidRPr="00DB4A86">
        <w:rPr>
          <w:rFonts w:ascii="Arial" w:hAnsi="Arial" w:cs="Arial"/>
          <w:sz w:val="24"/>
          <w:szCs w:val="24"/>
          <w:lang w:val="en-US"/>
        </w:rPr>
        <w:t xml:space="preserve">Researchers hypothesize that an overestimation could be caused by </w:t>
      </w:r>
      <w:r>
        <w:rPr>
          <w:rFonts w:ascii="Arial" w:hAnsi="Arial" w:cs="Arial"/>
          <w:sz w:val="24"/>
          <w:szCs w:val="24"/>
          <w:lang w:val="en-US"/>
        </w:rPr>
        <w:t>the</w:t>
      </w:r>
      <w:r w:rsidRPr="00DB4A86">
        <w:rPr>
          <w:rFonts w:ascii="Arial" w:hAnsi="Arial" w:cs="Arial"/>
          <w:sz w:val="24"/>
          <w:szCs w:val="24"/>
          <w:lang w:val="en-US"/>
        </w:rPr>
        <w:t xml:space="preserve"> phenomenon of </w:t>
      </w:r>
      <w:r>
        <w:rPr>
          <w:rFonts w:ascii="Arial" w:hAnsi="Arial" w:cs="Arial"/>
          <w:sz w:val="24"/>
          <w:szCs w:val="24"/>
          <w:lang w:val="en-US"/>
        </w:rPr>
        <w:t>“</w:t>
      </w:r>
      <w:r w:rsidRPr="00DB4A86">
        <w:rPr>
          <w:rFonts w:ascii="Arial" w:hAnsi="Arial" w:cs="Arial"/>
          <w:sz w:val="24"/>
          <w:szCs w:val="24"/>
          <w:lang w:val="en-US"/>
        </w:rPr>
        <w:t>s</w:t>
      </w:r>
      <w:r>
        <w:rPr>
          <w:rFonts w:ascii="Arial" w:hAnsi="Arial" w:cs="Arial"/>
          <w:sz w:val="24"/>
          <w:szCs w:val="24"/>
          <w:lang w:val="en-US"/>
        </w:rPr>
        <w:t xml:space="preserve">tudy and work across borders”. </w:t>
      </w:r>
      <w:r w:rsidRPr="00DB4A86">
        <w:rPr>
          <w:rFonts w:ascii="Arial" w:hAnsi="Arial" w:cs="Arial"/>
          <w:sz w:val="24"/>
          <w:szCs w:val="24"/>
          <w:lang w:val="en-US"/>
        </w:rPr>
        <w:t xml:space="preserve">In particular, the occurrence of </w:t>
      </w:r>
      <w:r>
        <w:rPr>
          <w:rFonts w:ascii="Arial" w:hAnsi="Arial" w:cs="Arial"/>
          <w:sz w:val="24"/>
          <w:szCs w:val="24"/>
          <w:lang w:val="en-US"/>
        </w:rPr>
        <w:t>“</w:t>
      </w:r>
      <w:r w:rsidRPr="00DB4A86">
        <w:rPr>
          <w:rFonts w:ascii="Arial" w:hAnsi="Arial" w:cs="Arial"/>
          <w:sz w:val="24"/>
          <w:szCs w:val="24"/>
          <w:lang w:val="en-US"/>
        </w:rPr>
        <w:t>frontier workers</w:t>
      </w:r>
      <w:r>
        <w:rPr>
          <w:rFonts w:ascii="Arial" w:hAnsi="Arial" w:cs="Arial"/>
          <w:sz w:val="24"/>
          <w:szCs w:val="24"/>
          <w:lang w:val="en-US"/>
        </w:rPr>
        <w:t>”</w:t>
      </w:r>
      <w:r w:rsidRPr="00DB4A86">
        <w:rPr>
          <w:rFonts w:ascii="Arial" w:hAnsi="Arial" w:cs="Arial"/>
          <w:sz w:val="24"/>
          <w:szCs w:val="24"/>
          <w:lang w:val="en-US"/>
        </w:rPr>
        <w:t xml:space="preserve"> is difficult to capture, both from the official sample survey data (ISTAT – Labour force survey), due to problems of </w:t>
      </w:r>
      <w:r>
        <w:rPr>
          <w:rFonts w:ascii="Arial" w:hAnsi="Arial" w:cs="Arial"/>
          <w:sz w:val="24"/>
          <w:szCs w:val="24"/>
          <w:lang w:val="en-US"/>
        </w:rPr>
        <w:t>precision of estimates</w:t>
      </w:r>
      <w:r w:rsidRPr="00DB4A86">
        <w:rPr>
          <w:rFonts w:ascii="Arial" w:hAnsi="Arial" w:cs="Arial"/>
          <w:sz w:val="24"/>
          <w:szCs w:val="24"/>
          <w:lang w:val="en-US"/>
        </w:rPr>
        <w:t>, and from ArchIMED</w:t>
      </w:r>
      <w:r>
        <w:rPr>
          <w:rFonts w:ascii="Arial" w:hAnsi="Arial" w:cs="Arial"/>
          <w:sz w:val="24"/>
          <w:szCs w:val="24"/>
          <w:lang w:val="en-US"/>
        </w:rPr>
        <w:t>e</w:t>
      </w:r>
      <w:r w:rsidRPr="00DB4A86">
        <w:rPr>
          <w:rFonts w:ascii="Arial" w:hAnsi="Arial" w:cs="Arial"/>
          <w:sz w:val="24"/>
          <w:szCs w:val="24"/>
          <w:lang w:val="en-US"/>
        </w:rPr>
        <w:t xml:space="preserve">, due to the current absence of adequate secondary sources. </w:t>
      </w:r>
    </w:p>
    <w:p w:rsidR="00806957" w:rsidRDefault="00806957" w:rsidP="00806957">
      <w:pPr>
        <w:spacing w:before="120" w:after="0" w:line="360" w:lineRule="auto"/>
        <w:jc w:val="both"/>
        <w:rPr>
          <w:rFonts w:ascii="Arial" w:hAnsi="Arial" w:cs="Arial"/>
          <w:sz w:val="24"/>
          <w:szCs w:val="24"/>
          <w:lang w:val="en-GB"/>
        </w:rPr>
      </w:pPr>
      <w:r w:rsidRPr="00DB4A86">
        <w:rPr>
          <w:rFonts w:ascii="Arial" w:hAnsi="Arial" w:cs="Arial"/>
          <w:sz w:val="24"/>
          <w:szCs w:val="24"/>
          <w:lang w:val="en-US"/>
        </w:rPr>
        <w:t xml:space="preserve">However, reliable statistics are available for further integration: ISTAT (Population Census); FSO (Swiss Federal Statistical Office) and FSOAT (Statistics Office of the Canton of Ticino). </w:t>
      </w:r>
      <w:r>
        <w:rPr>
          <w:rFonts w:ascii="Arial" w:hAnsi="Arial" w:cs="Arial"/>
          <w:sz w:val="24"/>
          <w:szCs w:val="24"/>
          <w:lang w:val="en-US"/>
        </w:rPr>
        <w:t xml:space="preserve"> Considering </w:t>
      </w:r>
      <w:r w:rsidRPr="00DB4A86">
        <w:rPr>
          <w:rFonts w:ascii="Arial" w:hAnsi="Arial" w:cs="Arial"/>
          <w:sz w:val="24"/>
          <w:szCs w:val="24"/>
          <w:lang w:val="en-US"/>
        </w:rPr>
        <w:t xml:space="preserve">the ten-yearly frequency of the population census, </w:t>
      </w:r>
      <w:r>
        <w:rPr>
          <w:rFonts w:ascii="Arial" w:hAnsi="Arial" w:cs="Arial"/>
          <w:sz w:val="24"/>
          <w:szCs w:val="24"/>
          <w:lang w:val="en-US"/>
        </w:rPr>
        <w:t>probably</w:t>
      </w:r>
      <w:r w:rsidRPr="00DB4A86">
        <w:rPr>
          <w:rFonts w:ascii="Arial" w:hAnsi="Arial" w:cs="Arial"/>
          <w:sz w:val="24"/>
          <w:szCs w:val="24"/>
          <w:lang w:val="en-US"/>
        </w:rPr>
        <w:t xml:space="preserve"> </w:t>
      </w:r>
      <w:r w:rsidR="00357185" w:rsidRPr="00DB4A86">
        <w:rPr>
          <w:rFonts w:ascii="Arial" w:hAnsi="Arial" w:cs="Arial"/>
          <w:sz w:val="24"/>
          <w:szCs w:val="24"/>
          <w:lang w:val="en-US"/>
        </w:rPr>
        <w:t>ArchIMED</w:t>
      </w:r>
      <w:r w:rsidR="00357185">
        <w:rPr>
          <w:rFonts w:ascii="Arial" w:hAnsi="Arial" w:cs="Arial"/>
          <w:sz w:val="24"/>
          <w:szCs w:val="24"/>
          <w:lang w:val="en-US"/>
        </w:rPr>
        <w:t>e</w:t>
      </w:r>
      <w:r w:rsidRPr="00DB4A86">
        <w:rPr>
          <w:rFonts w:ascii="Arial" w:hAnsi="Arial" w:cs="Arial"/>
          <w:sz w:val="24"/>
          <w:szCs w:val="24"/>
          <w:lang w:val="en-US"/>
        </w:rPr>
        <w:t xml:space="preserve"> should be better </w:t>
      </w:r>
      <w:r>
        <w:rPr>
          <w:rFonts w:ascii="Arial" w:hAnsi="Arial" w:cs="Arial"/>
          <w:sz w:val="24"/>
          <w:szCs w:val="24"/>
          <w:lang w:val="en-US"/>
        </w:rPr>
        <w:t>implemented</w:t>
      </w:r>
      <w:r w:rsidRPr="00DB4A86">
        <w:rPr>
          <w:rFonts w:ascii="Arial" w:hAnsi="Arial" w:cs="Arial"/>
          <w:sz w:val="24"/>
          <w:szCs w:val="24"/>
          <w:lang w:val="en-US"/>
        </w:rPr>
        <w:t xml:space="preserve"> with data from foreign sources (e.g. SIMIC </w:t>
      </w:r>
      <w:r>
        <w:rPr>
          <w:rFonts w:ascii="Arial" w:hAnsi="Arial" w:cs="Arial"/>
          <w:sz w:val="24"/>
          <w:szCs w:val="24"/>
          <w:lang w:val="en-US"/>
        </w:rPr>
        <w:t>–</w:t>
      </w:r>
      <w:r w:rsidRPr="00DB4A86">
        <w:rPr>
          <w:rFonts w:ascii="Arial" w:hAnsi="Arial" w:cs="Arial"/>
          <w:sz w:val="24"/>
          <w:szCs w:val="24"/>
          <w:lang w:val="en-US"/>
        </w:rPr>
        <w:t xml:space="preserve"> Central Migration Information System of Switzerland </w:t>
      </w:r>
      <w:r>
        <w:rPr>
          <w:rFonts w:ascii="Arial" w:hAnsi="Arial" w:cs="Arial"/>
          <w:sz w:val="24"/>
          <w:szCs w:val="24"/>
          <w:lang w:val="en-US"/>
        </w:rPr>
        <w:t>–</w:t>
      </w:r>
      <w:r w:rsidRPr="00DB4A86">
        <w:rPr>
          <w:rFonts w:ascii="Arial" w:hAnsi="Arial" w:cs="Arial"/>
          <w:sz w:val="24"/>
          <w:szCs w:val="24"/>
          <w:lang w:val="en-US"/>
        </w:rPr>
        <w:t xml:space="preserve"> FSO) in order to improve the quality of </w:t>
      </w:r>
      <w:r>
        <w:rPr>
          <w:rFonts w:ascii="Arial" w:hAnsi="Arial" w:cs="Arial"/>
          <w:sz w:val="24"/>
          <w:szCs w:val="24"/>
          <w:lang w:val="en-US"/>
        </w:rPr>
        <w:t>information on an annual basis. By the way,</w:t>
      </w:r>
      <w:r w:rsidRPr="00DB4A86">
        <w:rPr>
          <w:rFonts w:ascii="Arial" w:hAnsi="Arial" w:cs="Arial"/>
          <w:sz w:val="24"/>
          <w:szCs w:val="24"/>
          <w:lang w:val="en-US"/>
        </w:rPr>
        <w:t xml:space="preserve"> transition to a permanent census </w:t>
      </w:r>
      <w:r w:rsidR="00251ED5">
        <w:rPr>
          <w:rStyle w:val="Odwoanieprzypisudolnego"/>
          <w:rFonts w:ascii="Arial" w:hAnsi="Arial" w:cs="Arial"/>
          <w:sz w:val="24"/>
          <w:szCs w:val="24"/>
          <w:lang w:val="en-US"/>
        </w:rPr>
        <w:footnoteReference w:id="5"/>
      </w:r>
      <w:r w:rsidRPr="00DB4A86">
        <w:rPr>
          <w:rFonts w:ascii="Arial" w:hAnsi="Arial" w:cs="Arial"/>
          <w:sz w:val="24"/>
          <w:szCs w:val="24"/>
          <w:lang w:val="en-US"/>
        </w:rPr>
        <w:t xml:space="preserve">is likely to open new reflections on how to integrate </w:t>
      </w:r>
      <w:r>
        <w:rPr>
          <w:rFonts w:ascii="Arial" w:hAnsi="Arial" w:cs="Arial"/>
          <w:sz w:val="24"/>
          <w:szCs w:val="24"/>
          <w:lang w:val="en-US"/>
        </w:rPr>
        <w:t>administrative and sample survey</w:t>
      </w:r>
      <w:r w:rsidRPr="00DB4A86">
        <w:rPr>
          <w:rFonts w:ascii="Arial" w:hAnsi="Arial" w:cs="Arial"/>
          <w:sz w:val="24"/>
          <w:szCs w:val="24"/>
          <w:lang w:val="en-US"/>
        </w:rPr>
        <w:t xml:space="preserve"> data.</w:t>
      </w:r>
      <w:r w:rsidR="00251ED5">
        <w:rPr>
          <w:rFonts w:ascii="Arial" w:hAnsi="Arial" w:cs="Arial"/>
          <w:sz w:val="24"/>
          <w:szCs w:val="24"/>
          <w:lang w:val="en-GB"/>
        </w:rPr>
        <w:t xml:space="preserve"> </w:t>
      </w:r>
      <w:r>
        <w:rPr>
          <w:rFonts w:ascii="Arial" w:hAnsi="Arial" w:cs="Arial"/>
          <w:sz w:val="24"/>
          <w:szCs w:val="24"/>
          <w:lang w:val="en-GB"/>
        </w:rPr>
        <w:t xml:space="preserve">Administrative data allow researchers to go beyond standard definition of concepts and to discover different perspective on topics. In this case, further than citizenship and gender we considered Income, – which is not usually grasped in ETEL official statistics– as a useful variable trough which look at the target population. It can be considered as a proxy of the engagement level in labour market, or/and as an indicator of self –support capacity. </w:t>
      </w:r>
    </w:p>
    <w:p w:rsidR="00806957" w:rsidRPr="001B0368" w:rsidRDefault="00806957" w:rsidP="001B0368">
      <w:pPr>
        <w:rPr>
          <w:i/>
          <w:lang w:val="en-GB"/>
        </w:rPr>
      </w:pPr>
    </w:p>
    <w:p w:rsidR="00405D8D" w:rsidRDefault="00405D8D" w:rsidP="00405D8D">
      <w:pPr>
        <w:rPr>
          <w:lang w:val="en-GB"/>
        </w:rPr>
      </w:pPr>
      <w:r>
        <w:rPr>
          <w:rFonts w:ascii="Arial" w:hAnsi="Arial" w:cs="Arial"/>
          <w:b/>
          <w:i/>
          <w:sz w:val="20"/>
          <w:szCs w:val="20"/>
          <w:lang w:val="en-GB"/>
        </w:rPr>
        <w:lastRenderedPageBreak/>
        <w:t>Cartogram</w:t>
      </w:r>
      <w:r w:rsidRPr="00EC5F5A">
        <w:rPr>
          <w:rFonts w:ascii="Arial" w:hAnsi="Arial" w:cs="Arial"/>
          <w:b/>
          <w:sz w:val="20"/>
          <w:szCs w:val="20"/>
          <w:lang w:val="en-GB"/>
        </w:rPr>
        <w:t xml:space="preserve"> </w:t>
      </w:r>
      <w:r>
        <w:rPr>
          <w:rFonts w:ascii="Arial" w:hAnsi="Arial" w:cs="Arial"/>
          <w:b/>
          <w:i/>
          <w:sz w:val="20"/>
          <w:szCs w:val="20"/>
          <w:lang w:val="en-GB"/>
        </w:rPr>
        <w:t>2</w:t>
      </w:r>
      <w:r w:rsidRPr="00EC5F5A">
        <w:rPr>
          <w:rFonts w:ascii="Arial" w:hAnsi="Arial" w:cs="Arial"/>
          <w:b/>
          <w:sz w:val="20"/>
          <w:szCs w:val="20"/>
          <w:lang w:val="en-GB"/>
        </w:rPr>
        <w:t xml:space="preserve">. </w:t>
      </w:r>
      <w:r w:rsidR="004555BD">
        <w:rPr>
          <w:rFonts w:ascii="Arial" w:hAnsi="Arial" w:cs="Arial"/>
          <w:b/>
          <w:i/>
          <w:sz w:val="20"/>
          <w:szCs w:val="20"/>
          <w:lang w:val="en-GB"/>
        </w:rPr>
        <w:t>LISA – Local Indicator of Spatial Association</w:t>
      </w:r>
      <w:r w:rsidR="002A783E">
        <w:rPr>
          <w:rFonts w:ascii="Arial" w:hAnsi="Arial" w:cs="Arial"/>
          <w:b/>
          <w:i/>
          <w:sz w:val="20"/>
          <w:szCs w:val="20"/>
          <w:lang w:val="en-GB"/>
        </w:rPr>
        <w:t>,</w:t>
      </w:r>
      <w:r w:rsidR="004555BD">
        <w:rPr>
          <w:rFonts w:ascii="Arial" w:hAnsi="Arial" w:cs="Arial"/>
          <w:b/>
          <w:i/>
          <w:sz w:val="20"/>
          <w:szCs w:val="20"/>
          <w:lang w:val="en-GB"/>
        </w:rPr>
        <w:t xml:space="preserve"> ETEL Incidence, Lombardia</w:t>
      </w:r>
      <w:r w:rsidR="00563579">
        <w:rPr>
          <w:rFonts w:ascii="Arial" w:hAnsi="Arial" w:cs="Arial"/>
          <w:b/>
          <w:i/>
          <w:sz w:val="20"/>
          <w:szCs w:val="20"/>
          <w:lang w:val="en-GB"/>
        </w:rPr>
        <w:t>, 2012</w:t>
      </w:r>
      <w:r w:rsidR="004555BD">
        <w:rPr>
          <w:rFonts w:ascii="Arial" w:hAnsi="Arial" w:cs="Arial"/>
          <w:b/>
          <w:i/>
          <w:sz w:val="20"/>
          <w:szCs w:val="20"/>
          <w:lang w:val="en-GB"/>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2020"/>
      </w:tblGrid>
      <w:tr w:rsidR="002A783E" w:rsidTr="001B0368">
        <w:tc>
          <w:tcPr>
            <w:tcW w:w="4606" w:type="dxa"/>
            <w:vAlign w:val="bottom"/>
          </w:tcPr>
          <w:p w:rsidR="002A783E" w:rsidRDefault="002A783E" w:rsidP="00913DB4">
            <w:pPr>
              <w:rPr>
                <w:lang w:val="en-GB"/>
              </w:rPr>
            </w:pPr>
            <w:r>
              <w:rPr>
                <w:noProof/>
                <w:lang w:eastAsia="pl-PL"/>
              </w:rPr>
              <w:drawing>
                <wp:inline distT="0" distB="0" distL="0" distR="0">
                  <wp:extent cx="4517582" cy="3771900"/>
                  <wp:effectExtent l="0" t="0" r="0" b="0"/>
                  <wp:docPr id="2" name="Segnaposto contenu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gnaposto contenuto 3"/>
                          <pic:cNvPicPr>
                            <a:picLocks noChangeAspect="1"/>
                          </pic:cNvPicPr>
                        </pic:nvPicPr>
                        <pic:blipFill>
                          <a:blip r:embed="rId17" cstate="print"/>
                          <a:stretch>
                            <a:fillRect/>
                          </a:stretch>
                        </pic:blipFill>
                        <pic:spPr>
                          <a:xfrm>
                            <a:off x="0" y="0"/>
                            <a:ext cx="4522057" cy="3775637"/>
                          </a:xfrm>
                          <a:prstGeom prst="rect">
                            <a:avLst/>
                          </a:prstGeom>
                        </pic:spPr>
                      </pic:pic>
                    </a:graphicData>
                  </a:graphic>
                </wp:inline>
              </w:drawing>
            </w:r>
          </w:p>
        </w:tc>
        <w:tc>
          <w:tcPr>
            <w:tcW w:w="4606" w:type="dxa"/>
            <w:vAlign w:val="bottom"/>
          </w:tcPr>
          <w:p w:rsidR="002A783E" w:rsidRDefault="001B2369" w:rsidP="00913DB4">
            <w:pPr>
              <w:rPr>
                <w:lang w:val="en-GB"/>
              </w:rPr>
            </w:pPr>
            <w:r>
              <w:rPr>
                <w:noProof/>
              </w:rPr>
              <w:object w:dxaOrig="18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75pt;height:77.25pt;mso-width-percent:0;mso-height-percent:0;mso-width-percent:0;mso-height-percent:0" o:ole="">
                  <v:imagedata r:id="rId18" o:title=""/>
                </v:shape>
                <o:OLEObject Type="Embed" ProgID="PBrush" ShapeID="_x0000_i1025" DrawAspect="Content" ObjectID="_1588393381" r:id="rId19"/>
              </w:object>
            </w:r>
          </w:p>
        </w:tc>
      </w:tr>
    </w:tbl>
    <w:p w:rsidR="00563579" w:rsidRPr="00563579" w:rsidRDefault="00563579" w:rsidP="00563579">
      <w:pPr>
        <w:spacing w:after="0" w:line="360" w:lineRule="auto"/>
        <w:jc w:val="both"/>
        <w:rPr>
          <w:rFonts w:ascii="Arial" w:hAnsi="Arial" w:cs="Arial"/>
          <w:sz w:val="20"/>
          <w:szCs w:val="20"/>
          <w:lang w:val="en-GB"/>
        </w:rPr>
      </w:pPr>
      <w:r w:rsidRPr="00822486">
        <w:rPr>
          <w:rFonts w:ascii="Arial" w:hAnsi="Arial" w:cs="Arial"/>
          <w:b/>
          <w:sz w:val="20"/>
          <w:szCs w:val="20"/>
          <w:lang w:val="en-GB"/>
        </w:rPr>
        <w:t>Source</w:t>
      </w:r>
      <w:r w:rsidRPr="00563579">
        <w:rPr>
          <w:rFonts w:ascii="Arial" w:hAnsi="Arial" w:cs="Arial"/>
          <w:sz w:val="20"/>
          <w:szCs w:val="20"/>
          <w:lang w:val="en-GB"/>
        </w:rPr>
        <w:t>:</w:t>
      </w:r>
      <w:r w:rsidRPr="00822486">
        <w:rPr>
          <w:rFonts w:ascii="Arial" w:hAnsi="Arial" w:cs="Arial"/>
          <w:sz w:val="20"/>
          <w:szCs w:val="20"/>
          <w:lang w:val="en-GB"/>
        </w:rPr>
        <w:t xml:space="preserve"> </w:t>
      </w:r>
      <w:r>
        <w:rPr>
          <w:rFonts w:ascii="Arial" w:hAnsi="Arial" w:cs="Arial"/>
          <w:sz w:val="20"/>
          <w:szCs w:val="20"/>
          <w:lang w:val="en-GB"/>
        </w:rPr>
        <w:t xml:space="preserve">Experimental </w:t>
      </w:r>
      <w:r w:rsidRPr="00822486">
        <w:rPr>
          <w:rFonts w:ascii="Arial" w:hAnsi="Arial" w:cs="Arial"/>
          <w:sz w:val="20"/>
          <w:szCs w:val="20"/>
          <w:lang w:val="en-US"/>
        </w:rPr>
        <w:t>ArchIMEDe</w:t>
      </w:r>
      <w:r>
        <w:rPr>
          <w:rFonts w:ascii="Arial" w:hAnsi="Arial" w:cs="Arial"/>
          <w:sz w:val="20"/>
          <w:szCs w:val="20"/>
          <w:lang w:val="en-US"/>
        </w:rPr>
        <w:t xml:space="preserve"> data.</w:t>
      </w:r>
    </w:p>
    <w:p w:rsidR="00563579" w:rsidRPr="000D312C" w:rsidRDefault="00563579" w:rsidP="00563579">
      <w:pPr>
        <w:spacing w:before="120" w:after="0" w:line="360" w:lineRule="auto"/>
        <w:jc w:val="both"/>
        <w:rPr>
          <w:rFonts w:ascii="Arial" w:hAnsi="Arial" w:cs="Arial"/>
          <w:sz w:val="24"/>
          <w:szCs w:val="24"/>
        </w:rPr>
      </w:pPr>
      <w:r>
        <w:rPr>
          <w:rFonts w:ascii="Arial" w:hAnsi="Arial" w:cs="Arial"/>
          <w:sz w:val="24"/>
          <w:szCs w:val="24"/>
        </w:rPr>
        <w:t xml:space="preserve">Rankings of ETEL Incidence </w:t>
      </w:r>
      <w:r w:rsidRPr="000D312C">
        <w:rPr>
          <w:rFonts w:ascii="Arial" w:hAnsi="Arial" w:cs="Arial"/>
          <w:sz w:val="24"/>
          <w:szCs w:val="24"/>
        </w:rPr>
        <w:t>have been constructed</w:t>
      </w:r>
      <w:r>
        <w:rPr>
          <w:rFonts w:ascii="Arial" w:hAnsi="Arial" w:cs="Arial"/>
          <w:sz w:val="24"/>
          <w:szCs w:val="24"/>
        </w:rPr>
        <w:t xml:space="preserve"> considering 12 </w:t>
      </w:r>
      <w:r w:rsidR="005851F0">
        <w:rPr>
          <w:rFonts w:ascii="Arial" w:hAnsi="Arial" w:cs="Arial"/>
          <w:i/>
          <w:sz w:val="24"/>
          <w:szCs w:val="24"/>
        </w:rPr>
        <w:t>sub-regional district</w:t>
      </w:r>
      <w:r>
        <w:rPr>
          <w:rStyle w:val="Odwoanieprzypisudolnego"/>
          <w:rFonts w:ascii="Arial" w:hAnsi="Arial" w:cs="Arial"/>
          <w:sz w:val="24"/>
          <w:szCs w:val="24"/>
        </w:rPr>
        <w:footnoteReference w:id="6"/>
      </w:r>
      <w:r>
        <w:rPr>
          <w:rFonts w:ascii="Arial" w:hAnsi="Arial" w:cs="Arial"/>
          <w:sz w:val="24"/>
          <w:szCs w:val="24"/>
        </w:rPr>
        <w:t xml:space="preserve"> of Lombardia Region (Table1). Different rankings emerge according to different population profiles:</w:t>
      </w:r>
      <w:r w:rsidRPr="000D312C">
        <w:rPr>
          <w:rFonts w:ascii="Arial" w:hAnsi="Arial" w:cs="Arial"/>
          <w:sz w:val="24"/>
          <w:szCs w:val="24"/>
        </w:rPr>
        <w:t xml:space="preserve"> </w:t>
      </w:r>
      <w:r>
        <w:rPr>
          <w:rFonts w:ascii="Arial" w:hAnsi="Arial" w:cs="Arial"/>
          <w:sz w:val="24"/>
          <w:szCs w:val="24"/>
        </w:rPr>
        <w:t>T</w:t>
      </w:r>
      <w:r w:rsidRPr="000D312C">
        <w:rPr>
          <w:rFonts w:ascii="Arial" w:hAnsi="Arial" w:cs="Arial"/>
          <w:sz w:val="24"/>
          <w:szCs w:val="24"/>
        </w:rPr>
        <w:t xml:space="preserve">otal </w:t>
      </w:r>
      <w:r>
        <w:rPr>
          <w:rFonts w:ascii="Arial" w:hAnsi="Arial" w:cs="Arial"/>
          <w:sz w:val="24"/>
          <w:szCs w:val="24"/>
        </w:rPr>
        <w:t>population</w:t>
      </w:r>
      <w:r w:rsidRPr="000D312C">
        <w:rPr>
          <w:rFonts w:ascii="Arial" w:hAnsi="Arial" w:cs="Arial"/>
          <w:sz w:val="24"/>
          <w:szCs w:val="24"/>
        </w:rPr>
        <w:t xml:space="preserve">, </w:t>
      </w:r>
      <w:r>
        <w:rPr>
          <w:rFonts w:ascii="Arial" w:hAnsi="Arial" w:cs="Arial"/>
          <w:sz w:val="24"/>
          <w:szCs w:val="24"/>
        </w:rPr>
        <w:t>Only</w:t>
      </w:r>
      <w:r w:rsidRPr="000D312C">
        <w:rPr>
          <w:rFonts w:ascii="Arial" w:hAnsi="Arial" w:cs="Arial"/>
          <w:sz w:val="24"/>
          <w:szCs w:val="24"/>
        </w:rPr>
        <w:t xml:space="preserve"> Italian </w:t>
      </w:r>
      <w:r>
        <w:rPr>
          <w:rFonts w:ascii="Arial" w:hAnsi="Arial" w:cs="Arial"/>
          <w:sz w:val="24"/>
          <w:szCs w:val="24"/>
        </w:rPr>
        <w:t>population</w:t>
      </w:r>
      <w:r w:rsidRPr="000D312C">
        <w:rPr>
          <w:rFonts w:ascii="Arial" w:hAnsi="Arial" w:cs="Arial"/>
          <w:sz w:val="24"/>
          <w:szCs w:val="24"/>
        </w:rPr>
        <w:t xml:space="preserve">, non-income </w:t>
      </w:r>
      <w:r>
        <w:rPr>
          <w:rFonts w:ascii="Arial" w:hAnsi="Arial" w:cs="Arial"/>
          <w:sz w:val="24"/>
          <w:szCs w:val="24"/>
        </w:rPr>
        <w:t>population</w:t>
      </w:r>
      <w:r w:rsidRPr="000D312C">
        <w:rPr>
          <w:rFonts w:ascii="Arial" w:hAnsi="Arial" w:cs="Arial"/>
          <w:sz w:val="24"/>
          <w:szCs w:val="24"/>
        </w:rPr>
        <w:t xml:space="preserve">, </w:t>
      </w:r>
      <w:r>
        <w:rPr>
          <w:rFonts w:ascii="Arial" w:hAnsi="Arial" w:cs="Arial"/>
          <w:sz w:val="24"/>
          <w:szCs w:val="24"/>
        </w:rPr>
        <w:t>Female population, both italian end foreing</w:t>
      </w:r>
      <w:r w:rsidRPr="000D312C">
        <w:rPr>
          <w:rFonts w:ascii="Arial" w:hAnsi="Arial" w:cs="Arial"/>
          <w:sz w:val="24"/>
          <w:szCs w:val="24"/>
        </w:rPr>
        <w:t xml:space="preserve">. </w:t>
      </w:r>
      <w:r>
        <w:rPr>
          <w:rFonts w:ascii="Arial" w:hAnsi="Arial" w:cs="Arial"/>
          <w:sz w:val="24"/>
          <w:szCs w:val="24"/>
        </w:rPr>
        <w:t>T</w:t>
      </w:r>
      <w:r w:rsidRPr="000D312C">
        <w:rPr>
          <w:rFonts w:ascii="Arial" w:hAnsi="Arial" w:cs="Arial"/>
          <w:sz w:val="24"/>
          <w:szCs w:val="24"/>
        </w:rPr>
        <w:t xml:space="preserve">hese rankings, </w:t>
      </w:r>
      <w:r>
        <w:rPr>
          <w:rFonts w:ascii="Arial" w:hAnsi="Arial" w:cs="Arial"/>
          <w:sz w:val="24"/>
          <w:szCs w:val="24"/>
        </w:rPr>
        <w:t>beyond</w:t>
      </w:r>
      <w:r w:rsidRPr="000D312C">
        <w:rPr>
          <w:rFonts w:ascii="Arial" w:hAnsi="Arial" w:cs="Arial"/>
          <w:sz w:val="24"/>
          <w:szCs w:val="24"/>
        </w:rPr>
        <w:t xml:space="preserve"> confirming critical areas highlighted above, provides some keys to differentiate the territory and its policies:</w:t>
      </w:r>
    </w:p>
    <w:p w:rsidR="00563579" w:rsidRPr="00F02DB2" w:rsidRDefault="00563579" w:rsidP="00563579">
      <w:pPr>
        <w:pStyle w:val="Akapitzlist"/>
        <w:numPr>
          <w:ilvl w:val="0"/>
          <w:numId w:val="1"/>
        </w:numPr>
        <w:spacing w:before="120" w:after="0" w:line="360" w:lineRule="auto"/>
        <w:jc w:val="both"/>
        <w:rPr>
          <w:rFonts w:ascii="Arial" w:hAnsi="Arial" w:cs="Arial"/>
          <w:sz w:val="24"/>
          <w:szCs w:val="24"/>
        </w:rPr>
      </w:pPr>
      <w:r w:rsidRPr="00F02DB2">
        <w:rPr>
          <w:rFonts w:ascii="Arial" w:hAnsi="Arial" w:cs="Arial"/>
          <w:sz w:val="24"/>
          <w:szCs w:val="24"/>
        </w:rPr>
        <w:t>In Mantova e Brescia the criticality seems linked to an important presence of foreign citizens</w:t>
      </w:r>
      <w:r w:rsidR="005851F0">
        <w:rPr>
          <w:rFonts w:ascii="Arial" w:hAnsi="Arial" w:cs="Arial"/>
          <w:sz w:val="24"/>
          <w:szCs w:val="24"/>
        </w:rPr>
        <w:t>.</w:t>
      </w:r>
      <w:r w:rsidRPr="00F02DB2">
        <w:rPr>
          <w:rFonts w:ascii="Arial" w:hAnsi="Arial" w:cs="Arial"/>
          <w:sz w:val="24"/>
          <w:szCs w:val="24"/>
        </w:rPr>
        <w:t xml:space="preserve"> </w:t>
      </w:r>
      <w:r w:rsidR="005851F0">
        <w:rPr>
          <w:rFonts w:ascii="Arial" w:hAnsi="Arial" w:cs="Arial"/>
          <w:sz w:val="24"/>
          <w:szCs w:val="24"/>
        </w:rPr>
        <w:t>Infact, i</w:t>
      </w:r>
      <w:r w:rsidRPr="00F02DB2">
        <w:rPr>
          <w:rFonts w:ascii="Arial" w:hAnsi="Arial" w:cs="Arial"/>
          <w:sz w:val="24"/>
          <w:szCs w:val="24"/>
        </w:rPr>
        <w:t>f we look at the column of Italian citizens only, the Mantova e Brescia falls significantly in the ranking;</w:t>
      </w:r>
    </w:p>
    <w:p w:rsidR="00563579" w:rsidRPr="00F02DB2" w:rsidRDefault="00563579" w:rsidP="00563579">
      <w:pPr>
        <w:pStyle w:val="Akapitzlist"/>
        <w:numPr>
          <w:ilvl w:val="0"/>
          <w:numId w:val="1"/>
        </w:numPr>
        <w:spacing w:before="120" w:after="0" w:line="360" w:lineRule="auto"/>
        <w:jc w:val="both"/>
        <w:rPr>
          <w:rFonts w:ascii="Arial" w:hAnsi="Arial" w:cs="Arial"/>
          <w:sz w:val="24"/>
          <w:szCs w:val="24"/>
        </w:rPr>
      </w:pPr>
      <w:r w:rsidRPr="00F02DB2">
        <w:rPr>
          <w:rFonts w:ascii="Arial" w:hAnsi="Arial" w:cs="Arial"/>
          <w:sz w:val="24"/>
          <w:szCs w:val="24"/>
        </w:rPr>
        <w:t xml:space="preserve">Varese won the podium considering only non-preceptors of income: this </w:t>
      </w:r>
      <w:r w:rsidR="005851F0">
        <w:rPr>
          <w:rFonts w:ascii="Arial" w:hAnsi="Arial" w:cs="Arial"/>
          <w:sz w:val="24"/>
          <w:szCs w:val="24"/>
        </w:rPr>
        <w:t xml:space="preserve">evidence </w:t>
      </w:r>
      <w:r w:rsidRPr="00F02DB2">
        <w:rPr>
          <w:rFonts w:ascii="Arial" w:hAnsi="Arial" w:cs="Arial"/>
          <w:sz w:val="24"/>
          <w:szCs w:val="24"/>
        </w:rPr>
        <w:t>should be linked ‘work and employment across borders’ phenomenon of Insubria;</w:t>
      </w:r>
    </w:p>
    <w:p w:rsidR="00563579" w:rsidRPr="00F02DB2" w:rsidRDefault="00563579" w:rsidP="00563579">
      <w:pPr>
        <w:pStyle w:val="Akapitzlist"/>
        <w:numPr>
          <w:ilvl w:val="0"/>
          <w:numId w:val="1"/>
        </w:numPr>
        <w:spacing w:before="120" w:after="0" w:line="360" w:lineRule="auto"/>
        <w:jc w:val="both"/>
        <w:rPr>
          <w:rFonts w:ascii="Arial" w:hAnsi="Arial" w:cs="Arial"/>
          <w:sz w:val="24"/>
          <w:szCs w:val="24"/>
        </w:rPr>
      </w:pPr>
      <w:r w:rsidRPr="00F02DB2">
        <w:rPr>
          <w:rFonts w:ascii="Arial" w:hAnsi="Arial" w:cs="Arial"/>
          <w:sz w:val="24"/>
          <w:szCs w:val="24"/>
        </w:rPr>
        <w:t xml:space="preserve">Bergamo is the first </w:t>
      </w:r>
      <w:r w:rsidR="005851F0">
        <w:rPr>
          <w:rFonts w:ascii="Arial" w:hAnsi="Arial" w:cs="Arial"/>
          <w:sz w:val="24"/>
          <w:szCs w:val="24"/>
        </w:rPr>
        <w:t>district</w:t>
      </w:r>
      <w:r w:rsidR="005851F0" w:rsidRPr="00F02DB2">
        <w:rPr>
          <w:rFonts w:ascii="Arial" w:hAnsi="Arial" w:cs="Arial"/>
          <w:sz w:val="24"/>
          <w:szCs w:val="24"/>
        </w:rPr>
        <w:t xml:space="preserve"> </w:t>
      </w:r>
      <w:r w:rsidRPr="00F02DB2">
        <w:rPr>
          <w:rFonts w:ascii="Arial" w:hAnsi="Arial" w:cs="Arial"/>
          <w:sz w:val="24"/>
          <w:szCs w:val="24"/>
        </w:rPr>
        <w:t>considering only Italians, and becomes sixth when focusing only Italian females.This could be linked to gender differences in low-</w:t>
      </w:r>
      <w:r w:rsidRPr="00F02DB2">
        <w:rPr>
          <w:rFonts w:ascii="Arial" w:hAnsi="Arial" w:cs="Arial"/>
          <w:sz w:val="24"/>
          <w:szCs w:val="24"/>
        </w:rPr>
        <w:lastRenderedPageBreak/>
        <w:t xml:space="preserve">skilled job opportunities. This is </w:t>
      </w:r>
      <w:r w:rsidR="00357185">
        <w:rPr>
          <w:rFonts w:ascii="Arial" w:hAnsi="Arial" w:cs="Arial"/>
          <w:sz w:val="24"/>
          <w:szCs w:val="24"/>
        </w:rPr>
        <w:t>seems</w:t>
      </w:r>
      <w:r w:rsidRPr="00F02DB2">
        <w:rPr>
          <w:rFonts w:ascii="Arial" w:hAnsi="Arial" w:cs="Arial"/>
          <w:sz w:val="24"/>
          <w:szCs w:val="24"/>
        </w:rPr>
        <w:t xml:space="preserve"> confirmed also by the the ranking</w:t>
      </w:r>
      <w:r w:rsidR="00357185">
        <w:rPr>
          <w:rFonts w:ascii="Arial" w:hAnsi="Arial" w:cs="Arial"/>
          <w:sz w:val="24"/>
          <w:szCs w:val="24"/>
        </w:rPr>
        <w:t xml:space="preserve"> structure</w:t>
      </w:r>
      <w:r w:rsidRPr="00F02DB2">
        <w:rPr>
          <w:rFonts w:ascii="Arial" w:hAnsi="Arial" w:cs="Arial"/>
          <w:sz w:val="24"/>
          <w:szCs w:val="24"/>
        </w:rPr>
        <w:t xml:space="preserve"> of non-income earners. </w:t>
      </w:r>
    </w:p>
    <w:p w:rsidR="00563579" w:rsidRPr="00C82A25" w:rsidRDefault="00563579" w:rsidP="007F31FC">
      <w:pPr>
        <w:spacing w:before="120" w:after="0" w:line="360" w:lineRule="auto"/>
        <w:jc w:val="both"/>
        <w:rPr>
          <w:rFonts w:ascii="Arial" w:hAnsi="Arial" w:cs="Arial"/>
          <w:sz w:val="24"/>
          <w:szCs w:val="24"/>
          <w:lang w:val="en-US"/>
        </w:rPr>
      </w:pPr>
      <w:r w:rsidRPr="000D312C">
        <w:rPr>
          <w:rFonts w:ascii="Arial" w:hAnsi="Arial" w:cs="Arial"/>
          <w:sz w:val="24"/>
          <w:szCs w:val="24"/>
        </w:rPr>
        <w:t xml:space="preserve">A mix of local data and investigation of sub-populations allows us to hypothesize </w:t>
      </w:r>
      <w:r w:rsidRPr="007A7988">
        <w:rPr>
          <w:rFonts w:ascii="Arial" w:hAnsi="Arial" w:cs="Arial"/>
          <w:sz w:val="24"/>
          <w:szCs w:val="24"/>
        </w:rPr>
        <w:t xml:space="preserve">"tailored" </w:t>
      </w:r>
      <w:r w:rsidRPr="000D312C">
        <w:rPr>
          <w:rFonts w:ascii="Arial" w:hAnsi="Arial" w:cs="Arial"/>
          <w:sz w:val="24"/>
          <w:szCs w:val="24"/>
        </w:rPr>
        <w:t xml:space="preserve">policies according to </w:t>
      </w:r>
      <w:r>
        <w:rPr>
          <w:rFonts w:ascii="Arial" w:hAnsi="Arial" w:cs="Arial"/>
          <w:sz w:val="24"/>
          <w:szCs w:val="24"/>
        </w:rPr>
        <w:t>specific</w:t>
      </w:r>
      <w:r w:rsidRPr="000D312C">
        <w:rPr>
          <w:rFonts w:ascii="Arial" w:hAnsi="Arial" w:cs="Arial"/>
          <w:sz w:val="24"/>
          <w:szCs w:val="24"/>
        </w:rPr>
        <w:t xml:space="preserve"> socio-demographic characteristics</w:t>
      </w:r>
      <w:r>
        <w:rPr>
          <w:rFonts w:ascii="Arial" w:hAnsi="Arial" w:cs="Arial"/>
          <w:sz w:val="24"/>
          <w:szCs w:val="24"/>
        </w:rPr>
        <w:t xml:space="preserve">. </w:t>
      </w:r>
      <w:r w:rsidR="00357185">
        <w:rPr>
          <w:rFonts w:ascii="Arial" w:hAnsi="Arial" w:cs="Arial"/>
          <w:sz w:val="24"/>
          <w:szCs w:val="24"/>
        </w:rPr>
        <w:t>For instance, t</w:t>
      </w:r>
      <w:r>
        <w:rPr>
          <w:rFonts w:ascii="Arial" w:hAnsi="Arial" w:cs="Arial"/>
          <w:sz w:val="24"/>
          <w:szCs w:val="24"/>
        </w:rPr>
        <w:t xml:space="preserve">his could bring to a collaboration with local Entrepreneurs’ association </w:t>
      </w:r>
      <w:r w:rsidRPr="000D312C">
        <w:rPr>
          <w:rFonts w:ascii="Arial" w:hAnsi="Arial" w:cs="Arial"/>
          <w:sz w:val="24"/>
          <w:szCs w:val="24"/>
        </w:rPr>
        <w:t xml:space="preserve">where </w:t>
      </w:r>
      <w:r>
        <w:rPr>
          <w:rFonts w:ascii="Arial" w:hAnsi="Arial" w:cs="Arial"/>
          <w:sz w:val="24"/>
          <w:szCs w:val="24"/>
        </w:rPr>
        <w:t>ETEL</w:t>
      </w:r>
      <w:r w:rsidRPr="000D312C">
        <w:rPr>
          <w:rFonts w:ascii="Arial" w:hAnsi="Arial" w:cs="Arial"/>
          <w:sz w:val="24"/>
          <w:szCs w:val="24"/>
        </w:rPr>
        <w:t xml:space="preserve"> are connected to low-qualification works</w:t>
      </w:r>
      <w:r w:rsidR="00357185">
        <w:rPr>
          <w:rFonts w:ascii="Arial" w:hAnsi="Arial" w:cs="Arial"/>
          <w:sz w:val="24"/>
          <w:szCs w:val="24"/>
        </w:rPr>
        <w:t xml:space="preserve"> actractiveness</w:t>
      </w:r>
      <w:r w:rsidR="004E4475">
        <w:rPr>
          <w:rFonts w:ascii="Arial" w:hAnsi="Arial" w:cs="Arial"/>
          <w:sz w:val="24"/>
          <w:szCs w:val="24"/>
        </w:rPr>
        <w:t xml:space="preserve"> (see also ‘</w:t>
      </w:r>
      <w:r w:rsidR="004E4475" w:rsidRPr="004E4475">
        <w:rPr>
          <w:rFonts w:ascii="Arial" w:hAnsi="Arial" w:cs="Arial"/>
          <w:sz w:val="24"/>
          <w:szCs w:val="24"/>
        </w:rPr>
        <w:t>Tees Valley Routeways</w:t>
      </w:r>
      <w:r w:rsidR="004E4475">
        <w:rPr>
          <w:rFonts w:ascii="Arial" w:hAnsi="Arial" w:cs="Arial"/>
          <w:sz w:val="24"/>
          <w:szCs w:val="24"/>
        </w:rPr>
        <w:t>’ program in UK)</w:t>
      </w:r>
      <w:r>
        <w:rPr>
          <w:rFonts w:ascii="Arial" w:hAnsi="Arial" w:cs="Arial"/>
          <w:sz w:val="24"/>
          <w:szCs w:val="24"/>
        </w:rPr>
        <w:t xml:space="preserve">, or </w:t>
      </w:r>
      <w:r w:rsidR="00357185">
        <w:rPr>
          <w:rFonts w:ascii="Arial" w:hAnsi="Arial" w:cs="Arial"/>
          <w:sz w:val="24"/>
          <w:szCs w:val="24"/>
        </w:rPr>
        <w:t>forthermore</w:t>
      </w:r>
      <w:r w:rsidRPr="000D312C">
        <w:rPr>
          <w:rFonts w:ascii="Arial" w:hAnsi="Arial" w:cs="Arial"/>
          <w:sz w:val="24"/>
          <w:szCs w:val="24"/>
        </w:rPr>
        <w:t xml:space="preserve"> with non-profit associations in areas where the problem is due to the integration of foreigners (eastern Lombardy). </w:t>
      </w:r>
    </w:p>
    <w:p w:rsidR="007F31FC" w:rsidRPr="00EC5F5A" w:rsidRDefault="007F31FC" w:rsidP="007F31FC">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692AE8"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00692AE8" w:rsidRPr="00BF6DBC">
        <w:rPr>
          <w:rFonts w:ascii="Arial" w:hAnsi="Arial" w:cs="Arial"/>
          <w:b/>
          <w:i w:val="0"/>
          <w:color w:val="auto"/>
          <w:sz w:val="20"/>
          <w:szCs w:val="20"/>
          <w:lang w:val="en-GB"/>
        </w:rPr>
        <w:fldChar w:fldCharType="separate"/>
      </w:r>
      <w:r w:rsidR="00EE0EB7">
        <w:rPr>
          <w:rFonts w:ascii="Arial" w:hAnsi="Arial" w:cs="Arial"/>
          <w:b/>
          <w:i w:val="0"/>
          <w:noProof/>
          <w:color w:val="auto"/>
          <w:sz w:val="20"/>
          <w:szCs w:val="20"/>
          <w:lang w:val="en-GB"/>
        </w:rPr>
        <w:t>1</w:t>
      </w:r>
      <w:r w:rsidR="00692AE8"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3805DC">
        <w:rPr>
          <w:rFonts w:ascii="Arial" w:hAnsi="Arial" w:cs="Arial"/>
          <w:b/>
          <w:i w:val="0"/>
          <w:color w:val="auto"/>
          <w:sz w:val="20"/>
          <w:szCs w:val="20"/>
          <w:lang w:val="en-GB"/>
        </w:rPr>
        <w:t>Rankin</w:t>
      </w:r>
      <w:r w:rsidR="003202D1">
        <w:rPr>
          <w:rFonts w:ascii="Arial" w:hAnsi="Arial" w:cs="Arial"/>
          <w:b/>
          <w:i w:val="0"/>
          <w:color w:val="auto"/>
          <w:sz w:val="20"/>
          <w:szCs w:val="20"/>
          <w:lang w:val="en-GB"/>
        </w:rPr>
        <w:t>g</w:t>
      </w:r>
      <w:r w:rsidR="003805DC">
        <w:rPr>
          <w:rFonts w:ascii="Arial" w:hAnsi="Arial" w:cs="Arial"/>
          <w:b/>
          <w:i w:val="0"/>
          <w:color w:val="auto"/>
          <w:sz w:val="20"/>
          <w:szCs w:val="20"/>
          <w:lang w:val="en-GB"/>
        </w:rPr>
        <w:t xml:space="preserve"> of ETEL incidence in different sub-population, </w:t>
      </w:r>
      <w:r w:rsidR="00563579">
        <w:rPr>
          <w:rFonts w:ascii="Arial" w:hAnsi="Arial" w:cs="Arial"/>
          <w:b/>
          <w:i w:val="0"/>
          <w:color w:val="auto"/>
          <w:sz w:val="20"/>
          <w:szCs w:val="20"/>
          <w:lang w:val="en-GB"/>
        </w:rPr>
        <w:t>by</w:t>
      </w:r>
      <w:r w:rsidR="003805DC">
        <w:rPr>
          <w:rFonts w:ascii="Arial" w:hAnsi="Arial" w:cs="Arial"/>
          <w:b/>
          <w:i w:val="0"/>
          <w:color w:val="auto"/>
          <w:sz w:val="20"/>
          <w:szCs w:val="20"/>
          <w:lang w:val="en-GB"/>
        </w:rPr>
        <w:t xml:space="preserve"> </w:t>
      </w:r>
      <w:r w:rsidR="00357185">
        <w:rPr>
          <w:rFonts w:ascii="Arial" w:hAnsi="Arial" w:cs="Arial"/>
          <w:b/>
          <w:color w:val="auto"/>
          <w:sz w:val="20"/>
          <w:szCs w:val="20"/>
          <w:lang w:val="en-GB"/>
        </w:rPr>
        <w:t>District</w:t>
      </w:r>
      <w:r w:rsidR="003805DC">
        <w:rPr>
          <w:rFonts w:ascii="Arial" w:hAnsi="Arial" w:cs="Arial"/>
          <w:b/>
          <w:i w:val="0"/>
          <w:color w:val="auto"/>
          <w:sz w:val="20"/>
          <w:szCs w:val="20"/>
          <w:lang w:val="en-GB"/>
        </w:rPr>
        <w:t>, Lombardia</w:t>
      </w:r>
      <w:r w:rsidR="00563579">
        <w:rPr>
          <w:rFonts w:ascii="Arial" w:hAnsi="Arial" w:cs="Arial"/>
          <w:b/>
          <w:i w:val="0"/>
          <w:color w:val="auto"/>
          <w:sz w:val="20"/>
          <w:szCs w:val="20"/>
          <w:lang w:val="en-GB"/>
        </w:rPr>
        <w:t>, 2012</w:t>
      </w:r>
    </w:p>
    <w:tbl>
      <w:tblPr>
        <w:tblStyle w:val="Tabela-Siatka"/>
        <w:tblW w:w="0" w:type="auto"/>
        <w:tblLook w:val="04A0" w:firstRow="1" w:lastRow="0" w:firstColumn="1" w:lastColumn="0" w:noHBand="0" w:noVBand="1"/>
      </w:tblPr>
      <w:tblGrid>
        <w:gridCol w:w="1630"/>
        <w:gridCol w:w="1592"/>
        <w:gridCol w:w="1567"/>
        <w:gridCol w:w="1497"/>
        <w:gridCol w:w="1388"/>
        <w:gridCol w:w="1388"/>
      </w:tblGrid>
      <w:tr w:rsidR="00140BFE"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bCs/>
                <w:sz w:val="24"/>
              </w:rPr>
              <w:t>Provincia</w:t>
            </w:r>
          </w:p>
        </w:tc>
        <w:tc>
          <w:tcPr>
            <w:tcW w:w="1657" w:type="dxa"/>
            <w:vAlign w:val="center"/>
          </w:tcPr>
          <w:p w:rsidR="00FF25F8" w:rsidRPr="00EC5F5A" w:rsidRDefault="00140BFE" w:rsidP="00D21572">
            <w:pPr>
              <w:spacing w:before="120" w:line="360" w:lineRule="auto"/>
              <w:jc w:val="center"/>
              <w:rPr>
                <w:rFonts w:ascii="Arial" w:hAnsi="Arial" w:cs="Arial"/>
                <w:sz w:val="20"/>
                <w:szCs w:val="20"/>
                <w:lang w:val="en-GB"/>
              </w:rPr>
            </w:pPr>
            <w:r>
              <w:rPr>
                <w:b/>
                <w:bCs/>
                <w:sz w:val="24"/>
              </w:rPr>
              <w:t>Total</w:t>
            </w:r>
          </w:p>
        </w:tc>
        <w:tc>
          <w:tcPr>
            <w:tcW w:w="1621" w:type="dxa"/>
            <w:vAlign w:val="center"/>
          </w:tcPr>
          <w:p w:rsidR="00FF25F8" w:rsidRPr="00EC5F5A" w:rsidRDefault="00140BFE" w:rsidP="00D21572">
            <w:pPr>
              <w:spacing w:before="120" w:line="360" w:lineRule="auto"/>
              <w:jc w:val="center"/>
              <w:rPr>
                <w:rFonts w:ascii="Arial" w:hAnsi="Arial" w:cs="Arial"/>
                <w:sz w:val="20"/>
                <w:szCs w:val="20"/>
                <w:lang w:val="en-GB"/>
              </w:rPr>
            </w:pPr>
            <w:r>
              <w:rPr>
                <w:b/>
                <w:bCs/>
                <w:sz w:val="24"/>
              </w:rPr>
              <w:t>Italian</w:t>
            </w:r>
          </w:p>
        </w:tc>
        <w:tc>
          <w:tcPr>
            <w:tcW w:w="1511" w:type="dxa"/>
            <w:vAlign w:val="center"/>
          </w:tcPr>
          <w:p w:rsidR="00FF25F8" w:rsidRPr="00EC5F5A" w:rsidRDefault="00140BFE" w:rsidP="00D21572">
            <w:pPr>
              <w:spacing w:before="120" w:line="360" w:lineRule="auto"/>
              <w:jc w:val="center"/>
              <w:rPr>
                <w:rFonts w:ascii="Arial" w:hAnsi="Arial" w:cs="Arial"/>
                <w:sz w:val="20"/>
                <w:szCs w:val="20"/>
                <w:lang w:val="en-GB"/>
              </w:rPr>
            </w:pPr>
            <w:r>
              <w:rPr>
                <w:b/>
                <w:bCs/>
                <w:sz w:val="24"/>
              </w:rPr>
              <w:t>Non income population</w:t>
            </w:r>
          </w:p>
        </w:tc>
        <w:tc>
          <w:tcPr>
            <w:tcW w:w="1416" w:type="dxa"/>
            <w:vAlign w:val="center"/>
          </w:tcPr>
          <w:p w:rsidR="00FF25F8" w:rsidRPr="00EC5F5A" w:rsidRDefault="00140BFE" w:rsidP="00D21572">
            <w:pPr>
              <w:spacing w:before="120" w:line="360" w:lineRule="auto"/>
              <w:jc w:val="center"/>
              <w:rPr>
                <w:rFonts w:ascii="Arial" w:hAnsi="Arial" w:cs="Arial"/>
                <w:b/>
                <w:sz w:val="20"/>
                <w:szCs w:val="20"/>
                <w:lang w:val="en-GB"/>
              </w:rPr>
            </w:pPr>
            <w:r>
              <w:rPr>
                <w:b/>
                <w:bCs/>
                <w:sz w:val="24"/>
              </w:rPr>
              <w:t>Italian Women</w:t>
            </w:r>
          </w:p>
        </w:tc>
        <w:tc>
          <w:tcPr>
            <w:tcW w:w="1416" w:type="dxa"/>
            <w:vAlign w:val="center"/>
          </w:tcPr>
          <w:p w:rsidR="00FF25F8" w:rsidRPr="00EC5F5A" w:rsidRDefault="00140BFE" w:rsidP="00D21572">
            <w:pPr>
              <w:spacing w:before="120" w:line="360" w:lineRule="auto"/>
              <w:jc w:val="center"/>
              <w:rPr>
                <w:rFonts w:ascii="Arial" w:hAnsi="Arial" w:cs="Arial"/>
                <w:b/>
                <w:sz w:val="20"/>
                <w:szCs w:val="20"/>
                <w:lang w:val="en-GB"/>
              </w:rPr>
            </w:pPr>
            <w:r>
              <w:rPr>
                <w:b/>
                <w:bCs/>
                <w:sz w:val="24"/>
              </w:rPr>
              <w:t>Foreign Women</w:t>
            </w:r>
          </w:p>
        </w:tc>
      </w:tr>
      <w:tr w:rsidR="00140BFE"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bCs/>
                <w:sz w:val="24"/>
              </w:rPr>
              <w:t>Mantova</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bCs/>
                <w:sz w:val="24"/>
              </w:rPr>
              <w:t>1</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Cs/>
                <w:sz w:val="24"/>
              </w:rPr>
              <w:t>6</w:t>
            </w:r>
          </w:p>
        </w:tc>
        <w:tc>
          <w:tcPr>
            <w:tcW w:w="151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2</w:t>
            </w:r>
          </w:p>
        </w:tc>
        <w:tc>
          <w:tcPr>
            <w:tcW w:w="1416" w:type="dxa"/>
          </w:tcPr>
          <w:p w:rsidR="00FF25F8" w:rsidRPr="00EC5F5A" w:rsidRDefault="00FF25F8" w:rsidP="00D21572">
            <w:pPr>
              <w:spacing w:before="120" w:line="360" w:lineRule="auto"/>
              <w:jc w:val="center"/>
              <w:rPr>
                <w:rFonts w:ascii="Arial" w:hAnsi="Arial" w:cs="Arial"/>
                <w:sz w:val="20"/>
                <w:szCs w:val="20"/>
                <w:lang w:val="en-GB"/>
              </w:rPr>
            </w:pPr>
            <w:r w:rsidRPr="00473777">
              <w:rPr>
                <w:bCs/>
                <w:sz w:val="24"/>
              </w:rPr>
              <w:t>7</w:t>
            </w:r>
          </w:p>
        </w:tc>
        <w:tc>
          <w:tcPr>
            <w:tcW w:w="1416" w:type="dxa"/>
          </w:tcPr>
          <w:p w:rsidR="00FF25F8" w:rsidRPr="00EC5F5A" w:rsidRDefault="00FF25F8" w:rsidP="00D21572">
            <w:pPr>
              <w:spacing w:before="120" w:line="360" w:lineRule="auto"/>
              <w:jc w:val="center"/>
              <w:rPr>
                <w:rFonts w:ascii="Arial" w:hAnsi="Arial" w:cs="Arial"/>
                <w:sz w:val="20"/>
                <w:szCs w:val="20"/>
                <w:lang w:val="en-GB"/>
              </w:rPr>
            </w:pPr>
            <w:r>
              <w:rPr>
                <w:b/>
                <w:bCs/>
                <w:sz w:val="24"/>
              </w:rPr>
              <w:t>2</w:t>
            </w:r>
          </w:p>
        </w:tc>
      </w:tr>
      <w:tr w:rsidR="00140BFE"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bCs/>
                <w:sz w:val="24"/>
              </w:rPr>
              <w:t>Brescia</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bCs/>
                <w:sz w:val="24"/>
              </w:rPr>
              <w:t>2</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Cs/>
                <w:sz w:val="24"/>
              </w:rPr>
              <w:t>5</w:t>
            </w:r>
          </w:p>
        </w:tc>
        <w:tc>
          <w:tcPr>
            <w:tcW w:w="151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w:t>
            </w:r>
          </w:p>
        </w:tc>
        <w:tc>
          <w:tcPr>
            <w:tcW w:w="1416" w:type="dxa"/>
          </w:tcPr>
          <w:p w:rsidR="00FF25F8" w:rsidRPr="00EC5F5A" w:rsidRDefault="00FF25F8" w:rsidP="00D21572">
            <w:pPr>
              <w:spacing w:before="120" w:line="360" w:lineRule="auto"/>
              <w:jc w:val="center"/>
              <w:rPr>
                <w:rFonts w:ascii="Arial" w:hAnsi="Arial" w:cs="Arial"/>
                <w:sz w:val="20"/>
                <w:szCs w:val="20"/>
                <w:lang w:val="en-GB"/>
              </w:rPr>
            </w:pPr>
            <w:r w:rsidRPr="00473777">
              <w:rPr>
                <w:bCs/>
                <w:sz w:val="24"/>
              </w:rPr>
              <w:t>4</w:t>
            </w:r>
          </w:p>
        </w:tc>
        <w:tc>
          <w:tcPr>
            <w:tcW w:w="1416" w:type="dxa"/>
          </w:tcPr>
          <w:p w:rsidR="00FF25F8" w:rsidRPr="00EC5F5A" w:rsidRDefault="00FF25F8" w:rsidP="00D21572">
            <w:pPr>
              <w:spacing w:before="120" w:line="360" w:lineRule="auto"/>
              <w:jc w:val="center"/>
              <w:rPr>
                <w:rFonts w:ascii="Arial" w:hAnsi="Arial" w:cs="Arial"/>
                <w:sz w:val="20"/>
                <w:szCs w:val="20"/>
                <w:lang w:val="en-GB"/>
              </w:rPr>
            </w:pPr>
            <w:r w:rsidRPr="00473777">
              <w:rPr>
                <w:bCs/>
                <w:sz w:val="24"/>
              </w:rPr>
              <w:t>3</w:t>
            </w:r>
          </w:p>
        </w:tc>
      </w:tr>
      <w:tr w:rsidR="00140BFE"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Bergamo</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3</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sz w:val="24"/>
              </w:rPr>
              <w:t>1</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5</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6</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4</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sz w:val="24"/>
              </w:rPr>
              <w:t>Pavia</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4</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sz w:val="24"/>
              </w:rPr>
              <w:t>2</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6</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sidRPr="00473777">
              <w:rPr>
                <w:b/>
                <w:sz w:val="24"/>
              </w:rPr>
              <w:t>1</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9</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Lodi</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5</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7</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4</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5</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12</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Como</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6</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3</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7</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sidRPr="00473777">
              <w:rPr>
                <w:b/>
                <w:sz w:val="24"/>
              </w:rPr>
              <w:t>2</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7</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b/>
                <w:sz w:val="24"/>
              </w:rPr>
              <w:t>Varese</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7</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4</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b/>
                <w:bCs/>
                <w:sz w:val="24"/>
              </w:rPr>
              <w:t>3</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3</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8</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Milano</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8</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9</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9</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8</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11</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Cremona</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9</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12</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8</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12</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5</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Lecco</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10</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11</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11</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11</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6</w:t>
            </w:r>
          </w:p>
        </w:tc>
      </w:tr>
      <w:tr w:rsidR="00FF25F8"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Sondrio</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11</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8</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12</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Pr>
                <w:sz w:val="24"/>
              </w:rPr>
              <w:t>9</w:t>
            </w:r>
          </w:p>
        </w:tc>
        <w:tc>
          <w:tcPr>
            <w:tcW w:w="1416" w:type="dxa"/>
          </w:tcPr>
          <w:p w:rsidR="00FF25F8" w:rsidRPr="00EC5F5A" w:rsidRDefault="00FF25F8" w:rsidP="00D21572">
            <w:pPr>
              <w:keepNext/>
              <w:spacing w:before="120" w:line="360" w:lineRule="auto"/>
              <w:jc w:val="center"/>
              <w:rPr>
                <w:rFonts w:ascii="Arial" w:hAnsi="Arial" w:cs="Arial"/>
                <w:sz w:val="20"/>
                <w:szCs w:val="20"/>
                <w:lang w:val="en-GB"/>
              </w:rPr>
            </w:pPr>
            <w:r w:rsidRPr="006A44C6">
              <w:rPr>
                <w:b/>
                <w:sz w:val="24"/>
              </w:rPr>
              <w:t>1</w:t>
            </w:r>
          </w:p>
        </w:tc>
      </w:tr>
      <w:tr w:rsidR="00140BFE" w:rsidRPr="00EC5F5A" w:rsidTr="00FF25F8">
        <w:trPr>
          <w:cantSplit/>
        </w:trPr>
        <w:tc>
          <w:tcPr>
            <w:tcW w:w="166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Monza e della Brianza</w:t>
            </w:r>
          </w:p>
        </w:tc>
        <w:tc>
          <w:tcPr>
            <w:tcW w:w="1657"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12</w:t>
            </w:r>
          </w:p>
        </w:tc>
        <w:tc>
          <w:tcPr>
            <w:tcW w:w="1621" w:type="dxa"/>
            <w:vAlign w:val="center"/>
          </w:tcPr>
          <w:p w:rsidR="00FF25F8" w:rsidRPr="00EC5F5A" w:rsidRDefault="00FF25F8" w:rsidP="00D21572">
            <w:pPr>
              <w:spacing w:before="120" w:line="360" w:lineRule="auto"/>
              <w:jc w:val="center"/>
              <w:rPr>
                <w:rFonts w:ascii="Arial" w:hAnsi="Arial" w:cs="Arial"/>
                <w:sz w:val="20"/>
                <w:szCs w:val="20"/>
                <w:lang w:val="en-GB"/>
              </w:rPr>
            </w:pPr>
            <w:r w:rsidRPr="00473777">
              <w:rPr>
                <w:sz w:val="24"/>
              </w:rPr>
              <w:t>10</w:t>
            </w:r>
          </w:p>
        </w:tc>
        <w:tc>
          <w:tcPr>
            <w:tcW w:w="1511"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sidRPr="00473777">
              <w:rPr>
                <w:sz w:val="24"/>
              </w:rPr>
              <w:t>10</w:t>
            </w:r>
          </w:p>
        </w:tc>
        <w:tc>
          <w:tcPr>
            <w:tcW w:w="1416"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Pr>
                <w:sz w:val="24"/>
              </w:rPr>
              <w:t>10</w:t>
            </w:r>
          </w:p>
        </w:tc>
        <w:tc>
          <w:tcPr>
            <w:tcW w:w="1416" w:type="dxa"/>
            <w:vAlign w:val="center"/>
          </w:tcPr>
          <w:p w:rsidR="00FF25F8" w:rsidRPr="00EC5F5A" w:rsidRDefault="00FF25F8" w:rsidP="00D21572">
            <w:pPr>
              <w:keepNext/>
              <w:spacing w:before="120" w:line="360" w:lineRule="auto"/>
              <w:jc w:val="center"/>
              <w:rPr>
                <w:rFonts w:ascii="Arial" w:hAnsi="Arial" w:cs="Arial"/>
                <w:sz w:val="20"/>
                <w:szCs w:val="20"/>
                <w:lang w:val="en-GB"/>
              </w:rPr>
            </w:pPr>
            <w:r>
              <w:rPr>
                <w:sz w:val="24"/>
              </w:rPr>
              <w:t>10</w:t>
            </w:r>
          </w:p>
        </w:tc>
      </w:tr>
    </w:tbl>
    <w:p w:rsidR="00563579" w:rsidRPr="00563579" w:rsidRDefault="00563579" w:rsidP="00563579">
      <w:pPr>
        <w:spacing w:after="0" w:line="360" w:lineRule="auto"/>
        <w:jc w:val="both"/>
        <w:rPr>
          <w:rFonts w:ascii="Arial" w:hAnsi="Arial" w:cs="Arial"/>
          <w:sz w:val="20"/>
          <w:szCs w:val="20"/>
          <w:lang w:val="en-GB"/>
        </w:rPr>
      </w:pPr>
      <w:r w:rsidRPr="00822486">
        <w:rPr>
          <w:rFonts w:ascii="Arial" w:hAnsi="Arial" w:cs="Arial"/>
          <w:b/>
          <w:sz w:val="20"/>
          <w:szCs w:val="20"/>
          <w:lang w:val="en-GB"/>
        </w:rPr>
        <w:t>Source</w:t>
      </w:r>
      <w:r w:rsidRPr="00563579">
        <w:rPr>
          <w:rFonts w:ascii="Arial" w:hAnsi="Arial" w:cs="Arial"/>
          <w:sz w:val="20"/>
          <w:szCs w:val="20"/>
          <w:lang w:val="en-GB"/>
        </w:rPr>
        <w:t>:</w:t>
      </w:r>
      <w:r w:rsidRPr="00822486">
        <w:rPr>
          <w:rFonts w:ascii="Arial" w:hAnsi="Arial" w:cs="Arial"/>
          <w:sz w:val="20"/>
          <w:szCs w:val="20"/>
          <w:lang w:val="en-GB"/>
        </w:rPr>
        <w:t xml:space="preserve"> </w:t>
      </w:r>
      <w:r>
        <w:rPr>
          <w:rFonts w:ascii="Arial" w:hAnsi="Arial" w:cs="Arial"/>
          <w:sz w:val="20"/>
          <w:szCs w:val="20"/>
          <w:lang w:val="en-GB"/>
        </w:rPr>
        <w:t xml:space="preserve">Experimental </w:t>
      </w:r>
      <w:r w:rsidRPr="00822486">
        <w:rPr>
          <w:rFonts w:ascii="Arial" w:hAnsi="Arial" w:cs="Arial"/>
          <w:sz w:val="20"/>
          <w:szCs w:val="20"/>
          <w:lang w:val="en-US"/>
        </w:rPr>
        <w:t>ArchIMEDe</w:t>
      </w:r>
      <w:r>
        <w:rPr>
          <w:rFonts w:ascii="Arial" w:hAnsi="Arial" w:cs="Arial"/>
          <w:sz w:val="20"/>
          <w:szCs w:val="20"/>
          <w:lang w:val="en-US"/>
        </w:rPr>
        <w:t xml:space="preserve"> data.</w:t>
      </w:r>
    </w:p>
    <w:p w:rsidR="000D312C" w:rsidRDefault="000D312C" w:rsidP="00DB4A86">
      <w:pPr>
        <w:spacing w:before="120" w:after="0" w:line="360" w:lineRule="auto"/>
        <w:jc w:val="both"/>
        <w:rPr>
          <w:rFonts w:ascii="Arial" w:hAnsi="Arial" w:cs="Arial"/>
          <w:sz w:val="24"/>
          <w:szCs w:val="24"/>
          <w:lang w:val="en-US"/>
        </w:rPr>
      </w:pPr>
    </w:p>
    <w:p w:rsidR="000D312C" w:rsidRPr="00EC5F5A" w:rsidRDefault="000D312C" w:rsidP="000D312C">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Pr>
          <w:rFonts w:ascii="Arial" w:hAnsi="Arial" w:cs="Arial"/>
          <w:b/>
          <w:sz w:val="24"/>
          <w:szCs w:val="24"/>
          <w:lang w:val="en-GB"/>
        </w:rPr>
        <w:t>Conclusions</w:t>
      </w:r>
    </w:p>
    <w:p w:rsidR="00E127A2" w:rsidRPr="0078194F" w:rsidRDefault="006521D5" w:rsidP="006521D5">
      <w:pPr>
        <w:spacing w:before="120" w:after="0" w:line="360" w:lineRule="auto"/>
        <w:jc w:val="both"/>
        <w:rPr>
          <w:rFonts w:ascii="Arial" w:hAnsi="Arial" w:cs="Arial"/>
          <w:sz w:val="24"/>
          <w:szCs w:val="24"/>
        </w:rPr>
      </w:pPr>
      <w:r w:rsidRPr="0078194F">
        <w:rPr>
          <w:rFonts w:ascii="Arial" w:hAnsi="Arial" w:cs="Arial"/>
          <w:sz w:val="24"/>
          <w:szCs w:val="24"/>
          <w:lang w:val="en-US"/>
        </w:rPr>
        <w:lastRenderedPageBreak/>
        <w:t xml:space="preserve">Generally speaking, </w:t>
      </w:r>
      <w:r w:rsidR="00145167">
        <w:rPr>
          <w:rFonts w:ascii="Arial" w:hAnsi="Arial" w:cs="Arial"/>
          <w:sz w:val="24"/>
          <w:szCs w:val="24"/>
          <w:lang w:val="en-US"/>
        </w:rPr>
        <w:t>q</w:t>
      </w:r>
      <w:r w:rsidR="00145167" w:rsidRPr="0078194F">
        <w:rPr>
          <w:rFonts w:ascii="Arial" w:hAnsi="Arial" w:cs="Arial"/>
          <w:sz w:val="24"/>
          <w:szCs w:val="24"/>
          <w:lang w:val="en-US"/>
        </w:rPr>
        <w:t xml:space="preserve">uality </w:t>
      </w:r>
      <w:r w:rsidR="0078194F">
        <w:rPr>
          <w:rFonts w:ascii="Arial" w:hAnsi="Arial" w:cs="Arial"/>
          <w:sz w:val="24"/>
          <w:szCs w:val="24"/>
          <w:lang w:val="en-US"/>
        </w:rPr>
        <w:t>is</w:t>
      </w:r>
      <w:r>
        <w:rPr>
          <w:rFonts w:ascii="Arial" w:hAnsi="Arial" w:cs="Arial"/>
          <w:sz w:val="24"/>
          <w:szCs w:val="24"/>
          <w:lang w:val="en-US"/>
        </w:rPr>
        <w:t xml:space="preserve"> defined as “</w:t>
      </w:r>
      <w:r w:rsidRPr="006521D5">
        <w:rPr>
          <w:rFonts w:ascii="Arial" w:hAnsi="Arial" w:cs="Arial"/>
          <w:sz w:val="24"/>
          <w:szCs w:val="24"/>
          <w:lang w:val="en-US"/>
        </w:rPr>
        <w:t>the totality of fe</w:t>
      </w:r>
      <w:r>
        <w:rPr>
          <w:rFonts w:ascii="Arial" w:hAnsi="Arial" w:cs="Arial"/>
          <w:sz w:val="24"/>
          <w:szCs w:val="24"/>
          <w:lang w:val="en-US"/>
        </w:rPr>
        <w:t xml:space="preserve">atures and characteristics of a </w:t>
      </w:r>
      <w:r w:rsidRPr="006521D5">
        <w:rPr>
          <w:rFonts w:ascii="Arial" w:hAnsi="Arial" w:cs="Arial"/>
          <w:sz w:val="24"/>
          <w:szCs w:val="24"/>
          <w:lang w:val="en-US"/>
        </w:rPr>
        <w:t xml:space="preserve">product or service that bear on its ability to satisfy stated or implied </w:t>
      </w:r>
      <w:r w:rsidRPr="00145167">
        <w:rPr>
          <w:rFonts w:ascii="Arial" w:hAnsi="Arial" w:cs="Arial"/>
          <w:sz w:val="24"/>
          <w:szCs w:val="24"/>
          <w:lang w:val="en-US"/>
        </w:rPr>
        <w:t>needs”</w:t>
      </w:r>
      <w:r w:rsidR="00803F64" w:rsidRPr="00145167">
        <w:rPr>
          <w:rFonts w:ascii="Arial" w:hAnsi="Arial" w:cs="Arial"/>
          <w:sz w:val="24"/>
          <w:szCs w:val="24"/>
          <w:lang w:val="en-US"/>
        </w:rPr>
        <w:t>(</w:t>
      </w:r>
      <w:r w:rsidR="006A7E71" w:rsidRPr="00145167">
        <w:rPr>
          <w:rFonts w:ascii="Arial" w:hAnsi="Arial" w:cs="Arial"/>
          <w:sz w:val="24"/>
          <w:szCs w:val="24"/>
          <w:lang w:val="en-US"/>
        </w:rPr>
        <w:t>Eurostat, 2003)</w:t>
      </w:r>
      <w:r w:rsidR="002567A6" w:rsidRPr="00145167">
        <w:rPr>
          <w:rFonts w:ascii="Arial" w:hAnsi="Arial" w:cs="Arial"/>
          <w:sz w:val="24"/>
          <w:szCs w:val="24"/>
          <w:lang w:val="en-US"/>
        </w:rPr>
        <w:t>. Referring</w:t>
      </w:r>
      <w:r w:rsidR="002567A6">
        <w:rPr>
          <w:rFonts w:ascii="Arial" w:hAnsi="Arial" w:cs="Arial"/>
          <w:sz w:val="24"/>
          <w:szCs w:val="24"/>
          <w:lang w:val="en-US"/>
        </w:rPr>
        <w:t xml:space="preserve"> to official stat</w:t>
      </w:r>
      <w:r w:rsidR="0078194F">
        <w:rPr>
          <w:rFonts w:ascii="Arial" w:hAnsi="Arial" w:cs="Arial"/>
          <w:sz w:val="24"/>
          <w:szCs w:val="24"/>
          <w:lang w:val="en-US"/>
        </w:rPr>
        <w:t>i</w:t>
      </w:r>
      <w:r w:rsidR="002567A6">
        <w:rPr>
          <w:rFonts w:ascii="Arial" w:hAnsi="Arial" w:cs="Arial"/>
          <w:sz w:val="24"/>
          <w:szCs w:val="24"/>
          <w:lang w:val="en-US"/>
        </w:rPr>
        <w:t xml:space="preserve">stics, Eurostat defines 6 criteria to ‘measure’ quality: </w:t>
      </w:r>
      <w:r w:rsidR="0078051B" w:rsidRPr="0078051B">
        <w:rPr>
          <w:rFonts w:ascii="Arial" w:hAnsi="Arial" w:cs="Arial"/>
          <w:sz w:val="24"/>
          <w:szCs w:val="24"/>
          <w:lang w:val="en-US"/>
        </w:rPr>
        <w:t>relevance; accuracy; timeliness and punctuality; accessibility and clarity;</w:t>
      </w:r>
      <w:r w:rsidR="0078194F">
        <w:rPr>
          <w:rFonts w:ascii="Arial" w:hAnsi="Arial" w:cs="Arial"/>
          <w:sz w:val="24"/>
          <w:szCs w:val="24"/>
          <w:lang w:val="en-US"/>
        </w:rPr>
        <w:t xml:space="preserve"> </w:t>
      </w:r>
      <w:r w:rsidR="0078051B" w:rsidRPr="0078051B">
        <w:rPr>
          <w:rFonts w:ascii="Arial" w:hAnsi="Arial" w:cs="Arial"/>
          <w:sz w:val="24"/>
          <w:szCs w:val="24"/>
          <w:lang w:val="en-US"/>
        </w:rPr>
        <w:t>comparability and coherence</w:t>
      </w:r>
      <w:r w:rsidR="0078194F">
        <w:rPr>
          <w:rFonts w:ascii="Arial" w:hAnsi="Arial" w:cs="Arial"/>
          <w:sz w:val="24"/>
          <w:szCs w:val="24"/>
          <w:lang w:val="en-US"/>
        </w:rPr>
        <w:t>.</w:t>
      </w:r>
      <w:r w:rsidR="001D40CD">
        <w:rPr>
          <w:rFonts w:ascii="Arial" w:hAnsi="Arial" w:cs="Arial"/>
          <w:sz w:val="24"/>
          <w:szCs w:val="24"/>
          <w:lang w:val="en-US"/>
        </w:rPr>
        <w:t xml:space="preserve"> “</w:t>
      </w:r>
      <w:r w:rsidR="001D40CD" w:rsidRPr="001D40CD">
        <w:rPr>
          <w:rFonts w:ascii="Arial" w:hAnsi="Arial" w:cs="Arial"/>
          <w:sz w:val="24"/>
          <w:szCs w:val="24"/>
          <w:lang w:val="en-US"/>
        </w:rPr>
        <w:t>Data quality is the perception of data's fitness to serve its purpose in a given context.</w:t>
      </w:r>
      <w:r w:rsidR="001D40CD">
        <w:rPr>
          <w:rFonts w:ascii="Arial" w:hAnsi="Arial" w:cs="Arial"/>
          <w:sz w:val="24"/>
          <w:szCs w:val="24"/>
          <w:lang w:val="en-US"/>
        </w:rPr>
        <w:t>”</w:t>
      </w:r>
      <w:r w:rsidR="001B2487">
        <w:rPr>
          <w:rFonts w:ascii="Arial" w:hAnsi="Arial" w:cs="Arial"/>
          <w:sz w:val="24"/>
          <w:szCs w:val="24"/>
          <w:lang w:val="en-US"/>
        </w:rPr>
        <w:t xml:space="preserve"> (</w:t>
      </w:r>
      <w:r w:rsidR="001B2487">
        <w:rPr>
          <w:rFonts w:ascii="Arial" w:hAnsi="Arial" w:cs="Arial"/>
          <w:sz w:val="24"/>
          <w:szCs w:val="24"/>
        </w:rPr>
        <w:t xml:space="preserve">Rothbard A., </w:t>
      </w:r>
      <w:r w:rsidR="001B2487" w:rsidRPr="001B02E8">
        <w:rPr>
          <w:rFonts w:ascii="Arial" w:hAnsi="Arial" w:cs="Arial"/>
          <w:sz w:val="24"/>
          <w:szCs w:val="24"/>
        </w:rPr>
        <w:t xml:space="preserve">2015) </w:t>
      </w:r>
      <w:r w:rsidR="001D40CD">
        <w:rPr>
          <w:rFonts w:ascii="Arial" w:hAnsi="Arial" w:cs="Arial"/>
          <w:sz w:val="24"/>
          <w:szCs w:val="24"/>
          <w:lang w:val="en-US"/>
        </w:rPr>
        <w:t xml:space="preserve"> </w:t>
      </w:r>
    </w:p>
    <w:p w:rsidR="007F31FC" w:rsidRPr="001B0368" w:rsidRDefault="00145167" w:rsidP="00E127A2">
      <w:pPr>
        <w:spacing w:before="120" w:after="0" w:line="360" w:lineRule="auto"/>
        <w:jc w:val="both"/>
        <w:rPr>
          <w:rFonts w:ascii="Arial" w:hAnsi="Arial" w:cs="Arial"/>
          <w:sz w:val="24"/>
          <w:szCs w:val="24"/>
          <w:lang w:val="en-US"/>
        </w:rPr>
      </w:pPr>
      <w:r w:rsidRPr="00AC586B">
        <w:rPr>
          <w:rFonts w:ascii="Arial" w:hAnsi="Arial" w:cs="Arial"/>
          <w:sz w:val="24"/>
          <w:szCs w:val="24"/>
          <w:lang w:val="en-US"/>
        </w:rPr>
        <w:t xml:space="preserve">Knowledge </w:t>
      </w:r>
      <w:r w:rsidR="00E127A2" w:rsidRPr="00AC586B">
        <w:rPr>
          <w:rFonts w:ascii="Arial" w:hAnsi="Arial" w:cs="Arial"/>
          <w:sz w:val="24"/>
          <w:szCs w:val="24"/>
          <w:lang w:val="en-US"/>
        </w:rPr>
        <w:t xml:space="preserve">of the territory </w:t>
      </w:r>
      <w:r w:rsidRPr="00AC586B">
        <w:rPr>
          <w:rFonts w:ascii="Arial" w:hAnsi="Arial" w:cs="Arial"/>
          <w:sz w:val="24"/>
          <w:szCs w:val="24"/>
          <w:lang w:val="en-US"/>
        </w:rPr>
        <w:t xml:space="preserve">and, above all, clarity </w:t>
      </w:r>
      <w:r w:rsidR="00E127A2" w:rsidRPr="00AC586B">
        <w:rPr>
          <w:rFonts w:ascii="Arial" w:hAnsi="Arial" w:cs="Arial"/>
          <w:sz w:val="24"/>
          <w:szCs w:val="24"/>
          <w:lang w:val="en-US"/>
        </w:rPr>
        <w:t>(Eurostat, 2003) -</w:t>
      </w:r>
      <w:r w:rsidR="00E10E88" w:rsidRPr="00AC586B">
        <w:rPr>
          <w:rFonts w:ascii="Arial" w:hAnsi="Arial" w:cs="Arial"/>
          <w:sz w:val="24"/>
          <w:szCs w:val="24"/>
          <w:lang w:val="en-US"/>
        </w:rPr>
        <w:t xml:space="preserve"> </w:t>
      </w:r>
      <w:r w:rsidR="00E127A2" w:rsidRPr="00AC586B">
        <w:rPr>
          <w:rFonts w:ascii="Arial" w:hAnsi="Arial" w:cs="Arial"/>
          <w:sz w:val="24"/>
          <w:szCs w:val="24"/>
          <w:lang w:val="en-US"/>
        </w:rPr>
        <w:t>that refers to the data’s information environment whether data are accompanied with appropriate metadata</w:t>
      </w:r>
      <w:r w:rsidR="00E10E88" w:rsidRPr="00AC586B">
        <w:rPr>
          <w:rFonts w:ascii="Arial" w:hAnsi="Arial" w:cs="Arial"/>
          <w:sz w:val="24"/>
          <w:szCs w:val="24"/>
          <w:lang w:val="en-US"/>
        </w:rPr>
        <w:t xml:space="preserve"> </w:t>
      </w:r>
      <w:r w:rsidR="00E127A2" w:rsidRPr="00AC586B">
        <w:rPr>
          <w:rFonts w:ascii="Arial" w:hAnsi="Arial" w:cs="Arial"/>
          <w:sz w:val="24"/>
          <w:szCs w:val="24"/>
          <w:lang w:val="en-US"/>
        </w:rPr>
        <w:t>-</w:t>
      </w:r>
      <w:r w:rsidR="007F31FC" w:rsidRPr="00AC586B">
        <w:rPr>
          <w:rFonts w:ascii="Arial" w:hAnsi="Arial" w:cs="Arial"/>
          <w:sz w:val="24"/>
          <w:szCs w:val="24"/>
          <w:lang w:val="en-US"/>
        </w:rPr>
        <w:t xml:space="preserve"> can be useful for the improvement of processes and methods of construction of secondary databases </w:t>
      </w:r>
      <w:r w:rsidR="00E127A2" w:rsidRPr="00AC586B">
        <w:rPr>
          <w:rFonts w:ascii="Arial" w:hAnsi="Arial" w:cs="Arial"/>
          <w:sz w:val="24"/>
          <w:szCs w:val="24"/>
          <w:lang w:val="en-US"/>
        </w:rPr>
        <w:t xml:space="preserve">of administrative data </w:t>
      </w:r>
      <w:r w:rsidR="007F31FC" w:rsidRPr="00AC586B">
        <w:rPr>
          <w:rFonts w:ascii="Arial" w:hAnsi="Arial" w:cs="Arial"/>
          <w:sz w:val="24"/>
          <w:szCs w:val="24"/>
          <w:lang w:val="en-US"/>
        </w:rPr>
        <w:t>aimed at the statistical exploitation</w:t>
      </w:r>
      <w:r w:rsidR="007F31FC" w:rsidRPr="001B0368">
        <w:rPr>
          <w:rFonts w:ascii="Arial" w:hAnsi="Arial" w:cs="Arial"/>
          <w:sz w:val="24"/>
          <w:szCs w:val="24"/>
          <w:lang w:val="en-US"/>
        </w:rPr>
        <w:t>. For example, for the</w:t>
      </w:r>
      <w:r w:rsidR="001A1D8F" w:rsidRPr="001B0368">
        <w:rPr>
          <w:rFonts w:ascii="Arial" w:hAnsi="Arial" w:cs="Arial"/>
          <w:sz w:val="24"/>
          <w:szCs w:val="24"/>
          <w:lang w:val="en-US"/>
        </w:rPr>
        <w:t xml:space="preserve"> information gap in </w:t>
      </w:r>
      <w:r w:rsidR="008B2CF6">
        <w:rPr>
          <w:rFonts w:ascii="Arial" w:hAnsi="Arial" w:cs="Arial"/>
          <w:sz w:val="24"/>
          <w:szCs w:val="24"/>
          <w:lang w:val="en-US"/>
        </w:rPr>
        <w:t>Insubria</w:t>
      </w:r>
      <w:r w:rsidR="001A1D8F" w:rsidRPr="001B0368">
        <w:rPr>
          <w:rFonts w:ascii="Arial" w:hAnsi="Arial" w:cs="Arial"/>
          <w:sz w:val="24"/>
          <w:szCs w:val="24"/>
          <w:lang w:val="en-US"/>
        </w:rPr>
        <w:t xml:space="preserve"> - </w:t>
      </w:r>
      <w:r w:rsidR="006A7E71" w:rsidRPr="001B0368">
        <w:rPr>
          <w:rFonts w:ascii="Arial" w:hAnsi="Arial" w:cs="Arial"/>
          <w:sz w:val="24"/>
          <w:szCs w:val="24"/>
          <w:lang w:val="en-US"/>
        </w:rPr>
        <w:t>due to legislation</w:t>
      </w:r>
      <w:r w:rsidR="00E10E88" w:rsidRPr="001B0368">
        <w:rPr>
          <w:rFonts w:ascii="Arial" w:hAnsi="Arial" w:cs="Arial"/>
          <w:sz w:val="24"/>
          <w:szCs w:val="24"/>
          <w:lang w:val="en-US"/>
        </w:rPr>
        <w:t xml:space="preserve"> -</w:t>
      </w:r>
      <w:r w:rsidR="007F31FC" w:rsidRPr="001B0368">
        <w:rPr>
          <w:rFonts w:ascii="Arial" w:hAnsi="Arial" w:cs="Arial"/>
          <w:sz w:val="24"/>
          <w:szCs w:val="24"/>
          <w:lang w:val="en-US"/>
        </w:rPr>
        <w:t xml:space="preserve">the solutions of perspective </w:t>
      </w:r>
      <w:r w:rsidR="00E127A2" w:rsidRPr="001B0368">
        <w:rPr>
          <w:rFonts w:ascii="Arial" w:hAnsi="Arial" w:cs="Arial"/>
          <w:sz w:val="24"/>
          <w:szCs w:val="24"/>
          <w:lang w:val="en-US"/>
        </w:rPr>
        <w:t xml:space="preserve">can be </w:t>
      </w:r>
      <w:r w:rsidR="007F31FC" w:rsidRPr="001B0368">
        <w:rPr>
          <w:rFonts w:ascii="Arial" w:hAnsi="Arial" w:cs="Arial"/>
          <w:sz w:val="24"/>
          <w:szCs w:val="24"/>
          <w:lang w:val="en-US"/>
        </w:rPr>
        <w:t>both methodological and institutional. (e.g. Italy-Switzerland projects. See the INTERREG Project "The labour market of the cross-border insubrious area. Integrated Statistical Yearbook", Year 2006).</w:t>
      </w:r>
    </w:p>
    <w:p w:rsidR="00AC586B" w:rsidRPr="003F0A5D" w:rsidRDefault="00AC586B" w:rsidP="00E127A2">
      <w:pPr>
        <w:spacing w:before="120" w:after="0" w:line="360" w:lineRule="auto"/>
        <w:jc w:val="both"/>
        <w:rPr>
          <w:rFonts w:ascii="Arial" w:hAnsi="Arial" w:cs="Arial"/>
          <w:sz w:val="24"/>
          <w:szCs w:val="24"/>
          <w:lang w:val="en-US"/>
        </w:rPr>
      </w:pPr>
      <w:r>
        <w:rPr>
          <w:rFonts w:ascii="Arial" w:hAnsi="Arial" w:cs="Arial"/>
          <w:sz w:val="24"/>
          <w:szCs w:val="24"/>
          <w:lang w:val="en-US"/>
        </w:rPr>
        <w:t>So</w:t>
      </w:r>
      <w:r w:rsidRPr="00AC586B">
        <w:rPr>
          <w:rFonts w:ascii="Arial" w:hAnsi="Arial" w:cs="Arial"/>
          <w:sz w:val="24"/>
          <w:szCs w:val="24"/>
          <w:lang w:val="en-US"/>
        </w:rPr>
        <w:t xml:space="preserve">, while waiting for specific information gaps to be filled </w:t>
      </w:r>
      <w:r>
        <w:rPr>
          <w:rFonts w:ascii="Arial" w:hAnsi="Arial" w:cs="Arial"/>
          <w:sz w:val="24"/>
          <w:szCs w:val="24"/>
          <w:lang w:val="en-US"/>
        </w:rPr>
        <w:t>regarding</w:t>
      </w:r>
      <w:r w:rsidRPr="00AC586B">
        <w:rPr>
          <w:rFonts w:ascii="Arial" w:hAnsi="Arial" w:cs="Arial"/>
          <w:sz w:val="24"/>
          <w:szCs w:val="24"/>
          <w:lang w:val="en-US"/>
        </w:rPr>
        <w:t xml:space="preserve"> Accuracy of the </w:t>
      </w:r>
      <w:r w:rsidRPr="003F0A5D">
        <w:rPr>
          <w:rFonts w:ascii="Arial" w:hAnsi="Arial" w:cs="Arial"/>
          <w:sz w:val="24"/>
          <w:szCs w:val="24"/>
          <w:lang w:val="en-US"/>
        </w:rPr>
        <w:t>registries (Eurostat, 2003), it is necessary to exclude from the analyses data sets not denoting the closeness of computations to the exact or true values</w:t>
      </w:r>
    </w:p>
    <w:p w:rsidR="00C55DD2" w:rsidRPr="003F0A5D" w:rsidRDefault="007F31FC" w:rsidP="007F31FC">
      <w:pPr>
        <w:spacing w:before="120" w:after="0" w:line="360" w:lineRule="auto"/>
        <w:jc w:val="both"/>
        <w:rPr>
          <w:rFonts w:ascii="Arial" w:hAnsi="Arial" w:cs="Arial"/>
          <w:sz w:val="24"/>
          <w:szCs w:val="24"/>
          <w:lang w:val="en-US"/>
        </w:rPr>
      </w:pPr>
      <w:r w:rsidRPr="003F0A5D">
        <w:rPr>
          <w:rFonts w:ascii="Arial" w:hAnsi="Arial" w:cs="Arial"/>
          <w:sz w:val="24"/>
          <w:szCs w:val="24"/>
          <w:lang w:val="en-US"/>
        </w:rPr>
        <w:t xml:space="preserve">Moving from the conceptual framework of the survey to that of register-based statistics, in addition to the </w:t>
      </w:r>
      <w:r w:rsidR="00544F45" w:rsidRPr="003F0A5D">
        <w:rPr>
          <w:rFonts w:ascii="Arial" w:hAnsi="Arial" w:cs="Arial"/>
          <w:sz w:val="24"/>
          <w:szCs w:val="24"/>
          <w:lang w:val="en-US"/>
        </w:rPr>
        <w:t xml:space="preserve">well </w:t>
      </w:r>
      <w:r w:rsidRPr="003F0A5D">
        <w:rPr>
          <w:rFonts w:ascii="Arial" w:hAnsi="Arial" w:cs="Arial"/>
          <w:sz w:val="24"/>
          <w:szCs w:val="24"/>
          <w:lang w:val="en-US"/>
        </w:rPr>
        <w:t xml:space="preserve">known </w:t>
      </w:r>
      <w:r w:rsidR="00544F45" w:rsidRPr="003F0A5D">
        <w:rPr>
          <w:rFonts w:ascii="Arial" w:hAnsi="Arial" w:cs="Arial"/>
          <w:sz w:val="24"/>
          <w:szCs w:val="24"/>
          <w:lang w:val="en-US"/>
        </w:rPr>
        <w:t>weakness</w:t>
      </w:r>
      <w:r w:rsidR="00E127A2" w:rsidRPr="003F0A5D">
        <w:rPr>
          <w:rFonts w:ascii="Arial" w:hAnsi="Arial" w:cs="Arial"/>
          <w:sz w:val="24"/>
          <w:szCs w:val="24"/>
          <w:lang w:val="en-US"/>
        </w:rPr>
        <w:t xml:space="preserve"> </w:t>
      </w:r>
      <w:r w:rsidR="00544F45" w:rsidRPr="003F0A5D">
        <w:rPr>
          <w:rFonts w:ascii="Arial" w:hAnsi="Arial" w:cs="Arial"/>
          <w:sz w:val="24"/>
          <w:szCs w:val="24"/>
          <w:lang w:val="en-US"/>
        </w:rPr>
        <w:t xml:space="preserve">in </w:t>
      </w:r>
      <w:r w:rsidRPr="003F0A5D">
        <w:rPr>
          <w:rFonts w:ascii="Arial" w:hAnsi="Arial" w:cs="Arial"/>
          <w:sz w:val="24"/>
          <w:szCs w:val="24"/>
          <w:lang w:val="en-US"/>
        </w:rPr>
        <w:t>integration of secondary data, systematic errors</w:t>
      </w:r>
      <w:r w:rsidR="006A7E71" w:rsidRPr="003F0A5D">
        <w:rPr>
          <w:rFonts w:ascii="Arial" w:hAnsi="Arial" w:cs="Arial"/>
          <w:sz w:val="24"/>
          <w:szCs w:val="24"/>
          <w:lang w:val="en-US"/>
        </w:rPr>
        <w:t>,</w:t>
      </w:r>
      <w:r w:rsidRPr="003F0A5D">
        <w:rPr>
          <w:rFonts w:ascii="Arial" w:hAnsi="Arial" w:cs="Arial"/>
          <w:sz w:val="24"/>
          <w:szCs w:val="24"/>
          <w:lang w:val="en-US"/>
        </w:rPr>
        <w:t>should also be considered issues related to operational definitions</w:t>
      </w:r>
      <w:r w:rsidR="006A7E71" w:rsidRPr="003F0A5D">
        <w:rPr>
          <w:rFonts w:ascii="Arial" w:hAnsi="Arial" w:cs="Arial"/>
          <w:sz w:val="24"/>
          <w:szCs w:val="24"/>
          <w:lang w:val="en-US"/>
        </w:rPr>
        <w:t xml:space="preserve">. </w:t>
      </w:r>
      <w:r w:rsidR="00C55DD2" w:rsidRPr="003F0A5D">
        <w:rPr>
          <w:rFonts w:ascii="Arial" w:hAnsi="Arial" w:cs="Arial"/>
          <w:sz w:val="24"/>
          <w:szCs w:val="24"/>
          <w:lang w:val="en-US"/>
        </w:rPr>
        <w:t>For istance, being not possible to build register about presence of population, shoul</w:t>
      </w:r>
      <w:r w:rsidR="00230B7C" w:rsidRPr="003F0A5D">
        <w:rPr>
          <w:rFonts w:ascii="Arial" w:hAnsi="Arial" w:cs="Arial"/>
          <w:sz w:val="24"/>
          <w:szCs w:val="24"/>
          <w:lang w:val="en-US"/>
        </w:rPr>
        <w:t>d</w:t>
      </w:r>
      <w:r w:rsidR="00C55DD2" w:rsidRPr="003F0A5D">
        <w:rPr>
          <w:rFonts w:ascii="Arial" w:hAnsi="Arial" w:cs="Arial"/>
          <w:sz w:val="24"/>
          <w:szCs w:val="24"/>
          <w:lang w:val="en-US"/>
        </w:rPr>
        <w:t xml:space="preserve"> become necessary to prepare new definitions (i.e. </w:t>
      </w:r>
      <w:r w:rsidR="005851F0" w:rsidRPr="003F0A5D">
        <w:rPr>
          <w:rFonts w:ascii="Arial" w:hAnsi="Arial" w:cs="Arial"/>
          <w:sz w:val="24"/>
          <w:szCs w:val="24"/>
          <w:lang w:val="en-US"/>
        </w:rPr>
        <w:t xml:space="preserve">resident and </w:t>
      </w:r>
      <w:r w:rsidR="00C55DD2" w:rsidRPr="003F0A5D">
        <w:rPr>
          <w:rFonts w:ascii="Arial" w:hAnsi="Arial" w:cs="Arial"/>
          <w:sz w:val="24"/>
          <w:szCs w:val="24"/>
          <w:lang w:val="en-US"/>
        </w:rPr>
        <w:t xml:space="preserve">actively </w:t>
      </w:r>
      <w:r w:rsidR="005851F0" w:rsidRPr="003F0A5D">
        <w:rPr>
          <w:rFonts w:ascii="Arial" w:hAnsi="Arial" w:cs="Arial"/>
          <w:sz w:val="24"/>
          <w:szCs w:val="24"/>
          <w:lang w:val="en-US"/>
        </w:rPr>
        <w:t xml:space="preserve">population </w:t>
      </w:r>
      <w:r w:rsidR="00C55DD2" w:rsidRPr="003F0A5D">
        <w:rPr>
          <w:rFonts w:ascii="Arial" w:hAnsi="Arial" w:cs="Arial"/>
          <w:sz w:val="24"/>
          <w:szCs w:val="24"/>
          <w:lang w:val="en-US"/>
        </w:rPr>
        <w:t>present for work or study reasons).</w:t>
      </w:r>
    </w:p>
    <w:p w:rsidR="004F03BD" w:rsidRPr="007F31FC" w:rsidRDefault="007F31FC" w:rsidP="006A7E71">
      <w:pPr>
        <w:spacing w:before="120" w:after="0" w:line="360" w:lineRule="auto"/>
        <w:jc w:val="both"/>
        <w:rPr>
          <w:rFonts w:ascii="Arial" w:hAnsi="Arial" w:cs="Arial"/>
          <w:sz w:val="24"/>
          <w:szCs w:val="24"/>
          <w:lang w:val="en-US"/>
        </w:rPr>
      </w:pPr>
      <w:r w:rsidRPr="003F0A5D">
        <w:rPr>
          <w:rFonts w:ascii="Arial" w:hAnsi="Arial" w:cs="Arial"/>
          <w:sz w:val="24"/>
          <w:szCs w:val="24"/>
          <w:lang w:val="en-US"/>
        </w:rPr>
        <w:t xml:space="preserve">These weaknesses, which can be overcome as experimentation grows, are counterbalanced by </w:t>
      </w:r>
      <w:r w:rsidR="00CF73D7" w:rsidRPr="003F0A5D">
        <w:rPr>
          <w:rFonts w:ascii="Arial" w:hAnsi="Arial" w:cs="Arial"/>
          <w:sz w:val="24"/>
          <w:szCs w:val="24"/>
          <w:lang w:val="en-US"/>
        </w:rPr>
        <w:t>r</w:t>
      </w:r>
      <w:r w:rsidR="006A7E71" w:rsidRPr="003F0A5D">
        <w:rPr>
          <w:rFonts w:ascii="Arial" w:hAnsi="Arial" w:cs="Arial"/>
          <w:sz w:val="24"/>
          <w:szCs w:val="24"/>
          <w:lang w:val="en-US"/>
        </w:rPr>
        <w:t>elevance</w:t>
      </w:r>
      <w:r w:rsidR="00CF73D7" w:rsidRPr="003F0A5D">
        <w:rPr>
          <w:rFonts w:ascii="Arial" w:hAnsi="Arial" w:cs="Arial"/>
          <w:sz w:val="24"/>
          <w:szCs w:val="24"/>
          <w:lang w:val="en-US"/>
        </w:rPr>
        <w:t xml:space="preserve"> (Eurostat, 2003)</w:t>
      </w:r>
      <w:r w:rsidR="006A7E71" w:rsidRPr="003F0A5D">
        <w:rPr>
          <w:rFonts w:ascii="Arial" w:hAnsi="Arial" w:cs="Arial"/>
          <w:sz w:val="24"/>
          <w:szCs w:val="24"/>
          <w:lang w:val="en-US"/>
        </w:rPr>
        <w:t xml:space="preserve">. </w:t>
      </w:r>
      <w:r w:rsidR="00DF4A0D" w:rsidRPr="003F0A5D">
        <w:rPr>
          <w:rFonts w:ascii="Arial" w:hAnsi="Arial" w:cs="Arial"/>
          <w:sz w:val="24"/>
          <w:szCs w:val="24"/>
          <w:lang w:val="en-US"/>
        </w:rPr>
        <w:t xml:space="preserve">Register based statistics can reach an high quality level in meeting </w:t>
      </w:r>
      <w:r w:rsidR="006A7E71" w:rsidRPr="003F0A5D">
        <w:rPr>
          <w:rFonts w:ascii="Arial" w:hAnsi="Arial" w:cs="Arial"/>
          <w:sz w:val="24"/>
          <w:szCs w:val="24"/>
          <w:lang w:val="en-US"/>
        </w:rPr>
        <w:t xml:space="preserve">current and potential users’ needs. </w:t>
      </w:r>
      <w:r w:rsidR="00DF4A0D" w:rsidRPr="003F0A5D">
        <w:rPr>
          <w:rFonts w:ascii="Arial" w:hAnsi="Arial" w:cs="Arial"/>
          <w:sz w:val="24"/>
          <w:szCs w:val="24"/>
          <w:lang w:val="en-US"/>
        </w:rPr>
        <w:t>Namely</w:t>
      </w:r>
      <w:r w:rsidR="006A7E71" w:rsidRPr="003F0A5D">
        <w:rPr>
          <w:rFonts w:ascii="Arial" w:hAnsi="Arial" w:cs="Arial"/>
          <w:sz w:val="24"/>
          <w:szCs w:val="24"/>
          <w:lang w:val="en-US"/>
        </w:rPr>
        <w:t xml:space="preserve">, </w:t>
      </w:r>
      <w:r w:rsidRPr="003F0A5D">
        <w:rPr>
          <w:rFonts w:ascii="Arial" w:hAnsi="Arial" w:cs="Arial"/>
          <w:sz w:val="24"/>
          <w:szCs w:val="24"/>
          <w:lang w:val="en-US"/>
        </w:rPr>
        <w:t xml:space="preserve">the </w:t>
      </w:r>
      <w:r w:rsidR="00DF4A0D" w:rsidRPr="003F0A5D">
        <w:rPr>
          <w:rFonts w:ascii="Arial" w:hAnsi="Arial" w:cs="Arial"/>
          <w:sz w:val="24"/>
          <w:szCs w:val="24"/>
          <w:lang w:val="en-US"/>
        </w:rPr>
        <w:t xml:space="preserve">chance </w:t>
      </w:r>
      <w:r w:rsidRPr="003F0A5D">
        <w:rPr>
          <w:rFonts w:ascii="Arial" w:hAnsi="Arial" w:cs="Arial"/>
          <w:sz w:val="24"/>
          <w:szCs w:val="24"/>
          <w:lang w:val="en-US"/>
        </w:rPr>
        <w:t xml:space="preserve">of carrying out analyses at a very </w:t>
      </w:r>
      <w:r w:rsidR="00DF4A0D" w:rsidRPr="003F0A5D">
        <w:rPr>
          <w:rFonts w:ascii="Arial" w:hAnsi="Arial" w:cs="Arial"/>
          <w:sz w:val="24"/>
          <w:szCs w:val="24"/>
          <w:lang w:val="en-US"/>
        </w:rPr>
        <w:t xml:space="preserve">‘small’ </w:t>
      </w:r>
      <w:r w:rsidRPr="003F0A5D">
        <w:rPr>
          <w:rFonts w:ascii="Arial" w:hAnsi="Arial" w:cs="Arial"/>
          <w:sz w:val="24"/>
          <w:szCs w:val="24"/>
          <w:lang w:val="en-US"/>
        </w:rPr>
        <w:t>territorial level</w:t>
      </w:r>
      <w:r w:rsidR="00DF4A0D" w:rsidRPr="003F0A5D">
        <w:rPr>
          <w:rFonts w:ascii="Arial" w:hAnsi="Arial" w:cs="Arial"/>
          <w:sz w:val="24"/>
          <w:szCs w:val="24"/>
          <w:lang w:val="en-US"/>
        </w:rPr>
        <w:t xml:space="preserve"> and </w:t>
      </w:r>
      <w:r w:rsidRPr="003F0A5D">
        <w:rPr>
          <w:rFonts w:ascii="Arial" w:hAnsi="Arial" w:cs="Arial"/>
          <w:sz w:val="24"/>
          <w:szCs w:val="24"/>
          <w:lang w:val="en-US"/>
        </w:rPr>
        <w:t>diversifying by sub-population</w:t>
      </w:r>
      <w:r w:rsidR="00DF4A0D" w:rsidRPr="003F0A5D">
        <w:rPr>
          <w:rFonts w:ascii="Arial" w:hAnsi="Arial" w:cs="Arial"/>
          <w:sz w:val="24"/>
          <w:szCs w:val="24"/>
          <w:lang w:val="en-US"/>
        </w:rPr>
        <w:t xml:space="preserve"> are</w:t>
      </w:r>
      <w:r w:rsidR="00230B7C" w:rsidRPr="003F0A5D">
        <w:rPr>
          <w:rFonts w:ascii="Arial" w:hAnsi="Arial" w:cs="Arial"/>
          <w:sz w:val="24"/>
          <w:szCs w:val="24"/>
          <w:lang w:val="en-US"/>
        </w:rPr>
        <w:t xml:space="preserve"> </w:t>
      </w:r>
      <w:r w:rsidRPr="003F0A5D">
        <w:rPr>
          <w:rFonts w:ascii="Arial" w:hAnsi="Arial" w:cs="Arial"/>
          <w:sz w:val="24"/>
          <w:szCs w:val="24"/>
          <w:lang w:val="en-US"/>
        </w:rPr>
        <w:t>precondition for defining targeted local policies</w:t>
      </w:r>
      <w:r w:rsidR="00DF4A0D" w:rsidRPr="003F0A5D">
        <w:rPr>
          <w:rFonts w:ascii="Arial" w:hAnsi="Arial" w:cs="Arial"/>
          <w:sz w:val="24"/>
          <w:szCs w:val="24"/>
          <w:lang w:val="en-US"/>
        </w:rPr>
        <w:t xml:space="preserve">, </w:t>
      </w:r>
      <w:r w:rsidRPr="003F0A5D">
        <w:rPr>
          <w:rFonts w:ascii="Arial" w:hAnsi="Arial" w:cs="Arial"/>
          <w:sz w:val="24"/>
          <w:szCs w:val="24"/>
          <w:lang w:val="en-US"/>
        </w:rPr>
        <w:t>tailored to users' needs</w:t>
      </w:r>
      <w:r w:rsidR="00DF4A0D" w:rsidRPr="003F0A5D">
        <w:rPr>
          <w:rFonts w:ascii="Arial" w:hAnsi="Arial" w:cs="Arial"/>
          <w:sz w:val="24"/>
          <w:szCs w:val="24"/>
          <w:lang w:val="en-US"/>
        </w:rPr>
        <w:t xml:space="preserve"> so more efficient and more effective.</w:t>
      </w:r>
      <w:r w:rsidRPr="003F0A5D">
        <w:rPr>
          <w:rFonts w:ascii="Arial" w:hAnsi="Arial" w:cs="Arial"/>
          <w:sz w:val="24"/>
          <w:szCs w:val="24"/>
          <w:lang w:val="en-US"/>
        </w:rPr>
        <w:t xml:space="preserve"> and are efficient and more effective.</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043B1D" w:rsidRDefault="00043B1D" w:rsidP="003202D1">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Ambroselli S. and Garofalo G. (2015), </w:t>
      </w:r>
      <w:r w:rsidRPr="00043B1D">
        <w:rPr>
          <w:rFonts w:ascii="Arial" w:hAnsi="Arial" w:cs="Arial"/>
          <w:sz w:val="24"/>
          <w:szCs w:val="24"/>
        </w:rPr>
        <w:t>Reversing the flow: from an integrated system of administrative microdata to an infrastructure for the users</w:t>
      </w:r>
      <w:r w:rsidR="00C96752">
        <w:rPr>
          <w:rFonts w:ascii="Arial" w:hAnsi="Arial" w:cs="Arial"/>
          <w:sz w:val="24"/>
          <w:szCs w:val="24"/>
        </w:rPr>
        <w:t>, NTTS 2015. Available at:</w:t>
      </w:r>
      <w:r w:rsidR="00C96752" w:rsidRPr="00C96752">
        <w:rPr>
          <w:rFonts w:ascii="Arial" w:hAnsi="Arial" w:cs="Arial"/>
          <w:sz w:val="24"/>
          <w:szCs w:val="24"/>
        </w:rPr>
        <w:t>https://ec.europa.eu/eurostat/cros/system/files/Ambroselli_etal_NTTS2015abstract_SIM_ARCHIMEDE_0.pdf</w:t>
      </w:r>
      <w:r w:rsidR="00C96752">
        <w:rPr>
          <w:rFonts w:ascii="Arial" w:hAnsi="Arial" w:cs="Arial"/>
          <w:sz w:val="24"/>
          <w:szCs w:val="24"/>
        </w:rPr>
        <w:t xml:space="preserve"> (Accessed 18 </w:t>
      </w:r>
      <w:r w:rsidR="007E0BC9">
        <w:rPr>
          <w:rFonts w:ascii="Arial" w:hAnsi="Arial" w:cs="Arial"/>
          <w:sz w:val="24"/>
          <w:szCs w:val="24"/>
        </w:rPr>
        <w:t>March</w:t>
      </w:r>
      <w:r w:rsidR="00C96752">
        <w:rPr>
          <w:rFonts w:ascii="Arial" w:hAnsi="Arial" w:cs="Arial"/>
          <w:sz w:val="24"/>
          <w:szCs w:val="24"/>
        </w:rPr>
        <w:t xml:space="preserve"> 2018)</w:t>
      </w:r>
      <w:r w:rsidR="0058296F">
        <w:rPr>
          <w:rFonts w:ascii="Arial" w:hAnsi="Arial" w:cs="Arial"/>
          <w:sz w:val="24"/>
          <w:szCs w:val="24"/>
        </w:rPr>
        <w:t>.</w:t>
      </w:r>
    </w:p>
    <w:p w:rsidR="003202D1" w:rsidRPr="001B02E8" w:rsidRDefault="003202D1" w:rsidP="003202D1">
      <w:pPr>
        <w:spacing w:before="120" w:after="0" w:line="360" w:lineRule="auto"/>
        <w:jc w:val="both"/>
        <w:rPr>
          <w:rFonts w:ascii="Arial" w:hAnsi="Arial" w:cs="Arial"/>
          <w:sz w:val="24"/>
          <w:szCs w:val="24"/>
          <w:lang w:val="en-GB"/>
        </w:rPr>
      </w:pPr>
      <w:r w:rsidRPr="001B02E8">
        <w:rPr>
          <w:rFonts w:ascii="Arial" w:hAnsi="Arial" w:cs="Arial"/>
          <w:sz w:val="24"/>
          <w:szCs w:val="24"/>
          <w:lang w:val="en-GB"/>
        </w:rPr>
        <w:t xml:space="preserve">Anselin, L., Syabri, I. and Kho, Y. (2006), GeoDa: An Introduction to Spatial Data Analysis. Geographical Analysis, 38, pp. 5–22. </w:t>
      </w:r>
    </w:p>
    <w:p w:rsidR="003202D1" w:rsidRDefault="003202D1" w:rsidP="008D4A76">
      <w:pPr>
        <w:spacing w:before="120" w:after="0" w:line="360" w:lineRule="auto"/>
        <w:jc w:val="both"/>
        <w:rPr>
          <w:rFonts w:ascii="Arial" w:hAnsi="Arial" w:cs="Arial"/>
          <w:sz w:val="24"/>
          <w:szCs w:val="24"/>
          <w:lang w:val="en-GB"/>
        </w:rPr>
      </w:pPr>
      <w:r w:rsidRPr="001B02E8">
        <w:rPr>
          <w:rFonts w:ascii="Arial" w:hAnsi="Arial" w:cs="Arial"/>
          <w:sz w:val="24"/>
          <w:szCs w:val="24"/>
          <w:lang w:val="en-GB"/>
        </w:rPr>
        <w:t>Anselin, L. (1995), Local Indicators of Spatial Association—LISA. Geographical Analysis, 27, pp. 93–115.</w:t>
      </w:r>
    </w:p>
    <w:p w:rsidR="008D4A76" w:rsidRDefault="008D4A76" w:rsidP="008D4A76">
      <w:pPr>
        <w:spacing w:before="120" w:after="0" w:line="360" w:lineRule="auto"/>
        <w:jc w:val="both"/>
        <w:rPr>
          <w:rFonts w:ascii="Arial" w:hAnsi="Arial" w:cs="Arial"/>
          <w:sz w:val="24"/>
          <w:szCs w:val="24"/>
        </w:rPr>
      </w:pPr>
      <w:r w:rsidRPr="001B02E8">
        <w:rPr>
          <w:rFonts w:ascii="Arial" w:hAnsi="Arial" w:cs="Arial"/>
          <w:sz w:val="24"/>
          <w:szCs w:val="24"/>
          <w:lang w:val="en-GB"/>
        </w:rPr>
        <w:t xml:space="preserve">Eurostat, Working Group </w:t>
      </w:r>
      <w:r>
        <w:rPr>
          <w:rFonts w:ascii="Arial" w:hAnsi="Arial" w:cs="Arial"/>
          <w:sz w:val="24"/>
          <w:szCs w:val="24"/>
          <w:lang w:val="en-GB"/>
        </w:rPr>
        <w:t>‘</w:t>
      </w:r>
      <w:r w:rsidRPr="001B02E8">
        <w:rPr>
          <w:rFonts w:ascii="Arial" w:hAnsi="Arial" w:cs="Arial"/>
          <w:sz w:val="24"/>
          <w:szCs w:val="24"/>
          <w:lang w:val="en-GB"/>
        </w:rPr>
        <w:t>Assessment of quality in statistics</w:t>
      </w:r>
      <w:r>
        <w:rPr>
          <w:rFonts w:ascii="Arial" w:hAnsi="Arial" w:cs="Arial"/>
          <w:sz w:val="24"/>
          <w:szCs w:val="24"/>
          <w:lang w:val="en-GB"/>
        </w:rPr>
        <w:t>’</w:t>
      </w:r>
      <w:r w:rsidRPr="001B02E8">
        <w:rPr>
          <w:rFonts w:ascii="Arial" w:hAnsi="Arial" w:cs="Arial"/>
          <w:sz w:val="24"/>
          <w:szCs w:val="24"/>
          <w:lang w:val="en-GB"/>
        </w:rPr>
        <w:t xml:space="preserve"> (2003), Definition of quality in statistics, Methodological documents, item 4:2,  Sixth meeting 2-3 October 2003,Luxembourg, </w:t>
      </w:r>
      <w:r w:rsidRPr="001B02E8">
        <w:rPr>
          <w:rFonts w:ascii="Arial" w:hAnsi="Arial" w:cs="Arial"/>
          <w:sz w:val="24"/>
          <w:szCs w:val="24"/>
        </w:rPr>
        <w:t>Available at</w:t>
      </w:r>
      <w:r>
        <w:rPr>
          <w:rFonts w:ascii="Arial" w:hAnsi="Arial" w:cs="Arial"/>
          <w:sz w:val="24"/>
          <w:szCs w:val="24"/>
        </w:rPr>
        <w:t xml:space="preserve">: </w:t>
      </w:r>
      <w:hyperlink r:id="rId20" w:history="1">
        <w:r w:rsidRPr="00FE3D80">
          <w:rPr>
            <w:rStyle w:val="Hipercze"/>
            <w:rFonts w:ascii="Arial" w:hAnsi="Arial" w:cs="Arial"/>
            <w:sz w:val="24"/>
            <w:szCs w:val="24"/>
          </w:rPr>
          <w:t>http://ec.europa.eu/eurostat/documents/64157/4373735/02-ESS-quality-definition.pdf</w:t>
        </w:r>
      </w:hyperlink>
      <w:r w:rsidR="00725978">
        <w:rPr>
          <w:rFonts w:ascii="Arial" w:hAnsi="Arial" w:cs="Arial"/>
          <w:sz w:val="24"/>
          <w:szCs w:val="24"/>
        </w:rPr>
        <w:t xml:space="preserve"> (Accessed 19 may 2018)</w:t>
      </w:r>
      <w:r w:rsidR="0058296F">
        <w:rPr>
          <w:rFonts w:ascii="Arial" w:hAnsi="Arial" w:cs="Arial"/>
          <w:sz w:val="24"/>
          <w:szCs w:val="24"/>
        </w:rPr>
        <w:t>.</w:t>
      </w:r>
    </w:p>
    <w:p w:rsidR="008D4A76" w:rsidRPr="003202D1" w:rsidRDefault="003202D1" w:rsidP="008D4A76">
      <w:pPr>
        <w:spacing w:before="120" w:after="0" w:line="360" w:lineRule="auto"/>
        <w:jc w:val="both"/>
        <w:rPr>
          <w:rFonts w:ascii="Arial" w:hAnsi="Arial" w:cs="Arial"/>
          <w:sz w:val="24"/>
          <w:szCs w:val="24"/>
          <w:lang w:val="it-IT"/>
        </w:rPr>
      </w:pPr>
      <w:r w:rsidRPr="007F1405">
        <w:rPr>
          <w:rFonts w:ascii="Arial" w:hAnsi="Arial" w:cs="Arial"/>
          <w:sz w:val="24"/>
          <w:szCs w:val="24"/>
          <w:lang w:val="it-IT"/>
        </w:rPr>
        <w:t>Garofalo G. (2014) Il Progetto ARCHIMEDE obiettivi e risultati sperimentali, Istat Working Paper, N.9</w:t>
      </w:r>
      <w:r w:rsidR="0058296F">
        <w:rPr>
          <w:rFonts w:ascii="Arial" w:hAnsi="Arial" w:cs="Arial"/>
          <w:sz w:val="24"/>
          <w:szCs w:val="24"/>
          <w:lang w:val="it-IT"/>
        </w:rPr>
        <w:t>.</w:t>
      </w:r>
    </w:p>
    <w:p w:rsidR="008D4A76" w:rsidRPr="001B02E8" w:rsidRDefault="008D4A76" w:rsidP="008D4A76">
      <w:pPr>
        <w:spacing w:before="120" w:after="0" w:line="360" w:lineRule="auto"/>
        <w:jc w:val="both"/>
        <w:rPr>
          <w:rFonts w:ascii="Arial" w:hAnsi="Arial" w:cs="Arial"/>
          <w:sz w:val="24"/>
          <w:szCs w:val="24"/>
        </w:rPr>
      </w:pPr>
      <w:r w:rsidRPr="001B02E8">
        <w:rPr>
          <w:rFonts w:ascii="Arial" w:hAnsi="Arial" w:cs="Arial"/>
          <w:sz w:val="24"/>
          <w:szCs w:val="24"/>
        </w:rPr>
        <w:t>Lavigne M. and Nadeau C. (2014)</w:t>
      </w:r>
      <w:r w:rsidR="000E70E0">
        <w:rPr>
          <w:rFonts w:ascii="Arial" w:hAnsi="Arial" w:cs="Arial"/>
          <w:sz w:val="24"/>
          <w:szCs w:val="24"/>
        </w:rPr>
        <w:t>,</w:t>
      </w:r>
      <w:r w:rsidRPr="001B02E8">
        <w:t xml:space="preserve"> </w:t>
      </w:r>
      <w:r w:rsidRPr="001B02E8">
        <w:rPr>
          <w:rFonts w:ascii="Arial" w:hAnsi="Arial" w:cs="Arial"/>
          <w:sz w:val="24"/>
          <w:szCs w:val="24"/>
        </w:rPr>
        <w:t xml:space="preserve">A Framework for the Evaluation of Administrative Data, Proceedings of Statistics Canada Symposium 2014. Available at: </w:t>
      </w:r>
      <w:hyperlink r:id="rId21" w:history="1">
        <w:r w:rsidRPr="001B02E8">
          <w:rPr>
            <w:rStyle w:val="Hipercze"/>
            <w:rFonts w:ascii="Arial" w:hAnsi="Arial" w:cs="Arial"/>
            <w:sz w:val="24"/>
            <w:szCs w:val="24"/>
          </w:rPr>
          <w:t>https://www.statcan.gc.ca/eng/conferences/.../14284-eng.pdf</w:t>
        </w:r>
      </w:hyperlink>
      <w:r w:rsidRPr="001B02E8">
        <w:rPr>
          <w:rFonts w:ascii="Arial" w:hAnsi="Arial" w:cs="Arial"/>
          <w:sz w:val="24"/>
          <w:szCs w:val="24"/>
        </w:rPr>
        <w:t xml:space="preserve"> (accessed 19 may 2018)</w:t>
      </w:r>
      <w:r w:rsidR="0058296F">
        <w:rPr>
          <w:rFonts w:ascii="Arial" w:hAnsi="Arial" w:cs="Arial"/>
          <w:sz w:val="24"/>
          <w:szCs w:val="24"/>
        </w:rPr>
        <w:t>.</w:t>
      </w:r>
    </w:p>
    <w:p w:rsidR="00685B68" w:rsidRDefault="008D4A76" w:rsidP="008A7D51">
      <w:pPr>
        <w:spacing w:before="120" w:after="0" w:line="360" w:lineRule="auto"/>
        <w:jc w:val="both"/>
        <w:rPr>
          <w:rFonts w:ascii="Arial" w:hAnsi="Arial" w:cs="Arial"/>
          <w:sz w:val="24"/>
          <w:szCs w:val="24"/>
        </w:rPr>
      </w:pPr>
      <w:r w:rsidRPr="001B02E8">
        <w:rPr>
          <w:rFonts w:ascii="Arial" w:hAnsi="Arial" w:cs="Arial"/>
          <w:sz w:val="24"/>
          <w:szCs w:val="24"/>
        </w:rPr>
        <w:t>Rothbard A., (2015)</w:t>
      </w:r>
      <w:r w:rsidR="000E70E0">
        <w:rPr>
          <w:rFonts w:ascii="Arial" w:hAnsi="Arial" w:cs="Arial"/>
          <w:sz w:val="24"/>
          <w:szCs w:val="24"/>
        </w:rPr>
        <w:t>,</w:t>
      </w:r>
      <w:r w:rsidRPr="001B02E8">
        <w:rPr>
          <w:rFonts w:ascii="Arial" w:hAnsi="Arial" w:cs="Arial"/>
          <w:sz w:val="24"/>
          <w:szCs w:val="24"/>
        </w:rPr>
        <w:t xml:space="preserve"> Quality issues in the use of administrative data records, University of Pennsylvania</w:t>
      </w:r>
      <w:r w:rsidR="003202D1">
        <w:rPr>
          <w:rFonts w:ascii="Arial" w:hAnsi="Arial" w:cs="Arial"/>
          <w:sz w:val="24"/>
          <w:szCs w:val="24"/>
        </w:rPr>
        <w:t xml:space="preserve">. Available at: </w:t>
      </w:r>
      <w:hyperlink r:id="rId22" w:history="1">
        <w:r w:rsidR="003202D1" w:rsidRPr="00FE3D80">
          <w:rPr>
            <w:rStyle w:val="Hipercze"/>
            <w:rFonts w:ascii="Arial" w:hAnsi="Arial" w:cs="Arial"/>
            <w:sz w:val="24"/>
            <w:szCs w:val="24"/>
          </w:rPr>
          <w:t>https://www.aisp.upenn.edu/wp-content/uploads/2015/06/Data-Quality-Paper_Final.pdf</w:t>
        </w:r>
      </w:hyperlink>
      <w:r w:rsidR="003202D1">
        <w:rPr>
          <w:rFonts w:ascii="Arial" w:hAnsi="Arial" w:cs="Arial"/>
          <w:sz w:val="24"/>
          <w:szCs w:val="24"/>
        </w:rPr>
        <w:t xml:space="preserve"> (Accessed 19 may 2018)</w:t>
      </w:r>
      <w:r w:rsidR="0058296F">
        <w:rPr>
          <w:rFonts w:ascii="Arial" w:hAnsi="Arial" w:cs="Arial"/>
          <w:sz w:val="24"/>
          <w:szCs w:val="24"/>
        </w:rPr>
        <w:t>.</w:t>
      </w:r>
    </w:p>
    <w:p w:rsidR="00685B68" w:rsidRPr="008D4A76" w:rsidRDefault="00685B68" w:rsidP="008D4A76">
      <w:pPr>
        <w:spacing w:before="120" w:after="0" w:line="360" w:lineRule="auto"/>
        <w:jc w:val="both"/>
        <w:rPr>
          <w:rFonts w:ascii="Arial" w:hAnsi="Arial" w:cs="Arial"/>
          <w:sz w:val="24"/>
          <w:szCs w:val="24"/>
          <w:lang w:val="en-US"/>
        </w:rPr>
      </w:pPr>
      <w:r w:rsidRPr="008D4A76">
        <w:rPr>
          <w:rFonts w:ascii="Arial" w:hAnsi="Arial" w:cs="Arial"/>
          <w:sz w:val="24"/>
          <w:szCs w:val="24"/>
          <w:lang w:val="it-IT"/>
        </w:rPr>
        <w:t>Runci</w:t>
      </w:r>
      <w:r w:rsidR="008D4A76">
        <w:rPr>
          <w:rFonts w:ascii="Arial" w:hAnsi="Arial" w:cs="Arial"/>
          <w:sz w:val="24"/>
          <w:szCs w:val="24"/>
          <w:lang w:val="it-IT"/>
        </w:rPr>
        <w:t xml:space="preserve"> M.C., </w:t>
      </w:r>
      <w:r w:rsidRPr="008D4A76">
        <w:rPr>
          <w:rFonts w:ascii="Arial" w:hAnsi="Arial" w:cs="Arial"/>
          <w:sz w:val="24"/>
          <w:szCs w:val="24"/>
          <w:lang w:val="it-IT"/>
        </w:rPr>
        <w:t>Di Bella</w:t>
      </w:r>
      <w:r w:rsidR="008D4A76">
        <w:rPr>
          <w:rFonts w:ascii="Arial" w:hAnsi="Arial" w:cs="Arial"/>
          <w:sz w:val="24"/>
          <w:szCs w:val="24"/>
          <w:lang w:val="it-IT"/>
        </w:rPr>
        <w:t xml:space="preserve"> G.</w:t>
      </w:r>
      <w:r w:rsidRPr="008D4A76">
        <w:rPr>
          <w:rFonts w:ascii="Arial" w:hAnsi="Arial" w:cs="Arial"/>
          <w:sz w:val="24"/>
          <w:szCs w:val="24"/>
          <w:lang w:val="it-IT"/>
        </w:rPr>
        <w:t>, Galiè</w:t>
      </w:r>
      <w:r w:rsidR="008D4A76">
        <w:rPr>
          <w:rFonts w:ascii="Arial" w:hAnsi="Arial" w:cs="Arial"/>
          <w:sz w:val="24"/>
          <w:szCs w:val="24"/>
          <w:lang w:val="it-IT"/>
        </w:rPr>
        <w:t xml:space="preserve"> L.</w:t>
      </w:r>
      <w:r w:rsidRPr="008D4A76">
        <w:rPr>
          <w:rFonts w:ascii="Arial" w:hAnsi="Arial" w:cs="Arial"/>
          <w:sz w:val="24"/>
          <w:szCs w:val="24"/>
          <w:lang w:val="it-IT"/>
        </w:rPr>
        <w:t xml:space="preserve"> </w:t>
      </w:r>
      <w:r w:rsidR="00563579" w:rsidRPr="008D4A76">
        <w:rPr>
          <w:rFonts w:ascii="Arial" w:hAnsi="Arial" w:cs="Arial"/>
          <w:sz w:val="24"/>
          <w:szCs w:val="24"/>
          <w:lang w:val="it-IT"/>
        </w:rPr>
        <w:t>(</w:t>
      </w:r>
      <w:r w:rsidRPr="008D4A76">
        <w:rPr>
          <w:rFonts w:ascii="Arial" w:hAnsi="Arial" w:cs="Arial"/>
          <w:sz w:val="24"/>
          <w:szCs w:val="24"/>
          <w:lang w:val="it-IT"/>
        </w:rPr>
        <w:t>2016)</w:t>
      </w:r>
      <w:r w:rsidR="000E70E0">
        <w:rPr>
          <w:rFonts w:ascii="Arial" w:hAnsi="Arial" w:cs="Arial"/>
          <w:sz w:val="24"/>
          <w:szCs w:val="24"/>
          <w:lang w:val="it-IT"/>
        </w:rPr>
        <w:t>,</w:t>
      </w:r>
      <w:r w:rsidRPr="008D4A76">
        <w:rPr>
          <w:rFonts w:ascii="Arial" w:hAnsi="Arial" w:cs="Arial"/>
          <w:sz w:val="24"/>
          <w:szCs w:val="24"/>
          <w:lang w:val="it-IT"/>
        </w:rPr>
        <w:t xml:space="preserve"> </w:t>
      </w:r>
      <w:r w:rsidR="008D4A76" w:rsidRPr="008D4A76">
        <w:rPr>
          <w:rFonts w:ascii="Arial" w:hAnsi="Arial" w:cs="Arial"/>
          <w:sz w:val="24"/>
          <w:szCs w:val="24"/>
          <w:lang w:val="it-IT"/>
        </w:rPr>
        <w:t>Il sistema di integrazione dei dat</w:t>
      </w:r>
      <w:r w:rsidR="008D4A76">
        <w:rPr>
          <w:rFonts w:ascii="Arial" w:hAnsi="Arial" w:cs="Arial"/>
          <w:sz w:val="24"/>
          <w:szCs w:val="24"/>
          <w:lang w:val="it-IT"/>
        </w:rPr>
        <w:t xml:space="preserve">i </w:t>
      </w:r>
      <w:r w:rsidR="008D4A76" w:rsidRPr="008D4A76">
        <w:rPr>
          <w:rFonts w:ascii="Arial" w:hAnsi="Arial" w:cs="Arial"/>
          <w:sz w:val="24"/>
          <w:szCs w:val="24"/>
          <w:lang w:val="it-IT"/>
        </w:rPr>
        <w:t>amministrativi in Istat,</w:t>
      </w:r>
      <w:r w:rsidR="008D4A76">
        <w:rPr>
          <w:rFonts w:ascii="Arial" w:hAnsi="Arial" w:cs="Arial"/>
          <w:sz w:val="24"/>
          <w:szCs w:val="24"/>
          <w:lang w:val="it-IT"/>
        </w:rPr>
        <w:t xml:space="preserve"> </w:t>
      </w:r>
      <w:r w:rsidR="008D4A76" w:rsidRPr="008D4A76">
        <w:rPr>
          <w:rFonts w:ascii="Arial" w:hAnsi="Arial" w:cs="Arial"/>
          <w:sz w:val="24"/>
          <w:szCs w:val="24"/>
          <w:lang w:val="it-IT"/>
        </w:rPr>
        <w:t xml:space="preserve">Istat Working Papers n.18. </w:t>
      </w:r>
      <w:r w:rsidR="008D4A76" w:rsidRPr="008D4A76">
        <w:rPr>
          <w:rFonts w:ascii="Arial" w:hAnsi="Arial" w:cs="Arial"/>
          <w:sz w:val="24"/>
          <w:szCs w:val="24"/>
          <w:lang w:val="en-US"/>
        </w:rPr>
        <w:t xml:space="preserve">Available at: </w:t>
      </w:r>
      <w:hyperlink r:id="rId23" w:history="1">
        <w:r w:rsidR="008D4A76" w:rsidRPr="008D4A76">
          <w:rPr>
            <w:rFonts w:ascii="Arial" w:hAnsi="Arial" w:cs="Arial"/>
            <w:sz w:val="24"/>
            <w:szCs w:val="24"/>
            <w:lang w:val="en-US"/>
          </w:rPr>
          <w:t>https://www.istat.it/it/archivio/193056</w:t>
        </w:r>
      </w:hyperlink>
      <w:r w:rsidR="003202D1">
        <w:rPr>
          <w:rFonts w:ascii="Arial" w:hAnsi="Arial" w:cs="Arial"/>
          <w:sz w:val="24"/>
          <w:szCs w:val="24"/>
          <w:lang w:val="en-US"/>
        </w:rPr>
        <w:t xml:space="preserve"> </w:t>
      </w:r>
      <w:r w:rsidR="008D4A76" w:rsidRPr="008D4A76">
        <w:rPr>
          <w:rFonts w:ascii="Arial" w:hAnsi="Arial" w:cs="Arial"/>
          <w:sz w:val="24"/>
          <w:szCs w:val="24"/>
          <w:lang w:val="en-US"/>
        </w:rPr>
        <w:t xml:space="preserve"> ( Accessed 19 may 2018</w:t>
      </w:r>
      <w:r w:rsidR="008D4A76">
        <w:rPr>
          <w:rFonts w:ascii="Arial" w:hAnsi="Arial" w:cs="Arial"/>
          <w:sz w:val="24"/>
          <w:szCs w:val="24"/>
          <w:lang w:val="en-US"/>
        </w:rPr>
        <w:t>)</w:t>
      </w:r>
      <w:r w:rsidR="0058296F">
        <w:rPr>
          <w:rFonts w:ascii="Arial" w:hAnsi="Arial" w:cs="Arial"/>
          <w:sz w:val="24"/>
          <w:szCs w:val="24"/>
          <w:lang w:val="en-US"/>
        </w:rPr>
        <w:t>.</w:t>
      </w:r>
    </w:p>
    <w:p w:rsidR="00685B68" w:rsidRPr="008D4A76" w:rsidRDefault="00685B68" w:rsidP="008A7D51">
      <w:pPr>
        <w:spacing w:before="120" w:after="0" w:line="360" w:lineRule="auto"/>
        <w:jc w:val="both"/>
        <w:rPr>
          <w:rFonts w:ascii="Arial" w:hAnsi="Arial" w:cs="Arial"/>
          <w:sz w:val="24"/>
          <w:szCs w:val="24"/>
          <w:lang w:val="en-US"/>
        </w:rPr>
      </w:pPr>
    </w:p>
    <w:sectPr w:rsidR="00685B68" w:rsidRPr="008D4A76" w:rsidSect="0023623C">
      <w:headerReference w:type="even" r:id="rId24"/>
      <w:headerReference w:type="default" r:id="rId25"/>
      <w:footerReference w:type="default" r:id="rId26"/>
      <w:headerReference w:type="first" r:id="rId2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D7" w:rsidRDefault="00AE0BD7" w:rsidP="00E82B25">
      <w:pPr>
        <w:spacing w:after="0" w:line="240" w:lineRule="auto"/>
      </w:pPr>
      <w:r>
        <w:separator/>
      </w:r>
    </w:p>
  </w:endnote>
  <w:endnote w:type="continuationSeparator" w:id="0">
    <w:p w:rsidR="00AE0BD7" w:rsidRDefault="00AE0BD7"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D21572" w:rsidRPr="009378F5" w:rsidRDefault="00692AE8" w:rsidP="0035694D">
        <w:pPr>
          <w:pStyle w:val="Stopka"/>
          <w:jc w:val="right"/>
          <w:rPr>
            <w:rFonts w:ascii="Arial" w:hAnsi="Arial" w:cs="Arial"/>
            <w:sz w:val="24"/>
            <w:szCs w:val="24"/>
          </w:rPr>
        </w:pPr>
        <w:r>
          <w:fldChar w:fldCharType="begin"/>
        </w:r>
        <w:r w:rsidR="00CC1EF7">
          <w:instrText>PAGE   \* MERGEFORMAT</w:instrText>
        </w:r>
        <w:r>
          <w:fldChar w:fldCharType="separate"/>
        </w:r>
        <w:r w:rsidR="00E14F76" w:rsidRPr="00E14F76">
          <w:rPr>
            <w:rFonts w:ascii="Arial" w:hAnsi="Arial" w:cs="Arial"/>
            <w:noProof/>
            <w:sz w:val="24"/>
            <w:szCs w:val="24"/>
          </w:rPr>
          <w:t>2</w:t>
        </w:r>
        <w:r>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D7" w:rsidRDefault="00AE0BD7" w:rsidP="00E82B25">
      <w:pPr>
        <w:spacing w:after="0" w:line="240" w:lineRule="auto"/>
      </w:pPr>
      <w:r>
        <w:separator/>
      </w:r>
    </w:p>
  </w:footnote>
  <w:footnote w:type="continuationSeparator" w:id="0">
    <w:p w:rsidR="00AE0BD7" w:rsidRDefault="00AE0BD7" w:rsidP="00E82B25">
      <w:pPr>
        <w:spacing w:after="0" w:line="240" w:lineRule="auto"/>
      </w:pPr>
      <w:r>
        <w:continuationSeparator/>
      </w:r>
    </w:p>
  </w:footnote>
  <w:footnote w:id="1">
    <w:p w:rsidR="00685B68" w:rsidRPr="006E033C" w:rsidRDefault="00685B68">
      <w:pPr>
        <w:pStyle w:val="Tekstprzypisudolnego"/>
        <w:rPr>
          <w:lang w:val="en-US"/>
        </w:rPr>
      </w:pPr>
      <w:r>
        <w:rPr>
          <w:rStyle w:val="Odwoanieprzypisudolnego"/>
        </w:rPr>
        <w:footnoteRef/>
      </w:r>
      <w:r>
        <w:t xml:space="preserve"> </w:t>
      </w:r>
      <w:r w:rsidRPr="00685B68">
        <w:t>The paper is the joint responsibility of the authors. Paragraphs 2.1 and 2.2 are attributed to Sara Casacci, paragraph 3 to Daniela Ferrazza</w:t>
      </w:r>
      <w:r>
        <w:t>.</w:t>
      </w:r>
    </w:p>
  </w:footnote>
  <w:footnote w:id="2">
    <w:p w:rsidR="00692AE8" w:rsidRPr="00251ED5" w:rsidRDefault="00692AE8" w:rsidP="00251ED5">
      <w:pPr>
        <w:pStyle w:val="Tekstprzypisudolnego"/>
        <w:jc w:val="both"/>
        <w:rPr>
          <w:rFonts w:ascii="Arial" w:hAnsi="Arial" w:cs="Arial"/>
          <w:lang w:val="en-US"/>
        </w:rPr>
      </w:pPr>
      <w:r w:rsidRPr="00251ED5">
        <w:rPr>
          <w:rStyle w:val="Odwoanieprzypisudolnego"/>
          <w:rFonts w:ascii="Arial" w:hAnsi="Arial" w:cs="Arial"/>
        </w:rPr>
        <w:footnoteRef/>
      </w:r>
      <w:r w:rsidRPr="00251ED5">
        <w:rPr>
          <w:rFonts w:ascii="Arial" w:hAnsi="Arial" w:cs="Arial"/>
        </w:rPr>
        <w:t xml:space="preserve"> </w:t>
      </w:r>
      <w:r w:rsidR="00D21572" w:rsidRPr="009B7943">
        <w:rPr>
          <w:rFonts w:ascii="Arial" w:hAnsi="Arial" w:cs="Arial"/>
        </w:rPr>
        <w:t>SPoT -</w:t>
      </w:r>
      <w:r w:rsidRPr="00251ED5">
        <w:rPr>
          <w:rFonts w:ascii="Arial" w:hAnsi="Arial" w:cs="Arial"/>
        </w:rPr>
        <w:t xml:space="preserve"> </w:t>
      </w:r>
      <w:r w:rsidR="00D21572" w:rsidRPr="009B7943">
        <w:rPr>
          <w:rFonts w:ascii="Arial" w:hAnsi="Arial" w:cs="Arial"/>
        </w:rPr>
        <w:t>Data and methodologies for the development of Statistics for Policies on the Territory</w:t>
      </w:r>
      <w:r w:rsidR="006E033C" w:rsidRPr="009B7943">
        <w:rPr>
          <w:rFonts w:ascii="Arial" w:hAnsi="Arial" w:cs="Arial"/>
        </w:rPr>
        <w:t>, Interregional project</w:t>
      </w:r>
      <w:r w:rsidR="00511F6A">
        <w:rPr>
          <w:rFonts w:ascii="Arial" w:hAnsi="Arial" w:cs="Arial"/>
        </w:rPr>
        <w:t>.</w:t>
      </w:r>
    </w:p>
  </w:footnote>
  <w:footnote w:id="3">
    <w:p w:rsidR="00692AE8" w:rsidRDefault="00692AE8" w:rsidP="00251ED5">
      <w:pPr>
        <w:pStyle w:val="Tekstprzypisudolnego"/>
        <w:jc w:val="both"/>
        <w:rPr>
          <w:rFonts w:ascii="Arial" w:hAnsi="Arial" w:cs="Arial"/>
        </w:rPr>
      </w:pPr>
      <w:r w:rsidRPr="00251ED5">
        <w:rPr>
          <w:rStyle w:val="Odwoanieprzypisudolnego"/>
          <w:rFonts w:ascii="Arial" w:hAnsi="Arial" w:cs="Arial"/>
        </w:rPr>
        <w:footnoteRef/>
      </w:r>
      <w:r w:rsidRPr="00251ED5">
        <w:rPr>
          <w:rFonts w:ascii="Arial" w:hAnsi="Arial" w:cs="Arial"/>
        </w:rPr>
        <w:t xml:space="preserve"> </w:t>
      </w:r>
      <w:r w:rsidR="00D21572" w:rsidRPr="009B7943">
        <w:rPr>
          <w:rFonts w:ascii="Arial" w:hAnsi="Arial" w:cs="Arial"/>
          <w:lang w:val="it-IT"/>
        </w:rPr>
        <w:t>ArchIMEDe</w:t>
      </w:r>
      <w:r w:rsidR="00D21572" w:rsidRPr="009B7943">
        <w:rPr>
          <w:rFonts w:ascii="Arial" w:hAnsi="Arial" w:cs="Arial"/>
        </w:rPr>
        <w:t xml:space="preserve"> - ARCHivio Integrato di Microdati Economici e Demografici – i.e. Integrated Archive of Economic and Demographic Microdata</w:t>
      </w:r>
      <w:r w:rsidR="009B7943">
        <w:rPr>
          <w:rFonts w:ascii="Arial" w:hAnsi="Arial" w:cs="Arial"/>
        </w:rPr>
        <w:t>.</w:t>
      </w:r>
    </w:p>
  </w:footnote>
  <w:footnote w:id="4">
    <w:p w:rsidR="00692AE8" w:rsidRPr="00251ED5" w:rsidRDefault="00692AE8" w:rsidP="00251ED5">
      <w:pPr>
        <w:pStyle w:val="Tekstprzypisudolnego"/>
        <w:jc w:val="both"/>
        <w:rPr>
          <w:rFonts w:ascii="Arial" w:hAnsi="Arial" w:cs="Arial"/>
        </w:rPr>
      </w:pPr>
      <w:r w:rsidRPr="00251ED5">
        <w:rPr>
          <w:rStyle w:val="Odwoanieprzypisudolnego"/>
          <w:rFonts w:ascii="Arial" w:hAnsi="Arial" w:cs="Arial"/>
        </w:rPr>
        <w:footnoteRef/>
      </w:r>
      <w:r w:rsidRPr="00251ED5">
        <w:rPr>
          <w:rFonts w:ascii="Arial" w:hAnsi="Arial" w:cs="Arial"/>
        </w:rPr>
        <w:t xml:space="preserve"> The process of data integration is carried out by applying specific record linkage </w:t>
      </w:r>
      <w:r w:rsidR="00080696" w:rsidRPr="00080696">
        <w:rPr>
          <w:rFonts w:ascii="Arial" w:hAnsi="Arial" w:cs="Arial"/>
        </w:rPr>
        <w:t>strategies</w:t>
      </w:r>
      <w:r w:rsidR="00080696">
        <w:rPr>
          <w:rFonts w:ascii="Arial" w:hAnsi="Arial" w:cs="Arial"/>
        </w:rPr>
        <w:t xml:space="preserve"> </w:t>
      </w:r>
      <w:r w:rsidRPr="00251ED5">
        <w:rPr>
          <w:rFonts w:ascii="Arial" w:hAnsi="Arial" w:cs="Arial"/>
        </w:rPr>
        <w:t>depending on the quality of the identifying variables of the basic units</w:t>
      </w:r>
      <w:r w:rsidR="006F6B81">
        <w:rPr>
          <w:rFonts w:ascii="Arial" w:hAnsi="Arial" w:cs="Arial"/>
        </w:rPr>
        <w:t xml:space="preserve"> (</w:t>
      </w:r>
      <w:r w:rsidR="006F6B81" w:rsidRPr="006F6B81">
        <w:rPr>
          <w:rFonts w:ascii="Arial" w:hAnsi="Arial" w:cs="Arial"/>
        </w:rPr>
        <w:t>Runci, Di Bella, Galiè, 2016</w:t>
      </w:r>
      <w:r w:rsidR="006F6B81">
        <w:rPr>
          <w:rFonts w:ascii="Arial" w:hAnsi="Arial" w:cs="Arial"/>
        </w:rPr>
        <w:t>)</w:t>
      </w:r>
      <w:r w:rsidRPr="00251ED5">
        <w:rPr>
          <w:rFonts w:ascii="Arial" w:hAnsi="Arial" w:cs="Arial"/>
        </w:rPr>
        <w:t>.</w:t>
      </w:r>
    </w:p>
  </w:footnote>
  <w:footnote w:id="5">
    <w:p w:rsidR="00251ED5" w:rsidRPr="00251ED5" w:rsidRDefault="00251ED5">
      <w:pPr>
        <w:pStyle w:val="Tekstprzypisudolnego"/>
        <w:rPr>
          <w:lang w:val="it-IT"/>
        </w:rPr>
      </w:pPr>
      <w:r>
        <w:rPr>
          <w:rStyle w:val="Odwoanieprzypisudolnego"/>
        </w:rPr>
        <w:footnoteRef/>
      </w:r>
      <w:r>
        <w:t xml:space="preserve"> </w:t>
      </w:r>
      <w:r w:rsidRPr="00251ED5">
        <w:rPr>
          <w:rFonts w:ascii="Arial" w:hAnsi="Arial" w:cs="Arial"/>
          <w:sz w:val="24"/>
          <w:szCs w:val="24"/>
          <w:lang w:val="it-IT"/>
        </w:rPr>
        <w:t xml:space="preserve">Istat, Piano Generale di Censimento </w:t>
      </w:r>
      <w:hyperlink r:id="rId1" w:history="1">
        <w:r w:rsidRPr="00251ED5">
          <w:rPr>
            <w:rStyle w:val="Hipercze"/>
            <w:rFonts w:ascii="Arial" w:hAnsi="Arial" w:cs="Arial"/>
            <w:sz w:val="24"/>
            <w:szCs w:val="24"/>
            <w:lang w:val="it-IT"/>
          </w:rPr>
          <w:t>https://www.istat.it/it/files//2016/03/PGC-CENSIMENTO-POPOLAZIONE-E-ABITAZIONI.pdf</w:t>
        </w:r>
      </w:hyperlink>
      <w:r w:rsidRPr="00251ED5">
        <w:rPr>
          <w:rFonts w:ascii="Arial" w:hAnsi="Arial" w:cs="Arial"/>
          <w:sz w:val="24"/>
          <w:szCs w:val="24"/>
          <w:lang w:val="it-IT"/>
        </w:rPr>
        <w:t xml:space="preserve"> </w:t>
      </w:r>
    </w:p>
  </w:footnote>
  <w:footnote w:id="6">
    <w:p w:rsidR="00563579" w:rsidRPr="00F60122" w:rsidRDefault="00563579" w:rsidP="00563579">
      <w:pPr>
        <w:pStyle w:val="Tekstprzypisudolnego"/>
        <w:rPr>
          <w:rFonts w:ascii="Arial" w:hAnsi="Arial" w:cs="Arial"/>
          <w:lang w:val="en-US"/>
        </w:rPr>
      </w:pPr>
      <w:r>
        <w:rPr>
          <w:rStyle w:val="Odwoanieprzypisudolnego"/>
        </w:rPr>
        <w:footnoteRef/>
      </w:r>
      <w:r>
        <w:t xml:space="preserve"> </w:t>
      </w:r>
      <w:r w:rsidR="00692AE8" w:rsidRPr="00251ED5">
        <w:rPr>
          <w:rFonts w:ascii="Arial" w:hAnsi="Arial" w:cs="Arial"/>
          <w:lang w:val="en-US"/>
        </w:rPr>
        <w:t xml:space="preserve">In </w:t>
      </w:r>
      <w:r w:rsidR="005851F0">
        <w:rPr>
          <w:rFonts w:ascii="Arial" w:hAnsi="Arial" w:cs="Arial"/>
          <w:lang w:val="en-US"/>
        </w:rPr>
        <w:t>Italian</w:t>
      </w:r>
      <w:r w:rsidR="00692AE8" w:rsidRPr="00251ED5">
        <w:rPr>
          <w:rFonts w:ascii="Arial" w:hAnsi="Arial" w:cs="Arial"/>
          <w:lang w:val="en-US"/>
        </w:rPr>
        <w:t xml:space="preserve"> </w:t>
      </w:r>
      <w:r w:rsidR="005851F0">
        <w:rPr>
          <w:rFonts w:ascii="Arial" w:hAnsi="Arial" w:cs="Arial"/>
          <w:lang w:val="en-US"/>
        </w:rPr>
        <w:t>”Provincia”,</w:t>
      </w:r>
      <w:r w:rsidRPr="00F60122">
        <w:rPr>
          <w:rFonts w:ascii="Arial" w:hAnsi="Arial" w:cs="Arial"/>
          <w:lang w:val="en-US"/>
        </w:rPr>
        <w:t xml:space="preserve"> </w:t>
      </w:r>
      <w:r>
        <w:rPr>
          <w:rFonts w:ascii="Arial" w:hAnsi="Arial" w:cs="Arial"/>
          <w:lang w:val="en-US"/>
        </w:rPr>
        <w:t>l</w:t>
      </w:r>
      <w:r w:rsidRPr="00F60122">
        <w:rPr>
          <w:rFonts w:ascii="Arial" w:hAnsi="Arial" w:cs="Arial"/>
          <w:lang w:val="en-US"/>
        </w:rPr>
        <w:t>ocal administrative Institutions including different Municipalities.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72" w:rsidRDefault="00AE0BD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51" type="#_x0000_t75" alt="paper4"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72" w:rsidRDefault="00AE0BD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50" type="#_x0000_t75" alt="paper4" style="position:absolute;margin-left:-70.95pt;margin-top:-70.45pt;width:595.2pt;height:841.9pt;z-index:-251656192;mso-wrap-edited:f;mso-width-percent:0;mso-height-percent:0;mso-position-horizontal-relative:margin;mso-position-vertical-relative:margin;mso-width-percent:0;mso-height-percent:0"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72" w:rsidRDefault="00AE0BD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49" type="#_x0000_t75" alt="paper4"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52A4"/>
    <w:multiLevelType w:val="hybridMultilevel"/>
    <w:tmpl w:val="64383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53F7"/>
    <w:rsid w:val="00015A92"/>
    <w:rsid w:val="00021916"/>
    <w:rsid w:val="000229C2"/>
    <w:rsid w:val="00026CD3"/>
    <w:rsid w:val="00043B1D"/>
    <w:rsid w:val="00047C24"/>
    <w:rsid w:val="00051E39"/>
    <w:rsid w:val="00057D3E"/>
    <w:rsid w:val="00064DF3"/>
    <w:rsid w:val="00070925"/>
    <w:rsid w:val="00074942"/>
    <w:rsid w:val="0007704A"/>
    <w:rsid w:val="00080696"/>
    <w:rsid w:val="000844A2"/>
    <w:rsid w:val="000957CC"/>
    <w:rsid w:val="000A004A"/>
    <w:rsid w:val="000A758A"/>
    <w:rsid w:val="000B0600"/>
    <w:rsid w:val="000B47D7"/>
    <w:rsid w:val="000B6E83"/>
    <w:rsid w:val="000C6472"/>
    <w:rsid w:val="000D312C"/>
    <w:rsid w:val="000D705A"/>
    <w:rsid w:val="000E4B4B"/>
    <w:rsid w:val="000E70E0"/>
    <w:rsid w:val="000F337F"/>
    <w:rsid w:val="0011166F"/>
    <w:rsid w:val="00122182"/>
    <w:rsid w:val="00133E07"/>
    <w:rsid w:val="0014057D"/>
    <w:rsid w:val="00140BFE"/>
    <w:rsid w:val="00142A8D"/>
    <w:rsid w:val="00145167"/>
    <w:rsid w:val="00146896"/>
    <w:rsid w:val="001536EC"/>
    <w:rsid w:val="00157DAD"/>
    <w:rsid w:val="00160406"/>
    <w:rsid w:val="0016743D"/>
    <w:rsid w:val="00170406"/>
    <w:rsid w:val="0018043C"/>
    <w:rsid w:val="00182357"/>
    <w:rsid w:val="00184296"/>
    <w:rsid w:val="00190303"/>
    <w:rsid w:val="001A1D8F"/>
    <w:rsid w:val="001B0368"/>
    <w:rsid w:val="001B2369"/>
    <w:rsid w:val="001B2487"/>
    <w:rsid w:val="001C25AA"/>
    <w:rsid w:val="001D40CD"/>
    <w:rsid w:val="001D76B3"/>
    <w:rsid w:val="001D7EE1"/>
    <w:rsid w:val="001E43DC"/>
    <w:rsid w:val="002013F4"/>
    <w:rsid w:val="00221F17"/>
    <w:rsid w:val="002308F9"/>
    <w:rsid w:val="00230B7C"/>
    <w:rsid w:val="00234927"/>
    <w:rsid w:val="0023623C"/>
    <w:rsid w:val="00242620"/>
    <w:rsid w:val="00251ED5"/>
    <w:rsid w:val="002567A6"/>
    <w:rsid w:val="0028150C"/>
    <w:rsid w:val="00282B53"/>
    <w:rsid w:val="00293580"/>
    <w:rsid w:val="002A621B"/>
    <w:rsid w:val="002A783E"/>
    <w:rsid w:val="002B6D33"/>
    <w:rsid w:val="002C0091"/>
    <w:rsid w:val="003202D1"/>
    <w:rsid w:val="00336E21"/>
    <w:rsid w:val="00343962"/>
    <w:rsid w:val="003447E5"/>
    <w:rsid w:val="00353247"/>
    <w:rsid w:val="0035694D"/>
    <w:rsid w:val="00357185"/>
    <w:rsid w:val="00362815"/>
    <w:rsid w:val="003805DC"/>
    <w:rsid w:val="003A1D16"/>
    <w:rsid w:val="003C6DCE"/>
    <w:rsid w:val="003D3901"/>
    <w:rsid w:val="003D7C80"/>
    <w:rsid w:val="003E4279"/>
    <w:rsid w:val="003E5ED6"/>
    <w:rsid w:val="003F0A5D"/>
    <w:rsid w:val="003F1AB6"/>
    <w:rsid w:val="003F2E3B"/>
    <w:rsid w:val="003F751C"/>
    <w:rsid w:val="00400289"/>
    <w:rsid w:val="00405D8D"/>
    <w:rsid w:val="004150F5"/>
    <w:rsid w:val="00426B61"/>
    <w:rsid w:val="0045325F"/>
    <w:rsid w:val="004555BD"/>
    <w:rsid w:val="00464FF3"/>
    <w:rsid w:val="004740F1"/>
    <w:rsid w:val="004854B7"/>
    <w:rsid w:val="00493026"/>
    <w:rsid w:val="004A12A7"/>
    <w:rsid w:val="004A1A99"/>
    <w:rsid w:val="004B14A8"/>
    <w:rsid w:val="004B39C1"/>
    <w:rsid w:val="004B6729"/>
    <w:rsid w:val="004C5048"/>
    <w:rsid w:val="004E3771"/>
    <w:rsid w:val="004E4475"/>
    <w:rsid w:val="004F03BD"/>
    <w:rsid w:val="004F04B4"/>
    <w:rsid w:val="00511F6A"/>
    <w:rsid w:val="0051766C"/>
    <w:rsid w:val="005215E8"/>
    <w:rsid w:val="005257DF"/>
    <w:rsid w:val="00530FD6"/>
    <w:rsid w:val="00541C12"/>
    <w:rsid w:val="00544F45"/>
    <w:rsid w:val="00552AA0"/>
    <w:rsid w:val="00563579"/>
    <w:rsid w:val="005812C5"/>
    <w:rsid w:val="0058296F"/>
    <w:rsid w:val="005851F0"/>
    <w:rsid w:val="0059492C"/>
    <w:rsid w:val="00596F44"/>
    <w:rsid w:val="005A1F57"/>
    <w:rsid w:val="005A4A27"/>
    <w:rsid w:val="005B2811"/>
    <w:rsid w:val="005B5415"/>
    <w:rsid w:val="005B6971"/>
    <w:rsid w:val="006052BF"/>
    <w:rsid w:val="00616BB8"/>
    <w:rsid w:val="00625E0F"/>
    <w:rsid w:val="006333CD"/>
    <w:rsid w:val="006459CD"/>
    <w:rsid w:val="006521D5"/>
    <w:rsid w:val="00653D6C"/>
    <w:rsid w:val="006626B7"/>
    <w:rsid w:val="00667788"/>
    <w:rsid w:val="00685B68"/>
    <w:rsid w:val="0069009D"/>
    <w:rsid w:val="00692AE8"/>
    <w:rsid w:val="00697934"/>
    <w:rsid w:val="006A7662"/>
    <w:rsid w:val="006A7E71"/>
    <w:rsid w:val="006B5A4A"/>
    <w:rsid w:val="006B66E4"/>
    <w:rsid w:val="006C5879"/>
    <w:rsid w:val="006D3007"/>
    <w:rsid w:val="006D32D1"/>
    <w:rsid w:val="006E033C"/>
    <w:rsid w:val="006E3A47"/>
    <w:rsid w:val="006E5B81"/>
    <w:rsid w:val="006F2EF8"/>
    <w:rsid w:val="006F6B81"/>
    <w:rsid w:val="007010B8"/>
    <w:rsid w:val="00705F77"/>
    <w:rsid w:val="00707B48"/>
    <w:rsid w:val="00710A77"/>
    <w:rsid w:val="007235DE"/>
    <w:rsid w:val="00725978"/>
    <w:rsid w:val="007511B8"/>
    <w:rsid w:val="007730C4"/>
    <w:rsid w:val="00776C97"/>
    <w:rsid w:val="0078051B"/>
    <w:rsid w:val="0078194F"/>
    <w:rsid w:val="00782BBB"/>
    <w:rsid w:val="00793D80"/>
    <w:rsid w:val="007A3B1C"/>
    <w:rsid w:val="007A7988"/>
    <w:rsid w:val="007B2109"/>
    <w:rsid w:val="007B6B58"/>
    <w:rsid w:val="007E0BC9"/>
    <w:rsid w:val="007E6D8C"/>
    <w:rsid w:val="007F31FC"/>
    <w:rsid w:val="00803F64"/>
    <w:rsid w:val="008053C6"/>
    <w:rsid w:val="00806957"/>
    <w:rsid w:val="00811A2B"/>
    <w:rsid w:val="00815188"/>
    <w:rsid w:val="00820A93"/>
    <w:rsid w:val="0082373C"/>
    <w:rsid w:val="00826763"/>
    <w:rsid w:val="00845953"/>
    <w:rsid w:val="00847031"/>
    <w:rsid w:val="00867B2C"/>
    <w:rsid w:val="0087202B"/>
    <w:rsid w:val="00873330"/>
    <w:rsid w:val="008804D9"/>
    <w:rsid w:val="00883243"/>
    <w:rsid w:val="00883326"/>
    <w:rsid w:val="00890695"/>
    <w:rsid w:val="008A71D2"/>
    <w:rsid w:val="008A7D51"/>
    <w:rsid w:val="008B0935"/>
    <w:rsid w:val="008B2CF6"/>
    <w:rsid w:val="008C7C9C"/>
    <w:rsid w:val="008D4A76"/>
    <w:rsid w:val="008D56E1"/>
    <w:rsid w:val="008D6094"/>
    <w:rsid w:val="008F38FD"/>
    <w:rsid w:val="008F7385"/>
    <w:rsid w:val="00902A7F"/>
    <w:rsid w:val="00907A1A"/>
    <w:rsid w:val="00913DB4"/>
    <w:rsid w:val="009334F4"/>
    <w:rsid w:val="00935285"/>
    <w:rsid w:val="009378F5"/>
    <w:rsid w:val="00973B8D"/>
    <w:rsid w:val="009B7943"/>
    <w:rsid w:val="009E2275"/>
    <w:rsid w:val="00A23816"/>
    <w:rsid w:val="00A24FE5"/>
    <w:rsid w:val="00A260F7"/>
    <w:rsid w:val="00A26717"/>
    <w:rsid w:val="00A26C35"/>
    <w:rsid w:val="00A3535B"/>
    <w:rsid w:val="00A454B6"/>
    <w:rsid w:val="00A45F18"/>
    <w:rsid w:val="00A531F2"/>
    <w:rsid w:val="00A6013E"/>
    <w:rsid w:val="00A81004"/>
    <w:rsid w:val="00A81A31"/>
    <w:rsid w:val="00A870FF"/>
    <w:rsid w:val="00AA18D2"/>
    <w:rsid w:val="00AC586B"/>
    <w:rsid w:val="00AD1423"/>
    <w:rsid w:val="00AD2DAA"/>
    <w:rsid w:val="00AD302B"/>
    <w:rsid w:val="00AD4AEE"/>
    <w:rsid w:val="00AE0BD7"/>
    <w:rsid w:val="00AF573B"/>
    <w:rsid w:val="00B05B93"/>
    <w:rsid w:val="00B1131B"/>
    <w:rsid w:val="00B21403"/>
    <w:rsid w:val="00B36167"/>
    <w:rsid w:val="00B45DB4"/>
    <w:rsid w:val="00B47197"/>
    <w:rsid w:val="00B51261"/>
    <w:rsid w:val="00B5185D"/>
    <w:rsid w:val="00B72169"/>
    <w:rsid w:val="00B74218"/>
    <w:rsid w:val="00B77A7F"/>
    <w:rsid w:val="00B82882"/>
    <w:rsid w:val="00B86B08"/>
    <w:rsid w:val="00B86FC7"/>
    <w:rsid w:val="00B912C3"/>
    <w:rsid w:val="00B917AA"/>
    <w:rsid w:val="00B92267"/>
    <w:rsid w:val="00BB19AC"/>
    <w:rsid w:val="00BC0E06"/>
    <w:rsid w:val="00BC26CE"/>
    <w:rsid w:val="00BC74A8"/>
    <w:rsid w:val="00BE516D"/>
    <w:rsid w:val="00BF6DBC"/>
    <w:rsid w:val="00C16E8E"/>
    <w:rsid w:val="00C261EA"/>
    <w:rsid w:val="00C267F3"/>
    <w:rsid w:val="00C3715F"/>
    <w:rsid w:val="00C40213"/>
    <w:rsid w:val="00C4396A"/>
    <w:rsid w:val="00C444A7"/>
    <w:rsid w:val="00C55909"/>
    <w:rsid w:val="00C55DD2"/>
    <w:rsid w:val="00C5738A"/>
    <w:rsid w:val="00C726EA"/>
    <w:rsid w:val="00C74A1D"/>
    <w:rsid w:val="00C82A25"/>
    <w:rsid w:val="00C93A8B"/>
    <w:rsid w:val="00C96752"/>
    <w:rsid w:val="00CA7E28"/>
    <w:rsid w:val="00CB2B44"/>
    <w:rsid w:val="00CB4074"/>
    <w:rsid w:val="00CB6710"/>
    <w:rsid w:val="00CC1C1D"/>
    <w:rsid w:val="00CC1EF7"/>
    <w:rsid w:val="00CD37CF"/>
    <w:rsid w:val="00CD62BF"/>
    <w:rsid w:val="00CF33AD"/>
    <w:rsid w:val="00CF656A"/>
    <w:rsid w:val="00CF73D7"/>
    <w:rsid w:val="00D0258C"/>
    <w:rsid w:val="00D0270E"/>
    <w:rsid w:val="00D02F8B"/>
    <w:rsid w:val="00D03D7E"/>
    <w:rsid w:val="00D05AA7"/>
    <w:rsid w:val="00D20550"/>
    <w:rsid w:val="00D21572"/>
    <w:rsid w:val="00D3638C"/>
    <w:rsid w:val="00D52194"/>
    <w:rsid w:val="00D64DFD"/>
    <w:rsid w:val="00D651E0"/>
    <w:rsid w:val="00D65C24"/>
    <w:rsid w:val="00D83A01"/>
    <w:rsid w:val="00D95DA2"/>
    <w:rsid w:val="00DA74F6"/>
    <w:rsid w:val="00DB2873"/>
    <w:rsid w:val="00DB4A86"/>
    <w:rsid w:val="00DD4526"/>
    <w:rsid w:val="00DD4977"/>
    <w:rsid w:val="00DD497A"/>
    <w:rsid w:val="00DE01B4"/>
    <w:rsid w:val="00DE2BE9"/>
    <w:rsid w:val="00DE3E00"/>
    <w:rsid w:val="00DF27A8"/>
    <w:rsid w:val="00DF4A0D"/>
    <w:rsid w:val="00E10E88"/>
    <w:rsid w:val="00E127A2"/>
    <w:rsid w:val="00E13C3F"/>
    <w:rsid w:val="00E14F76"/>
    <w:rsid w:val="00E20A66"/>
    <w:rsid w:val="00E22821"/>
    <w:rsid w:val="00E23764"/>
    <w:rsid w:val="00E261EB"/>
    <w:rsid w:val="00E32F40"/>
    <w:rsid w:val="00E36038"/>
    <w:rsid w:val="00E410CE"/>
    <w:rsid w:val="00E6684B"/>
    <w:rsid w:val="00E7228E"/>
    <w:rsid w:val="00E82B25"/>
    <w:rsid w:val="00E86C44"/>
    <w:rsid w:val="00E90A4F"/>
    <w:rsid w:val="00E92831"/>
    <w:rsid w:val="00E9313B"/>
    <w:rsid w:val="00EB08E9"/>
    <w:rsid w:val="00EB5BED"/>
    <w:rsid w:val="00EB7A63"/>
    <w:rsid w:val="00EC4E89"/>
    <w:rsid w:val="00EC5F5A"/>
    <w:rsid w:val="00EC695A"/>
    <w:rsid w:val="00EE0EB7"/>
    <w:rsid w:val="00EE4A70"/>
    <w:rsid w:val="00F02DB2"/>
    <w:rsid w:val="00F21BE2"/>
    <w:rsid w:val="00F30C27"/>
    <w:rsid w:val="00F51570"/>
    <w:rsid w:val="00F60122"/>
    <w:rsid w:val="00F74EA2"/>
    <w:rsid w:val="00F9052B"/>
    <w:rsid w:val="00F908DC"/>
    <w:rsid w:val="00FC02C6"/>
    <w:rsid w:val="00FC0DF4"/>
    <w:rsid w:val="00FC5363"/>
    <w:rsid w:val="00FC55D5"/>
    <w:rsid w:val="00FD7450"/>
    <w:rsid w:val="00FE369C"/>
    <w:rsid w:val="00FE37CD"/>
    <w:rsid w:val="00FE6D6B"/>
    <w:rsid w:val="00FF2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6C4230B-ED95-1C4A-890B-7C00AE09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3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F0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9828">
      <w:bodyDiv w:val="1"/>
      <w:marLeft w:val="0"/>
      <w:marRight w:val="0"/>
      <w:marTop w:val="0"/>
      <w:marBottom w:val="0"/>
      <w:divBdr>
        <w:top w:val="none" w:sz="0" w:space="0" w:color="auto"/>
        <w:left w:val="none" w:sz="0" w:space="0" w:color="auto"/>
        <w:bottom w:val="none" w:sz="0" w:space="0" w:color="auto"/>
        <w:right w:val="none" w:sz="0" w:space="0" w:color="auto"/>
      </w:divBdr>
    </w:div>
    <w:div w:id="667708685">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abio@istat.it" TargetMode="External"/><Relationship Id="rId13" Type="http://schemas.openxmlformats.org/officeDocument/2006/relationships/hyperlink" Target="mailto:vitalini@istat.it"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tatcan.gc.ca/eng/conferences/.../14284-eng.pdf" TargetMode="External"/><Relationship Id="rId7" Type="http://schemas.openxmlformats.org/officeDocument/2006/relationships/endnotes" Target="endnotes.xml"/><Relationship Id="rId12" Type="http://schemas.openxmlformats.org/officeDocument/2006/relationships/hyperlink" Target="mailto:verrecchia@istat.it"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c.europa.eu/eurostat/documents/64157/4373735/02-ESS-quality-defini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rrazza@istat.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istat.it/it/archivio/193056" TargetMode="External"/><Relationship Id="rId28" Type="http://schemas.openxmlformats.org/officeDocument/2006/relationships/fontTable" Target="fontTable.xml"/><Relationship Id="rId10" Type="http://schemas.openxmlformats.org/officeDocument/2006/relationships/hyperlink" Target="mailto:casacci@istat.it"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carra@istat.it" TargetMode="External"/><Relationship Id="rId14" Type="http://schemas.openxmlformats.org/officeDocument/2006/relationships/hyperlink" Target="mailto:lovivian@istat.it" TargetMode="External"/><Relationship Id="rId22" Type="http://schemas.openxmlformats.org/officeDocument/2006/relationships/hyperlink" Target="https://www.aisp.upenn.edu/wp-content/uploads/2015/06/Data-Quality-Paper_Final.pdf"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stat.it/it/files//2016/03/PGC-CENSIMENTO-POPOLAZIONE-E-ABITAZION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A34C-C9FA-4CCD-B618-78F1B70C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2860</Words>
  <Characters>17164</Characters>
  <Application>Microsoft Office Word</Application>
  <DocSecurity>0</DocSecurity>
  <Lines>143</Lines>
  <Paragraphs>39</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ISTAT</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2018-05-18T12:53:00Z</cp:lastPrinted>
  <dcterms:created xsi:type="dcterms:W3CDTF">2018-05-21T05:37:00Z</dcterms:created>
  <dcterms:modified xsi:type="dcterms:W3CDTF">2018-05-21T05:37:00Z</dcterms:modified>
</cp:coreProperties>
</file>