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FF" w:rsidRPr="00512D06" w:rsidRDefault="004E13FF" w:rsidP="001F498F">
      <w:pPr>
        <w:spacing w:line="360" w:lineRule="auto"/>
        <w:jc w:val="center"/>
        <w:rPr>
          <w:rFonts w:asciiTheme="minorBidi" w:hAnsiTheme="minorBidi"/>
          <w:sz w:val="48"/>
          <w:szCs w:val="48"/>
        </w:rPr>
      </w:pPr>
      <w:r w:rsidRPr="00512D06">
        <w:rPr>
          <w:rFonts w:asciiTheme="minorBidi" w:eastAsia="Times New Roman" w:hAnsiTheme="minorBidi"/>
          <w:b/>
          <w:bCs/>
          <w:sz w:val="48"/>
          <w:szCs w:val="48"/>
          <w:lang w:eastAsia="fr-FR"/>
        </w:rPr>
        <w:t xml:space="preserve">A magical mirror: Israelis, Palestinians, Jordanians and Egyptians cooperate to improve their </w:t>
      </w:r>
      <w:r w:rsidR="001F498F">
        <w:rPr>
          <w:rFonts w:asciiTheme="minorBidi" w:eastAsia="Times New Roman" w:hAnsiTheme="minorBidi"/>
          <w:b/>
          <w:bCs/>
          <w:sz w:val="48"/>
          <w:szCs w:val="48"/>
          <w:lang w:eastAsia="fr-FR"/>
        </w:rPr>
        <w:t>f</w:t>
      </w:r>
      <w:r w:rsidRPr="00512D06">
        <w:rPr>
          <w:rFonts w:asciiTheme="minorBidi" w:eastAsia="Times New Roman" w:hAnsiTheme="minorBidi"/>
          <w:b/>
          <w:bCs/>
          <w:sz w:val="48"/>
          <w:szCs w:val="48"/>
          <w:lang w:eastAsia="fr-FR"/>
        </w:rPr>
        <w:t xml:space="preserve">oreign </w:t>
      </w:r>
      <w:r w:rsidR="001F498F">
        <w:rPr>
          <w:rFonts w:asciiTheme="minorBidi" w:eastAsia="Times New Roman" w:hAnsiTheme="minorBidi"/>
          <w:b/>
          <w:bCs/>
          <w:sz w:val="48"/>
          <w:szCs w:val="48"/>
          <w:lang w:eastAsia="fr-FR"/>
        </w:rPr>
        <w:t>t</w:t>
      </w:r>
      <w:r w:rsidRPr="00512D06">
        <w:rPr>
          <w:rFonts w:asciiTheme="minorBidi" w:eastAsia="Times New Roman" w:hAnsiTheme="minorBidi"/>
          <w:b/>
          <w:bCs/>
          <w:sz w:val="48"/>
          <w:szCs w:val="48"/>
          <w:lang w:eastAsia="fr-FR"/>
        </w:rPr>
        <w:t xml:space="preserve">rade </w:t>
      </w:r>
      <w:r w:rsidR="001F498F">
        <w:rPr>
          <w:rFonts w:asciiTheme="minorBidi" w:eastAsia="Times New Roman" w:hAnsiTheme="minorBidi"/>
          <w:b/>
          <w:bCs/>
          <w:sz w:val="48"/>
          <w:szCs w:val="48"/>
          <w:lang w:eastAsia="fr-FR"/>
        </w:rPr>
        <w:t>s</w:t>
      </w:r>
      <w:r w:rsidRPr="00512D06">
        <w:rPr>
          <w:rFonts w:asciiTheme="minorBidi" w:eastAsia="Times New Roman" w:hAnsiTheme="minorBidi"/>
          <w:b/>
          <w:bCs/>
          <w:sz w:val="48"/>
          <w:szCs w:val="48"/>
          <w:lang w:eastAsia="fr-FR"/>
        </w:rPr>
        <w:t>tatistics</w:t>
      </w:r>
      <w:r w:rsidR="00DF3844" w:rsidRPr="00512D06">
        <w:rPr>
          <w:rFonts w:asciiTheme="minorBidi" w:eastAsia="Times New Roman" w:hAnsiTheme="minorBidi"/>
          <w:b/>
          <w:bCs/>
          <w:sz w:val="48"/>
          <w:szCs w:val="48"/>
          <w:lang w:eastAsia="fr-FR"/>
        </w:rPr>
        <w:t xml:space="preserve">                          </w:t>
      </w:r>
      <w:r w:rsidRPr="00512D06">
        <w:rPr>
          <w:rFonts w:asciiTheme="minorBidi" w:eastAsia="Times New Roman" w:hAnsiTheme="minorBidi"/>
          <w:b/>
          <w:bCs/>
          <w:sz w:val="48"/>
          <w:szCs w:val="48"/>
          <w:lang w:eastAsia="fr-FR"/>
        </w:rPr>
        <w:t>by using "Mirror Exercises</w:t>
      </w:r>
      <w:r w:rsidRPr="00512D06">
        <w:rPr>
          <w:rFonts w:asciiTheme="minorBidi" w:hAnsiTheme="minorBidi"/>
          <w:sz w:val="48"/>
          <w:szCs w:val="48"/>
        </w:rPr>
        <w:t>"</w:t>
      </w:r>
    </w:p>
    <w:p w:rsidR="004E13FF" w:rsidRPr="00E003D9" w:rsidRDefault="004E13FF" w:rsidP="004E13FF">
      <w:pPr>
        <w:spacing w:line="240" w:lineRule="auto"/>
        <w:jc w:val="center"/>
        <w:rPr>
          <w:rFonts w:asciiTheme="minorBidi" w:hAnsiTheme="minorBidi"/>
          <w:sz w:val="40"/>
          <w:szCs w:val="40"/>
          <w:lang w:val="en-US"/>
        </w:rPr>
      </w:pPr>
    </w:p>
    <w:p w:rsidR="004E13FF" w:rsidRPr="00187F64" w:rsidRDefault="004E13FF" w:rsidP="00AA3B00">
      <w:pPr>
        <w:pStyle w:val="af4"/>
        <w:bidi w:val="0"/>
        <w:spacing w:line="360" w:lineRule="auto"/>
        <w:ind w:left="420"/>
        <w:rPr>
          <w:rFonts w:asciiTheme="minorBidi" w:hAnsiTheme="minorBidi"/>
          <w:sz w:val="24"/>
          <w:szCs w:val="24"/>
        </w:rPr>
      </w:pPr>
      <w:r w:rsidRPr="00187F64">
        <w:rPr>
          <w:rFonts w:asciiTheme="minorBidi" w:hAnsiTheme="minorBidi"/>
          <w:sz w:val="24"/>
          <w:szCs w:val="24"/>
        </w:rPr>
        <w:t xml:space="preserve">Nili </w:t>
      </w:r>
      <w:proofErr w:type="spellStart"/>
      <w:r w:rsidRPr="00187F64">
        <w:rPr>
          <w:rFonts w:asciiTheme="minorBidi" w:hAnsiTheme="minorBidi"/>
          <w:sz w:val="24"/>
          <w:szCs w:val="24"/>
        </w:rPr>
        <w:t>Karsai</w:t>
      </w:r>
      <w:proofErr w:type="spellEnd"/>
      <w:r>
        <w:rPr>
          <w:rFonts w:asciiTheme="minorBidi" w:hAnsiTheme="minorBidi"/>
          <w:sz w:val="24"/>
          <w:szCs w:val="24"/>
        </w:rPr>
        <w:t xml:space="preserve">, </w:t>
      </w:r>
      <w:r w:rsidRPr="00187F64">
        <w:rPr>
          <w:rFonts w:asciiTheme="minorBidi" w:hAnsiTheme="minorBidi"/>
          <w:sz w:val="24"/>
          <w:szCs w:val="24"/>
        </w:rPr>
        <w:t>Israel Central Bureau of Statistics</w:t>
      </w:r>
      <w:r>
        <w:rPr>
          <w:rFonts w:asciiTheme="minorBidi" w:hAnsiTheme="minorBidi"/>
          <w:sz w:val="24"/>
          <w:szCs w:val="24"/>
        </w:rPr>
        <w:t xml:space="preserve">, </w:t>
      </w:r>
      <w:r w:rsidRPr="00187F64">
        <w:rPr>
          <w:rFonts w:asciiTheme="minorBidi" w:hAnsiTheme="minorBidi"/>
          <w:sz w:val="24"/>
          <w:szCs w:val="24"/>
        </w:rPr>
        <w:t>Israel</w:t>
      </w:r>
      <w:r w:rsidR="00CD2120">
        <w:rPr>
          <w:rFonts w:asciiTheme="minorBidi" w:hAnsiTheme="minorBidi"/>
          <w:sz w:val="24"/>
          <w:szCs w:val="24"/>
        </w:rPr>
        <w:t>,</w:t>
      </w:r>
      <w:r w:rsidRPr="00187F64">
        <w:rPr>
          <w:rFonts w:asciiTheme="minorBidi" w:hAnsiTheme="minorBidi"/>
          <w:sz w:val="24"/>
          <w:szCs w:val="24"/>
        </w:rPr>
        <w:t xml:space="preserve"> </w:t>
      </w:r>
      <w:hyperlink r:id="rId8" w:history="1">
        <w:r w:rsidRPr="00187F64">
          <w:rPr>
            <w:rStyle w:val="Hyperlink"/>
            <w:rFonts w:asciiTheme="minorBidi" w:hAnsiTheme="minorBidi"/>
            <w:sz w:val="24"/>
            <w:szCs w:val="24"/>
          </w:rPr>
          <w:t>nili@cbs.gov.il</w:t>
        </w:r>
      </w:hyperlink>
    </w:p>
    <w:p w:rsidR="004E13FF" w:rsidRDefault="004E13FF" w:rsidP="00E003D9">
      <w:pPr>
        <w:spacing w:line="360" w:lineRule="auto"/>
        <w:rPr>
          <w:rFonts w:asciiTheme="minorBidi" w:hAnsiTheme="minorBidi"/>
          <w:sz w:val="24"/>
          <w:szCs w:val="24"/>
        </w:rPr>
      </w:pPr>
      <w:r>
        <w:rPr>
          <w:rFonts w:asciiTheme="minorBidi" w:hAnsiTheme="minorBidi"/>
          <w:sz w:val="24"/>
          <w:szCs w:val="24"/>
        </w:rPr>
        <w:t xml:space="preserve">      </w:t>
      </w:r>
      <w:r w:rsidRPr="00187F64">
        <w:rPr>
          <w:rFonts w:asciiTheme="minorBidi" w:hAnsiTheme="minorBidi"/>
          <w:sz w:val="24"/>
          <w:szCs w:val="24"/>
        </w:rPr>
        <w:t>Helen Brusilovsky</w:t>
      </w:r>
      <w:r>
        <w:rPr>
          <w:rFonts w:asciiTheme="minorBidi" w:hAnsiTheme="minorBidi"/>
          <w:sz w:val="24"/>
          <w:szCs w:val="24"/>
        </w:rPr>
        <w:t>,</w:t>
      </w:r>
      <w:r w:rsidR="00E003D9" w:rsidRPr="00E003D9">
        <w:rPr>
          <w:rFonts w:asciiTheme="minorBidi" w:hAnsiTheme="minorBidi"/>
          <w:sz w:val="24"/>
          <w:szCs w:val="24"/>
        </w:rPr>
        <w:t xml:space="preserve"> </w:t>
      </w:r>
      <w:r w:rsidR="00E003D9" w:rsidRPr="00187F64">
        <w:rPr>
          <w:rFonts w:asciiTheme="minorBidi" w:hAnsiTheme="minorBidi"/>
          <w:sz w:val="24"/>
          <w:szCs w:val="24"/>
        </w:rPr>
        <w:t>Israel Central Bureau of Statistics</w:t>
      </w:r>
      <w:r w:rsidRPr="00187F64">
        <w:rPr>
          <w:rFonts w:asciiTheme="minorBidi" w:hAnsiTheme="minorBidi"/>
          <w:sz w:val="24"/>
          <w:szCs w:val="24"/>
        </w:rPr>
        <w:t xml:space="preserve">, Israel </w:t>
      </w:r>
      <w:r w:rsidR="00CD2120">
        <w:rPr>
          <w:rFonts w:asciiTheme="minorBidi" w:hAnsiTheme="minorBidi"/>
          <w:sz w:val="24"/>
          <w:szCs w:val="24"/>
        </w:rPr>
        <w:t>,</w:t>
      </w:r>
      <w:r w:rsidR="00CD2120" w:rsidRPr="00187F64">
        <w:rPr>
          <w:rFonts w:asciiTheme="minorBidi" w:hAnsiTheme="minorBidi"/>
          <w:sz w:val="24"/>
          <w:szCs w:val="24"/>
        </w:rPr>
        <w:t xml:space="preserve"> </w:t>
      </w:r>
      <w:hyperlink r:id="rId9" w:history="1">
        <w:r w:rsidRPr="00187F64">
          <w:rPr>
            <w:rStyle w:val="Hyperlink"/>
            <w:rFonts w:asciiTheme="minorBidi" w:hAnsiTheme="minorBidi"/>
            <w:sz w:val="24"/>
            <w:szCs w:val="24"/>
          </w:rPr>
          <w:t>helen@cbs.gov.il</w:t>
        </w:r>
      </w:hyperlink>
    </w:p>
    <w:p w:rsidR="00E003D9" w:rsidRDefault="00E003D9" w:rsidP="00C726EA">
      <w:pPr>
        <w:spacing w:before="240" w:after="0" w:line="360" w:lineRule="auto"/>
        <w:jc w:val="both"/>
        <w:rPr>
          <w:rFonts w:ascii="Arial" w:hAnsi="Arial" w:cs="Arial"/>
          <w:b/>
          <w:sz w:val="20"/>
          <w:szCs w:val="20"/>
          <w:lang w:val="en-GB"/>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02F70" w:rsidRPr="00CD2120" w:rsidRDefault="00D02F70" w:rsidP="000349BA">
      <w:pPr>
        <w:spacing w:line="360" w:lineRule="auto"/>
        <w:jc w:val="both"/>
        <w:rPr>
          <w:rFonts w:asciiTheme="minorBidi" w:eastAsia="Times New Roman" w:hAnsiTheme="minorBidi"/>
          <w:i/>
          <w:iCs/>
          <w:sz w:val="20"/>
          <w:szCs w:val="20"/>
          <w:lang w:eastAsia="fr-FR"/>
        </w:rPr>
      </w:pPr>
      <w:r w:rsidRPr="00CD2120">
        <w:rPr>
          <w:rFonts w:asciiTheme="minorBidi" w:eastAsia="Times New Roman" w:hAnsiTheme="minorBidi"/>
          <w:i/>
          <w:iCs/>
          <w:sz w:val="20"/>
          <w:szCs w:val="20"/>
          <w:lang w:eastAsia="fr-FR"/>
        </w:rPr>
        <w:t>Official foreign trade statisticians deal with asymmetry problems in bilateral trade statistics. In an ideal situation, country A's data on exports to country B should be equal to country B's data on imports from country A. In real life there are discrepancies which create confusion among users of trade statistics</w:t>
      </w:r>
      <w:r w:rsidR="000421AE">
        <w:rPr>
          <w:rFonts w:asciiTheme="minorBidi" w:eastAsia="Times New Roman" w:hAnsiTheme="minorBidi"/>
          <w:i/>
          <w:iCs/>
          <w:sz w:val="20"/>
          <w:szCs w:val="20"/>
          <w:lang w:val="en-US" w:eastAsia="fr-FR"/>
        </w:rPr>
        <w:t>.</w:t>
      </w:r>
      <w:r w:rsidR="007436FB">
        <w:rPr>
          <w:rFonts w:asciiTheme="minorBidi" w:eastAsia="Times New Roman" w:hAnsiTheme="minorBidi"/>
          <w:i/>
          <w:iCs/>
          <w:sz w:val="20"/>
          <w:szCs w:val="20"/>
          <w:lang w:val="en-US" w:eastAsia="fr-FR"/>
        </w:rPr>
        <w:t xml:space="preserve"> </w:t>
      </w:r>
      <w:r w:rsidR="000421AE">
        <w:rPr>
          <w:rFonts w:asciiTheme="minorBidi" w:eastAsia="Times New Roman" w:hAnsiTheme="minorBidi"/>
          <w:i/>
          <w:iCs/>
          <w:sz w:val="20"/>
          <w:szCs w:val="20"/>
          <w:lang w:val="en-US" w:eastAsia="fr-FR"/>
        </w:rPr>
        <w:t>Discrepancies</w:t>
      </w:r>
      <w:r w:rsidR="000421AE">
        <w:rPr>
          <w:rFonts w:asciiTheme="minorBidi" w:eastAsia="Times New Roman" w:hAnsiTheme="minorBidi"/>
          <w:i/>
          <w:iCs/>
          <w:sz w:val="20"/>
          <w:szCs w:val="20"/>
          <w:lang w:eastAsia="fr-FR"/>
        </w:rPr>
        <w:t xml:space="preserve"> </w:t>
      </w:r>
      <w:r w:rsidRPr="00CD2120">
        <w:rPr>
          <w:rFonts w:asciiTheme="minorBidi" w:eastAsia="Times New Roman" w:hAnsiTheme="minorBidi"/>
          <w:i/>
          <w:iCs/>
          <w:sz w:val="20"/>
          <w:szCs w:val="20"/>
          <w:lang w:eastAsia="fr-FR"/>
        </w:rPr>
        <w:t>should be reduced as much as possible since accurate and comparable trade statistics helps decision makers and facilitate actual trade.</w:t>
      </w:r>
      <w:r w:rsidR="00DB2620" w:rsidRPr="00CD2120">
        <w:rPr>
          <w:rFonts w:asciiTheme="minorBidi" w:eastAsia="Times New Roman" w:hAnsiTheme="minorBidi"/>
          <w:i/>
          <w:iCs/>
          <w:sz w:val="20"/>
          <w:szCs w:val="20"/>
          <w:lang w:eastAsia="fr-FR"/>
        </w:rPr>
        <w:t xml:space="preserve"> </w:t>
      </w:r>
      <w:r w:rsidRPr="00CD2120">
        <w:rPr>
          <w:rFonts w:asciiTheme="minorBidi" w:eastAsia="Times New Roman" w:hAnsiTheme="minorBidi"/>
          <w:i/>
          <w:iCs/>
          <w:sz w:val="20"/>
          <w:szCs w:val="20"/>
          <w:lang w:eastAsia="fr-FR"/>
        </w:rPr>
        <w:t xml:space="preserve">"Mirror Exercises" are a quality methodological tool used to identify reasons of such </w:t>
      </w:r>
      <w:r w:rsidR="000421AE">
        <w:rPr>
          <w:rFonts w:asciiTheme="minorBidi" w:eastAsia="Times New Roman" w:hAnsiTheme="minorBidi"/>
          <w:i/>
          <w:iCs/>
          <w:sz w:val="20"/>
          <w:szCs w:val="20"/>
          <w:lang w:eastAsia="fr-FR"/>
        </w:rPr>
        <w:t>asymmetries</w:t>
      </w:r>
      <w:r w:rsidRPr="00CD2120">
        <w:rPr>
          <w:rFonts w:asciiTheme="minorBidi" w:eastAsia="Times New Roman" w:hAnsiTheme="minorBidi"/>
          <w:i/>
          <w:iCs/>
          <w:sz w:val="20"/>
          <w:szCs w:val="20"/>
          <w:lang w:eastAsia="fr-FR"/>
        </w:rPr>
        <w:t xml:space="preserve"> and conduct reconciliations. The </w:t>
      </w:r>
      <w:r w:rsidR="000349BA">
        <w:rPr>
          <w:rFonts w:asciiTheme="minorBidi" w:eastAsia="Times New Roman" w:hAnsiTheme="minorBidi"/>
          <w:i/>
          <w:iCs/>
          <w:sz w:val="20"/>
          <w:szCs w:val="20"/>
          <w:lang w:eastAsia="fr-FR"/>
        </w:rPr>
        <w:t>paper</w:t>
      </w:r>
      <w:r w:rsidRPr="00CD2120">
        <w:rPr>
          <w:rFonts w:asciiTheme="minorBidi" w:eastAsia="Times New Roman" w:hAnsiTheme="minorBidi"/>
          <w:i/>
          <w:iCs/>
          <w:sz w:val="20"/>
          <w:szCs w:val="20"/>
          <w:lang w:eastAsia="fr-FR"/>
        </w:rPr>
        <w:t xml:space="preserve"> reviews some basic concepts of official foreign trade in goods statistics needed to understand the subject. The issue is explained by a case example: Mirror </w:t>
      </w:r>
      <w:r w:rsidR="003E6BA6">
        <w:rPr>
          <w:rFonts w:asciiTheme="minorBidi" w:eastAsia="Times New Roman" w:hAnsiTheme="minorBidi"/>
          <w:i/>
          <w:iCs/>
          <w:sz w:val="20"/>
          <w:szCs w:val="20"/>
          <w:lang w:eastAsia="fr-FR"/>
        </w:rPr>
        <w:t>E</w:t>
      </w:r>
      <w:r w:rsidRPr="00CD2120">
        <w:rPr>
          <w:rFonts w:asciiTheme="minorBidi" w:eastAsia="Times New Roman" w:hAnsiTheme="minorBidi"/>
          <w:i/>
          <w:iCs/>
          <w:sz w:val="20"/>
          <w:szCs w:val="20"/>
          <w:lang w:eastAsia="fr-FR"/>
        </w:rPr>
        <w:t xml:space="preserve">xercises on Israeli, Palestinian, Jordanian and Egyptian official bilateral trade in goods statistics. The exercises were organized and supported by the European Union (EU) Euro-Mediterranean Statistical Cooperation Project (MEDSTAT). The main reasons for the discrepancies found in these </w:t>
      </w:r>
      <w:r w:rsidR="003E6BA6">
        <w:rPr>
          <w:rFonts w:asciiTheme="minorBidi" w:eastAsia="Times New Roman" w:hAnsiTheme="minorBidi"/>
          <w:i/>
          <w:iCs/>
          <w:sz w:val="20"/>
          <w:szCs w:val="20"/>
          <w:lang w:eastAsia="fr-FR"/>
        </w:rPr>
        <w:t>M</w:t>
      </w:r>
      <w:r w:rsidRPr="00CD2120">
        <w:rPr>
          <w:rFonts w:asciiTheme="minorBidi" w:eastAsia="Times New Roman" w:hAnsiTheme="minorBidi"/>
          <w:i/>
          <w:iCs/>
          <w:sz w:val="20"/>
          <w:szCs w:val="20"/>
          <w:lang w:eastAsia="fr-FR"/>
        </w:rPr>
        <w:t xml:space="preserve">irror </w:t>
      </w:r>
      <w:r w:rsidR="003E6BA6">
        <w:rPr>
          <w:rFonts w:asciiTheme="minorBidi" w:eastAsia="Times New Roman" w:hAnsiTheme="minorBidi"/>
          <w:i/>
          <w:iCs/>
          <w:sz w:val="20"/>
          <w:szCs w:val="20"/>
          <w:lang w:eastAsia="fr-FR"/>
        </w:rPr>
        <w:t>E</w:t>
      </w:r>
      <w:r w:rsidRPr="00CD2120">
        <w:rPr>
          <w:rFonts w:asciiTheme="minorBidi" w:eastAsia="Times New Roman" w:hAnsiTheme="minorBidi"/>
          <w:i/>
          <w:iCs/>
          <w:sz w:val="20"/>
          <w:szCs w:val="20"/>
          <w:lang w:eastAsia="fr-FR"/>
        </w:rPr>
        <w:t xml:space="preserve">xercises were: The use of different trade systems, diverse data sources, misclassifications, data recording issues and errors. Quality improvements achieved in the exercises were as follows, better implementation of international standards, improved coverage and greater harmonization of trade in goods statistics. </w:t>
      </w:r>
    </w:p>
    <w:p w:rsidR="001D1B8E" w:rsidRDefault="00D02F70" w:rsidP="00CA3F58">
      <w:pPr>
        <w:spacing w:line="360" w:lineRule="auto"/>
        <w:jc w:val="both"/>
        <w:rPr>
          <w:rFonts w:asciiTheme="minorBidi" w:eastAsia="Times New Roman" w:hAnsiTheme="minorBidi"/>
          <w:b/>
          <w:bCs/>
          <w:sz w:val="20"/>
          <w:szCs w:val="20"/>
          <w:lang w:eastAsia="fr-FR"/>
        </w:rPr>
      </w:pPr>
      <w:r w:rsidRPr="00CD2120">
        <w:rPr>
          <w:rFonts w:asciiTheme="minorBidi" w:eastAsia="Times New Roman" w:hAnsiTheme="minorBidi"/>
          <w:i/>
          <w:iCs/>
          <w:sz w:val="20"/>
          <w:szCs w:val="20"/>
          <w:lang w:eastAsia="fr-FR"/>
        </w:rPr>
        <w:t xml:space="preserve">The paper was written in a user-friendly </w:t>
      </w:r>
      <w:r w:rsidR="000421AE">
        <w:rPr>
          <w:rFonts w:asciiTheme="minorBidi" w:eastAsia="Times New Roman" w:hAnsiTheme="minorBidi"/>
          <w:i/>
          <w:iCs/>
          <w:sz w:val="20"/>
          <w:szCs w:val="20"/>
          <w:lang w:eastAsia="fr-FR"/>
        </w:rPr>
        <w:t>"</w:t>
      </w:r>
      <w:r w:rsidRPr="00CD2120">
        <w:rPr>
          <w:rFonts w:asciiTheme="minorBidi" w:eastAsia="Times New Roman" w:hAnsiTheme="minorBidi"/>
          <w:i/>
          <w:iCs/>
          <w:sz w:val="20"/>
          <w:szCs w:val="20"/>
          <w:lang w:eastAsia="fr-FR"/>
        </w:rPr>
        <w:t>Statistics Storytelling</w:t>
      </w:r>
      <w:r w:rsidR="000421AE">
        <w:rPr>
          <w:rFonts w:asciiTheme="minorBidi" w:eastAsia="Times New Roman" w:hAnsiTheme="minorBidi"/>
          <w:i/>
          <w:iCs/>
          <w:sz w:val="20"/>
          <w:szCs w:val="20"/>
          <w:lang w:eastAsia="fr-FR"/>
        </w:rPr>
        <w:t>"</w:t>
      </w:r>
      <w:r w:rsidRPr="00CD2120">
        <w:rPr>
          <w:rFonts w:asciiTheme="minorBidi" w:eastAsia="Times New Roman" w:hAnsiTheme="minorBidi"/>
          <w:i/>
          <w:iCs/>
          <w:sz w:val="20"/>
          <w:szCs w:val="20"/>
          <w:lang w:eastAsia="fr-FR"/>
        </w:rPr>
        <w:t xml:space="preserve"> style, as recommended by the United Nations (UN) guide for increasing literacy of official statistics among users</w:t>
      </w:r>
      <w:r w:rsidR="001D1B8E">
        <w:rPr>
          <w:rFonts w:asciiTheme="minorBidi" w:eastAsia="Times New Roman" w:hAnsiTheme="minorBidi"/>
          <w:i/>
          <w:iCs/>
          <w:sz w:val="20"/>
          <w:szCs w:val="20"/>
          <w:lang w:eastAsia="fr-FR"/>
        </w:rPr>
        <w:t>.</w:t>
      </w:r>
      <w:r w:rsidRPr="00CD2120">
        <w:rPr>
          <w:rFonts w:asciiTheme="minorBidi" w:eastAsia="Times New Roman" w:hAnsiTheme="minorBidi"/>
          <w:i/>
          <w:iCs/>
          <w:sz w:val="20"/>
          <w:szCs w:val="20"/>
          <w:lang w:eastAsia="fr-FR"/>
        </w:rPr>
        <w:t xml:space="preserve"> </w:t>
      </w:r>
    </w:p>
    <w:p w:rsidR="00CD2120" w:rsidRDefault="00D02F70" w:rsidP="003E6BA6">
      <w:pPr>
        <w:spacing w:line="360" w:lineRule="auto"/>
        <w:jc w:val="both"/>
        <w:rPr>
          <w:rFonts w:asciiTheme="minorBidi" w:eastAsia="Times New Roman" w:hAnsiTheme="minorBidi"/>
          <w:sz w:val="16"/>
          <w:szCs w:val="16"/>
          <w:lang w:eastAsia="fr-FR"/>
        </w:rPr>
      </w:pPr>
      <w:r w:rsidRPr="00742732">
        <w:rPr>
          <w:rFonts w:asciiTheme="minorBidi" w:eastAsia="Times New Roman" w:hAnsiTheme="minorBidi"/>
          <w:b/>
          <w:bCs/>
          <w:sz w:val="20"/>
          <w:szCs w:val="20"/>
          <w:lang w:eastAsia="fr-FR"/>
        </w:rPr>
        <w:t>Keywords:</w:t>
      </w:r>
      <w:r w:rsidR="006D536E">
        <w:rPr>
          <w:rFonts w:asciiTheme="minorBidi" w:hAnsiTheme="minorBidi"/>
          <w:sz w:val="20"/>
          <w:szCs w:val="20"/>
        </w:rPr>
        <w:t xml:space="preserve"> </w:t>
      </w:r>
      <w:r w:rsidRPr="00742732">
        <w:rPr>
          <w:rFonts w:asciiTheme="minorBidi" w:hAnsiTheme="minorBidi"/>
          <w:sz w:val="20"/>
          <w:szCs w:val="20"/>
        </w:rPr>
        <w:t>Bilateral</w:t>
      </w:r>
      <w:r w:rsidR="006D536E">
        <w:rPr>
          <w:rFonts w:asciiTheme="minorBidi" w:hAnsiTheme="minorBidi"/>
          <w:sz w:val="20"/>
          <w:szCs w:val="20"/>
        </w:rPr>
        <w:t xml:space="preserve"> </w:t>
      </w:r>
      <w:r w:rsidRPr="00742732">
        <w:rPr>
          <w:rFonts w:asciiTheme="minorBidi" w:hAnsiTheme="minorBidi"/>
          <w:sz w:val="20"/>
          <w:szCs w:val="20"/>
        </w:rPr>
        <w:t>trade in goods statistics,</w:t>
      </w:r>
      <w:r w:rsidR="006D536E">
        <w:rPr>
          <w:rFonts w:asciiTheme="minorBidi" w:hAnsiTheme="minorBidi"/>
          <w:sz w:val="20"/>
          <w:szCs w:val="20"/>
        </w:rPr>
        <w:t xml:space="preserve"> </w:t>
      </w:r>
      <w:r w:rsidRPr="00742732">
        <w:rPr>
          <w:rFonts w:asciiTheme="minorBidi" w:hAnsiTheme="minorBidi"/>
          <w:sz w:val="20"/>
          <w:szCs w:val="20"/>
        </w:rPr>
        <w:t xml:space="preserve">Mirror </w:t>
      </w:r>
      <w:r w:rsidR="003E6BA6">
        <w:rPr>
          <w:rFonts w:asciiTheme="minorBidi" w:hAnsiTheme="minorBidi"/>
          <w:sz w:val="20"/>
          <w:szCs w:val="20"/>
        </w:rPr>
        <w:t>E</w:t>
      </w:r>
      <w:r w:rsidRPr="00742732">
        <w:rPr>
          <w:rFonts w:asciiTheme="minorBidi" w:hAnsiTheme="minorBidi"/>
          <w:sz w:val="20"/>
          <w:szCs w:val="20"/>
        </w:rPr>
        <w:t>xercises,</w:t>
      </w:r>
      <w:r w:rsidR="006058DB">
        <w:rPr>
          <w:rFonts w:asciiTheme="minorBidi" w:hAnsiTheme="minorBidi"/>
          <w:sz w:val="20"/>
          <w:szCs w:val="20"/>
        </w:rPr>
        <w:t xml:space="preserve"> </w:t>
      </w:r>
      <w:r w:rsidRPr="00742732">
        <w:rPr>
          <w:rFonts w:asciiTheme="minorBidi" w:hAnsiTheme="minorBidi"/>
          <w:sz w:val="20"/>
          <w:szCs w:val="20"/>
        </w:rPr>
        <w:t>Data asymmetries</w:t>
      </w:r>
      <w:r w:rsidR="00DB2620">
        <w:rPr>
          <w:rFonts w:asciiTheme="minorBidi" w:eastAsia="Times New Roman" w:hAnsiTheme="minorBidi"/>
          <w:sz w:val="20"/>
          <w:szCs w:val="20"/>
          <w:lang w:eastAsia="fr-FR"/>
        </w:rPr>
        <w:t>,</w:t>
      </w:r>
      <w:r w:rsidRPr="00742732">
        <w:rPr>
          <w:rFonts w:asciiTheme="minorBidi" w:hAnsiTheme="minorBidi"/>
          <w:sz w:val="20"/>
          <w:szCs w:val="20"/>
        </w:rPr>
        <w:t xml:space="preserve"> </w:t>
      </w:r>
      <w:r w:rsidR="00DB2620">
        <w:rPr>
          <w:rFonts w:asciiTheme="minorBidi" w:hAnsiTheme="minorBidi"/>
          <w:sz w:val="20"/>
          <w:szCs w:val="20"/>
        </w:rPr>
        <w:t>MEDSTAT</w:t>
      </w:r>
      <w:r w:rsidR="00C930DE">
        <w:rPr>
          <w:rFonts w:asciiTheme="minorBidi" w:hAnsiTheme="minorBidi"/>
          <w:sz w:val="20"/>
          <w:szCs w:val="20"/>
        </w:rPr>
        <w:t xml:space="preserve">, </w:t>
      </w:r>
      <w:r w:rsidR="00C930DE" w:rsidRPr="00742732">
        <w:rPr>
          <w:rFonts w:asciiTheme="minorBidi" w:hAnsiTheme="minorBidi"/>
          <w:sz w:val="20"/>
          <w:szCs w:val="20"/>
        </w:rPr>
        <w:t>Statistics</w:t>
      </w:r>
      <w:r w:rsidR="00C930DE">
        <w:rPr>
          <w:rFonts w:asciiTheme="minorBidi" w:hAnsiTheme="minorBidi"/>
          <w:sz w:val="20"/>
          <w:szCs w:val="20"/>
        </w:rPr>
        <w:t xml:space="preserve"> </w:t>
      </w:r>
      <w:r w:rsidR="003E6BA6">
        <w:rPr>
          <w:rFonts w:asciiTheme="minorBidi" w:hAnsiTheme="minorBidi"/>
          <w:sz w:val="20"/>
          <w:szCs w:val="20"/>
        </w:rPr>
        <w:t>S</w:t>
      </w:r>
      <w:r w:rsidR="00C930DE">
        <w:rPr>
          <w:rFonts w:asciiTheme="minorBidi" w:hAnsiTheme="minorBidi"/>
          <w:sz w:val="20"/>
          <w:szCs w:val="20"/>
        </w:rPr>
        <w:t>torytelling</w:t>
      </w:r>
    </w:p>
    <w:p w:rsidR="00512D06" w:rsidRDefault="00512D06" w:rsidP="005E5F5A">
      <w:pPr>
        <w:spacing w:line="360" w:lineRule="auto"/>
        <w:jc w:val="both"/>
        <w:rPr>
          <w:rFonts w:asciiTheme="minorBidi" w:eastAsia="Times New Roman" w:hAnsiTheme="minorBidi"/>
          <w:sz w:val="16"/>
          <w:szCs w:val="16"/>
          <w:lang w:eastAsia="fr-FR"/>
        </w:rPr>
      </w:pPr>
    </w:p>
    <w:p w:rsidR="00512D06" w:rsidRDefault="00512D06" w:rsidP="005E5F5A">
      <w:pPr>
        <w:spacing w:line="360" w:lineRule="auto"/>
        <w:jc w:val="both"/>
        <w:rPr>
          <w:rFonts w:asciiTheme="minorBidi" w:eastAsia="Times New Roman" w:hAnsiTheme="minorBidi"/>
          <w:sz w:val="16"/>
          <w:szCs w:val="16"/>
          <w:lang w:eastAsia="fr-FR"/>
        </w:rPr>
      </w:pPr>
    </w:p>
    <w:p w:rsidR="00512D06" w:rsidRDefault="00512D06" w:rsidP="005E5F5A">
      <w:pPr>
        <w:spacing w:line="360" w:lineRule="auto"/>
        <w:jc w:val="both"/>
        <w:rPr>
          <w:rFonts w:asciiTheme="minorBidi" w:eastAsia="Times New Roman" w:hAnsiTheme="minorBidi"/>
          <w:sz w:val="16"/>
          <w:szCs w:val="16"/>
          <w:lang w:eastAsia="fr-FR"/>
        </w:rPr>
      </w:pPr>
    </w:p>
    <w:p w:rsidR="00512D06" w:rsidRDefault="00512D06" w:rsidP="005E5F5A">
      <w:pPr>
        <w:spacing w:line="360" w:lineRule="auto"/>
        <w:jc w:val="both"/>
        <w:rPr>
          <w:rFonts w:asciiTheme="minorBidi" w:eastAsia="Times New Roman" w:hAnsiTheme="minorBidi"/>
          <w:sz w:val="16"/>
          <w:szCs w:val="16"/>
          <w:lang w:eastAsia="fr-FR"/>
        </w:rPr>
      </w:pPr>
    </w:p>
    <w:p w:rsidR="004E13FF" w:rsidRPr="0023058F" w:rsidRDefault="004E13FF" w:rsidP="001646F8">
      <w:pPr>
        <w:spacing w:line="360" w:lineRule="auto"/>
        <w:jc w:val="both"/>
        <w:rPr>
          <w:rFonts w:asciiTheme="minorBidi" w:eastAsia="Times New Roman" w:hAnsiTheme="minorBidi"/>
          <w:b/>
          <w:bCs/>
          <w:sz w:val="24"/>
          <w:szCs w:val="24"/>
          <w:lang w:eastAsia="fr-FR"/>
        </w:rPr>
      </w:pPr>
      <w:r w:rsidRPr="0023058F">
        <w:rPr>
          <w:rFonts w:asciiTheme="minorBidi" w:eastAsia="Times New Roman" w:hAnsiTheme="minorBidi"/>
          <w:b/>
          <w:bCs/>
          <w:sz w:val="24"/>
          <w:szCs w:val="24"/>
          <w:lang w:eastAsia="fr-FR"/>
        </w:rPr>
        <w:t xml:space="preserve">1.  What is Statistics </w:t>
      </w:r>
      <w:r w:rsidR="001646F8">
        <w:rPr>
          <w:rFonts w:asciiTheme="minorBidi" w:eastAsia="Times New Roman" w:hAnsiTheme="minorBidi"/>
          <w:b/>
          <w:bCs/>
          <w:sz w:val="24"/>
          <w:szCs w:val="24"/>
          <w:lang w:eastAsia="fr-FR"/>
        </w:rPr>
        <w:t>S</w:t>
      </w:r>
      <w:r w:rsidRPr="0023058F">
        <w:rPr>
          <w:rFonts w:asciiTheme="minorBidi" w:eastAsia="Times New Roman" w:hAnsiTheme="minorBidi"/>
          <w:b/>
          <w:bCs/>
          <w:sz w:val="24"/>
          <w:szCs w:val="24"/>
          <w:lang w:eastAsia="fr-FR"/>
        </w:rPr>
        <w:t>torytelling?</w:t>
      </w:r>
    </w:p>
    <w:p w:rsidR="00E524FD" w:rsidRDefault="000421AE" w:rsidP="00E847E7">
      <w:pPr>
        <w:spacing w:before="120" w:after="0" w:line="360" w:lineRule="auto"/>
        <w:contextualSpacing/>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w:t>
      </w:r>
      <w:r w:rsidR="004E13FF" w:rsidRPr="00187F64">
        <w:rPr>
          <w:rFonts w:asciiTheme="minorBidi" w:eastAsia="Times New Roman" w:hAnsiTheme="minorBidi"/>
          <w:sz w:val="24"/>
          <w:szCs w:val="24"/>
          <w:lang w:eastAsia="fr-FR"/>
        </w:rPr>
        <w:t xml:space="preserve">Statistics </w:t>
      </w:r>
      <w:r>
        <w:rPr>
          <w:rFonts w:asciiTheme="minorBidi" w:eastAsia="Times New Roman" w:hAnsiTheme="minorBidi"/>
          <w:sz w:val="24"/>
          <w:szCs w:val="24"/>
          <w:lang w:eastAsia="fr-FR"/>
        </w:rPr>
        <w:t>S</w:t>
      </w:r>
      <w:r w:rsidR="004E13FF" w:rsidRPr="00187F64">
        <w:rPr>
          <w:rFonts w:asciiTheme="minorBidi" w:eastAsia="Times New Roman" w:hAnsiTheme="minorBidi"/>
          <w:sz w:val="24"/>
          <w:szCs w:val="24"/>
          <w:lang w:eastAsia="fr-FR"/>
        </w:rPr>
        <w:t>torytelling</w:t>
      </w:r>
      <w:r>
        <w:rPr>
          <w:rFonts w:asciiTheme="minorBidi" w:eastAsia="Times New Roman" w:hAnsiTheme="minorBidi"/>
          <w:sz w:val="24"/>
          <w:szCs w:val="24"/>
          <w:lang w:eastAsia="fr-FR"/>
        </w:rPr>
        <w:t>"</w:t>
      </w:r>
      <w:r w:rsidR="004E13FF" w:rsidRPr="00187F64">
        <w:rPr>
          <w:rFonts w:asciiTheme="minorBidi" w:eastAsia="Times New Roman" w:hAnsiTheme="minorBidi"/>
          <w:sz w:val="24"/>
          <w:szCs w:val="24"/>
          <w:lang w:eastAsia="fr-FR"/>
        </w:rPr>
        <w:t xml:space="preserve"> is a method of writing on data and metadata in hope that readers will find the story interesting, relevant and useful. The aim of the story is to </w:t>
      </w:r>
      <w:r w:rsidR="00650942">
        <w:rPr>
          <w:rFonts w:asciiTheme="minorBidi" w:eastAsia="Times New Roman" w:hAnsiTheme="minorBidi"/>
          <w:sz w:val="24"/>
          <w:szCs w:val="24"/>
          <w:lang w:eastAsia="fr-FR"/>
        </w:rPr>
        <w:t>Increase</w:t>
      </w:r>
      <w:r w:rsidR="00650942" w:rsidRPr="005E5F5A">
        <w:rPr>
          <w:rFonts w:asciiTheme="minorBidi" w:eastAsia="Times New Roman" w:hAnsiTheme="minorBidi"/>
          <w:sz w:val="24"/>
          <w:szCs w:val="24"/>
          <w:lang w:eastAsia="fr-FR"/>
        </w:rPr>
        <w:t xml:space="preserve"> statistical lit</w:t>
      </w:r>
      <w:r w:rsidR="004F1481">
        <w:rPr>
          <w:rFonts w:asciiTheme="minorBidi" w:eastAsia="Times New Roman" w:hAnsiTheme="minorBidi"/>
          <w:sz w:val="24"/>
          <w:szCs w:val="24"/>
          <w:lang w:eastAsia="fr-FR"/>
        </w:rPr>
        <w:t>e</w:t>
      </w:r>
      <w:r w:rsidR="00650942" w:rsidRPr="005E5F5A">
        <w:rPr>
          <w:rFonts w:asciiTheme="minorBidi" w:eastAsia="Times New Roman" w:hAnsiTheme="minorBidi"/>
          <w:sz w:val="24"/>
          <w:szCs w:val="24"/>
          <w:lang w:eastAsia="fr-FR"/>
        </w:rPr>
        <w:t>r</w:t>
      </w:r>
      <w:r w:rsidR="004F1481">
        <w:rPr>
          <w:rFonts w:asciiTheme="minorBidi" w:eastAsia="Times New Roman" w:hAnsiTheme="minorBidi"/>
          <w:sz w:val="24"/>
          <w:szCs w:val="24"/>
          <w:lang w:eastAsia="fr-FR"/>
        </w:rPr>
        <w:t>a</w:t>
      </w:r>
      <w:r w:rsidR="00650942" w:rsidRPr="005E5F5A">
        <w:rPr>
          <w:rFonts w:asciiTheme="minorBidi" w:eastAsia="Times New Roman" w:hAnsiTheme="minorBidi"/>
          <w:sz w:val="24"/>
          <w:szCs w:val="24"/>
          <w:lang w:eastAsia="fr-FR"/>
        </w:rPr>
        <w:t>cy among non profe</w:t>
      </w:r>
      <w:r w:rsidR="00C626F8">
        <w:rPr>
          <w:rFonts w:asciiTheme="minorBidi" w:eastAsia="Times New Roman" w:hAnsiTheme="minorBidi"/>
          <w:sz w:val="24"/>
          <w:szCs w:val="24"/>
          <w:lang w:eastAsia="fr-FR"/>
        </w:rPr>
        <w:t>s</w:t>
      </w:r>
      <w:r w:rsidR="00650942" w:rsidRPr="005E5F5A">
        <w:rPr>
          <w:rFonts w:asciiTheme="minorBidi" w:eastAsia="Times New Roman" w:hAnsiTheme="minorBidi"/>
          <w:sz w:val="24"/>
          <w:szCs w:val="24"/>
          <w:lang w:eastAsia="fr-FR"/>
        </w:rPr>
        <w:t>sional</w:t>
      </w:r>
      <w:r w:rsidR="00C626F8">
        <w:rPr>
          <w:rFonts w:asciiTheme="minorBidi" w:eastAsia="Times New Roman" w:hAnsiTheme="minorBidi"/>
          <w:sz w:val="24"/>
          <w:szCs w:val="24"/>
          <w:lang w:eastAsia="fr-FR"/>
        </w:rPr>
        <w:t xml:space="preserve">s </w:t>
      </w:r>
      <w:r w:rsidR="005E5F5A" w:rsidRPr="005E5F5A">
        <w:rPr>
          <w:rFonts w:asciiTheme="minorBidi" w:eastAsia="Times New Roman" w:hAnsiTheme="minorBidi"/>
          <w:sz w:val="24"/>
          <w:szCs w:val="24"/>
          <w:lang w:eastAsia="fr-FR"/>
        </w:rPr>
        <w:t>users</w:t>
      </w:r>
      <w:r w:rsidR="005E5F5A">
        <w:rPr>
          <w:rFonts w:asciiTheme="minorBidi" w:eastAsia="Times New Roman" w:hAnsiTheme="minorBidi"/>
          <w:sz w:val="24"/>
          <w:szCs w:val="24"/>
          <w:lang w:eastAsia="fr-FR"/>
        </w:rPr>
        <w:t>.</w:t>
      </w:r>
      <w:r w:rsidR="006326CD">
        <w:rPr>
          <w:rFonts w:asciiTheme="minorBidi" w:eastAsia="Times New Roman" w:hAnsiTheme="minorBidi"/>
          <w:sz w:val="24"/>
          <w:szCs w:val="24"/>
          <w:lang w:eastAsia="fr-FR"/>
        </w:rPr>
        <w:t xml:space="preserve"> </w:t>
      </w:r>
      <w:r w:rsidR="004E13FF" w:rsidRPr="00187F64">
        <w:rPr>
          <w:rFonts w:asciiTheme="minorBidi" w:eastAsia="Times New Roman" w:hAnsiTheme="minorBidi"/>
          <w:sz w:val="24"/>
          <w:szCs w:val="24"/>
          <w:lang w:eastAsia="fr-FR"/>
        </w:rPr>
        <w:t xml:space="preserve">The United Nations Economic Commission for Europe (UNECE) had published  practical </w:t>
      </w:r>
      <w:r w:rsidR="001646F8">
        <w:rPr>
          <w:rFonts w:asciiTheme="minorBidi" w:eastAsia="Times New Roman" w:hAnsiTheme="minorBidi"/>
          <w:sz w:val="24"/>
          <w:szCs w:val="24"/>
          <w:lang w:eastAsia="fr-FR"/>
        </w:rPr>
        <w:t xml:space="preserve"> a </w:t>
      </w:r>
      <w:r w:rsidR="004E13FF" w:rsidRPr="00187F64">
        <w:rPr>
          <w:rFonts w:asciiTheme="minorBidi" w:eastAsia="Times New Roman" w:hAnsiTheme="minorBidi"/>
          <w:sz w:val="24"/>
          <w:szCs w:val="24"/>
          <w:lang w:eastAsia="fr-FR"/>
        </w:rPr>
        <w:t xml:space="preserve">guide named </w:t>
      </w:r>
      <w:r w:rsidR="004E13FF" w:rsidRPr="001646F8">
        <w:rPr>
          <w:rFonts w:asciiTheme="minorBidi" w:eastAsia="Times New Roman" w:hAnsiTheme="minorBidi"/>
          <w:i/>
          <w:iCs/>
          <w:sz w:val="24"/>
          <w:szCs w:val="24"/>
          <w:lang w:eastAsia="fr-FR"/>
        </w:rPr>
        <w:t>Making Data Meaningful</w:t>
      </w:r>
      <w:r w:rsidR="005E5F5A">
        <w:rPr>
          <w:rFonts w:asciiTheme="minorBidi" w:eastAsia="Times New Roman" w:hAnsiTheme="minorBidi"/>
          <w:sz w:val="24"/>
          <w:szCs w:val="24"/>
          <w:lang w:eastAsia="fr-FR"/>
        </w:rPr>
        <w:t xml:space="preserve"> which</w:t>
      </w:r>
      <w:r w:rsidR="004E13FF" w:rsidRPr="00187F64">
        <w:rPr>
          <w:rFonts w:asciiTheme="minorBidi" w:eastAsia="Times New Roman" w:hAnsiTheme="minorBidi"/>
          <w:sz w:val="24"/>
          <w:szCs w:val="24"/>
          <w:lang w:eastAsia="fr-FR"/>
        </w:rPr>
        <w:t xml:space="preserve"> provide guidelines </w:t>
      </w:r>
      <w:r w:rsidR="00ED6AF0">
        <w:rPr>
          <w:rFonts w:asciiTheme="minorBidi" w:eastAsia="Times New Roman" w:hAnsiTheme="minorBidi"/>
          <w:sz w:val="24"/>
          <w:szCs w:val="24"/>
          <w:lang w:eastAsia="fr-FR"/>
        </w:rPr>
        <w:t>for</w:t>
      </w:r>
      <w:r w:rsidR="004E13FF" w:rsidRPr="00187F64">
        <w:rPr>
          <w:rFonts w:asciiTheme="minorBidi" w:eastAsia="Times New Roman" w:hAnsiTheme="minorBidi"/>
          <w:sz w:val="24"/>
          <w:szCs w:val="24"/>
          <w:lang w:eastAsia="fr-FR"/>
        </w:rPr>
        <w:t xml:space="preserve"> effective writing techniques</w:t>
      </w:r>
      <w:r w:rsidR="00C626F8">
        <w:rPr>
          <w:rFonts w:asciiTheme="minorBidi" w:eastAsia="Times New Roman" w:hAnsiTheme="minorBidi"/>
          <w:sz w:val="24"/>
          <w:szCs w:val="24"/>
          <w:lang w:eastAsia="fr-FR"/>
        </w:rPr>
        <w:t>.</w:t>
      </w:r>
      <w:r w:rsidR="004E13FF" w:rsidRPr="00187F64">
        <w:rPr>
          <w:rFonts w:asciiTheme="minorBidi" w:eastAsia="Times New Roman" w:hAnsiTheme="minorBidi"/>
          <w:sz w:val="24"/>
          <w:szCs w:val="24"/>
          <w:lang w:eastAsia="fr-FR"/>
        </w:rPr>
        <w:t xml:space="preserve"> </w:t>
      </w:r>
    </w:p>
    <w:tbl>
      <w:tblPr>
        <w:tblW w:w="0" w:type="auto"/>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6056"/>
      </w:tblGrid>
      <w:tr w:rsidR="004E13FF" w:rsidRPr="00187F64" w:rsidTr="00B76B9B">
        <w:tc>
          <w:tcPr>
            <w:tcW w:w="0" w:type="auto"/>
            <w:tcBorders>
              <w:top w:val="nil"/>
              <w:left w:val="nil"/>
              <w:bottom w:val="nil"/>
              <w:right w:val="nil"/>
            </w:tcBorders>
            <w:tcMar>
              <w:top w:w="60" w:type="dxa"/>
              <w:left w:w="120" w:type="dxa"/>
              <w:bottom w:w="60" w:type="dxa"/>
              <w:right w:w="120" w:type="dxa"/>
            </w:tcMar>
            <w:hideMark/>
          </w:tcPr>
          <w:p w:rsidR="004E13FF" w:rsidRPr="00CB53AF" w:rsidRDefault="004E13FF" w:rsidP="00E847E7">
            <w:pPr>
              <w:spacing w:before="120" w:after="0" w:line="360" w:lineRule="auto"/>
              <w:contextualSpacing/>
              <w:jc w:val="both"/>
              <w:rPr>
                <w:rFonts w:asciiTheme="minorBidi" w:eastAsia="Times New Roman" w:hAnsiTheme="minorBidi"/>
                <w:sz w:val="16"/>
                <w:szCs w:val="16"/>
                <w:lang w:eastAsia="fr-FR"/>
              </w:rPr>
            </w:pPr>
            <w:r w:rsidRPr="001D1B8E">
              <w:rPr>
                <w:rFonts w:asciiTheme="minorBidi" w:eastAsia="Times New Roman" w:hAnsiTheme="minorBidi"/>
                <w:sz w:val="24"/>
                <w:szCs w:val="24"/>
                <w:lang w:eastAsia="fr-FR"/>
              </w:rPr>
              <w:t>Here is our story</w:t>
            </w:r>
            <w:r w:rsidR="008C41EC">
              <w:rPr>
                <w:rFonts w:asciiTheme="minorBidi" w:eastAsia="Times New Roman" w:hAnsiTheme="minorBidi"/>
                <w:sz w:val="24"/>
                <w:szCs w:val="24"/>
                <w:lang w:eastAsia="fr-FR"/>
              </w:rPr>
              <w:t>, written in accordance with this guide</w:t>
            </w:r>
            <w:r w:rsidR="000D5544">
              <w:rPr>
                <w:rFonts w:asciiTheme="minorBidi" w:eastAsia="Times New Roman" w:hAnsiTheme="minorBidi"/>
                <w:sz w:val="24"/>
                <w:szCs w:val="24"/>
                <w:lang w:eastAsia="fr-FR"/>
              </w:rPr>
              <w:t>.</w:t>
            </w:r>
          </w:p>
        </w:tc>
      </w:tr>
    </w:tbl>
    <w:p w:rsidR="004E13FF" w:rsidRPr="005B00EE" w:rsidRDefault="005B00EE" w:rsidP="00E847E7">
      <w:pPr>
        <w:spacing w:before="120" w:after="0" w:line="360" w:lineRule="auto"/>
        <w:contextualSpacing/>
        <w:rPr>
          <w:rFonts w:asciiTheme="minorBidi" w:eastAsia="Times New Roman" w:hAnsiTheme="minorBidi"/>
          <w:b/>
          <w:bCs/>
          <w:sz w:val="24"/>
          <w:szCs w:val="24"/>
          <w:rtl/>
          <w:lang w:eastAsia="fr-FR"/>
        </w:rPr>
      </w:pPr>
      <w:r w:rsidRPr="005B00EE">
        <w:rPr>
          <w:rFonts w:asciiTheme="minorBidi" w:eastAsia="Times New Roman" w:hAnsiTheme="minorBidi"/>
          <w:b/>
          <w:bCs/>
          <w:sz w:val="24"/>
          <w:szCs w:val="24"/>
          <w:lang w:eastAsia="fr-FR"/>
        </w:rPr>
        <w:t>2.</w:t>
      </w:r>
      <w:r>
        <w:rPr>
          <w:rFonts w:asciiTheme="minorBidi" w:eastAsia="Times New Roman" w:hAnsiTheme="minorBidi"/>
          <w:b/>
          <w:bCs/>
          <w:sz w:val="24"/>
          <w:szCs w:val="24"/>
          <w:lang w:val="en-US" w:eastAsia="fr-FR"/>
        </w:rPr>
        <w:t xml:space="preserve"> </w:t>
      </w:r>
      <w:r w:rsidR="004E13FF" w:rsidRPr="005B00EE">
        <w:rPr>
          <w:rFonts w:asciiTheme="minorBidi" w:eastAsia="Times New Roman" w:hAnsiTheme="minorBidi"/>
          <w:b/>
          <w:bCs/>
          <w:sz w:val="24"/>
          <w:szCs w:val="24"/>
          <w:lang w:eastAsia="fr-FR"/>
        </w:rPr>
        <w:t>Introduction</w:t>
      </w:r>
      <w:r w:rsidR="004E13FF" w:rsidRPr="005B00EE">
        <w:rPr>
          <w:rFonts w:asciiTheme="minorBidi" w:eastAsia="Times New Roman" w:hAnsiTheme="minorBidi"/>
          <w:b/>
          <w:bCs/>
          <w:sz w:val="24"/>
          <w:szCs w:val="24"/>
          <w:rtl/>
          <w:lang w:eastAsia="fr-FR"/>
        </w:rPr>
        <w:t>.</w:t>
      </w:r>
    </w:p>
    <w:p w:rsidR="004E13FF" w:rsidRPr="00187F64" w:rsidRDefault="004E13FF" w:rsidP="00E847E7">
      <w:pPr>
        <w:spacing w:before="120" w:after="0" w:line="360" w:lineRule="auto"/>
        <w:contextualSpacing/>
        <w:jc w:val="both"/>
        <w:rPr>
          <w:rFonts w:asciiTheme="minorBidi" w:hAnsiTheme="minorBidi"/>
          <w:sz w:val="24"/>
          <w:szCs w:val="24"/>
        </w:rPr>
      </w:pPr>
      <w:r w:rsidRPr="00187F64">
        <w:rPr>
          <w:rFonts w:asciiTheme="minorBidi" w:hAnsiTheme="minorBidi"/>
          <w:sz w:val="24"/>
          <w:szCs w:val="24"/>
        </w:rPr>
        <w:t>In a Mickey Mouse Cartoon, Mickey stands in front of a magical mirror. He moves in a certain way but his reflection in the mirror moves differently</w:t>
      </w:r>
      <w:r w:rsidR="00C930DE">
        <w:rPr>
          <w:rFonts w:asciiTheme="minorBidi" w:hAnsiTheme="minorBidi"/>
          <w:sz w:val="24"/>
          <w:szCs w:val="24"/>
        </w:rPr>
        <w:t>,</w:t>
      </w:r>
      <w:r w:rsidRPr="00187F64">
        <w:rPr>
          <w:rFonts w:asciiTheme="minorBidi" w:hAnsiTheme="minorBidi"/>
          <w:sz w:val="24"/>
          <w:szCs w:val="24"/>
        </w:rPr>
        <w:t xml:space="preserve"> Mickey is confused</w:t>
      </w:r>
      <w:r w:rsidR="00C930DE">
        <w:rPr>
          <w:rFonts w:asciiTheme="minorBidi" w:hAnsiTheme="minorBidi"/>
          <w:sz w:val="24"/>
          <w:szCs w:val="24"/>
        </w:rPr>
        <w:t>..</w:t>
      </w:r>
      <w:r w:rsidRPr="00187F64">
        <w:rPr>
          <w:rFonts w:asciiTheme="minorBidi" w:hAnsiTheme="minorBidi"/>
          <w:sz w:val="24"/>
          <w:szCs w:val="24"/>
        </w:rPr>
        <w:t>. Can such a situation happen to statisticians? Well… it can.</w:t>
      </w:r>
    </w:p>
    <w:p w:rsidR="001D1B8E" w:rsidRDefault="001D1B8E" w:rsidP="00E847E7">
      <w:pPr>
        <w:spacing w:before="120" w:after="0" w:line="360" w:lineRule="auto"/>
        <w:contextualSpacing/>
        <w:rPr>
          <w:rFonts w:asciiTheme="minorBidi" w:eastAsia="Times New Roman" w:hAnsiTheme="minorBidi"/>
          <w:sz w:val="24"/>
          <w:szCs w:val="24"/>
          <w:lang w:eastAsia="fr-FR"/>
        </w:rPr>
      </w:pPr>
      <w:r>
        <w:rPr>
          <w:rFonts w:asciiTheme="minorBidi" w:eastAsia="Times New Roman" w:hAnsiTheme="minorBidi"/>
          <w:i/>
          <w:iCs/>
          <w:sz w:val="24"/>
          <w:szCs w:val="24"/>
          <w:lang w:eastAsia="fr-FR"/>
        </w:rPr>
        <w:t xml:space="preserve">2.1 </w:t>
      </w:r>
      <w:r w:rsidR="004E13FF" w:rsidRPr="0023058F">
        <w:rPr>
          <w:rFonts w:asciiTheme="minorBidi" w:eastAsia="Times New Roman" w:hAnsiTheme="minorBidi"/>
          <w:i/>
          <w:iCs/>
          <w:sz w:val="24"/>
          <w:szCs w:val="24"/>
          <w:lang w:eastAsia="fr-FR"/>
        </w:rPr>
        <w:t>What is the statistical problem?</w:t>
      </w:r>
      <w:r w:rsidR="004E13FF" w:rsidRPr="00187F64">
        <w:rPr>
          <w:rFonts w:asciiTheme="minorBidi" w:eastAsia="Times New Roman" w:hAnsiTheme="minorBidi"/>
          <w:sz w:val="24"/>
          <w:szCs w:val="24"/>
          <w:lang w:eastAsia="fr-FR"/>
        </w:rPr>
        <w:t xml:space="preserve"> </w:t>
      </w:r>
    </w:p>
    <w:p w:rsidR="004E13FF" w:rsidRDefault="00EC4285" w:rsidP="001F498F">
      <w:pPr>
        <w:spacing w:before="120" w:after="0" w:line="360" w:lineRule="auto"/>
        <w:contextualSpacing/>
        <w:jc w:val="both"/>
        <w:rPr>
          <w:rFonts w:asciiTheme="minorBidi" w:eastAsia="Times New Roman" w:hAnsiTheme="minorBidi"/>
          <w:b/>
          <w:bCs/>
          <w:sz w:val="24"/>
          <w:szCs w:val="24"/>
          <w:lang w:eastAsia="fr-FR"/>
        </w:rPr>
      </w:pPr>
      <w:r w:rsidRPr="00187F64">
        <w:rPr>
          <w:rFonts w:asciiTheme="minorBidi" w:eastAsia="Times New Roman" w:hAnsiTheme="minorBidi"/>
          <w:sz w:val="24"/>
          <w:szCs w:val="24"/>
          <w:lang w:eastAsia="fr-FR"/>
        </w:rPr>
        <w:t>Foreign bilateral trade in goods statistics are "</w:t>
      </w:r>
      <w:r w:rsidR="001646F8">
        <w:rPr>
          <w:rFonts w:asciiTheme="minorBidi" w:eastAsia="Times New Roman" w:hAnsiTheme="minorBidi"/>
          <w:sz w:val="24"/>
          <w:szCs w:val="24"/>
          <w:lang w:eastAsia="fr-FR"/>
        </w:rPr>
        <w:t>T</w:t>
      </w:r>
      <w:r w:rsidRPr="00187F64">
        <w:rPr>
          <w:rFonts w:asciiTheme="minorBidi" w:eastAsia="Times New Roman" w:hAnsiTheme="minorBidi"/>
          <w:sz w:val="24"/>
          <w:szCs w:val="24"/>
          <w:lang w:eastAsia="fr-FR"/>
        </w:rPr>
        <w:t>wo-</w:t>
      </w:r>
      <w:r w:rsidR="001F498F">
        <w:rPr>
          <w:rFonts w:asciiTheme="minorBidi" w:eastAsia="Times New Roman" w:hAnsiTheme="minorBidi"/>
          <w:sz w:val="24"/>
          <w:szCs w:val="24"/>
          <w:lang w:eastAsia="fr-FR"/>
        </w:rPr>
        <w:t>S</w:t>
      </w:r>
      <w:r w:rsidRPr="00187F64">
        <w:rPr>
          <w:rFonts w:asciiTheme="minorBidi" w:eastAsia="Times New Roman" w:hAnsiTheme="minorBidi"/>
          <w:sz w:val="24"/>
          <w:szCs w:val="24"/>
          <w:lang w:eastAsia="fr-FR"/>
        </w:rPr>
        <w:t xml:space="preserve">ided </w:t>
      </w:r>
      <w:r w:rsidR="001F498F">
        <w:rPr>
          <w:rFonts w:asciiTheme="minorBidi" w:eastAsia="Times New Roman" w:hAnsiTheme="minorBidi"/>
          <w:sz w:val="24"/>
          <w:szCs w:val="24"/>
          <w:lang w:eastAsia="fr-FR"/>
        </w:rPr>
        <w:t>M</w:t>
      </w:r>
      <w:r w:rsidRPr="00187F64">
        <w:rPr>
          <w:rFonts w:asciiTheme="minorBidi" w:eastAsia="Times New Roman" w:hAnsiTheme="minorBidi"/>
          <w:sz w:val="24"/>
          <w:szCs w:val="24"/>
          <w:lang w:eastAsia="fr-FR"/>
        </w:rPr>
        <w:t>irror" statistics. In an ideal situation, country A's data on exports to country B should be equal to country B's data on imports from country</w:t>
      </w:r>
      <w:r w:rsidR="001D1B8E">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A.</w:t>
      </w:r>
      <w:r w:rsidR="001D1B8E">
        <w:rPr>
          <w:rFonts w:asciiTheme="minorBidi" w:eastAsia="Times New Roman" w:hAnsiTheme="minorBidi"/>
          <w:sz w:val="24"/>
          <w:szCs w:val="24"/>
          <w:lang w:eastAsia="fr-FR"/>
        </w:rPr>
        <w:t xml:space="preserve"> </w:t>
      </w:r>
      <w:r w:rsidR="00AA3B00">
        <w:rPr>
          <w:rFonts w:asciiTheme="minorBidi" w:eastAsia="Times New Roman" w:hAnsiTheme="minorBidi"/>
          <w:sz w:val="24"/>
          <w:szCs w:val="24"/>
          <w:lang w:eastAsia="fr-FR"/>
        </w:rPr>
        <w:t>H</w:t>
      </w:r>
      <w:r w:rsidR="00AA3B00" w:rsidRPr="00187F64">
        <w:rPr>
          <w:rFonts w:asciiTheme="minorBidi" w:eastAsia="Times New Roman" w:hAnsiTheme="minorBidi"/>
          <w:sz w:val="24"/>
          <w:szCs w:val="24"/>
          <w:lang w:eastAsia="fr-FR"/>
        </w:rPr>
        <w:t>owever,</w:t>
      </w:r>
      <w:r w:rsidR="00AA3B0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In real life,</w:t>
      </w:r>
      <w:r w:rsidR="00AA3B00">
        <w:rPr>
          <w:rFonts w:asciiTheme="minorBidi" w:hAnsiTheme="minorBidi"/>
          <w:sz w:val="24"/>
          <w:szCs w:val="24"/>
        </w:rPr>
        <w:t xml:space="preserve"> </w:t>
      </w:r>
      <w:r w:rsidRPr="00187F64">
        <w:rPr>
          <w:rFonts w:asciiTheme="minorBidi" w:hAnsiTheme="minorBidi"/>
          <w:sz w:val="24"/>
          <w:szCs w:val="24"/>
        </w:rPr>
        <w:t xml:space="preserve">statisticians deal with a confusing mirror when confronting </w:t>
      </w:r>
      <w:r w:rsidRPr="00187F64">
        <w:rPr>
          <w:rFonts w:asciiTheme="minorBidi" w:eastAsia="Times New Roman" w:hAnsiTheme="minorBidi"/>
          <w:sz w:val="24"/>
          <w:szCs w:val="24"/>
          <w:lang w:eastAsia="fr-FR"/>
        </w:rPr>
        <w:t>asymmetry in the bilateral trade data</w:t>
      </w:r>
      <w:r w:rsidR="001D1B8E">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w:t>
      </w:r>
    </w:p>
    <w:p w:rsidR="001D1B8E" w:rsidRDefault="001D1B8E" w:rsidP="00E847E7">
      <w:pPr>
        <w:shd w:val="clear" w:color="auto" w:fill="FFFFFF" w:themeFill="background1"/>
        <w:spacing w:before="120" w:after="0" w:line="360" w:lineRule="auto"/>
        <w:contextualSpacing/>
        <w:rPr>
          <w:rFonts w:asciiTheme="minorBidi" w:eastAsia="Times New Roman" w:hAnsiTheme="minorBidi"/>
          <w:sz w:val="24"/>
          <w:szCs w:val="24"/>
          <w:lang w:eastAsia="fr-FR"/>
        </w:rPr>
      </w:pPr>
      <w:r>
        <w:rPr>
          <w:rFonts w:asciiTheme="minorBidi" w:eastAsia="Times New Roman" w:hAnsiTheme="minorBidi"/>
          <w:i/>
          <w:iCs/>
          <w:sz w:val="24"/>
          <w:szCs w:val="24"/>
          <w:lang w:eastAsia="fr-FR"/>
        </w:rPr>
        <w:t xml:space="preserve">2.2 </w:t>
      </w:r>
      <w:r w:rsidR="004E13FF" w:rsidRPr="0023058F">
        <w:rPr>
          <w:rFonts w:asciiTheme="minorBidi" w:eastAsia="Times New Roman" w:hAnsiTheme="minorBidi"/>
          <w:i/>
          <w:iCs/>
          <w:sz w:val="24"/>
          <w:szCs w:val="24"/>
          <w:lang w:eastAsia="fr-FR"/>
        </w:rPr>
        <w:t>Why are there data discrepancies?</w:t>
      </w:r>
      <w:r w:rsidR="004E13FF" w:rsidRPr="00187F64">
        <w:rPr>
          <w:rFonts w:asciiTheme="minorBidi" w:eastAsia="Times New Roman" w:hAnsiTheme="minorBidi"/>
          <w:sz w:val="24"/>
          <w:szCs w:val="24"/>
          <w:lang w:eastAsia="fr-FR"/>
        </w:rPr>
        <w:t xml:space="preserve"> </w:t>
      </w:r>
    </w:p>
    <w:p w:rsidR="001D1B8E" w:rsidRDefault="00EC4285" w:rsidP="00E847E7">
      <w:pPr>
        <w:shd w:val="clear" w:color="auto" w:fill="FFFFFF" w:themeFill="background1"/>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0fficial foreign trade statistics are conducted in accordance with international recommendations</w:t>
      </w:r>
      <w:r w:rsidR="00843213">
        <w:rPr>
          <w:rFonts w:asciiTheme="minorBidi" w:eastAsia="Times New Roman" w:hAnsiTheme="minorBidi"/>
          <w:sz w:val="24"/>
          <w:szCs w:val="24"/>
          <w:lang w:eastAsia="fr-FR"/>
        </w:rPr>
        <w:t>,</w:t>
      </w:r>
      <w:r w:rsidR="00B90DBD">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which allow for the use of different concepts</w:t>
      </w:r>
      <w:r w:rsidR="00B90DBD">
        <w:rPr>
          <w:rFonts w:asciiTheme="minorBidi" w:eastAsia="Times New Roman" w:hAnsiTheme="minorBidi"/>
          <w:sz w:val="24"/>
          <w:szCs w:val="24"/>
          <w:lang w:eastAsia="fr-FR"/>
        </w:rPr>
        <w:t>, t</w:t>
      </w:r>
      <w:r w:rsidRPr="00187F64">
        <w:rPr>
          <w:rFonts w:asciiTheme="minorBidi" w:eastAsia="Times New Roman" w:hAnsiTheme="minorBidi"/>
          <w:sz w:val="24"/>
          <w:szCs w:val="24"/>
          <w:lang w:eastAsia="fr-FR"/>
        </w:rPr>
        <w:t>herefore when comparing data for countries that use different concepts there</w:t>
      </w:r>
      <w:r w:rsidR="00AA3B0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are built-in asymmetries. In addition, data discrepancies are caused by differences in methods of data recording and implementation as well as by actual errors.</w:t>
      </w:r>
    </w:p>
    <w:p w:rsidR="00EC4285" w:rsidRPr="00187F64" w:rsidRDefault="00EC4285" w:rsidP="00E847E7">
      <w:pPr>
        <w:shd w:val="clear" w:color="auto" w:fill="FFFFFF" w:themeFill="background1"/>
        <w:spacing w:before="120" w:after="0" w:line="360" w:lineRule="auto"/>
        <w:contextualSpacing/>
        <w:jc w:val="both"/>
        <w:rPr>
          <w:rFonts w:asciiTheme="minorBidi" w:hAnsiTheme="minorBidi"/>
          <w:b/>
          <w:bCs/>
          <w:sz w:val="24"/>
          <w:szCs w:val="24"/>
          <w:rtl/>
        </w:rPr>
      </w:pPr>
      <w:r w:rsidRPr="00187F64">
        <w:rPr>
          <w:rFonts w:asciiTheme="minorBidi" w:eastAsia="Times New Roman" w:hAnsiTheme="minorBidi"/>
          <w:sz w:val="24"/>
          <w:szCs w:val="24"/>
          <w:lang w:eastAsia="fr-FR"/>
        </w:rPr>
        <w:t xml:space="preserve"> </w:t>
      </w:r>
      <w:r w:rsidRPr="00187F64">
        <w:rPr>
          <w:rFonts w:asciiTheme="minorBidi" w:hAnsiTheme="minorBidi"/>
          <w:b/>
          <w:bCs/>
          <w:sz w:val="24"/>
          <w:szCs w:val="24"/>
        </w:rPr>
        <w:t>3. How are official foreign trade in goods statistics</w:t>
      </w:r>
      <w:r w:rsidR="00B90DBD">
        <w:rPr>
          <w:rFonts w:asciiTheme="minorBidi" w:hAnsiTheme="minorBidi"/>
          <w:b/>
          <w:bCs/>
          <w:sz w:val="24"/>
          <w:szCs w:val="24"/>
        </w:rPr>
        <w:t xml:space="preserve"> being </w:t>
      </w:r>
      <w:r w:rsidRPr="00187F64">
        <w:rPr>
          <w:rFonts w:asciiTheme="minorBidi" w:hAnsiTheme="minorBidi"/>
          <w:b/>
          <w:bCs/>
          <w:sz w:val="24"/>
          <w:szCs w:val="24"/>
        </w:rPr>
        <w:t xml:space="preserve">collected? </w:t>
      </w:r>
    </w:p>
    <w:p w:rsidR="00AA3B00" w:rsidRDefault="00AA3B00" w:rsidP="00E847E7">
      <w:pPr>
        <w:spacing w:before="120" w:after="0" w:line="360" w:lineRule="auto"/>
        <w:contextualSpacing/>
        <w:jc w:val="both"/>
        <w:rPr>
          <w:rFonts w:asciiTheme="minorBidi" w:hAnsiTheme="minorBidi"/>
          <w:sz w:val="24"/>
          <w:szCs w:val="24"/>
        </w:rPr>
      </w:pPr>
      <w:r w:rsidRPr="0035059A">
        <w:rPr>
          <w:rFonts w:asciiTheme="minorBidi" w:hAnsiTheme="minorBidi"/>
          <w:sz w:val="24"/>
          <w:szCs w:val="24"/>
          <w:u w:val="single"/>
        </w:rPr>
        <w:t>Data source</w:t>
      </w:r>
      <w:r>
        <w:rPr>
          <w:rFonts w:asciiTheme="minorBidi" w:hAnsiTheme="minorBidi"/>
          <w:sz w:val="24"/>
          <w:szCs w:val="24"/>
        </w:rPr>
        <w:t xml:space="preserve">: </w:t>
      </w:r>
      <w:r w:rsidR="004E13FF" w:rsidRPr="00187F64">
        <w:rPr>
          <w:rFonts w:asciiTheme="minorBidi" w:hAnsiTheme="minorBidi"/>
          <w:sz w:val="24"/>
          <w:szCs w:val="24"/>
        </w:rPr>
        <w:t>Official foreign trade in goods statistics reflect the</w:t>
      </w:r>
      <w:r w:rsidR="00843213">
        <w:rPr>
          <w:rFonts w:asciiTheme="minorBidi" w:hAnsiTheme="minorBidi"/>
          <w:sz w:val="24"/>
          <w:szCs w:val="24"/>
        </w:rPr>
        <w:t xml:space="preserve"> </w:t>
      </w:r>
      <w:r w:rsidR="004E13FF" w:rsidRPr="00187F64">
        <w:rPr>
          <w:rFonts w:asciiTheme="minorBidi" w:hAnsiTheme="minorBidi"/>
          <w:sz w:val="24"/>
          <w:szCs w:val="24"/>
        </w:rPr>
        <w:t>current value of the flow of imports and exports in the national currency and</w:t>
      </w:r>
      <w:r w:rsidR="00843213">
        <w:rPr>
          <w:rFonts w:asciiTheme="minorBidi" w:hAnsiTheme="minorBidi"/>
          <w:sz w:val="24"/>
          <w:szCs w:val="24"/>
        </w:rPr>
        <w:t xml:space="preserve"> </w:t>
      </w:r>
      <w:r w:rsidR="004E13FF" w:rsidRPr="00187F64">
        <w:rPr>
          <w:rFonts w:asciiTheme="minorBidi" w:hAnsiTheme="minorBidi"/>
          <w:sz w:val="24"/>
          <w:szCs w:val="24"/>
        </w:rPr>
        <w:t xml:space="preserve">or </w:t>
      </w:r>
      <w:r w:rsidR="00843213">
        <w:rPr>
          <w:rFonts w:asciiTheme="minorBidi" w:hAnsiTheme="minorBidi"/>
          <w:sz w:val="24"/>
          <w:szCs w:val="24"/>
        </w:rPr>
        <w:t xml:space="preserve">in </w:t>
      </w:r>
      <w:r w:rsidR="004E13FF" w:rsidRPr="00187F64">
        <w:rPr>
          <w:rFonts w:asciiTheme="minorBidi" w:hAnsiTheme="minorBidi"/>
          <w:sz w:val="24"/>
          <w:szCs w:val="24"/>
        </w:rPr>
        <w:t>other currencies. In most countries,</w:t>
      </w:r>
      <w:r w:rsidR="001646F8">
        <w:rPr>
          <w:rFonts w:asciiTheme="minorBidi" w:hAnsiTheme="minorBidi"/>
          <w:sz w:val="24"/>
          <w:szCs w:val="24"/>
        </w:rPr>
        <w:t xml:space="preserve"> </w:t>
      </w:r>
      <w:r w:rsidR="004E13FF" w:rsidRPr="00187F64">
        <w:rPr>
          <w:rFonts w:asciiTheme="minorBidi" w:hAnsiTheme="minorBidi"/>
          <w:sz w:val="24"/>
          <w:szCs w:val="24"/>
        </w:rPr>
        <w:t>the main source of data on foreign trade statistics is the administrative files of the country's customs authority. The customs authority receives data on import and export activities from customs brokers, who mainly work in customs brokerage firms or in large import/export firms.</w:t>
      </w:r>
      <w:r w:rsidR="00843213">
        <w:rPr>
          <w:rFonts w:asciiTheme="minorBidi" w:hAnsiTheme="minorBidi"/>
          <w:sz w:val="24"/>
          <w:szCs w:val="24"/>
        </w:rPr>
        <w:t xml:space="preserve"> </w:t>
      </w:r>
      <w:r w:rsidR="004E13FF" w:rsidRPr="00187F64">
        <w:rPr>
          <w:rFonts w:asciiTheme="minorBidi" w:hAnsiTheme="minorBidi"/>
          <w:sz w:val="24"/>
          <w:szCs w:val="24"/>
        </w:rPr>
        <w:t xml:space="preserve">In some cases the main data source is Value-Added Tax (VAT) Authority's administrative files, based on vouchers submitted by firms. </w:t>
      </w:r>
    </w:p>
    <w:p w:rsidR="000939C7" w:rsidRDefault="00843213" w:rsidP="00E847E7">
      <w:pPr>
        <w:spacing w:before="120" w:after="0" w:line="360" w:lineRule="auto"/>
        <w:contextualSpacing/>
        <w:jc w:val="both"/>
        <w:rPr>
          <w:rFonts w:asciiTheme="minorBidi" w:eastAsia="Times New Roman" w:hAnsiTheme="minorBidi"/>
          <w:sz w:val="24"/>
          <w:szCs w:val="24"/>
          <w:lang w:eastAsia="fr-FR"/>
        </w:rPr>
      </w:pPr>
      <w:r w:rsidRPr="0035059A">
        <w:rPr>
          <w:rFonts w:asciiTheme="minorBidi" w:hAnsiTheme="minorBidi"/>
          <w:sz w:val="24"/>
          <w:szCs w:val="24"/>
          <w:u w:val="single"/>
        </w:rPr>
        <w:lastRenderedPageBreak/>
        <w:t>classification</w:t>
      </w:r>
      <w:r w:rsidRPr="00843213">
        <w:rPr>
          <w:rFonts w:asciiTheme="minorBidi" w:hAnsiTheme="minorBidi"/>
          <w:sz w:val="24"/>
          <w:szCs w:val="24"/>
        </w:rPr>
        <w:t>:</w:t>
      </w:r>
      <w:r>
        <w:rPr>
          <w:rFonts w:asciiTheme="minorBidi" w:hAnsiTheme="minorBidi"/>
          <w:sz w:val="24"/>
          <w:szCs w:val="24"/>
        </w:rPr>
        <w:t xml:space="preserve"> </w:t>
      </w:r>
      <w:r w:rsidR="004E13FF" w:rsidRPr="00187F64">
        <w:rPr>
          <w:rFonts w:asciiTheme="minorBidi" w:hAnsiTheme="minorBidi"/>
          <w:sz w:val="24"/>
          <w:szCs w:val="24"/>
        </w:rPr>
        <w:t>For the customs authority and other agencies as well as for custom brokers, it is important to classify the goods. The correct classification is the key to determining tax rates, as well as to obtaining various authorizations</w:t>
      </w:r>
      <w:r w:rsidR="00AA3B00">
        <w:rPr>
          <w:rFonts w:asciiTheme="minorBidi" w:hAnsiTheme="minorBidi"/>
          <w:sz w:val="24"/>
          <w:szCs w:val="24"/>
        </w:rPr>
        <w:t xml:space="preserve"> and </w:t>
      </w:r>
      <w:r w:rsidR="004E13FF" w:rsidRPr="00187F64">
        <w:rPr>
          <w:rFonts w:asciiTheme="minorBidi" w:hAnsiTheme="minorBidi"/>
          <w:sz w:val="24"/>
          <w:szCs w:val="24"/>
        </w:rPr>
        <w:t xml:space="preserve">permits. The World Customs Organization (WCO) developed an international classification based on a multipurpose international product nomenclature known as The </w:t>
      </w:r>
      <w:r w:rsidR="004E13FF" w:rsidRPr="00187F64">
        <w:rPr>
          <w:rFonts w:asciiTheme="minorBidi" w:hAnsiTheme="minorBidi"/>
          <w:i/>
          <w:iCs/>
          <w:sz w:val="24"/>
          <w:szCs w:val="24"/>
        </w:rPr>
        <w:t>Harmonized Commodity Description and Coding System</w:t>
      </w:r>
      <w:r w:rsidR="004E13FF" w:rsidRPr="00187F64">
        <w:rPr>
          <w:rFonts w:asciiTheme="minorBidi" w:hAnsiTheme="minorBidi"/>
          <w:sz w:val="24"/>
          <w:szCs w:val="24"/>
        </w:rPr>
        <w:t xml:space="preserve">, </w:t>
      </w:r>
      <w:r w:rsidR="00AA3B00">
        <w:rPr>
          <w:rFonts w:asciiTheme="minorBidi" w:hAnsiTheme="minorBidi"/>
          <w:sz w:val="24"/>
          <w:szCs w:val="24"/>
        </w:rPr>
        <w:t>(</w:t>
      </w:r>
      <w:r w:rsidR="004E13FF" w:rsidRPr="00187F64">
        <w:rPr>
          <w:rFonts w:asciiTheme="minorBidi" w:hAnsiTheme="minorBidi"/>
          <w:sz w:val="24"/>
          <w:szCs w:val="24"/>
        </w:rPr>
        <w:t>which is generally referred to as simply</w:t>
      </w:r>
      <w:r w:rsidR="004E13FF" w:rsidRPr="00187F64">
        <w:rPr>
          <w:rFonts w:asciiTheme="minorBidi" w:hAnsiTheme="minorBidi"/>
          <w:b/>
          <w:bCs/>
          <w:sz w:val="24"/>
          <w:szCs w:val="24"/>
        </w:rPr>
        <w:t xml:space="preserve"> </w:t>
      </w:r>
      <w:r w:rsidR="004E13FF" w:rsidRPr="0023058F">
        <w:rPr>
          <w:rFonts w:asciiTheme="minorBidi" w:hAnsiTheme="minorBidi"/>
          <w:i/>
          <w:iCs/>
          <w:sz w:val="24"/>
          <w:szCs w:val="24"/>
        </w:rPr>
        <w:t>HS</w:t>
      </w:r>
      <w:r w:rsidR="00AA3B00">
        <w:rPr>
          <w:rFonts w:asciiTheme="minorBidi" w:hAnsiTheme="minorBidi"/>
          <w:sz w:val="24"/>
          <w:szCs w:val="24"/>
        </w:rPr>
        <w:t>)</w:t>
      </w:r>
      <w:r w:rsidR="004E13FF" w:rsidRPr="00187F64">
        <w:rPr>
          <w:rFonts w:asciiTheme="minorBidi" w:hAnsiTheme="minorBidi"/>
          <w:sz w:val="24"/>
          <w:szCs w:val="24"/>
        </w:rPr>
        <w:t>. The classification comprises about 5,000 commodity groups; each is identified by a six digit code, arranged in a logical structure, and supported by well-defined</w:t>
      </w:r>
      <w:r w:rsidR="004E13FF" w:rsidRPr="00187F64">
        <w:rPr>
          <w:rFonts w:asciiTheme="minorBidi" w:hAnsiTheme="minorBidi"/>
          <w:sz w:val="24"/>
          <w:szCs w:val="24"/>
          <w:rtl/>
        </w:rPr>
        <w:t xml:space="preserve"> </w:t>
      </w:r>
      <w:r w:rsidR="004E13FF" w:rsidRPr="00187F64">
        <w:rPr>
          <w:rFonts w:asciiTheme="minorBidi" w:hAnsiTheme="minorBidi"/>
          <w:sz w:val="24"/>
          <w:szCs w:val="24"/>
        </w:rPr>
        <w:t>rules to achieve a uniform international classification (UN,</w:t>
      </w:r>
      <w:r w:rsidR="001646F8">
        <w:rPr>
          <w:rFonts w:asciiTheme="minorBidi" w:hAnsiTheme="minorBidi"/>
          <w:sz w:val="24"/>
          <w:szCs w:val="24"/>
        </w:rPr>
        <w:t xml:space="preserve"> </w:t>
      </w:r>
      <w:r w:rsidR="004E13FF" w:rsidRPr="00187F64">
        <w:rPr>
          <w:rFonts w:asciiTheme="minorBidi" w:hAnsiTheme="minorBidi"/>
          <w:sz w:val="24"/>
          <w:szCs w:val="24"/>
        </w:rPr>
        <w:t>2011).</w:t>
      </w:r>
      <w:r w:rsidR="008D2571" w:rsidRPr="00432CD5">
        <w:rPr>
          <w:rFonts w:asciiTheme="minorBidi" w:hAnsiTheme="minorBidi"/>
          <w:sz w:val="24"/>
          <w:szCs w:val="24"/>
        </w:rPr>
        <w:t xml:space="preserve"> </w:t>
      </w:r>
      <w:r w:rsidR="00432CD5" w:rsidRPr="00432CD5">
        <w:rPr>
          <w:rFonts w:asciiTheme="minorBidi" w:hAnsiTheme="minorBidi"/>
          <w:sz w:val="24"/>
          <w:szCs w:val="24"/>
        </w:rPr>
        <w:t xml:space="preserve">Despite the use of the international Harmonized System codes, there are still differences in interpreting and applying these codes by </w:t>
      </w:r>
      <w:r w:rsidR="00432CD5" w:rsidRPr="00187F64">
        <w:rPr>
          <w:rFonts w:asciiTheme="minorBidi" w:hAnsiTheme="minorBidi"/>
          <w:sz w:val="24"/>
          <w:szCs w:val="24"/>
        </w:rPr>
        <w:t>customs brokers</w:t>
      </w:r>
      <w:r w:rsidR="00432CD5">
        <w:rPr>
          <w:rFonts w:asciiTheme="minorBidi" w:hAnsiTheme="minorBidi"/>
          <w:sz w:val="24"/>
          <w:szCs w:val="24"/>
        </w:rPr>
        <w:t xml:space="preserve"> </w:t>
      </w:r>
      <w:r w:rsidR="00432CD5" w:rsidRPr="00432CD5">
        <w:rPr>
          <w:rFonts w:asciiTheme="minorBidi" w:hAnsiTheme="minorBidi"/>
          <w:sz w:val="24"/>
          <w:szCs w:val="24"/>
        </w:rPr>
        <w:t xml:space="preserve"> and</w:t>
      </w:r>
      <w:r w:rsidR="00AA3B00">
        <w:rPr>
          <w:rFonts w:asciiTheme="minorBidi" w:hAnsiTheme="minorBidi"/>
          <w:sz w:val="24"/>
          <w:szCs w:val="24"/>
        </w:rPr>
        <w:t xml:space="preserve"> there may be </w:t>
      </w:r>
      <w:r w:rsidR="00432CD5" w:rsidRPr="00432CD5">
        <w:rPr>
          <w:rFonts w:asciiTheme="minorBidi" w:hAnsiTheme="minorBidi"/>
          <w:sz w:val="24"/>
          <w:szCs w:val="24"/>
        </w:rPr>
        <w:t>misclassifications.</w:t>
      </w:r>
    </w:p>
    <w:p w:rsidR="008D2571" w:rsidRDefault="008D2571" w:rsidP="00E847E7">
      <w:pPr>
        <w:spacing w:before="120" w:after="0" w:line="360" w:lineRule="auto"/>
        <w:contextualSpacing/>
        <w:jc w:val="both"/>
        <w:rPr>
          <w:rFonts w:asciiTheme="minorBidi" w:eastAsia="Times New Roman" w:hAnsiTheme="minorBidi"/>
          <w:b/>
          <w:bCs/>
          <w:sz w:val="24"/>
          <w:szCs w:val="24"/>
          <w:lang w:eastAsia="fr-FR"/>
        </w:rPr>
      </w:pPr>
      <w:r w:rsidRPr="0035059A">
        <w:rPr>
          <w:rFonts w:asciiTheme="minorBidi" w:eastAsia="Times New Roman" w:hAnsiTheme="minorBidi"/>
          <w:sz w:val="24"/>
          <w:szCs w:val="24"/>
          <w:u w:val="single"/>
          <w:lang w:eastAsia="fr-FR"/>
        </w:rPr>
        <w:t>Geographical coverage</w:t>
      </w:r>
      <w:r w:rsidRPr="00187F64">
        <w:rPr>
          <w:rFonts w:asciiTheme="minorBidi" w:eastAsia="Times New Roman" w:hAnsiTheme="minorBidi"/>
          <w:sz w:val="24"/>
          <w:szCs w:val="24"/>
          <w:lang w:eastAsia="fr-FR"/>
        </w:rPr>
        <w:t>: The statistical territory adopted by the countries may differ from one country to another (such as including or excluding free</w:t>
      </w:r>
      <w:r w:rsidR="00432CD5">
        <w:rPr>
          <w:rFonts w:asciiTheme="minorBidi" w:eastAsia="Times New Roman" w:hAnsiTheme="minorBidi"/>
          <w:sz w:val="24"/>
          <w:szCs w:val="24"/>
          <w:lang w:eastAsia="fr-FR"/>
        </w:rPr>
        <w:t xml:space="preserve"> trade</w:t>
      </w:r>
      <w:r w:rsidRPr="00187F64">
        <w:rPr>
          <w:rFonts w:asciiTheme="minorBidi" w:eastAsia="Times New Roman" w:hAnsiTheme="minorBidi"/>
          <w:sz w:val="24"/>
          <w:szCs w:val="24"/>
          <w:lang w:eastAsia="fr-FR"/>
        </w:rPr>
        <w:t xml:space="preserve"> zones).</w:t>
      </w:r>
      <w:r w:rsidRPr="00187F64">
        <w:rPr>
          <w:rFonts w:asciiTheme="minorBidi" w:eastAsia="Times New Roman" w:hAnsiTheme="minorBidi"/>
          <w:b/>
          <w:bCs/>
          <w:sz w:val="24"/>
          <w:szCs w:val="24"/>
          <w:lang w:eastAsia="fr-FR"/>
        </w:rPr>
        <w:t xml:space="preserve"> </w:t>
      </w:r>
    </w:p>
    <w:p w:rsidR="004E13FF" w:rsidRDefault="004E13FF" w:rsidP="00E847E7">
      <w:pPr>
        <w:spacing w:before="120" w:after="0" w:line="360" w:lineRule="auto"/>
        <w:contextualSpacing/>
        <w:rPr>
          <w:rFonts w:asciiTheme="minorBidi" w:eastAsia="Times New Roman" w:hAnsiTheme="minorBidi"/>
          <w:b/>
          <w:bCs/>
          <w:sz w:val="24"/>
          <w:szCs w:val="24"/>
          <w:lang w:eastAsia="fr-FR"/>
        </w:rPr>
      </w:pPr>
      <w:r w:rsidRPr="0035059A">
        <w:rPr>
          <w:rFonts w:asciiTheme="minorBidi" w:eastAsia="Times New Roman" w:hAnsiTheme="minorBidi"/>
          <w:sz w:val="24"/>
          <w:szCs w:val="24"/>
          <w:u w:val="single"/>
          <w:lang w:eastAsia="fr-FR"/>
        </w:rPr>
        <w:t>Value</w:t>
      </w:r>
      <w:r w:rsidRPr="0023058F">
        <w:rPr>
          <w:rFonts w:asciiTheme="minorBidi" w:eastAsia="Times New Roman" w:hAnsiTheme="minorBidi"/>
          <w:i/>
          <w:iCs/>
          <w:sz w:val="24"/>
          <w:szCs w:val="24"/>
          <w:lang w:eastAsia="fr-FR"/>
        </w:rPr>
        <w:t>:</w:t>
      </w:r>
      <w:r w:rsidRPr="00187F64">
        <w:rPr>
          <w:rFonts w:asciiTheme="minorBidi" w:eastAsia="Times New Roman" w:hAnsiTheme="minorBidi"/>
          <w:sz w:val="24"/>
          <w:szCs w:val="24"/>
          <w:lang w:eastAsia="fr-FR"/>
        </w:rPr>
        <w:t xml:space="preserve"> Value data are recorded in two possible ways: Free On Board (FOB), which includes the transaction value of goods; or Cost Insurance Freight (CIF), which includes the value of services performed to deliver the goods. Exports are usually recorded as FOB, whereas imports are usually recorded as CIF.</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When comparing</w:t>
      </w:r>
      <w:r w:rsidR="00843213">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flows,</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the CIF and FOB</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values</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need to be converted.</w:t>
      </w:r>
      <w:r w:rsidR="00843213">
        <w:rPr>
          <w:rFonts w:asciiTheme="minorBidi" w:eastAsia="Times New Roman" w:hAnsiTheme="minorBidi"/>
          <w:sz w:val="24"/>
          <w:szCs w:val="24"/>
          <w:lang w:eastAsia="fr-FR"/>
        </w:rPr>
        <w:t xml:space="preserve">                                                                 </w:t>
      </w:r>
      <w:r w:rsidRPr="0035059A">
        <w:rPr>
          <w:rFonts w:asciiTheme="minorBidi" w:eastAsia="Times New Roman" w:hAnsiTheme="minorBidi"/>
          <w:sz w:val="24"/>
          <w:szCs w:val="24"/>
          <w:u w:val="single"/>
          <w:lang w:eastAsia="fr-FR"/>
        </w:rPr>
        <w:t>Trade systems</w:t>
      </w:r>
      <w:r w:rsidRPr="0023058F">
        <w:rPr>
          <w:rFonts w:asciiTheme="minorBidi" w:eastAsia="Times New Roman" w:hAnsiTheme="minorBidi"/>
          <w:i/>
          <w:iCs/>
          <w:sz w:val="24"/>
          <w:szCs w:val="24"/>
          <w:lang w:eastAsia="fr-FR"/>
        </w:rPr>
        <w:t>:</w:t>
      </w:r>
      <w:r w:rsidRPr="00187F64">
        <w:rPr>
          <w:rFonts w:asciiTheme="minorBidi" w:eastAsia="Times New Roman" w:hAnsiTheme="minorBidi"/>
          <w:b/>
          <w:bCs/>
          <w:sz w:val="24"/>
          <w:szCs w:val="24"/>
          <w:lang w:eastAsia="fr-FR"/>
        </w:rPr>
        <w:t xml:space="preserve"> </w:t>
      </w:r>
      <w:r w:rsidRPr="00187F64">
        <w:rPr>
          <w:rFonts w:asciiTheme="minorBidi" w:eastAsia="Times New Roman" w:hAnsiTheme="minorBidi"/>
          <w:sz w:val="24"/>
          <w:szCs w:val="24"/>
          <w:lang w:eastAsia="fr-FR"/>
        </w:rPr>
        <w:t xml:space="preserve">There are two systems for recording trade data - the </w:t>
      </w:r>
      <w:r w:rsidRPr="00187F64">
        <w:rPr>
          <w:rFonts w:asciiTheme="minorBidi" w:eastAsia="Times New Roman" w:hAnsiTheme="minorBidi"/>
          <w:i/>
          <w:iCs/>
          <w:sz w:val="24"/>
          <w:szCs w:val="24"/>
          <w:lang w:eastAsia="fr-FR"/>
        </w:rPr>
        <w:t>General Trade System</w:t>
      </w:r>
      <w:r w:rsidRPr="00187F64">
        <w:rPr>
          <w:rFonts w:asciiTheme="minorBidi" w:eastAsia="Times New Roman" w:hAnsiTheme="minorBidi"/>
          <w:sz w:val="24"/>
          <w:szCs w:val="24"/>
          <w:lang w:eastAsia="fr-FR"/>
        </w:rPr>
        <w:t xml:space="preserve">, where goods are recorded as they enter or leave the country; and the </w:t>
      </w:r>
      <w:r w:rsidRPr="00187F64">
        <w:rPr>
          <w:rFonts w:asciiTheme="minorBidi" w:eastAsia="Times New Roman" w:hAnsiTheme="minorBidi"/>
          <w:i/>
          <w:iCs/>
          <w:sz w:val="24"/>
          <w:szCs w:val="24"/>
          <w:lang w:eastAsia="fr-FR"/>
        </w:rPr>
        <w:t>Special Trade System</w:t>
      </w:r>
      <w:r w:rsidRPr="00187F64">
        <w:rPr>
          <w:rFonts w:asciiTheme="minorBidi" w:eastAsia="Times New Roman" w:hAnsiTheme="minorBidi"/>
          <w:sz w:val="24"/>
          <w:szCs w:val="24"/>
          <w:lang w:eastAsia="fr-FR"/>
        </w:rPr>
        <w:t xml:space="preserve">, where goods are recorded after clearing customs for use in the country. Thus, goods entering a </w:t>
      </w:r>
      <w:r w:rsidR="001646F8">
        <w:rPr>
          <w:rFonts w:asciiTheme="minorBidi" w:eastAsia="Times New Roman" w:hAnsiTheme="minorBidi"/>
          <w:sz w:val="24"/>
          <w:szCs w:val="24"/>
          <w:lang w:eastAsia="fr-FR"/>
        </w:rPr>
        <w:t>f</w:t>
      </w:r>
      <w:r w:rsidRPr="00187F64">
        <w:rPr>
          <w:rFonts w:asciiTheme="minorBidi" w:eastAsia="Times New Roman" w:hAnsiTheme="minorBidi"/>
          <w:sz w:val="24"/>
          <w:szCs w:val="24"/>
          <w:lang w:eastAsia="fr-FR"/>
        </w:rPr>
        <w:t xml:space="preserve">ree </w:t>
      </w:r>
      <w:r w:rsidR="001646F8">
        <w:rPr>
          <w:rFonts w:asciiTheme="minorBidi" w:eastAsia="Times New Roman" w:hAnsiTheme="minorBidi"/>
          <w:sz w:val="24"/>
          <w:szCs w:val="24"/>
          <w:lang w:eastAsia="fr-FR"/>
        </w:rPr>
        <w:t>z</w:t>
      </w:r>
      <w:r w:rsidRPr="00187F64">
        <w:rPr>
          <w:rFonts w:asciiTheme="minorBidi" w:eastAsia="Times New Roman" w:hAnsiTheme="minorBidi"/>
          <w:sz w:val="24"/>
          <w:szCs w:val="24"/>
          <w:lang w:eastAsia="fr-FR"/>
        </w:rPr>
        <w:t>one or customs warehouse are excluded.</w:t>
      </w:r>
      <w:r w:rsidRPr="00187F64">
        <w:rPr>
          <w:rFonts w:asciiTheme="minorBidi" w:eastAsia="Times New Roman" w:hAnsiTheme="minorBidi"/>
          <w:b/>
          <w:bCs/>
          <w:sz w:val="24"/>
          <w:szCs w:val="24"/>
          <w:lang w:eastAsia="fr-FR"/>
        </w:rPr>
        <w:t xml:space="preserve"> </w:t>
      </w:r>
    </w:p>
    <w:p w:rsidR="00432CD5" w:rsidRDefault="004E13FF" w:rsidP="00E847E7">
      <w:pPr>
        <w:spacing w:before="120" w:after="0" w:line="360" w:lineRule="auto"/>
        <w:contextualSpacing/>
        <w:jc w:val="both"/>
        <w:rPr>
          <w:rFonts w:asciiTheme="minorBidi" w:eastAsia="Times New Roman" w:hAnsiTheme="minorBidi"/>
          <w:sz w:val="24"/>
          <w:szCs w:val="24"/>
          <w:lang w:eastAsia="fr-FR"/>
        </w:rPr>
      </w:pPr>
      <w:r w:rsidRPr="00471C87">
        <w:rPr>
          <w:rFonts w:asciiTheme="minorBidi" w:eastAsia="Times New Roman" w:hAnsiTheme="minorBidi"/>
          <w:sz w:val="24"/>
          <w:szCs w:val="24"/>
          <w:u w:val="single"/>
          <w:lang w:eastAsia="fr-FR"/>
        </w:rPr>
        <w:t>Confidentiality</w:t>
      </w:r>
      <w:r w:rsidRPr="00843213">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There may be confidentiality restrictions on</w:t>
      </w:r>
      <w:r w:rsidR="00AA3B00">
        <w:rPr>
          <w:rFonts w:asciiTheme="minorBidi" w:eastAsia="Times New Roman" w:hAnsiTheme="minorBidi"/>
          <w:sz w:val="24"/>
          <w:szCs w:val="24"/>
          <w:lang w:eastAsia="fr-FR"/>
        </w:rPr>
        <w:t xml:space="preserve"> publishing </w:t>
      </w:r>
      <w:r w:rsidRPr="00187F64">
        <w:rPr>
          <w:rFonts w:asciiTheme="minorBidi" w:eastAsia="Times New Roman" w:hAnsiTheme="minorBidi"/>
          <w:sz w:val="24"/>
          <w:szCs w:val="24"/>
          <w:lang w:eastAsia="fr-FR"/>
        </w:rPr>
        <w:t xml:space="preserve">specific data that can affect statistics. </w:t>
      </w:r>
    </w:p>
    <w:p w:rsidR="004E13FF" w:rsidRPr="00187F64" w:rsidRDefault="004E13FF" w:rsidP="00E847E7">
      <w:pPr>
        <w:spacing w:before="120" w:after="0" w:line="360" w:lineRule="auto"/>
        <w:contextualSpacing/>
        <w:jc w:val="both"/>
        <w:rPr>
          <w:rFonts w:asciiTheme="minorBidi" w:eastAsia="Times New Roman" w:hAnsiTheme="minorBidi"/>
          <w:b/>
          <w:bCs/>
          <w:sz w:val="24"/>
          <w:szCs w:val="24"/>
          <w:lang w:eastAsia="fr-FR"/>
        </w:rPr>
      </w:pPr>
      <w:r w:rsidRPr="00187F64">
        <w:rPr>
          <w:rFonts w:asciiTheme="minorBidi" w:eastAsia="Times New Roman" w:hAnsiTheme="minorBidi"/>
          <w:b/>
          <w:bCs/>
          <w:sz w:val="24"/>
          <w:szCs w:val="24"/>
          <w:lang w:eastAsia="fr-FR"/>
        </w:rPr>
        <w:t>4. Background</w:t>
      </w:r>
      <w:r w:rsidRPr="00187F64">
        <w:rPr>
          <w:rFonts w:asciiTheme="minorBidi" w:hAnsiTheme="minorBidi"/>
          <w:b/>
          <w:bCs/>
          <w:sz w:val="24"/>
          <w:szCs w:val="24"/>
        </w:rPr>
        <w:t xml:space="preserve">: </w:t>
      </w:r>
      <w:r w:rsidR="00CB4ADA">
        <w:rPr>
          <w:rFonts w:asciiTheme="minorBidi" w:eastAsia="Times New Roman" w:hAnsiTheme="minorBidi"/>
          <w:b/>
          <w:bCs/>
          <w:sz w:val="24"/>
          <w:szCs w:val="24"/>
          <w:lang w:eastAsia="fr-FR"/>
        </w:rPr>
        <w:t>T</w:t>
      </w:r>
      <w:r w:rsidRPr="00187F64">
        <w:rPr>
          <w:rFonts w:asciiTheme="minorBidi" w:eastAsia="Times New Roman" w:hAnsiTheme="minorBidi"/>
          <w:b/>
          <w:bCs/>
          <w:sz w:val="24"/>
          <w:szCs w:val="24"/>
          <w:lang w:eastAsia="fr-FR"/>
        </w:rPr>
        <w:t xml:space="preserve">rade characteristics of Israel and its neighbors  </w:t>
      </w:r>
    </w:p>
    <w:p w:rsidR="00650942" w:rsidRDefault="00650942" w:rsidP="00471C87">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Commercial relations between Middle-East countries have existed for thousands of years. Here we refer to the trade</w:t>
      </w:r>
      <w:r>
        <w:rPr>
          <w:rFonts w:asciiTheme="minorBidi" w:eastAsia="Times New Roman" w:hAnsiTheme="minorBidi"/>
          <w:sz w:val="24"/>
          <w:szCs w:val="24"/>
          <w:lang w:eastAsia="fr-FR"/>
        </w:rPr>
        <w:t xml:space="preserve"> in goods</w:t>
      </w:r>
      <w:r w:rsidRPr="00187F64">
        <w:rPr>
          <w:rFonts w:asciiTheme="minorBidi" w:eastAsia="Times New Roman" w:hAnsiTheme="minorBidi"/>
          <w:sz w:val="24"/>
          <w:szCs w:val="24"/>
          <w:lang w:eastAsia="fr-FR"/>
        </w:rPr>
        <w:t xml:space="preserve"> since the peace treaties and </w:t>
      </w:r>
      <w:r w:rsidR="00AA3B00">
        <w:rPr>
          <w:rFonts w:asciiTheme="minorBidi" w:eastAsia="Times New Roman" w:hAnsiTheme="minorBidi"/>
          <w:sz w:val="24"/>
          <w:szCs w:val="24"/>
          <w:lang w:eastAsia="fr-FR"/>
        </w:rPr>
        <w:t xml:space="preserve">trade </w:t>
      </w:r>
      <w:r w:rsidRPr="00187F64">
        <w:rPr>
          <w:rFonts w:asciiTheme="minorBidi" w:eastAsia="Times New Roman" w:hAnsiTheme="minorBidi"/>
          <w:sz w:val="24"/>
          <w:szCs w:val="24"/>
          <w:lang w:eastAsia="fr-FR"/>
        </w:rPr>
        <w:t>agreements between Israel and its neighbors and up to the years the Mirror Exercises were held. Peace treaties between Israel and Egypt (1978) and Israel and Jordan (1994), led to the signing</w:t>
      </w:r>
      <w:r w:rsidR="00471C87">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of Qualifying Industrial Zone (QIZ) trade agreements.</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These are tripartite agreements between the USA, Israel and Jordan</w:t>
      </w:r>
      <w:r w:rsidR="00BC2DE6">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Egypt</w:t>
      </w:r>
      <w:r w:rsidR="00BC2DE6">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which allow for exports from Jordan</w:t>
      </w:r>
      <w:r w:rsidR="00BC2DE6">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Egypt to USA under free trade</w:t>
      </w:r>
      <w:r>
        <w:rPr>
          <w:rFonts w:asciiTheme="minorBidi" w:eastAsia="Times New Roman" w:hAnsiTheme="minorBidi"/>
          <w:sz w:val="24"/>
          <w:szCs w:val="24"/>
          <w:lang w:eastAsia="fr-FR"/>
        </w:rPr>
        <w:t>.</w:t>
      </w:r>
      <w:r w:rsidRPr="00CC0690">
        <w:rPr>
          <w:rFonts w:asciiTheme="minorBidi" w:eastAsia="Times New Roman" w:hAnsiTheme="minorBidi"/>
          <w:i/>
          <w:iCs/>
          <w:sz w:val="24"/>
          <w:szCs w:val="24"/>
          <w:lang w:eastAsia="fr-FR"/>
        </w:rPr>
        <w:t xml:space="preserve"> </w:t>
      </w:r>
      <w:r>
        <w:rPr>
          <w:rFonts w:asciiTheme="minorBidi" w:eastAsia="Times New Roman" w:hAnsiTheme="minorBidi"/>
          <w:sz w:val="24"/>
          <w:szCs w:val="24"/>
          <w:lang w:eastAsia="fr-FR"/>
        </w:rPr>
        <w:t>Ma</w:t>
      </w:r>
      <w:r w:rsidRPr="006609B1">
        <w:rPr>
          <w:rFonts w:asciiTheme="minorBidi" w:eastAsia="Times New Roman" w:hAnsiTheme="minorBidi"/>
          <w:sz w:val="24"/>
          <w:szCs w:val="24"/>
          <w:lang w:eastAsia="fr-FR"/>
        </w:rPr>
        <w:t>in</w:t>
      </w:r>
      <w:r w:rsidR="00FA1CC4">
        <w:rPr>
          <w:rFonts w:asciiTheme="minorBidi" w:eastAsia="Times New Roman" w:hAnsiTheme="minorBidi"/>
          <w:sz w:val="24"/>
          <w:szCs w:val="24"/>
          <w:lang w:eastAsia="fr-FR"/>
        </w:rPr>
        <w:t xml:space="preserve"> </w:t>
      </w:r>
      <w:r w:rsidRPr="006609B1">
        <w:rPr>
          <w:rFonts w:asciiTheme="minorBidi" w:eastAsia="Times New Roman" w:hAnsiTheme="minorBidi"/>
          <w:sz w:val="24"/>
          <w:szCs w:val="24"/>
          <w:lang w:eastAsia="fr-FR"/>
        </w:rPr>
        <w:t>Trade of goods between Israel and its partners</w:t>
      </w:r>
      <w:r w:rsidR="007A415E">
        <w:rPr>
          <w:rFonts w:asciiTheme="minorBidi" w:eastAsia="Times New Roman" w:hAnsiTheme="minorBidi"/>
          <w:sz w:val="24"/>
          <w:szCs w:val="24"/>
          <w:lang w:eastAsia="fr-FR"/>
        </w:rPr>
        <w:t xml:space="preserve">, </w:t>
      </w:r>
      <w:r w:rsidRPr="006609B1">
        <w:rPr>
          <w:rFonts w:asciiTheme="minorBidi" w:eastAsia="Times New Roman" w:hAnsiTheme="minorBidi"/>
          <w:sz w:val="24"/>
          <w:szCs w:val="24"/>
          <w:lang w:eastAsia="fr-FR"/>
        </w:rPr>
        <w:t xml:space="preserve">at the time </w:t>
      </w:r>
      <w:r w:rsidR="00FA1CC4">
        <w:rPr>
          <w:rFonts w:asciiTheme="minorBidi" w:eastAsia="Times New Roman" w:hAnsiTheme="minorBidi"/>
          <w:sz w:val="24"/>
          <w:szCs w:val="24"/>
          <w:lang w:eastAsia="fr-FR"/>
        </w:rPr>
        <w:t xml:space="preserve">the </w:t>
      </w:r>
      <w:r w:rsidR="00BC2DE6" w:rsidRPr="00187F64">
        <w:rPr>
          <w:rFonts w:asciiTheme="minorBidi" w:eastAsia="Times New Roman" w:hAnsiTheme="minorBidi"/>
          <w:sz w:val="24"/>
          <w:szCs w:val="24"/>
          <w:lang w:eastAsia="fr-FR"/>
        </w:rPr>
        <w:t>Mirror Exercises were held</w:t>
      </w:r>
      <w:r w:rsidRPr="006609B1">
        <w:rPr>
          <w:rFonts w:asciiTheme="minorBidi" w:eastAsia="Times New Roman" w:hAnsiTheme="minorBidi"/>
          <w:sz w:val="24"/>
          <w:szCs w:val="24"/>
          <w:lang w:eastAsia="fr-FR"/>
        </w:rPr>
        <w:t>:</w:t>
      </w:r>
      <w:r>
        <w:rPr>
          <w:rFonts w:asciiTheme="minorBidi" w:eastAsia="Times New Roman" w:hAnsiTheme="minorBidi"/>
          <w:sz w:val="24"/>
          <w:szCs w:val="24"/>
          <w:lang w:eastAsia="fr-FR"/>
        </w:rPr>
        <w:t xml:space="preserve"> </w:t>
      </w:r>
    </w:p>
    <w:p w:rsidR="00650942" w:rsidRDefault="00650942" w:rsidP="00E847E7">
      <w:pPr>
        <w:spacing w:before="120" w:after="0" w:line="360" w:lineRule="auto"/>
        <w:contextualSpacing/>
        <w:jc w:val="both"/>
        <w:rPr>
          <w:rFonts w:asciiTheme="minorBidi" w:eastAsia="Times New Roman" w:hAnsiTheme="minorBidi"/>
          <w:sz w:val="24"/>
          <w:szCs w:val="24"/>
          <w:lang w:eastAsia="fr-FR"/>
        </w:rPr>
      </w:pPr>
      <w:r w:rsidRPr="00471C87">
        <w:rPr>
          <w:rFonts w:asciiTheme="minorBidi" w:eastAsia="Times New Roman" w:hAnsiTheme="minorBidi"/>
          <w:sz w:val="24"/>
          <w:szCs w:val="24"/>
          <w:u w:val="single"/>
          <w:lang w:eastAsia="fr-FR"/>
        </w:rPr>
        <w:lastRenderedPageBreak/>
        <w:t>Israel</w:t>
      </w:r>
      <w:r w:rsidR="00E743E7" w:rsidRPr="00471C87">
        <w:rPr>
          <w:rFonts w:asciiTheme="minorBidi" w:eastAsia="Times New Roman" w:hAnsiTheme="minorBidi"/>
          <w:sz w:val="24"/>
          <w:szCs w:val="24"/>
          <w:u w:val="single"/>
          <w:lang w:eastAsia="fr-FR"/>
        </w:rPr>
        <w:t xml:space="preserve"> (IL) –</w:t>
      </w:r>
      <w:r w:rsidRPr="00471C87">
        <w:rPr>
          <w:rFonts w:asciiTheme="minorBidi" w:eastAsia="Times New Roman" w:hAnsiTheme="minorBidi"/>
          <w:sz w:val="24"/>
          <w:szCs w:val="24"/>
          <w:u w:val="single"/>
          <w:lang w:eastAsia="fr-FR"/>
        </w:rPr>
        <w:t xml:space="preserve"> Egypt</w:t>
      </w:r>
      <w:r w:rsidR="00E743E7" w:rsidRPr="00471C87">
        <w:rPr>
          <w:rFonts w:asciiTheme="minorBidi" w:eastAsia="Times New Roman" w:hAnsiTheme="minorBidi"/>
          <w:sz w:val="24"/>
          <w:szCs w:val="24"/>
          <w:u w:val="single"/>
          <w:lang w:eastAsia="fr-FR"/>
        </w:rPr>
        <w:t xml:space="preserve"> (EG)</w:t>
      </w:r>
      <w:r>
        <w:rPr>
          <w:rFonts w:asciiTheme="minorBidi" w:eastAsia="Times New Roman" w:hAnsiTheme="minorBidi"/>
          <w:sz w:val="24"/>
          <w:szCs w:val="24"/>
          <w:lang w:eastAsia="fr-FR"/>
        </w:rPr>
        <w:t xml:space="preserve">: </w:t>
      </w:r>
      <w:r w:rsidR="004E7BAB">
        <w:rPr>
          <w:rFonts w:asciiTheme="minorBidi" w:eastAsia="Times New Roman" w:hAnsiTheme="minorBidi"/>
          <w:sz w:val="24"/>
          <w:szCs w:val="24"/>
          <w:lang w:eastAsia="fr-FR"/>
        </w:rPr>
        <w:t>T</w:t>
      </w:r>
      <w:r w:rsidRPr="00187F64">
        <w:rPr>
          <w:rFonts w:asciiTheme="minorBidi" w:eastAsia="Times New Roman" w:hAnsiTheme="minorBidi"/>
          <w:sz w:val="24"/>
          <w:szCs w:val="24"/>
          <w:lang w:eastAsia="fr-FR"/>
        </w:rPr>
        <w:t>he signing of the QIZ agreement</w:t>
      </w:r>
      <w:r w:rsidR="004E7BAB">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led to immediate growth in </w:t>
      </w:r>
      <w:r w:rsidR="00AA3B00">
        <w:rPr>
          <w:rFonts w:asciiTheme="minorBidi" w:eastAsia="Times New Roman" w:hAnsiTheme="minorBidi"/>
          <w:sz w:val="24"/>
          <w:szCs w:val="24"/>
          <w:lang w:eastAsia="fr-FR"/>
        </w:rPr>
        <w:t xml:space="preserve">bilateral </w:t>
      </w:r>
      <w:r w:rsidRPr="00187F64">
        <w:rPr>
          <w:rFonts w:asciiTheme="minorBidi" w:eastAsia="Times New Roman" w:hAnsiTheme="minorBidi"/>
          <w:sz w:val="24"/>
          <w:szCs w:val="24"/>
          <w:lang w:eastAsia="fr-FR"/>
        </w:rPr>
        <w:t>trade. Natural gas was the main commodity exported from Egypt. However, due to persistent natural gas shortages in Egypt, the gas supply to Israel has been suspended.</w:t>
      </w:r>
      <w:r w:rsidR="00FC390F">
        <w:rPr>
          <w:rFonts w:asciiTheme="minorBidi" w:eastAsia="Times New Roman" w:hAnsiTheme="minorBidi"/>
          <w:sz w:val="24"/>
          <w:szCs w:val="24"/>
          <w:lang w:eastAsia="fr-FR"/>
        </w:rPr>
        <w:t xml:space="preserve"> Other </w:t>
      </w:r>
      <w:r w:rsidR="00FC390F" w:rsidRPr="00187F64">
        <w:rPr>
          <w:rFonts w:asciiTheme="minorBidi" w:eastAsia="Times New Roman" w:hAnsiTheme="minorBidi"/>
          <w:sz w:val="24"/>
          <w:szCs w:val="24"/>
          <w:lang w:eastAsia="fr-FR"/>
        </w:rPr>
        <w:t xml:space="preserve">main imports to Israel were: chemical products; </w:t>
      </w:r>
      <w:r w:rsidR="00FC390F">
        <w:rPr>
          <w:rFonts w:asciiTheme="minorBidi" w:eastAsia="Times New Roman" w:hAnsiTheme="minorBidi"/>
          <w:sz w:val="24"/>
          <w:szCs w:val="24"/>
          <w:lang w:eastAsia="fr-FR"/>
        </w:rPr>
        <w:t>"</w:t>
      </w:r>
      <w:r w:rsidR="00FC390F" w:rsidRPr="00187F64">
        <w:rPr>
          <w:rFonts w:asciiTheme="minorBidi" w:eastAsia="Times New Roman" w:hAnsiTheme="minorBidi"/>
          <w:sz w:val="24"/>
          <w:szCs w:val="24"/>
          <w:lang w:eastAsia="fr-FR"/>
        </w:rPr>
        <w:t>plastics and articles thereof</w:t>
      </w:r>
      <w:r w:rsidR="00FC390F">
        <w:rPr>
          <w:rFonts w:asciiTheme="minorBidi" w:eastAsia="Times New Roman" w:hAnsiTheme="minorBidi"/>
          <w:sz w:val="24"/>
          <w:szCs w:val="24"/>
          <w:lang w:eastAsia="fr-FR"/>
        </w:rPr>
        <w:t>"</w:t>
      </w:r>
      <w:r w:rsidR="00FC390F" w:rsidRPr="00187F64">
        <w:rPr>
          <w:rFonts w:asciiTheme="minorBidi" w:eastAsia="Times New Roman" w:hAnsiTheme="minorBidi"/>
          <w:sz w:val="24"/>
          <w:szCs w:val="24"/>
          <w:lang w:eastAsia="fr-FR"/>
        </w:rPr>
        <w:t>, edible vegetables, roots and tubers</w:t>
      </w:r>
      <w:r w:rsidR="00FC390F">
        <w:rPr>
          <w:rFonts w:asciiTheme="minorBidi" w:eastAsia="Times New Roman" w:hAnsiTheme="minorBidi"/>
          <w:sz w:val="24"/>
          <w:szCs w:val="24"/>
          <w:lang w:eastAsia="fr-FR"/>
        </w:rPr>
        <w:t>.M</w:t>
      </w:r>
      <w:r w:rsidRPr="00187F64">
        <w:rPr>
          <w:rFonts w:asciiTheme="minorBidi" w:eastAsia="Times New Roman" w:hAnsiTheme="minorBidi"/>
          <w:sz w:val="24"/>
          <w:szCs w:val="24"/>
          <w:lang w:eastAsia="fr-FR"/>
        </w:rPr>
        <w:t xml:space="preserve">ain exports from Israel </w:t>
      </w:r>
      <w:r w:rsidR="00FC390F">
        <w:rPr>
          <w:rFonts w:asciiTheme="minorBidi" w:eastAsia="Times New Roman" w:hAnsiTheme="minorBidi"/>
          <w:sz w:val="24"/>
          <w:szCs w:val="24"/>
          <w:lang w:eastAsia="fr-FR"/>
        </w:rPr>
        <w:t xml:space="preserve">to Egypt </w:t>
      </w:r>
      <w:r w:rsidRPr="00187F64">
        <w:rPr>
          <w:rFonts w:asciiTheme="minorBidi" w:eastAsia="Times New Roman" w:hAnsiTheme="minorBidi"/>
          <w:sz w:val="24"/>
          <w:szCs w:val="24"/>
          <w:lang w:eastAsia="fr-FR"/>
        </w:rPr>
        <w:t>were chemical products, paper and paper products</w:t>
      </w:r>
      <w:r w:rsidR="00FC390F">
        <w:rPr>
          <w:rFonts w:asciiTheme="minorBidi" w:eastAsia="Times New Roman" w:hAnsiTheme="minorBidi"/>
          <w:sz w:val="24"/>
          <w:szCs w:val="24"/>
          <w:lang w:eastAsia="fr-FR"/>
        </w:rPr>
        <w:t xml:space="preserve"> and </w:t>
      </w:r>
      <w:r w:rsidRPr="00187F64">
        <w:rPr>
          <w:rFonts w:asciiTheme="minorBidi" w:eastAsia="Times New Roman" w:hAnsiTheme="minorBidi"/>
          <w:sz w:val="24"/>
          <w:szCs w:val="24"/>
          <w:lang w:eastAsia="fr-FR"/>
        </w:rPr>
        <w:t xml:space="preserve">plastics. </w:t>
      </w:r>
    </w:p>
    <w:p w:rsidR="00650942" w:rsidRDefault="00650942" w:rsidP="00E847E7">
      <w:pPr>
        <w:spacing w:before="120" w:after="0" w:line="360" w:lineRule="auto"/>
        <w:contextualSpacing/>
        <w:jc w:val="both"/>
        <w:rPr>
          <w:rFonts w:asciiTheme="minorBidi" w:eastAsia="Times New Roman" w:hAnsiTheme="minorBidi"/>
          <w:sz w:val="24"/>
          <w:szCs w:val="24"/>
          <w:lang w:eastAsia="fr-FR"/>
        </w:rPr>
      </w:pPr>
      <w:r w:rsidRPr="00471C87">
        <w:rPr>
          <w:rFonts w:asciiTheme="minorBidi" w:eastAsia="Times New Roman" w:hAnsiTheme="minorBidi"/>
          <w:sz w:val="24"/>
          <w:szCs w:val="24"/>
          <w:u w:val="single"/>
          <w:lang w:eastAsia="fr-FR"/>
        </w:rPr>
        <w:t>Israel</w:t>
      </w:r>
      <w:r w:rsidR="00E743E7" w:rsidRPr="00471C87">
        <w:rPr>
          <w:rFonts w:asciiTheme="minorBidi" w:eastAsia="Times New Roman" w:hAnsiTheme="minorBidi"/>
          <w:sz w:val="24"/>
          <w:szCs w:val="24"/>
          <w:u w:val="single"/>
          <w:lang w:eastAsia="fr-FR"/>
        </w:rPr>
        <w:t xml:space="preserve"> (IL) –</w:t>
      </w:r>
      <w:r w:rsidRPr="00471C87">
        <w:rPr>
          <w:rFonts w:asciiTheme="minorBidi" w:eastAsia="Times New Roman" w:hAnsiTheme="minorBidi"/>
          <w:sz w:val="24"/>
          <w:szCs w:val="24"/>
          <w:u w:val="single"/>
          <w:lang w:eastAsia="fr-FR"/>
        </w:rPr>
        <w:t xml:space="preserve"> Jordan</w:t>
      </w:r>
      <w:r w:rsidR="00E743E7" w:rsidRPr="00471C87">
        <w:rPr>
          <w:rFonts w:asciiTheme="minorBidi" w:eastAsia="Times New Roman" w:hAnsiTheme="minorBidi"/>
          <w:sz w:val="24"/>
          <w:szCs w:val="24"/>
          <w:u w:val="single"/>
          <w:lang w:eastAsia="fr-FR"/>
        </w:rPr>
        <w:t xml:space="preserve"> (JO)</w:t>
      </w:r>
      <w:r>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The QIZ trade agreement led to years of constant growth in bilateral trade. The slowdown in exports from Israel has been partially attributed to the free trade agreement signed between Jordan and the U.S. which reduced the attractiveness of the</w:t>
      </w:r>
      <w:r w:rsidR="00D26EDD">
        <w:rPr>
          <w:rFonts w:asciiTheme="minorBidi" w:eastAsia="Times New Roman" w:hAnsiTheme="minorBidi"/>
          <w:sz w:val="24"/>
          <w:szCs w:val="24"/>
          <w:lang w:eastAsia="fr-FR"/>
        </w:rPr>
        <w:t xml:space="preserve"> tripartite</w:t>
      </w:r>
      <w:r w:rsidRPr="00187F64">
        <w:rPr>
          <w:rFonts w:asciiTheme="minorBidi" w:eastAsia="Times New Roman" w:hAnsiTheme="minorBidi"/>
          <w:sz w:val="24"/>
          <w:szCs w:val="24"/>
          <w:lang w:eastAsia="fr-FR"/>
        </w:rPr>
        <w:t xml:space="preserve"> agreement.</w:t>
      </w:r>
      <w:r w:rsidR="00FC390F">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Israeli exports to Jordan consisted mainly of chemicals, inputs for the textile industry, and agricultural machinery. Main imports from Jordan</w:t>
      </w:r>
      <w:r w:rsidR="00FC390F">
        <w:rPr>
          <w:rFonts w:asciiTheme="minorBidi" w:eastAsia="Times New Roman" w:hAnsiTheme="minorBidi"/>
          <w:sz w:val="24"/>
          <w:szCs w:val="24"/>
          <w:lang w:eastAsia="fr-FR"/>
        </w:rPr>
        <w:t xml:space="preserve"> to Israel </w:t>
      </w:r>
      <w:r w:rsidRPr="00187F64">
        <w:rPr>
          <w:rFonts w:asciiTheme="minorBidi" w:eastAsia="Times New Roman" w:hAnsiTheme="minorBidi"/>
          <w:sz w:val="24"/>
          <w:szCs w:val="24"/>
          <w:lang w:eastAsia="fr-FR"/>
        </w:rPr>
        <w:t>were plastics, live animals and electrical machinery</w:t>
      </w:r>
      <w:r>
        <w:rPr>
          <w:rFonts w:asciiTheme="minorBidi" w:eastAsia="Times New Roman" w:hAnsiTheme="minorBidi"/>
          <w:sz w:val="24"/>
          <w:szCs w:val="24"/>
          <w:lang w:eastAsia="fr-FR"/>
        </w:rPr>
        <w:t>.</w:t>
      </w:r>
    </w:p>
    <w:p w:rsidR="000D5544" w:rsidRDefault="00650942" w:rsidP="00E847E7">
      <w:pPr>
        <w:spacing w:before="120" w:after="0" w:line="360" w:lineRule="auto"/>
        <w:contextualSpacing/>
        <w:jc w:val="both"/>
        <w:rPr>
          <w:rFonts w:asciiTheme="minorBidi" w:eastAsia="Times New Roman" w:hAnsiTheme="minorBidi"/>
          <w:b/>
          <w:bCs/>
          <w:sz w:val="24"/>
          <w:szCs w:val="24"/>
          <w:lang w:eastAsia="fr-FR"/>
        </w:rPr>
      </w:pPr>
      <w:r w:rsidRPr="00471C87">
        <w:rPr>
          <w:rFonts w:asciiTheme="minorBidi" w:eastAsia="Times New Roman" w:hAnsiTheme="minorBidi"/>
          <w:sz w:val="24"/>
          <w:szCs w:val="24"/>
          <w:u w:val="single"/>
          <w:lang w:eastAsia="fr-FR"/>
        </w:rPr>
        <w:t>Israel</w:t>
      </w:r>
      <w:r w:rsidR="00E743E7" w:rsidRPr="00471C87">
        <w:rPr>
          <w:rFonts w:asciiTheme="minorBidi" w:eastAsia="Times New Roman" w:hAnsiTheme="minorBidi"/>
          <w:sz w:val="24"/>
          <w:szCs w:val="24"/>
          <w:u w:val="single"/>
          <w:lang w:eastAsia="fr-FR"/>
        </w:rPr>
        <w:t xml:space="preserve"> (IL)</w:t>
      </w:r>
      <w:r w:rsidR="00AD3336" w:rsidRPr="00471C87">
        <w:rPr>
          <w:rFonts w:asciiTheme="minorBidi" w:eastAsia="Times New Roman" w:hAnsiTheme="minorBidi"/>
          <w:sz w:val="24"/>
          <w:szCs w:val="24"/>
          <w:u w:val="single"/>
          <w:lang w:eastAsia="fr-FR"/>
        </w:rPr>
        <w:t xml:space="preserve"> </w:t>
      </w:r>
      <w:r w:rsidRPr="00471C87">
        <w:rPr>
          <w:rFonts w:asciiTheme="minorBidi" w:eastAsia="Times New Roman" w:hAnsiTheme="minorBidi"/>
          <w:sz w:val="24"/>
          <w:szCs w:val="24"/>
          <w:u w:val="single"/>
          <w:lang w:eastAsia="fr-FR"/>
        </w:rPr>
        <w:t>- Palestinian Authority</w:t>
      </w:r>
      <w:r w:rsidR="00E743E7" w:rsidRPr="00471C87">
        <w:rPr>
          <w:rFonts w:asciiTheme="minorBidi" w:eastAsia="Times New Roman" w:hAnsiTheme="minorBidi"/>
          <w:sz w:val="24"/>
          <w:szCs w:val="24"/>
          <w:u w:val="single"/>
          <w:lang w:eastAsia="fr-FR"/>
        </w:rPr>
        <w:t xml:space="preserve"> (PA)</w:t>
      </w:r>
      <w:r>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Exports from Israel to PA were mainly low technology </w:t>
      </w:r>
      <w:r w:rsidR="00AD3336">
        <w:rPr>
          <w:rFonts w:asciiTheme="minorBidi" w:eastAsia="Times New Roman" w:hAnsiTheme="minorBidi"/>
          <w:sz w:val="24"/>
          <w:szCs w:val="24"/>
          <w:lang w:eastAsia="fr-FR"/>
        </w:rPr>
        <w:t>and</w:t>
      </w:r>
      <w:r w:rsidRPr="00187F64">
        <w:rPr>
          <w:rFonts w:asciiTheme="minorBidi" w:eastAsia="Times New Roman" w:hAnsiTheme="minorBidi"/>
          <w:sz w:val="24"/>
          <w:szCs w:val="24"/>
          <w:lang w:eastAsia="fr-FR"/>
        </w:rPr>
        <w:t xml:space="preserve"> medium-low technology manufacturing and energy products (electricity, fuels, and food products).Trade between the parties has a distinctive characteristic: over 70% of PA's imports are from Israel, and almost 90% of its exports are to Israel, while 5% of Israeli exports are to PA.</w:t>
      </w:r>
    </w:p>
    <w:p w:rsidR="004E13FF" w:rsidRPr="00187F64" w:rsidRDefault="004E13FF" w:rsidP="00E847E7">
      <w:pPr>
        <w:spacing w:before="120" w:after="0" w:line="360" w:lineRule="auto"/>
        <w:contextualSpacing/>
        <w:jc w:val="both"/>
        <w:rPr>
          <w:rFonts w:asciiTheme="minorBidi" w:eastAsia="Times New Roman" w:hAnsiTheme="minorBidi"/>
          <w:b/>
          <w:bCs/>
          <w:sz w:val="24"/>
          <w:szCs w:val="24"/>
          <w:lang w:eastAsia="fr-FR"/>
        </w:rPr>
      </w:pPr>
      <w:r w:rsidRPr="00187F64">
        <w:rPr>
          <w:rFonts w:asciiTheme="minorBidi" w:eastAsia="Times New Roman" w:hAnsiTheme="minorBidi"/>
          <w:b/>
          <w:bCs/>
          <w:sz w:val="24"/>
          <w:szCs w:val="24"/>
          <w:lang w:eastAsia="fr-FR"/>
        </w:rPr>
        <w:t>5. Asymmetries in the bilateral trade statistics of Israel and the partners</w:t>
      </w:r>
    </w:p>
    <w:p w:rsidR="00EA0BF0" w:rsidRDefault="00EA0BF0" w:rsidP="00E847E7">
      <w:pPr>
        <w:spacing w:before="120" w:after="0" w:line="360" w:lineRule="auto"/>
        <w:contextualSpacing/>
        <w:rPr>
          <w:rFonts w:asciiTheme="minorBidi" w:eastAsia="Times New Roman" w:hAnsiTheme="minorBidi"/>
          <w:sz w:val="24"/>
          <w:szCs w:val="24"/>
          <w:lang w:eastAsia="fr-FR"/>
        </w:rPr>
      </w:pPr>
      <w:r>
        <w:rPr>
          <w:rFonts w:asciiTheme="minorBidi" w:eastAsia="Times New Roman" w:hAnsiTheme="minorBidi"/>
          <w:i/>
          <w:iCs/>
          <w:sz w:val="24"/>
          <w:szCs w:val="24"/>
          <w:lang w:eastAsia="fr-FR"/>
        </w:rPr>
        <w:t xml:space="preserve">5.1 </w:t>
      </w:r>
      <w:r w:rsidR="00783040">
        <w:rPr>
          <w:rFonts w:asciiTheme="minorBidi" w:eastAsia="Times New Roman" w:hAnsiTheme="minorBidi"/>
          <w:i/>
          <w:iCs/>
          <w:sz w:val="24"/>
          <w:szCs w:val="24"/>
          <w:lang w:eastAsia="fr-FR"/>
        </w:rPr>
        <w:t xml:space="preserve">Total </w:t>
      </w:r>
      <w:r w:rsidR="001646F8" w:rsidRPr="00471C87">
        <w:rPr>
          <w:rFonts w:asciiTheme="minorBidi" w:eastAsia="Times New Roman" w:hAnsiTheme="minorBidi"/>
          <w:i/>
          <w:iCs/>
          <w:sz w:val="24"/>
          <w:szCs w:val="24"/>
          <w:lang w:eastAsia="fr-FR"/>
        </w:rPr>
        <w:t>a</w:t>
      </w:r>
      <w:r w:rsidRPr="00471C87">
        <w:rPr>
          <w:rFonts w:asciiTheme="minorBidi" w:eastAsia="Times New Roman" w:hAnsiTheme="minorBidi"/>
          <w:i/>
          <w:iCs/>
          <w:sz w:val="24"/>
          <w:szCs w:val="24"/>
          <w:lang w:eastAsia="fr-FR"/>
        </w:rPr>
        <w:t>symmet</w:t>
      </w:r>
      <w:r w:rsidR="0061261D" w:rsidRPr="00471C87">
        <w:rPr>
          <w:rFonts w:asciiTheme="minorBidi" w:eastAsia="Times New Roman" w:hAnsiTheme="minorBidi"/>
          <w:i/>
          <w:iCs/>
          <w:sz w:val="24"/>
          <w:szCs w:val="24"/>
          <w:lang w:eastAsia="fr-FR"/>
        </w:rPr>
        <w:t>ry</w:t>
      </w:r>
      <w:r w:rsidRPr="00471C87">
        <w:rPr>
          <w:rFonts w:asciiTheme="minorBidi" w:eastAsia="Times New Roman" w:hAnsiTheme="minorBidi"/>
          <w:i/>
          <w:iCs/>
          <w:sz w:val="24"/>
          <w:szCs w:val="24"/>
          <w:lang w:eastAsia="fr-FR"/>
        </w:rPr>
        <w:t xml:space="preserve"> data</w:t>
      </w:r>
    </w:p>
    <w:p w:rsidR="00A13AF6" w:rsidRDefault="004E13FF" w:rsidP="00E847E7">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When comparing the bilateral trade data recorded by each partner asymmetries were</w:t>
      </w:r>
      <w:r w:rsidR="00EA0BF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found (Tyrman, 2013 and Veronese, 2013).</w:t>
      </w:r>
      <w:r w:rsidR="00D26EDD">
        <w:rPr>
          <w:rFonts w:asciiTheme="minorBidi" w:eastAsia="Times New Roman" w:hAnsiTheme="minorBidi"/>
          <w:sz w:val="24"/>
          <w:szCs w:val="24"/>
          <w:lang w:eastAsia="fr-FR"/>
        </w:rPr>
        <w:t xml:space="preserve"> </w:t>
      </w:r>
      <w:r w:rsidR="00AB5889">
        <w:rPr>
          <w:rFonts w:asciiTheme="minorBidi" w:eastAsia="Times New Roman" w:hAnsiTheme="minorBidi"/>
          <w:sz w:val="24"/>
          <w:szCs w:val="24"/>
          <w:lang w:eastAsia="fr-FR"/>
        </w:rPr>
        <w:t>In each of the</w:t>
      </w:r>
      <w:r w:rsidRPr="00187F64">
        <w:rPr>
          <w:rFonts w:asciiTheme="minorBidi" w:eastAsia="Times New Roman" w:hAnsiTheme="minorBidi"/>
          <w:sz w:val="24"/>
          <w:szCs w:val="24"/>
          <w:lang w:eastAsia="fr-FR"/>
        </w:rPr>
        <w:t xml:space="preserve"> next three graphs</w:t>
      </w:r>
      <w:r w:rsidR="000A5D37">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the </w:t>
      </w:r>
      <w:r w:rsidRPr="00783040">
        <w:rPr>
          <w:rFonts w:asciiTheme="minorBidi" w:eastAsia="Times New Roman" w:hAnsiTheme="minorBidi"/>
          <w:sz w:val="24"/>
          <w:szCs w:val="24"/>
          <w:lang w:eastAsia="fr-FR"/>
        </w:rPr>
        <w:t xml:space="preserve">dark </w:t>
      </w:r>
      <w:r w:rsidRPr="00187F64">
        <w:rPr>
          <w:rFonts w:asciiTheme="minorBidi" w:eastAsia="Times New Roman" w:hAnsiTheme="minorBidi"/>
          <w:sz w:val="24"/>
          <w:szCs w:val="24"/>
          <w:lang w:eastAsia="fr-FR"/>
        </w:rPr>
        <w:t xml:space="preserve">columns represent data as reported by </w:t>
      </w:r>
      <w:r w:rsidRPr="00783040">
        <w:rPr>
          <w:rFonts w:asciiTheme="minorBidi" w:eastAsia="Times New Roman" w:hAnsiTheme="minorBidi"/>
          <w:sz w:val="24"/>
          <w:szCs w:val="24"/>
          <w:lang w:eastAsia="fr-FR"/>
        </w:rPr>
        <w:t>Israel</w:t>
      </w:r>
      <w:r w:rsidRPr="00187F64">
        <w:rPr>
          <w:rFonts w:asciiTheme="minorBidi" w:eastAsia="Times New Roman" w:hAnsiTheme="minorBidi"/>
          <w:sz w:val="24"/>
          <w:szCs w:val="24"/>
          <w:lang w:eastAsia="fr-FR"/>
        </w:rPr>
        <w:t xml:space="preserve"> (IL) while the fair color columns represent the reflection which is the same flow as reported by the partner country (EG, JO, PA). Ideally the dark and fair columns should be equal.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On the left side of each graph is a pair of columns for imports into Israel :Israeli da</w:t>
      </w:r>
      <w:r w:rsidR="00E743E7">
        <w:rPr>
          <w:rFonts w:asciiTheme="minorBidi" w:eastAsia="Times New Roman" w:hAnsiTheme="minorBidi"/>
          <w:sz w:val="24"/>
          <w:szCs w:val="24"/>
          <w:lang w:eastAsia="fr-FR"/>
        </w:rPr>
        <w:softHyphen/>
      </w:r>
      <w:r w:rsidR="00E743E7">
        <w:rPr>
          <w:rFonts w:asciiTheme="minorBidi" w:eastAsia="Times New Roman" w:hAnsiTheme="minorBidi"/>
          <w:sz w:val="24"/>
          <w:szCs w:val="24"/>
          <w:lang w:eastAsia="fr-FR"/>
        </w:rPr>
        <w:softHyphen/>
      </w:r>
      <w:r w:rsidRPr="00187F64">
        <w:rPr>
          <w:rFonts w:asciiTheme="minorBidi" w:eastAsia="Times New Roman" w:hAnsiTheme="minorBidi"/>
          <w:sz w:val="24"/>
          <w:szCs w:val="24"/>
          <w:lang w:eastAsia="fr-FR"/>
        </w:rPr>
        <w:t>ta and the reflection</w:t>
      </w:r>
      <w:r w:rsidR="0061261D">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w:t>
      </w:r>
      <w:r w:rsidR="00EA0BF0">
        <w:rPr>
          <w:rFonts w:asciiTheme="minorBidi" w:eastAsia="Times New Roman" w:hAnsiTheme="minorBidi"/>
          <w:sz w:val="24"/>
          <w:szCs w:val="24"/>
          <w:lang w:eastAsia="fr-FR"/>
        </w:rPr>
        <w:t>as reported by</w:t>
      </w:r>
      <w:r w:rsidRPr="00187F64">
        <w:rPr>
          <w:rFonts w:asciiTheme="minorBidi" w:eastAsia="Times New Roman" w:hAnsiTheme="minorBidi"/>
          <w:sz w:val="24"/>
          <w:szCs w:val="24"/>
          <w:lang w:eastAsia="fr-FR"/>
        </w:rPr>
        <w:t xml:space="preserve"> the partner (1). On the right side of each graph is a pair of columns for exports from Israel: Israeli data and the reflection</w:t>
      </w:r>
      <w:r w:rsidR="0061261D">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w:t>
      </w:r>
      <w:r w:rsidR="00EA0BF0">
        <w:rPr>
          <w:rFonts w:asciiTheme="minorBidi" w:eastAsia="Times New Roman" w:hAnsiTheme="minorBidi"/>
          <w:sz w:val="24"/>
          <w:szCs w:val="24"/>
          <w:lang w:eastAsia="fr-FR"/>
        </w:rPr>
        <w:t>as reported by</w:t>
      </w:r>
      <w:r w:rsidRPr="00187F64">
        <w:rPr>
          <w:rFonts w:asciiTheme="minorBidi" w:eastAsia="Times New Roman" w:hAnsiTheme="minorBidi"/>
          <w:sz w:val="24"/>
          <w:szCs w:val="24"/>
          <w:lang w:eastAsia="fr-FR"/>
        </w:rPr>
        <w:t xml:space="preserve"> the partner (2).</w:t>
      </w:r>
    </w:p>
    <w:p w:rsidR="004E13FF" w:rsidRPr="00187F64" w:rsidRDefault="004E13FF" w:rsidP="004E13FF">
      <w:pPr>
        <w:spacing w:line="240" w:lineRule="auto"/>
        <w:jc w:val="center"/>
        <w:rPr>
          <w:rFonts w:asciiTheme="minorBidi" w:eastAsia="Times New Roman" w:hAnsiTheme="minorBidi"/>
          <w:b/>
          <w:bCs/>
          <w:i/>
          <w:iCs/>
          <w:sz w:val="24"/>
          <w:szCs w:val="24"/>
          <w:lang w:eastAsia="fr-FR"/>
        </w:rPr>
      </w:pPr>
      <w:r w:rsidRPr="00187F64">
        <w:rPr>
          <w:rFonts w:asciiTheme="minorBidi" w:hAnsiTheme="minorBidi"/>
          <w:noProof/>
          <w:sz w:val="24"/>
          <w:szCs w:val="24"/>
          <w:lang w:val="en-US" w:bidi="he-IL"/>
        </w:rPr>
        <w:lastRenderedPageBreak/>
        <w:drawing>
          <wp:inline distT="0" distB="0" distL="0" distR="0" wp14:anchorId="4659A221" wp14:editId="77AD9723">
            <wp:extent cx="3547872" cy="1850746"/>
            <wp:effectExtent l="0" t="0" r="14605" b="1651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87F64">
        <w:rPr>
          <w:rFonts w:asciiTheme="minorBidi" w:hAnsiTheme="minorBidi"/>
          <w:noProof/>
          <w:sz w:val="24"/>
          <w:szCs w:val="24"/>
          <w:u w:val="single"/>
          <w:lang w:val="en-US" w:bidi="he-IL"/>
        </w:rPr>
        <w:drawing>
          <wp:inline distT="0" distB="0" distL="0" distR="0" wp14:anchorId="598C2109" wp14:editId="6FDC31C1">
            <wp:extent cx="3540557" cy="2128723"/>
            <wp:effectExtent l="0" t="0" r="22225" b="24130"/>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3FF" w:rsidRPr="00187F64" w:rsidRDefault="004E13FF" w:rsidP="004E13FF">
      <w:pPr>
        <w:spacing w:line="240" w:lineRule="auto"/>
        <w:jc w:val="center"/>
        <w:rPr>
          <w:rFonts w:asciiTheme="minorBidi" w:eastAsia="Times New Roman" w:hAnsiTheme="minorBidi"/>
          <w:sz w:val="24"/>
          <w:szCs w:val="24"/>
          <w:lang w:eastAsia="fr-FR"/>
        </w:rPr>
      </w:pPr>
      <w:r w:rsidRPr="00187F64">
        <w:rPr>
          <w:rFonts w:asciiTheme="minorBidi" w:hAnsiTheme="minorBidi"/>
          <w:noProof/>
          <w:sz w:val="24"/>
          <w:szCs w:val="24"/>
          <w:lang w:val="en-US" w:bidi="he-IL"/>
        </w:rPr>
        <w:drawing>
          <wp:inline distT="0" distB="0" distL="0" distR="0" wp14:anchorId="12047619" wp14:editId="50335EDE">
            <wp:extent cx="3540557" cy="2026310"/>
            <wp:effectExtent l="0" t="0" r="22225" b="12065"/>
            <wp:docPr id="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3FF" w:rsidRDefault="00EA0BF0" w:rsidP="00E847E7">
      <w:pPr>
        <w:spacing w:before="120" w:after="0" w:line="360" w:lineRule="auto"/>
        <w:contextualSpacing/>
        <w:rPr>
          <w:rFonts w:asciiTheme="minorBidi" w:eastAsia="Times New Roman" w:hAnsiTheme="minorBidi"/>
          <w:sz w:val="24"/>
          <w:szCs w:val="24"/>
          <w:lang w:eastAsia="fr-FR"/>
        </w:rPr>
      </w:pPr>
      <w:r>
        <w:rPr>
          <w:rFonts w:asciiTheme="minorBidi" w:eastAsia="Times New Roman" w:hAnsiTheme="minorBidi"/>
          <w:i/>
          <w:iCs/>
          <w:sz w:val="24"/>
          <w:szCs w:val="24"/>
          <w:lang w:eastAsia="fr-FR"/>
        </w:rPr>
        <w:t xml:space="preserve">5.2 </w:t>
      </w:r>
      <w:r w:rsidR="004E13FF" w:rsidRPr="007A38FF">
        <w:rPr>
          <w:rFonts w:asciiTheme="minorBidi" w:eastAsia="Times New Roman" w:hAnsiTheme="minorBidi"/>
          <w:i/>
          <w:iCs/>
          <w:sz w:val="24"/>
          <w:szCs w:val="24"/>
          <w:lang w:eastAsia="fr-FR"/>
        </w:rPr>
        <w:t xml:space="preserve">How can </w:t>
      </w:r>
      <w:r w:rsidR="0061261D">
        <w:rPr>
          <w:rFonts w:asciiTheme="minorBidi" w:eastAsia="Times New Roman" w:hAnsiTheme="minorBidi"/>
          <w:i/>
          <w:iCs/>
          <w:sz w:val="24"/>
          <w:szCs w:val="24"/>
          <w:lang w:eastAsia="fr-FR"/>
        </w:rPr>
        <w:t xml:space="preserve">specific </w:t>
      </w:r>
      <w:r w:rsidR="004E13FF" w:rsidRPr="007A38FF">
        <w:rPr>
          <w:rFonts w:asciiTheme="minorBidi" w:eastAsia="Times New Roman" w:hAnsiTheme="minorBidi"/>
          <w:i/>
          <w:iCs/>
          <w:sz w:val="24"/>
          <w:szCs w:val="24"/>
          <w:lang w:eastAsia="fr-FR"/>
        </w:rPr>
        <w:t xml:space="preserve">asymmetries be </w:t>
      </w:r>
      <w:r w:rsidR="001646F8">
        <w:rPr>
          <w:rFonts w:asciiTheme="minorBidi" w:eastAsia="Times New Roman" w:hAnsiTheme="minorBidi"/>
          <w:i/>
          <w:iCs/>
          <w:sz w:val="24"/>
          <w:szCs w:val="24"/>
          <w:lang w:eastAsia="fr-FR"/>
        </w:rPr>
        <w:t>d</w:t>
      </w:r>
      <w:r w:rsidR="00FC34A8" w:rsidRPr="00783040">
        <w:rPr>
          <w:rFonts w:asciiTheme="minorBidi" w:eastAsia="Times New Roman" w:hAnsiTheme="minorBidi"/>
          <w:i/>
          <w:iCs/>
          <w:sz w:val="24"/>
          <w:szCs w:val="24"/>
          <w:lang w:eastAsia="fr-FR"/>
        </w:rPr>
        <w:t>iscovered</w:t>
      </w:r>
      <w:r w:rsidR="004E13FF" w:rsidRPr="007A38FF">
        <w:rPr>
          <w:rFonts w:asciiTheme="minorBidi" w:eastAsia="Times New Roman" w:hAnsiTheme="minorBidi"/>
          <w:i/>
          <w:iCs/>
          <w:sz w:val="24"/>
          <w:szCs w:val="24"/>
          <w:lang w:eastAsia="fr-FR"/>
        </w:rPr>
        <w:t xml:space="preserve">? </w:t>
      </w:r>
    </w:p>
    <w:p w:rsidR="004E13FF" w:rsidRPr="00187F64" w:rsidRDefault="004E13FF" w:rsidP="00605A60">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 xml:space="preserve"> A </w:t>
      </w:r>
      <w:r w:rsidR="001646F8">
        <w:rPr>
          <w:rFonts w:asciiTheme="minorBidi" w:eastAsia="Times New Roman" w:hAnsiTheme="minorBidi"/>
          <w:sz w:val="24"/>
          <w:szCs w:val="24"/>
          <w:lang w:eastAsia="fr-FR"/>
        </w:rPr>
        <w:t>M</w:t>
      </w:r>
      <w:r w:rsidRPr="00187F64">
        <w:rPr>
          <w:rFonts w:asciiTheme="minorBidi" w:eastAsia="Times New Roman" w:hAnsiTheme="minorBidi"/>
          <w:sz w:val="24"/>
          <w:szCs w:val="24"/>
          <w:lang w:eastAsia="fr-FR"/>
        </w:rPr>
        <w:t xml:space="preserve">irror </w:t>
      </w:r>
      <w:r w:rsidR="001646F8">
        <w:rPr>
          <w:rFonts w:asciiTheme="minorBidi" w:eastAsia="Times New Roman" w:hAnsiTheme="minorBidi"/>
          <w:sz w:val="24"/>
          <w:szCs w:val="24"/>
          <w:lang w:eastAsia="fr-FR"/>
        </w:rPr>
        <w:t>E</w:t>
      </w:r>
      <w:r w:rsidRPr="00187F64">
        <w:rPr>
          <w:rFonts w:asciiTheme="minorBidi" w:eastAsia="Times New Roman" w:hAnsiTheme="minorBidi"/>
          <w:sz w:val="24"/>
          <w:szCs w:val="24"/>
          <w:lang w:eastAsia="fr-FR"/>
        </w:rPr>
        <w:t xml:space="preserve">xercise is a methodological tool designed to </w:t>
      </w:r>
      <w:r w:rsidR="002B48CC">
        <w:rPr>
          <w:rFonts w:asciiTheme="minorBidi" w:eastAsia="Times New Roman" w:hAnsiTheme="minorBidi"/>
          <w:sz w:val="24"/>
          <w:szCs w:val="24"/>
          <w:lang w:eastAsia="fr-FR"/>
        </w:rPr>
        <w:t xml:space="preserve">discover and </w:t>
      </w:r>
      <w:r w:rsidRPr="00187F64">
        <w:rPr>
          <w:rFonts w:asciiTheme="minorBidi" w:eastAsia="Times New Roman" w:hAnsiTheme="minorBidi"/>
          <w:sz w:val="24"/>
          <w:szCs w:val="24"/>
          <w:lang w:eastAsia="fr-FR"/>
        </w:rPr>
        <w:t>solve asymmetry problems in bilateral trade in goods data. It is a reconciliation study used to identify, explain and assess the causes of discrepancies.</w:t>
      </w:r>
      <w:r w:rsidR="00605A6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In </w:t>
      </w:r>
      <w:r w:rsidR="001646F8">
        <w:rPr>
          <w:rFonts w:asciiTheme="minorBidi" w:eastAsia="Times New Roman" w:hAnsiTheme="minorBidi"/>
          <w:sz w:val="24"/>
          <w:szCs w:val="24"/>
          <w:lang w:eastAsia="fr-FR"/>
        </w:rPr>
        <w:t>M</w:t>
      </w:r>
      <w:r w:rsidRPr="00187F64">
        <w:rPr>
          <w:rFonts w:asciiTheme="minorBidi" w:eastAsia="Times New Roman" w:hAnsiTheme="minorBidi"/>
          <w:sz w:val="24"/>
          <w:szCs w:val="24"/>
          <w:lang w:eastAsia="fr-FR"/>
        </w:rPr>
        <w:t xml:space="preserve">irror </w:t>
      </w:r>
      <w:r w:rsidR="001646F8">
        <w:rPr>
          <w:rFonts w:asciiTheme="minorBidi" w:eastAsia="Times New Roman" w:hAnsiTheme="minorBidi"/>
          <w:sz w:val="24"/>
          <w:szCs w:val="24"/>
          <w:lang w:eastAsia="fr-FR"/>
        </w:rPr>
        <w:t>E</w:t>
      </w:r>
      <w:r w:rsidRPr="00187F64">
        <w:rPr>
          <w:rFonts w:asciiTheme="minorBidi" w:eastAsia="Times New Roman" w:hAnsiTheme="minorBidi"/>
          <w:sz w:val="24"/>
          <w:szCs w:val="24"/>
          <w:lang w:eastAsia="fr-FR"/>
        </w:rPr>
        <w:t xml:space="preserve">xercises </w:t>
      </w:r>
      <w:r w:rsidR="00A13AF6">
        <w:rPr>
          <w:rFonts w:asciiTheme="minorBidi" w:eastAsia="Times New Roman" w:hAnsiTheme="minorBidi"/>
          <w:sz w:val="24"/>
          <w:szCs w:val="24"/>
          <w:lang w:eastAsia="fr-FR"/>
        </w:rPr>
        <w:t>c</w:t>
      </w:r>
      <w:r w:rsidR="004F1481" w:rsidRPr="004F1481">
        <w:rPr>
          <w:rFonts w:asciiTheme="minorBidi" w:eastAsia="Times New Roman" w:hAnsiTheme="minorBidi"/>
          <w:sz w:val="24"/>
          <w:szCs w:val="24"/>
          <w:lang w:eastAsia="fr-FR"/>
        </w:rPr>
        <w:t>ooperation is needed</w:t>
      </w:r>
      <w:r w:rsidR="00FA1CC4">
        <w:rPr>
          <w:rFonts w:asciiTheme="minorBidi" w:eastAsia="Times New Roman" w:hAnsiTheme="minorBidi"/>
          <w:sz w:val="24"/>
          <w:szCs w:val="24"/>
          <w:lang w:eastAsia="fr-FR"/>
        </w:rPr>
        <w:t xml:space="preserve"> since p</w:t>
      </w:r>
      <w:r w:rsidRPr="00187F64">
        <w:rPr>
          <w:rFonts w:asciiTheme="minorBidi" w:eastAsia="Times New Roman" w:hAnsiTheme="minorBidi"/>
          <w:sz w:val="24"/>
          <w:szCs w:val="24"/>
          <w:lang w:eastAsia="fr-FR"/>
        </w:rPr>
        <w:t xml:space="preserve">artner statisticians provide each other with very detailed statistical data based on the </w:t>
      </w:r>
      <w:r w:rsidRPr="001646F8">
        <w:rPr>
          <w:rFonts w:asciiTheme="minorBidi" w:eastAsia="Times New Roman" w:hAnsiTheme="minorBidi"/>
          <w:i/>
          <w:iCs/>
          <w:sz w:val="24"/>
          <w:szCs w:val="24"/>
          <w:lang w:eastAsia="fr-FR"/>
        </w:rPr>
        <w:t>Harmonized System</w:t>
      </w:r>
      <w:r w:rsidRPr="00187F64">
        <w:rPr>
          <w:rFonts w:asciiTheme="minorBidi" w:eastAsia="Times New Roman" w:hAnsiTheme="minorBidi"/>
          <w:sz w:val="24"/>
          <w:szCs w:val="24"/>
          <w:lang w:eastAsia="fr-FR"/>
        </w:rPr>
        <w:t xml:space="preserve">; A flow of  a specific </w:t>
      </w:r>
      <w:r w:rsidRPr="001646F8">
        <w:rPr>
          <w:rFonts w:asciiTheme="minorBidi" w:eastAsia="Times New Roman" w:hAnsiTheme="minorBidi"/>
          <w:sz w:val="24"/>
          <w:szCs w:val="24"/>
          <w:lang w:eastAsia="fr-FR"/>
        </w:rPr>
        <w:t xml:space="preserve">HS </w:t>
      </w:r>
      <w:r w:rsidRPr="00187F64">
        <w:rPr>
          <w:rFonts w:asciiTheme="minorBidi" w:eastAsia="Times New Roman" w:hAnsiTheme="minorBidi"/>
          <w:sz w:val="24"/>
          <w:szCs w:val="24"/>
          <w:lang w:eastAsia="fr-FR"/>
        </w:rPr>
        <w:t xml:space="preserve">exports flow from country A to country B is compared to the reflected flow in the imports received by country B, and vice versa. If discrepancies are found, in either direction, a "data mining" process starts; The statisticians attempt to identify the </w:t>
      </w:r>
      <w:r w:rsidRPr="00187F64">
        <w:rPr>
          <w:rFonts w:asciiTheme="minorBidi" w:eastAsia="Times New Roman" w:hAnsiTheme="minorBidi"/>
          <w:sz w:val="24"/>
          <w:szCs w:val="24"/>
          <w:lang w:eastAsia="fr-FR"/>
        </w:rPr>
        <w:lastRenderedPageBreak/>
        <w:t xml:space="preserve">reasons for the gaps by providing each other their specific detailed metadata for each </w:t>
      </w:r>
      <w:r w:rsidRPr="001646F8">
        <w:rPr>
          <w:rFonts w:asciiTheme="minorBidi" w:eastAsia="Times New Roman" w:hAnsiTheme="minorBidi"/>
          <w:sz w:val="24"/>
          <w:szCs w:val="24"/>
          <w:lang w:eastAsia="fr-FR"/>
        </w:rPr>
        <w:t>HS</w:t>
      </w:r>
      <w:r w:rsidRPr="00187F64">
        <w:rPr>
          <w:rFonts w:asciiTheme="minorBidi" w:eastAsia="Times New Roman" w:hAnsiTheme="minorBidi"/>
          <w:sz w:val="24"/>
          <w:szCs w:val="24"/>
          <w:lang w:eastAsia="fr-FR"/>
        </w:rPr>
        <w:t xml:space="preserve"> flow.  </w:t>
      </w:r>
    </w:p>
    <w:p w:rsidR="004E13FF" w:rsidRPr="00187F64" w:rsidRDefault="004E13FF" w:rsidP="00605A60">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 xml:space="preserve">Such exercises were conducted between Israeli, Palestinian, Jordanian and Egyptian Foreign trade in goods statisticians from the respective National Statistical Offices (NSO)'s. The exercises were organized within the EU's Euro-Mediterranean Statistical Cooperation </w:t>
      </w:r>
      <w:r w:rsidR="001646F8">
        <w:rPr>
          <w:rFonts w:asciiTheme="minorBidi" w:eastAsia="Times New Roman" w:hAnsiTheme="minorBidi"/>
          <w:sz w:val="24"/>
          <w:szCs w:val="24"/>
          <w:lang w:eastAsia="fr-FR"/>
        </w:rPr>
        <w:t>P</w:t>
      </w:r>
      <w:r w:rsidRPr="00187F64">
        <w:rPr>
          <w:rFonts w:asciiTheme="minorBidi" w:eastAsia="Times New Roman" w:hAnsiTheme="minorBidi"/>
          <w:sz w:val="24"/>
          <w:szCs w:val="24"/>
          <w:lang w:eastAsia="fr-FR"/>
        </w:rPr>
        <w:t xml:space="preserve">rogramme No.3 (Medstat </w:t>
      </w:r>
      <w:r w:rsidRPr="00187F64">
        <w:rPr>
          <w:rFonts w:asciiTheme="minorBidi" w:hAnsiTheme="minorBidi"/>
          <w:sz w:val="24"/>
          <w:szCs w:val="24"/>
        </w:rPr>
        <w:t>III</w:t>
      </w:r>
      <w:r w:rsidRPr="00187F64">
        <w:rPr>
          <w:rFonts w:asciiTheme="minorBidi" w:eastAsia="Times New Roman" w:hAnsiTheme="minorBidi"/>
          <w:sz w:val="24"/>
          <w:szCs w:val="24"/>
          <w:lang w:eastAsia="fr-FR"/>
        </w:rPr>
        <w:t>). The partners were part of a professional regional working group who met several times during 2009-2013.</w:t>
      </w:r>
      <w:r w:rsidR="00AB5889">
        <w:rPr>
          <w:rFonts w:asciiTheme="minorBidi" w:eastAsia="Times New Roman" w:hAnsiTheme="minorBidi"/>
          <w:sz w:val="24"/>
          <w:szCs w:val="24"/>
          <w:lang w:eastAsia="fr-FR"/>
        </w:rPr>
        <w:t xml:space="preserve">                    M</w:t>
      </w:r>
      <w:r w:rsidRPr="00187F64">
        <w:rPr>
          <w:rFonts w:asciiTheme="minorBidi" w:eastAsia="Times New Roman" w:hAnsiTheme="minorBidi"/>
          <w:sz w:val="24"/>
          <w:szCs w:val="24"/>
          <w:lang w:eastAsia="fr-FR"/>
        </w:rPr>
        <w:t>ain reasons and examples for data discrepancies</w:t>
      </w:r>
      <w:r w:rsidRPr="00187F64">
        <w:rPr>
          <w:rFonts w:asciiTheme="minorBidi" w:hAnsiTheme="minorBidi"/>
          <w:sz w:val="24"/>
          <w:szCs w:val="24"/>
        </w:rPr>
        <w:t xml:space="preserve"> between Israel and its </w:t>
      </w:r>
      <w:r w:rsidRPr="00187F64">
        <w:rPr>
          <w:rFonts w:asciiTheme="minorBidi" w:eastAsia="Times New Roman" w:hAnsiTheme="minorBidi"/>
          <w:sz w:val="24"/>
          <w:szCs w:val="24"/>
          <w:lang w:eastAsia="fr-FR"/>
        </w:rPr>
        <w:t>neighbors were (Veronese,</w:t>
      </w:r>
      <w:r w:rsidR="00605A6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2013):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354CDD">
        <w:rPr>
          <w:rFonts w:asciiTheme="minorBidi" w:eastAsia="Times New Roman" w:hAnsiTheme="minorBidi"/>
          <w:sz w:val="24"/>
          <w:szCs w:val="24"/>
          <w:u w:val="single"/>
          <w:lang w:eastAsia="fr-FR"/>
        </w:rPr>
        <w:t>Different Concepts</w:t>
      </w:r>
      <w:r w:rsidRPr="00187F64">
        <w:rPr>
          <w:rFonts w:asciiTheme="minorBidi" w:eastAsia="Times New Roman" w:hAnsiTheme="minorBidi"/>
          <w:sz w:val="24"/>
          <w:szCs w:val="24"/>
          <w:lang w:eastAsia="fr-FR"/>
        </w:rPr>
        <w:t>: The partners didn't use the same international trade system (</w:t>
      </w:r>
      <w:r w:rsidRPr="00187F64">
        <w:rPr>
          <w:rFonts w:asciiTheme="minorBidi" w:eastAsia="Times New Roman" w:hAnsiTheme="minorBidi"/>
          <w:i/>
          <w:iCs/>
          <w:sz w:val="24"/>
          <w:szCs w:val="24"/>
          <w:lang w:eastAsia="fr-FR"/>
        </w:rPr>
        <w:t>General Trade System</w:t>
      </w:r>
      <w:r w:rsidRPr="00187F64">
        <w:rPr>
          <w:rFonts w:asciiTheme="minorBidi" w:eastAsia="Times New Roman" w:hAnsiTheme="minorBidi"/>
          <w:sz w:val="24"/>
          <w:szCs w:val="24"/>
          <w:lang w:eastAsia="fr-FR"/>
        </w:rPr>
        <w:t xml:space="preserve"> vs.</w:t>
      </w:r>
      <w:r w:rsidRPr="00187F64">
        <w:rPr>
          <w:rFonts w:asciiTheme="minorBidi" w:eastAsia="Times New Roman" w:hAnsiTheme="minorBidi"/>
          <w:i/>
          <w:iCs/>
          <w:sz w:val="24"/>
          <w:szCs w:val="24"/>
          <w:lang w:eastAsia="fr-FR"/>
        </w:rPr>
        <w:t xml:space="preserve"> Special Trade System</w:t>
      </w:r>
      <w:r w:rsidRPr="00187F64">
        <w:rPr>
          <w:rFonts w:asciiTheme="minorBidi" w:eastAsia="Times New Roman" w:hAnsiTheme="minorBidi"/>
          <w:sz w:val="24"/>
          <w:szCs w:val="24"/>
          <w:lang w:eastAsia="fr-FR"/>
        </w:rPr>
        <w:t>). It led to a large discrepancy between Israel and Egypt: Israeli goods exported to the Quality Industrial Zone</w:t>
      </w:r>
      <w:r w:rsidR="00CB53AF">
        <w:rPr>
          <w:rFonts w:asciiTheme="minorBidi" w:eastAsia="Times New Roman" w:hAnsiTheme="minorBidi"/>
          <w:sz w:val="24"/>
          <w:szCs w:val="24"/>
          <w:lang w:eastAsia="fr-FR"/>
        </w:rPr>
        <w:t xml:space="preserve"> (QIZ)</w:t>
      </w:r>
      <w:r w:rsidRPr="00187F64">
        <w:rPr>
          <w:rFonts w:asciiTheme="minorBidi" w:eastAsia="Times New Roman" w:hAnsiTheme="minorBidi"/>
          <w:i/>
          <w:iCs/>
          <w:sz w:val="24"/>
          <w:szCs w:val="24"/>
          <w:lang w:eastAsia="fr-FR"/>
        </w:rPr>
        <w:t xml:space="preserve"> </w:t>
      </w:r>
      <w:r w:rsidRPr="00187F64">
        <w:rPr>
          <w:rFonts w:asciiTheme="minorBidi" w:eastAsia="Times New Roman" w:hAnsiTheme="minorBidi"/>
          <w:sz w:val="24"/>
          <w:szCs w:val="24"/>
          <w:lang w:eastAsia="fr-FR"/>
        </w:rPr>
        <w:t xml:space="preserve">were included in the Israeli statistics, but excluded in the Egyptian statistics.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354CDD">
        <w:rPr>
          <w:rFonts w:asciiTheme="minorBidi" w:eastAsia="Times New Roman" w:hAnsiTheme="minorBidi"/>
          <w:sz w:val="24"/>
          <w:szCs w:val="24"/>
          <w:u w:val="single"/>
          <w:lang w:eastAsia="fr-FR"/>
        </w:rPr>
        <w:t>Data source difficulties</w:t>
      </w:r>
      <w:r w:rsidRPr="00187F64">
        <w:rPr>
          <w:rFonts w:asciiTheme="minorBidi" w:eastAsia="Times New Roman" w:hAnsiTheme="minorBidi"/>
          <w:sz w:val="24"/>
          <w:szCs w:val="24"/>
          <w:lang w:eastAsia="fr-FR"/>
        </w:rPr>
        <w:t>:</w:t>
      </w:r>
      <w:r w:rsidR="00CB53AF">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No records were registered in the Egyptian exports data to match the data on Israeli imports of </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Natural gas in a gaseous state</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and </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Petroleum coke</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due to data sources limitations.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354CDD">
        <w:rPr>
          <w:rFonts w:asciiTheme="minorBidi" w:eastAsia="Times New Roman" w:hAnsiTheme="minorBidi"/>
          <w:sz w:val="24"/>
          <w:szCs w:val="24"/>
          <w:u w:val="single"/>
          <w:lang w:eastAsia="fr-FR"/>
        </w:rPr>
        <w:t>Classification difficulties</w:t>
      </w:r>
      <w:r w:rsidRPr="00187F64">
        <w:rPr>
          <w:rFonts w:asciiTheme="minorBidi" w:eastAsia="Times New Roman" w:hAnsiTheme="minorBidi"/>
          <w:sz w:val="24"/>
          <w:szCs w:val="24"/>
          <w:lang w:eastAsia="fr-FR"/>
        </w:rPr>
        <w:t>: PA and Israel used VAT data to record their bilateral trade. There was a non-detailed description of the goods in the vouchers and it was difficult to obtain a 6-digit level HS classification of goods. Therefore Israel published the data according to the economic activity classification of the importer</w:t>
      </w:r>
      <w:r w:rsidR="001646F8">
        <w:rPr>
          <w:rFonts w:asciiTheme="minorBidi" w:eastAsia="Times New Roman" w:hAnsiTheme="minorBidi"/>
          <w:sz w:val="24"/>
          <w:szCs w:val="24"/>
          <w:lang w:eastAsia="fr-FR"/>
        </w:rPr>
        <w:t xml:space="preserve"> or </w:t>
      </w:r>
      <w:r w:rsidRPr="00187F64">
        <w:rPr>
          <w:rFonts w:asciiTheme="minorBidi" w:eastAsia="Times New Roman" w:hAnsiTheme="minorBidi"/>
          <w:sz w:val="24"/>
          <w:szCs w:val="24"/>
          <w:lang w:eastAsia="fr-FR"/>
        </w:rPr>
        <w:t>exporter firms, whereas the PA transformed the description in the vouchers into HS codes. Hence it was hard to compare data on a specific H</w:t>
      </w:r>
      <w:bookmarkStart w:id="0" w:name="_GoBack"/>
      <w:bookmarkEnd w:id="0"/>
      <w:r w:rsidRPr="00187F64">
        <w:rPr>
          <w:rFonts w:asciiTheme="minorBidi" w:eastAsia="Times New Roman" w:hAnsiTheme="minorBidi"/>
          <w:sz w:val="24"/>
          <w:szCs w:val="24"/>
          <w:lang w:eastAsia="fr-FR"/>
        </w:rPr>
        <w:t xml:space="preserve">S flow when classified in different methods.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471C87">
        <w:rPr>
          <w:rFonts w:asciiTheme="minorBidi" w:eastAsia="Times New Roman" w:hAnsiTheme="minorBidi"/>
          <w:sz w:val="24"/>
          <w:szCs w:val="24"/>
          <w:u w:val="single"/>
          <w:lang w:eastAsia="fr-FR"/>
        </w:rPr>
        <w:t>Data recording issues</w:t>
      </w:r>
      <w:r w:rsidRPr="00187F64">
        <w:rPr>
          <w:rFonts w:asciiTheme="minorBidi" w:eastAsia="Times New Roman" w:hAnsiTheme="minorBidi"/>
          <w:sz w:val="24"/>
          <w:szCs w:val="24"/>
          <w:lang w:eastAsia="fr-FR"/>
        </w:rPr>
        <w:t xml:space="preserve">: Jordan was a transit country for Israeli </w:t>
      </w:r>
      <w:r w:rsidR="00C159C7">
        <w:rPr>
          <w:rFonts w:asciiTheme="minorBidi" w:eastAsia="Times New Roman" w:hAnsiTheme="minorBidi"/>
          <w:sz w:val="24"/>
          <w:szCs w:val="24"/>
          <w:lang w:eastAsia="fr-FR"/>
        </w:rPr>
        <w:t>g</w:t>
      </w:r>
      <w:r w:rsidRPr="00187F64">
        <w:rPr>
          <w:rFonts w:asciiTheme="minorBidi" w:eastAsia="Times New Roman" w:hAnsiTheme="minorBidi"/>
          <w:sz w:val="24"/>
          <w:szCs w:val="24"/>
          <w:lang w:eastAsia="fr-FR"/>
        </w:rPr>
        <w:t xml:space="preserve">old and </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Waste of precious metals</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goods exports destined to other countries, but in Israeli customs records Jordan was recorded as the final destination</w:t>
      </w:r>
      <w:r w:rsidR="003F4EC8">
        <w:rPr>
          <w:rFonts w:asciiTheme="minorBidi" w:eastAsia="Times New Roman" w:hAnsiTheme="minorBidi"/>
          <w:sz w:val="24"/>
          <w:szCs w:val="24"/>
          <w:lang w:eastAsia="fr-FR"/>
        </w:rPr>
        <w:t>.</w:t>
      </w:r>
      <w:r w:rsidR="00661460">
        <w:rPr>
          <w:rFonts w:asciiTheme="minorBidi" w:eastAsia="Times New Roman" w:hAnsiTheme="minorBidi"/>
          <w:sz w:val="24"/>
          <w:szCs w:val="24"/>
          <w:lang w:eastAsia="fr-FR"/>
        </w:rPr>
        <w:t xml:space="preserve"> </w:t>
      </w:r>
      <w:r w:rsidR="003F4EC8">
        <w:rPr>
          <w:rFonts w:asciiTheme="minorBidi" w:eastAsia="Times New Roman" w:hAnsiTheme="minorBidi"/>
          <w:sz w:val="24"/>
          <w:szCs w:val="24"/>
          <w:lang w:eastAsia="fr-FR"/>
        </w:rPr>
        <w:t>T</w:t>
      </w:r>
      <w:r w:rsidRPr="00187F64">
        <w:rPr>
          <w:rFonts w:asciiTheme="minorBidi" w:eastAsia="Times New Roman" w:hAnsiTheme="minorBidi"/>
          <w:sz w:val="24"/>
          <w:szCs w:val="24"/>
          <w:lang w:eastAsia="fr-FR"/>
        </w:rPr>
        <w:t xml:space="preserve">herefore these flows were mistakenly included in the Israeli export to Jordan statistics. </w:t>
      </w:r>
    </w:p>
    <w:p w:rsidR="004E13FF" w:rsidRDefault="004E13FF" w:rsidP="00E847E7">
      <w:pPr>
        <w:spacing w:before="120" w:after="0" w:line="360" w:lineRule="auto"/>
        <w:contextualSpacing/>
        <w:jc w:val="both"/>
        <w:rPr>
          <w:rFonts w:asciiTheme="minorBidi" w:eastAsia="Times New Roman" w:hAnsiTheme="minorBidi"/>
          <w:sz w:val="24"/>
          <w:szCs w:val="24"/>
          <w:lang w:eastAsia="fr-FR"/>
        </w:rPr>
      </w:pPr>
      <w:r w:rsidRPr="00354CDD">
        <w:rPr>
          <w:rFonts w:asciiTheme="minorBidi" w:eastAsia="Times New Roman" w:hAnsiTheme="minorBidi"/>
          <w:sz w:val="24"/>
          <w:szCs w:val="24"/>
          <w:u w:val="single"/>
          <w:lang w:eastAsia="fr-FR"/>
        </w:rPr>
        <w:t>Errors:</w:t>
      </w:r>
      <w:r w:rsidRPr="00187F64">
        <w:rPr>
          <w:rFonts w:asciiTheme="minorBidi" w:eastAsia="Times New Roman" w:hAnsiTheme="minorBidi"/>
          <w:sz w:val="24"/>
          <w:szCs w:val="24"/>
          <w:lang w:eastAsia="fr-FR"/>
        </w:rPr>
        <w:t xml:space="preserve"> The records of Jordan's exports, in </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Apparel and clothing</w:t>
      </w:r>
      <w:r w:rsidR="00C159C7">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goods to Israel were  higher than the Israeli import records, because Israel registered only the value added of the goods in imports after processing instead of registering the full value of the goods. </w:t>
      </w:r>
    </w:p>
    <w:p w:rsidR="004E13FF" w:rsidRPr="00443EC6" w:rsidRDefault="004E13FF" w:rsidP="00E847E7">
      <w:pPr>
        <w:spacing w:before="120" w:after="0" w:line="360" w:lineRule="auto"/>
        <w:contextualSpacing/>
        <w:jc w:val="both"/>
        <w:rPr>
          <w:rFonts w:asciiTheme="minorBidi" w:eastAsia="Times New Roman" w:hAnsiTheme="minorBidi"/>
          <w:i/>
          <w:iCs/>
          <w:sz w:val="24"/>
          <w:szCs w:val="24"/>
          <w:lang w:eastAsia="fr-FR"/>
        </w:rPr>
      </w:pPr>
      <w:r w:rsidRPr="00187F64">
        <w:rPr>
          <w:rFonts w:asciiTheme="minorBidi" w:eastAsia="Times New Roman" w:hAnsiTheme="minorBidi"/>
          <w:sz w:val="24"/>
          <w:szCs w:val="24"/>
          <w:lang w:eastAsia="fr-FR"/>
        </w:rPr>
        <w:t xml:space="preserve"> </w:t>
      </w:r>
      <w:r w:rsidR="00EA0BF0">
        <w:rPr>
          <w:rFonts w:asciiTheme="minorBidi" w:eastAsia="Times New Roman" w:hAnsiTheme="minorBidi"/>
          <w:i/>
          <w:iCs/>
          <w:sz w:val="24"/>
          <w:szCs w:val="24"/>
          <w:lang w:eastAsia="fr-FR"/>
        </w:rPr>
        <w:t xml:space="preserve">5.3 </w:t>
      </w:r>
      <w:r w:rsidRPr="00443EC6">
        <w:rPr>
          <w:rFonts w:asciiTheme="minorBidi" w:eastAsia="Times New Roman" w:hAnsiTheme="minorBidi"/>
          <w:i/>
          <w:iCs/>
          <w:sz w:val="24"/>
          <w:szCs w:val="24"/>
          <w:lang w:eastAsia="fr-FR"/>
        </w:rPr>
        <w:t xml:space="preserve">How were the data discrepancies reconciled? </w:t>
      </w:r>
    </w:p>
    <w:p w:rsidR="004E13FF" w:rsidRPr="00187F64" w:rsidRDefault="004E13FF" w:rsidP="00605A60">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 xml:space="preserve">After months of collaborative work </w:t>
      </w:r>
      <w:r>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face-to-face meetings and correspondence) there were several qualitative improvements</w:t>
      </w:r>
      <w:r w:rsidR="00C159C7">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(Tyrman,</w:t>
      </w:r>
      <w:r w:rsidR="00605A60">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2013)</w:t>
      </w:r>
      <w:r>
        <w:rPr>
          <w:rFonts w:asciiTheme="minorBidi" w:eastAsia="Times New Roman" w:hAnsiTheme="minorBidi"/>
          <w:sz w:val="24"/>
          <w:szCs w:val="24"/>
          <w:lang w:eastAsia="fr-FR"/>
        </w:rPr>
        <w:t>.</w:t>
      </w:r>
      <w:r w:rsidR="00C159C7">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Some examples of the improvements were as follows</w:t>
      </w:r>
      <w:r w:rsidR="00605A60">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w:t>
      </w:r>
    </w:p>
    <w:p w:rsidR="004E13FF" w:rsidRPr="00C159C7" w:rsidRDefault="004E13FF" w:rsidP="00E847E7">
      <w:pPr>
        <w:spacing w:before="120" w:after="0" w:line="360" w:lineRule="auto"/>
        <w:contextualSpacing/>
        <w:jc w:val="both"/>
        <w:rPr>
          <w:rFonts w:asciiTheme="minorBidi" w:eastAsia="Times New Roman" w:hAnsiTheme="minorBidi"/>
          <w:sz w:val="24"/>
          <w:szCs w:val="24"/>
          <w:lang w:eastAsia="fr-FR"/>
        </w:rPr>
      </w:pPr>
      <w:r w:rsidRPr="00C159C7">
        <w:rPr>
          <w:rFonts w:asciiTheme="minorBidi" w:eastAsia="Times New Roman" w:hAnsiTheme="minorBidi"/>
          <w:sz w:val="24"/>
          <w:szCs w:val="24"/>
          <w:lang w:eastAsia="fr-FR"/>
        </w:rPr>
        <w:lastRenderedPageBreak/>
        <w:t xml:space="preserve">Discrepancies </w:t>
      </w:r>
      <w:r w:rsidRPr="00187F64">
        <w:rPr>
          <w:rFonts w:asciiTheme="minorBidi" w:eastAsia="Times New Roman" w:hAnsiTheme="minorBidi"/>
          <w:sz w:val="24"/>
          <w:szCs w:val="24"/>
          <w:lang w:eastAsia="fr-FR"/>
        </w:rPr>
        <w:t>due to different concepts relating to goods in the QIZ</w:t>
      </w:r>
      <w:r w:rsidR="00C159C7">
        <w:rPr>
          <w:rFonts w:asciiTheme="minorBidi" w:eastAsia="Times New Roman" w:hAnsiTheme="minorBidi"/>
          <w:sz w:val="24"/>
          <w:szCs w:val="24"/>
          <w:lang w:eastAsia="fr-FR"/>
        </w:rPr>
        <w:t xml:space="preserve"> free trade </w:t>
      </w:r>
      <w:r w:rsidRPr="00187F64">
        <w:rPr>
          <w:rFonts w:asciiTheme="minorBidi" w:eastAsia="Times New Roman" w:hAnsiTheme="minorBidi"/>
          <w:sz w:val="24"/>
          <w:szCs w:val="24"/>
          <w:lang w:eastAsia="fr-FR"/>
        </w:rPr>
        <w:t xml:space="preserve">zone were reconciled.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C159C7">
        <w:rPr>
          <w:rFonts w:asciiTheme="minorBidi" w:eastAsia="Times New Roman" w:hAnsiTheme="minorBidi"/>
          <w:sz w:val="24"/>
          <w:szCs w:val="24"/>
          <w:lang w:eastAsia="fr-FR"/>
        </w:rPr>
        <w:t>Major asymmetries</w:t>
      </w:r>
      <w:r w:rsidRPr="00187F64">
        <w:rPr>
          <w:rFonts w:asciiTheme="minorBidi" w:eastAsia="Times New Roman" w:hAnsiTheme="minorBidi"/>
          <w:sz w:val="24"/>
          <w:szCs w:val="24"/>
          <w:lang w:eastAsia="fr-FR"/>
        </w:rPr>
        <w:t xml:space="preserve"> between Israeli-Egyptian data on fuel products were reconciled by analyzing trade data from a new data source.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C159C7">
        <w:rPr>
          <w:rFonts w:asciiTheme="minorBidi" w:eastAsia="Times New Roman" w:hAnsiTheme="minorBidi"/>
          <w:sz w:val="24"/>
          <w:szCs w:val="24"/>
          <w:lang w:eastAsia="fr-FR"/>
        </w:rPr>
        <w:t>Classification difficulty</w:t>
      </w:r>
      <w:r w:rsidRPr="00187F64">
        <w:rPr>
          <w:rFonts w:asciiTheme="minorBidi" w:eastAsia="Times New Roman" w:hAnsiTheme="minorBidi"/>
          <w:sz w:val="24"/>
          <w:szCs w:val="24"/>
          <w:lang w:eastAsia="fr-FR"/>
        </w:rPr>
        <w:t xml:space="preserve"> between Israel and the PA were narrowed by converting the PA's classification of goods into Israel's activity branch of the exporter/importer classification.  </w:t>
      </w:r>
    </w:p>
    <w:p w:rsidR="004E13FF" w:rsidRPr="00187F64" w:rsidRDefault="004E13FF" w:rsidP="00E847E7">
      <w:pPr>
        <w:spacing w:before="120" w:after="0" w:line="360" w:lineRule="auto"/>
        <w:contextualSpacing/>
        <w:jc w:val="both"/>
        <w:rPr>
          <w:rFonts w:asciiTheme="minorBidi" w:eastAsia="Times New Roman" w:hAnsiTheme="minorBidi"/>
          <w:sz w:val="24"/>
          <w:szCs w:val="24"/>
          <w:lang w:eastAsia="fr-FR"/>
        </w:rPr>
      </w:pPr>
      <w:r w:rsidRPr="00C159C7">
        <w:rPr>
          <w:rFonts w:asciiTheme="minorBidi" w:eastAsia="Times New Roman" w:hAnsiTheme="minorBidi"/>
          <w:sz w:val="24"/>
          <w:szCs w:val="24"/>
          <w:lang w:eastAsia="fr-FR"/>
        </w:rPr>
        <w:t>Data on the final destination of exports</w:t>
      </w:r>
      <w:r w:rsidRPr="00187F64">
        <w:rPr>
          <w:rFonts w:asciiTheme="minorBidi" w:eastAsia="Times New Roman" w:hAnsiTheme="minorBidi"/>
          <w:sz w:val="24"/>
          <w:szCs w:val="24"/>
          <w:lang w:eastAsia="fr-FR"/>
        </w:rPr>
        <w:t xml:space="preserve"> were corrected. Import data by country of origin made available.</w:t>
      </w:r>
    </w:p>
    <w:p w:rsidR="00CB53AF" w:rsidRPr="00CB53AF" w:rsidRDefault="004E13FF" w:rsidP="00E847E7">
      <w:pPr>
        <w:spacing w:before="120" w:after="0" w:line="360" w:lineRule="auto"/>
        <w:contextualSpacing/>
        <w:jc w:val="both"/>
        <w:rPr>
          <w:rFonts w:asciiTheme="minorBidi" w:eastAsia="Times New Roman" w:hAnsiTheme="minorBidi"/>
          <w:sz w:val="16"/>
          <w:szCs w:val="16"/>
          <w:lang w:eastAsia="fr-FR"/>
        </w:rPr>
      </w:pPr>
      <w:r w:rsidRPr="00DF2532">
        <w:rPr>
          <w:rFonts w:asciiTheme="minorBidi" w:eastAsia="Times New Roman" w:hAnsiTheme="minorBidi"/>
          <w:sz w:val="24"/>
          <w:szCs w:val="24"/>
          <w:lang w:eastAsia="fr-FR"/>
        </w:rPr>
        <w:t>Better implementation of international standards</w:t>
      </w:r>
      <w:r w:rsidRPr="00187F64">
        <w:rPr>
          <w:rFonts w:asciiTheme="minorBidi" w:eastAsia="Times New Roman" w:hAnsiTheme="minorBidi"/>
          <w:sz w:val="24"/>
          <w:szCs w:val="24"/>
          <w:lang w:eastAsia="fr-FR"/>
        </w:rPr>
        <w:t xml:space="preserve">, coverage, harmonization and treatment of specific transactions were achieved. Export classifications </w:t>
      </w:r>
      <w:r w:rsidR="0012684A">
        <w:rPr>
          <w:rFonts w:asciiTheme="minorBidi" w:eastAsia="Times New Roman" w:hAnsiTheme="minorBidi"/>
          <w:sz w:val="24"/>
          <w:szCs w:val="24"/>
          <w:lang w:eastAsia="fr-FR"/>
        </w:rPr>
        <w:t xml:space="preserve">were </w:t>
      </w:r>
      <w:r w:rsidRPr="00187F64">
        <w:rPr>
          <w:rFonts w:asciiTheme="minorBidi" w:eastAsia="Times New Roman" w:hAnsiTheme="minorBidi"/>
          <w:sz w:val="24"/>
          <w:szCs w:val="24"/>
          <w:lang w:eastAsia="fr-FR"/>
        </w:rPr>
        <w:t>brought in line with international requirement</w:t>
      </w:r>
      <w:r w:rsidR="0061261D">
        <w:rPr>
          <w:rFonts w:asciiTheme="minorBidi" w:eastAsia="Times New Roman" w:hAnsiTheme="minorBidi"/>
          <w:sz w:val="24"/>
          <w:szCs w:val="24"/>
          <w:lang w:eastAsia="fr-FR"/>
        </w:rPr>
        <w:t>.</w:t>
      </w:r>
    </w:p>
    <w:p w:rsidR="004E13FF" w:rsidRPr="00187F64" w:rsidRDefault="004E13FF" w:rsidP="00605A60">
      <w:pPr>
        <w:spacing w:before="120" w:after="0" w:line="360" w:lineRule="auto"/>
        <w:contextualSpacing/>
        <w:rPr>
          <w:rFonts w:asciiTheme="minorBidi" w:eastAsia="Times New Roman" w:hAnsiTheme="minorBidi"/>
          <w:b/>
          <w:bCs/>
          <w:sz w:val="24"/>
          <w:szCs w:val="24"/>
          <w:lang w:eastAsia="fr-FR"/>
        </w:rPr>
      </w:pPr>
      <w:r w:rsidRPr="00187F64">
        <w:rPr>
          <w:rFonts w:asciiTheme="minorBidi" w:eastAsia="Times New Roman" w:hAnsiTheme="minorBidi"/>
          <w:b/>
          <w:bCs/>
          <w:sz w:val="24"/>
          <w:szCs w:val="24"/>
          <w:lang w:eastAsia="fr-FR"/>
        </w:rPr>
        <w:t xml:space="preserve">6. Conclusions </w:t>
      </w:r>
    </w:p>
    <w:p w:rsidR="004E13FF" w:rsidRDefault="004E13FF" w:rsidP="00605A60">
      <w:pPr>
        <w:spacing w:before="120" w:after="0" w:line="360" w:lineRule="auto"/>
        <w:contextualSpacing/>
        <w:jc w:val="both"/>
        <w:rPr>
          <w:rFonts w:asciiTheme="minorBidi" w:eastAsia="Times New Roman" w:hAnsiTheme="minorBidi"/>
          <w:sz w:val="24"/>
          <w:szCs w:val="24"/>
          <w:lang w:eastAsia="fr-FR"/>
        </w:rPr>
      </w:pPr>
      <w:r w:rsidRPr="00187F64">
        <w:rPr>
          <w:rFonts w:asciiTheme="minorBidi" w:eastAsia="Times New Roman" w:hAnsiTheme="minorBidi"/>
          <w:sz w:val="24"/>
          <w:szCs w:val="24"/>
          <w:lang w:eastAsia="fr-FR"/>
        </w:rPr>
        <w:t>Users of bilateral trade in goods data</w:t>
      </w:r>
      <w:r w:rsidR="00CB53AF">
        <w:rPr>
          <w:rFonts w:asciiTheme="minorBidi" w:eastAsia="Times New Roman" w:hAnsiTheme="minorBidi"/>
          <w:sz w:val="24"/>
          <w:szCs w:val="24"/>
          <w:lang w:eastAsia="fr-FR"/>
        </w:rPr>
        <w:t xml:space="preserve"> </w:t>
      </w:r>
      <w:r w:rsidR="00DF2532">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either</w:t>
      </w:r>
      <w:r w:rsidR="00DF2532">
        <w:rPr>
          <w:rFonts w:asciiTheme="minorBidi" w:eastAsia="Times New Roman" w:hAnsiTheme="minorBidi"/>
          <w:sz w:val="24"/>
          <w:szCs w:val="24"/>
          <w:lang w:eastAsia="fr-FR"/>
        </w:rPr>
        <w:t xml:space="preserve"> of </w:t>
      </w:r>
      <w:r w:rsidRPr="00187F64">
        <w:rPr>
          <w:rFonts w:asciiTheme="minorBidi" w:eastAsia="Times New Roman" w:hAnsiTheme="minorBidi"/>
          <w:sz w:val="24"/>
          <w:szCs w:val="24"/>
          <w:lang w:eastAsia="fr-FR"/>
        </w:rPr>
        <w:t xml:space="preserve"> total flow data or flow of a specific HS</w:t>
      </w:r>
      <w:r w:rsidR="00DF2532">
        <w:rPr>
          <w:rFonts w:asciiTheme="minorBidi" w:eastAsia="Times New Roman" w:hAnsiTheme="minorBidi"/>
          <w:sz w:val="24"/>
          <w:szCs w:val="24"/>
          <w:lang w:eastAsia="fr-FR"/>
        </w:rPr>
        <w:t xml:space="preserve"> d</w:t>
      </w:r>
      <w:r w:rsidRPr="00187F64">
        <w:rPr>
          <w:rFonts w:asciiTheme="minorBidi" w:eastAsia="Times New Roman" w:hAnsiTheme="minorBidi"/>
          <w:sz w:val="24"/>
          <w:szCs w:val="24"/>
          <w:lang w:eastAsia="fr-FR"/>
        </w:rPr>
        <w:t>ata</w:t>
      </w:r>
      <w:r w:rsidR="001646F8">
        <w:rPr>
          <w:rFonts w:asciiTheme="minorBidi" w:eastAsia="Times New Roman" w:hAnsiTheme="minorBidi"/>
          <w:sz w:val="24"/>
          <w:szCs w:val="24"/>
          <w:lang w:eastAsia="fr-FR"/>
        </w:rPr>
        <w:t>)</w:t>
      </w:r>
      <w:r w:rsidRPr="00187F64">
        <w:rPr>
          <w:rFonts w:asciiTheme="minorBidi" w:eastAsia="Times New Roman" w:hAnsiTheme="minorBidi"/>
          <w:sz w:val="24"/>
          <w:szCs w:val="24"/>
          <w:lang w:eastAsia="fr-FR"/>
        </w:rPr>
        <w:t xml:space="preserve"> are encouraged to </w:t>
      </w:r>
      <w:r w:rsidRPr="00661460">
        <w:rPr>
          <w:rFonts w:asciiTheme="minorBidi" w:eastAsia="Times New Roman" w:hAnsiTheme="minorBidi"/>
          <w:b/>
          <w:bCs/>
          <w:sz w:val="24"/>
          <w:szCs w:val="24"/>
          <w:lang w:eastAsia="fr-FR"/>
        </w:rPr>
        <w:t>check the statistics of both</w:t>
      </w:r>
      <w:r w:rsidRPr="00187F64">
        <w:rPr>
          <w:rFonts w:asciiTheme="minorBidi" w:eastAsia="Times New Roman" w:hAnsiTheme="minorBidi"/>
          <w:sz w:val="24"/>
          <w:szCs w:val="24"/>
          <w:lang w:eastAsia="fr-FR"/>
        </w:rPr>
        <w:t xml:space="preserve"> </w:t>
      </w:r>
      <w:r w:rsidRPr="00CE45AD">
        <w:rPr>
          <w:rFonts w:asciiTheme="minorBidi" w:eastAsia="Times New Roman" w:hAnsiTheme="minorBidi"/>
          <w:b/>
          <w:bCs/>
          <w:sz w:val="24"/>
          <w:szCs w:val="24"/>
          <w:lang w:eastAsia="fr-FR"/>
        </w:rPr>
        <w:t>countries</w:t>
      </w:r>
      <w:r w:rsidRPr="00187F64">
        <w:rPr>
          <w:rFonts w:asciiTheme="minorBidi" w:eastAsia="Times New Roman" w:hAnsiTheme="minorBidi"/>
          <w:sz w:val="24"/>
          <w:szCs w:val="24"/>
          <w:lang w:eastAsia="fr-FR"/>
        </w:rPr>
        <w:t xml:space="preserve">. It is recommended to learn the metadata of </w:t>
      </w:r>
      <w:r w:rsidRPr="00661460">
        <w:rPr>
          <w:rFonts w:asciiTheme="minorBidi" w:eastAsia="Times New Roman" w:hAnsiTheme="minorBidi"/>
          <w:sz w:val="24"/>
          <w:szCs w:val="24"/>
          <w:lang w:eastAsia="fr-FR"/>
        </w:rPr>
        <w:t>both</w:t>
      </w:r>
      <w:r w:rsidRPr="00187F64">
        <w:rPr>
          <w:rFonts w:asciiTheme="minorBidi" w:eastAsia="Times New Roman" w:hAnsiTheme="minorBidi"/>
          <w:sz w:val="24"/>
          <w:szCs w:val="24"/>
          <w:lang w:eastAsia="fr-FR"/>
        </w:rPr>
        <w:t xml:space="preserve"> sides since the countries may use different concepts, classifications and trade systems which may lead to built-in asymmetries in the bilateral flows.</w:t>
      </w:r>
    </w:p>
    <w:p w:rsidR="00DD55BA" w:rsidRDefault="004E13FF" w:rsidP="00AB72FA">
      <w:pPr>
        <w:spacing w:before="120" w:after="0" w:line="360" w:lineRule="auto"/>
        <w:contextualSpacing/>
        <w:jc w:val="both"/>
        <w:rPr>
          <w:rFonts w:asciiTheme="minorBidi" w:eastAsia="Times New Roman" w:hAnsiTheme="minorBidi"/>
          <w:sz w:val="24"/>
          <w:szCs w:val="24"/>
          <w:lang w:eastAsia="fr-FR"/>
        </w:rPr>
      </w:pPr>
      <w:r w:rsidRPr="00661460">
        <w:rPr>
          <w:rFonts w:asciiTheme="minorBidi" w:eastAsia="Times New Roman" w:hAnsiTheme="minorBidi"/>
          <w:b/>
          <w:bCs/>
          <w:sz w:val="24"/>
          <w:szCs w:val="24"/>
          <w:lang w:eastAsia="fr-FR"/>
        </w:rPr>
        <w:t>Cooperation between statisticians</w:t>
      </w:r>
      <w:r w:rsidRPr="00187F64">
        <w:rPr>
          <w:rFonts w:asciiTheme="minorBidi" w:eastAsia="Times New Roman" w:hAnsiTheme="minorBidi"/>
          <w:sz w:val="24"/>
          <w:szCs w:val="24"/>
          <w:lang w:eastAsia="fr-FR"/>
        </w:rPr>
        <w:t xml:space="preserve"> </w:t>
      </w:r>
      <w:r w:rsidRPr="00CE45AD">
        <w:rPr>
          <w:rFonts w:asciiTheme="minorBidi" w:eastAsia="Times New Roman" w:hAnsiTheme="minorBidi"/>
          <w:b/>
          <w:bCs/>
          <w:sz w:val="24"/>
          <w:szCs w:val="24"/>
          <w:lang w:eastAsia="fr-FR"/>
        </w:rPr>
        <w:t>on both sides</w:t>
      </w:r>
      <w:r w:rsidRPr="00187F64">
        <w:rPr>
          <w:rFonts w:asciiTheme="minorBidi" w:eastAsia="Times New Roman" w:hAnsiTheme="minorBidi"/>
          <w:sz w:val="24"/>
          <w:szCs w:val="24"/>
          <w:lang w:eastAsia="fr-FR"/>
        </w:rPr>
        <w:t xml:space="preserve"> is necessary in order to improve the quality and comparability of their bilateral trade in goods statistics.</w:t>
      </w:r>
      <w:r w:rsidR="00AB72FA" w:rsidRPr="00AB72FA">
        <w:rPr>
          <w:rFonts w:asciiTheme="minorBidi" w:eastAsia="Times New Roman" w:hAnsiTheme="minorBidi"/>
          <w:i/>
          <w:iCs/>
          <w:sz w:val="20"/>
          <w:szCs w:val="20"/>
          <w:lang w:val="en-US" w:eastAsia="fr-FR"/>
        </w:rPr>
        <w:t xml:space="preserve"> </w:t>
      </w:r>
    </w:p>
    <w:p w:rsidR="00AB72FA" w:rsidRPr="00187F64" w:rsidRDefault="00AB72FA" w:rsidP="00AB72FA">
      <w:pPr>
        <w:spacing w:before="120" w:after="0" w:line="360" w:lineRule="auto"/>
        <w:contextualSpacing/>
        <w:jc w:val="both"/>
        <w:rPr>
          <w:rFonts w:asciiTheme="minorBidi" w:eastAsia="Times New Roman" w:hAnsiTheme="minorBidi"/>
          <w:sz w:val="24"/>
          <w:szCs w:val="24"/>
          <w:lang w:eastAsia="fr-FR"/>
        </w:rPr>
      </w:pPr>
      <w:r w:rsidRPr="00AB72FA">
        <w:rPr>
          <w:rFonts w:asciiTheme="minorBidi" w:eastAsia="Times New Roman" w:hAnsiTheme="minorBidi"/>
          <w:sz w:val="24"/>
          <w:szCs w:val="24"/>
          <w:lang w:eastAsia="fr-FR"/>
        </w:rPr>
        <w:t>Discrepancies should be reduced as much as possible since accurate trade statistics helps decision makers and facilitate actual trade</w:t>
      </w:r>
      <w:r>
        <w:rPr>
          <w:rFonts w:asciiTheme="minorBidi" w:eastAsia="Times New Roman" w:hAnsiTheme="minorBidi"/>
          <w:sz w:val="24"/>
          <w:szCs w:val="24"/>
          <w:lang w:eastAsia="fr-FR"/>
        </w:rPr>
        <w:t>.</w:t>
      </w:r>
    </w:p>
    <w:p w:rsidR="004E13FF" w:rsidRDefault="004E13FF" w:rsidP="00AB72FA">
      <w:pPr>
        <w:spacing w:before="120" w:after="0" w:line="360" w:lineRule="auto"/>
        <w:contextualSpacing/>
        <w:rPr>
          <w:rFonts w:asciiTheme="minorBidi" w:eastAsia="Times New Roman" w:hAnsiTheme="minorBidi"/>
          <w:sz w:val="16"/>
          <w:szCs w:val="16"/>
          <w:lang w:eastAsia="fr-FR"/>
        </w:rPr>
      </w:pPr>
      <w:r w:rsidRPr="00187F64">
        <w:rPr>
          <w:rFonts w:asciiTheme="minorBidi" w:eastAsia="Times New Roman" w:hAnsiTheme="minorBidi"/>
          <w:sz w:val="24"/>
          <w:szCs w:val="24"/>
          <w:lang w:eastAsia="fr-FR"/>
        </w:rPr>
        <w:t xml:space="preserve"> </w:t>
      </w:r>
      <w:r w:rsidRPr="00AB72FA">
        <w:rPr>
          <w:rFonts w:asciiTheme="minorBidi" w:eastAsia="Times New Roman" w:hAnsiTheme="minorBidi"/>
          <w:b/>
          <w:bCs/>
          <w:sz w:val="24"/>
          <w:szCs w:val="24"/>
          <w:lang w:eastAsia="fr-FR"/>
        </w:rPr>
        <w:t xml:space="preserve">Mirror </w:t>
      </w:r>
      <w:r w:rsidR="001646F8" w:rsidRPr="00AB72FA">
        <w:rPr>
          <w:rFonts w:asciiTheme="minorBidi" w:eastAsia="Times New Roman" w:hAnsiTheme="minorBidi"/>
          <w:b/>
          <w:bCs/>
          <w:sz w:val="24"/>
          <w:szCs w:val="24"/>
          <w:lang w:eastAsia="fr-FR"/>
        </w:rPr>
        <w:t>E</w:t>
      </w:r>
      <w:r w:rsidRPr="00AB72FA">
        <w:rPr>
          <w:rFonts w:asciiTheme="minorBidi" w:eastAsia="Times New Roman" w:hAnsiTheme="minorBidi"/>
          <w:b/>
          <w:bCs/>
          <w:sz w:val="24"/>
          <w:szCs w:val="24"/>
          <w:lang w:eastAsia="fr-FR"/>
        </w:rPr>
        <w:t>xercises is the recommended methodological tool</w:t>
      </w:r>
      <w:r w:rsidRPr="00187F64">
        <w:rPr>
          <w:rFonts w:asciiTheme="minorBidi" w:eastAsia="Times New Roman" w:hAnsiTheme="minorBidi"/>
          <w:sz w:val="24"/>
          <w:szCs w:val="24"/>
          <w:lang w:eastAsia="fr-FR"/>
        </w:rPr>
        <w:t xml:space="preserve"> for this purpose</w:t>
      </w:r>
      <w:r w:rsidR="00DF2532">
        <w:rPr>
          <w:rFonts w:asciiTheme="minorBidi" w:eastAsia="Times New Roman" w:hAnsiTheme="minorBidi"/>
          <w:sz w:val="24"/>
          <w:szCs w:val="24"/>
          <w:lang w:eastAsia="fr-FR"/>
        </w:rPr>
        <w:t xml:space="preserve"> </w:t>
      </w:r>
      <w:r w:rsidR="003F4EC8">
        <w:rPr>
          <w:rFonts w:asciiTheme="minorBidi" w:eastAsia="Times New Roman" w:hAnsiTheme="minorBidi"/>
          <w:sz w:val="24"/>
          <w:szCs w:val="24"/>
          <w:lang w:eastAsia="fr-FR"/>
        </w:rPr>
        <w:t>as i</w:t>
      </w:r>
      <w:r w:rsidRPr="00187F64">
        <w:rPr>
          <w:rFonts w:asciiTheme="minorBidi" w:eastAsia="Times New Roman" w:hAnsiTheme="minorBidi"/>
          <w:sz w:val="24"/>
          <w:szCs w:val="24"/>
          <w:lang w:eastAsia="fr-FR"/>
        </w:rPr>
        <w:t xml:space="preserve">t is a reconciliation study which enables accurate reflections of the corresponding trade flows. </w:t>
      </w:r>
      <w:r w:rsidR="00201F5D">
        <w:rPr>
          <w:rFonts w:asciiTheme="minorBidi" w:eastAsia="Times New Roman" w:hAnsiTheme="minorBidi"/>
          <w:sz w:val="24"/>
          <w:szCs w:val="24"/>
          <w:lang w:eastAsia="fr-FR"/>
        </w:rPr>
        <w:t xml:space="preserve"> In t</w:t>
      </w:r>
      <w:r w:rsidR="003F4EC8">
        <w:rPr>
          <w:rFonts w:asciiTheme="minorBidi" w:eastAsia="Times New Roman" w:hAnsiTheme="minorBidi"/>
          <w:sz w:val="24"/>
          <w:szCs w:val="24"/>
          <w:lang w:eastAsia="fr-FR"/>
        </w:rPr>
        <w:t>he</w:t>
      </w:r>
      <w:r w:rsidRPr="00187F64">
        <w:rPr>
          <w:rFonts w:asciiTheme="minorBidi" w:eastAsia="Times New Roman" w:hAnsiTheme="minorBidi"/>
          <w:sz w:val="24"/>
          <w:szCs w:val="24"/>
          <w:lang w:eastAsia="fr-FR"/>
        </w:rPr>
        <w:t xml:space="preserve"> case example </w:t>
      </w:r>
      <w:r w:rsidR="003F4EC8">
        <w:rPr>
          <w:rFonts w:asciiTheme="minorBidi" w:eastAsia="Times New Roman" w:hAnsiTheme="minorBidi"/>
          <w:sz w:val="24"/>
          <w:szCs w:val="24"/>
          <w:lang w:eastAsia="fr-FR"/>
        </w:rPr>
        <w:t xml:space="preserve"> of the</w:t>
      </w:r>
      <w:r w:rsidRPr="00187F64">
        <w:rPr>
          <w:rFonts w:asciiTheme="minorBidi" w:eastAsia="Times New Roman" w:hAnsiTheme="minorBidi"/>
          <w:sz w:val="24"/>
          <w:szCs w:val="24"/>
          <w:lang w:eastAsia="fr-FR"/>
        </w:rPr>
        <w:t xml:space="preserve"> Middle-East</w:t>
      </w:r>
      <w:r w:rsidR="001646F8">
        <w:rPr>
          <w:rFonts w:asciiTheme="minorBidi" w:eastAsia="Times New Roman" w:hAnsiTheme="minorBidi"/>
          <w:sz w:val="24"/>
          <w:szCs w:val="24"/>
          <w:lang w:eastAsia="fr-FR"/>
        </w:rPr>
        <w:t>ern</w:t>
      </w:r>
      <w:r w:rsidR="00DF2532">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Mirror Exercise</w:t>
      </w:r>
      <w:r w:rsidR="00DF2532">
        <w:rPr>
          <w:rFonts w:asciiTheme="minorBidi" w:eastAsia="Times New Roman" w:hAnsiTheme="minorBidi"/>
          <w:sz w:val="24"/>
          <w:szCs w:val="24"/>
          <w:lang w:eastAsia="fr-FR"/>
        </w:rPr>
        <w:t>s</w:t>
      </w:r>
      <w:r w:rsidRPr="00187F64">
        <w:rPr>
          <w:rFonts w:asciiTheme="minorBidi" w:eastAsia="Times New Roman" w:hAnsiTheme="minorBidi"/>
          <w:sz w:val="24"/>
          <w:szCs w:val="24"/>
          <w:lang w:eastAsia="fr-FR"/>
        </w:rPr>
        <w:t xml:space="preserve">, conducted under the auspices of the EU's "Medstat </w:t>
      </w:r>
      <w:r w:rsidRPr="00187F64">
        <w:rPr>
          <w:rFonts w:asciiTheme="minorBidi" w:hAnsiTheme="minorBidi"/>
          <w:sz w:val="24"/>
          <w:szCs w:val="24"/>
        </w:rPr>
        <w:t>III</w:t>
      </w:r>
      <w:r w:rsidRPr="00187F64">
        <w:rPr>
          <w:rFonts w:asciiTheme="minorBidi" w:eastAsia="Times New Roman" w:hAnsiTheme="minorBidi"/>
          <w:sz w:val="24"/>
          <w:szCs w:val="24"/>
          <w:lang w:eastAsia="fr-FR"/>
        </w:rPr>
        <w:t xml:space="preserve"> </w:t>
      </w:r>
      <w:r w:rsidR="001646F8">
        <w:rPr>
          <w:rFonts w:asciiTheme="minorBidi" w:eastAsia="Times New Roman" w:hAnsiTheme="minorBidi"/>
          <w:sz w:val="24"/>
          <w:szCs w:val="24"/>
          <w:lang w:eastAsia="fr-FR"/>
        </w:rPr>
        <w:t>P</w:t>
      </w:r>
      <w:r w:rsidRPr="00187F64">
        <w:rPr>
          <w:rFonts w:asciiTheme="minorBidi" w:eastAsia="Times New Roman" w:hAnsiTheme="minorBidi"/>
          <w:sz w:val="24"/>
          <w:szCs w:val="24"/>
          <w:lang w:eastAsia="fr-FR"/>
        </w:rPr>
        <w:t>rogramme"</w:t>
      </w:r>
      <w:r w:rsidR="003F4EC8">
        <w:rPr>
          <w:rFonts w:asciiTheme="minorBidi" w:eastAsia="Times New Roman" w:hAnsiTheme="minorBidi"/>
          <w:sz w:val="24"/>
          <w:szCs w:val="24"/>
          <w:lang w:eastAsia="fr-FR"/>
        </w:rPr>
        <w:t xml:space="preserve"> </w:t>
      </w:r>
      <w:r w:rsidR="00201F5D">
        <w:rPr>
          <w:rFonts w:asciiTheme="minorBidi" w:eastAsia="Times New Roman" w:hAnsiTheme="minorBidi"/>
          <w:sz w:val="24"/>
          <w:szCs w:val="24"/>
          <w:lang w:eastAsia="fr-FR"/>
        </w:rPr>
        <w:t>s</w:t>
      </w:r>
      <w:r w:rsidRPr="00187F64">
        <w:rPr>
          <w:rFonts w:asciiTheme="minorBidi" w:eastAsia="Times New Roman" w:hAnsiTheme="minorBidi"/>
          <w:sz w:val="24"/>
          <w:szCs w:val="24"/>
          <w:lang w:eastAsia="fr-FR"/>
        </w:rPr>
        <w:t>everal qualitative improvements were made</w:t>
      </w:r>
      <w:r w:rsidR="00201F5D">
        <w:rPr>
          <w:rFonts w:asciiTheme="minorBidi" w:eastAsia="Times New Roman" w:hAnsiTheme="minorBidi"/>
          <w:sz w:val="24"/>
          <w:szCs w:val="24"/>
          <w:lang w:eastAsia="fr-FR"/>
        </w:rPr>
        <w:t xml:space="preserve"> </w:t>
      </w:r>
      <w:r w:rsidR="00436792">
        <w:rPr>
          <w:rFonts w:asciiTheme="minorBidi" w:eastAsia="Times New Roman" w:hAnsiTheme="minorBidi"/>
          <w:sz w:val="24"/>
          <w:szCs w:val="24"/>
          <w:lang w:eastAsia="fr-FR"/>
        </w:rPr>
        <w:t>and there was an</w:t>
      </w:r>
      <w:r w:rsidRPr="00187F64">
        <w:rPr>
          <w:rFonts w:asciiTheme="minorBidi" w:eastAsia="Times New Roman" w:hAnsiTheme="minorBidi"/>
          <w:sz w:val="24"/>
          <w:szCs w:val="24"/>
          <w:lang w:eastAsia="fr-FR"/>
        </w:rPr>
        <w:t xml:space="preserve"> upgrad</w:t>
      </w:r>
      <w:r w:rsidR="00201F5D">
        <w:rPr>
          <w:rFonts w:asciiTheme="minorBidi" w:eastAsia="Times New Roman" w:hAnsiTheme="minorBidi"/>
          <w:sz w:val="24"/>
          <w:szCs w:val="24"/>
          <w:lang w:eastAsia="fr-FR"/>
        </w:rPr>
        <w:t>e</w:t>
      </w:r>
      <w:r w:rsidR="00436792">
        <w:rPr>
          <w:rFonts w:asciiTheme="minorBidi" w:eastAsia="Times New Roman" w:hAnsiTheme="minorBidi"/>
          <w:sz w:val="24"/>
          <w:szCs w:val="24"/>
          <w:lang w:eastAsia="fr-FR"/>
        </w:rPr>
        <w:t xml:space="preserve"> of </w:t>
      </w:r>
      <w:r w:rsidRPr="00187F64">
        <w:rPr>
          <w:rFonts w:asciiTheme="minorBidi" w:eastAsia="Times New Roman" w:hAnsiTheme="minorBidi"/>
          <w:sz w:val="24"/>
          <w:szCs w:val="24"/>
          <w:lang w:eastAsia="fr-FR"/>
        </w:rPr>
        <w:t xml:space="preserve">the foreign trade in goods statistics at the national level of the four partners. </w:t>
      </w:r>
      <w:r w:rsidR="00201F5D">
        <w:rPr>
          <w:rFonts w:asciiTheme="minorBidi" w:eastAsia="Times New Roman" w:hAnsiTheme="minorBidi"/>
          <w:sz w:val="24"/>
          <w:szCs w:val="24"/>
          <w:lang w:eastAsia="fr-FR"/>
        </w:rPr>
        <w:t xml:space="preserve">                                                                                        </w:t>
      </w:r>
      <w:r w:rsidRPr="00187F64">
        <w:rPr>
          <w:rFonts w:asciiTheme="minorBidi" w:eastAsia="Times New Roman" w:hAnsiTheme="minorBidi"/>
          <w:sz w:val="24"/>
          <w:szCs w:val="24"/>
          <w:lang w:eastAsia="fr-FR"/>
        </w:rPr>
        <w:t xml:space="preserve">The </w:t>
      </w:r>
      <w:r w:rsidR="00DF2532">
        <w:rPr>
          <w:rFonts w:asciiTheme="minorBidi" w:eastAsia="Times New Roman" w:hAnsiTheme="minorBidi"/>
          <w:sz w:val="24"/>
          <w:szCs w:val="24"/>
          <w:lang w:eastAsia="fr-FR"/>
        </w:rPr>
        <w:t xml:space="preserve"> Medstat </w:t>
      </w:r>
      <w:r w:rsidRPr="00187F64">
        <w:rPr>
          <w:rFonts w:asciiTheme="minorBidi" w:eastAsia="Times New Roman" w:hAnsiTheme="minorBidi"/>
          <w:sz w:val="24"/>
          <w:szCs w:val="24"/>
          <w:lang w:eastAsia="fr-FR"/>
        </w:rPr>
        <w:t>project also had a human aspect, notably, the personal interactions between the Middle-Eastern statisticians were just as important as the professional work.</w:t>
      </w:r>
      <w:r w:rsidRPr="00CB53AF">
        <w:rPr>
          <w:rFonts w:asciiTheme="minorBidi" w:eastAsia="Times New Roman" w:hAnsiTheme="minorBidi"/>
          <w:sz w:val="16"/>
          <w:szCs w:val="16"/>
          <w:lang w:eastAsia="fr-FR"/>
        </w:rPr>
        <w:t xml:space="preserve"> </w:t>
      </w:r>
    </w:p>
    <w:p w:rsidR="0035059A" w:rsidRPr="00CB53AF" w:rsidRDefault="0035059A" w:rsidP="00605A60">
      <w:pPr>
        <w:spacing w:before="120" w:after="0" w:line="360" w:lineRule="auto"/>
        <w:contextualSpacing/>
        <w:rPr>
          <w:rFonts w:asciiTheme="minorBidi" w:eastAsia="Times New Roman" w:hAnsiTheme="minorBidi"/>
          <w:sz w:val="16"/>
          <w:szCs w:val="16"/>
          <w:lang w:eastAsia="fr-FR"/>
        </w:rPr>
      </w:pPr>
    </w:p>
    <w:p w:rsidR="00AB72FA" w:rsidRDefault="00AB72FA" w:rsidP="00605A60">
      <w:pPr>
        <w:spacing w:before="120" w:after="0" w:line="360" w:lineRule="auto"/>
        <w:contextualSpacing/>
        <w:rPr>
          <w:rFonts w:asciiTheme="minorBidi" w:hAnsiTheme="minorBidi"/>
          <w:b/>
          <w:bCs/>
          <w:sz w:val="24"/>
          <w:szCs w:val="24"/>
        </w:rPr>
      </w:pPr>
    </w:p>
    <w:p w:rsidR="00AB72FA" w:rsidRDefault="00AB72FA" w:rsidP="00605A60">
      <w:pPr>
        <w:spacing w:before="120" w:after="0" w:line="360" w:lineRule="auto"/>
        <w:contextualSpacing/>
        <w:rPr>
          <w:rFonts w:asciiTheme="minorBidi" w:hAnsiTheme="minorBidi"/>
          <w:b/>
          <w:bCs/>
          <w:sz w:val="24"/>
          <w:szCs w:val="24"/>
        </w:rPr>
      </w:pPr>
    </w:p>
    <w:p w:rsidR="00AB72FA" w:rsidRDefault="00AB72FA" w:rsidP="00605A60">
      <w:pPr>
        <w:spacing w:before="120" w:after="0" w:line="360" w:lineRule="auto"/>
        <w:contextualSpacing/>
        <w:rPr>
          <w:rFonts w:asciiTheme="minorBidi" w:hAnsiTheme="minorBidi"/>
          <w:b/>
          <w:bCs/>
          <w:sz w:val="24"/>
          <w:szCs w:val="24"/>
        </w:rPr>
      </w:pPr>
    </w:p>
    <w:p w:rsidR="002B48CC" w:rsidRDefault="004E13FF" w:rsidP="00605A60">
      <w:pPr>
        <w:spacing w:before="120" w:after="0" w:line="360" w:lineRule="auto"/>
        <w:contextualSpacing/>
        <w:rPr>
          <w:rFonts w:asciiTheme="minorBidi" w:hAnsiTheme="minorBidi"/>
          <w:sz w:val="24"/>
          <w:szCs w:val="24"/>
          <w:lang w:val="en-US"/>
        </w:rPr>
      </w:pPr>
      <w:r w:rsidRPr="00187F64">
        <w:rPr>
          <w:rFonts w:asciiTheme="minorBidi" w:hAnsiTheme="minorBidi"/>
          <w:b/>
          <w:bCs/>
          <w:sz w:val="24"/>
          <w:szCs w:val="24"/>
        </w:rPr>
        <w:t>References</w:t>
      </w:r>
      <w:r w:rsidRPr="00187F64">
        <w:rPr>
          <w:rFonts w:asciiTheme="minorBidi" w:hAnsiTheme="minorBidi"/>
          <w:sz w:val="24"/>
          <w:szCs w:val="24"/>
        </w:rPr>
        <w:t xml:space="preserve"> </w:t>
      </w:r>
    </w:p>
    <w:p w:rsidR="004E13FF" w:rsidRPr="002B48CC" w:rsidRDefault="004E13FF" w:rsidP="00605A60">
      <w:pPr>
        <w:spacing w:before="120" w:after="0" w:line="360" w:lineRule="auto"/>
        <w:contextualSpacing/>
        <w:rPr>
          <w:rFonts w:asciiTheme="minorBidi" w:hAnsiTheme="minorBidi"/>
          <w:b/>
          <w:bCs/>
          <w:sz w:val="24"/>
          <w:szCs w:val="24"/>
        </w:rPr>
      </w:pPr>
      <w:r w:rsidRPr="002B48CC">
        <w:rPr>
          <w:rFonts w:asciiTheme="minorBidi" w:hAnsiTheme="minorBidi"/>
          <w:sz w:val="24"/>
          <w:szCs w:val="24"/>
        </w:rPr>
        <w:t>Tyrman, H</w:t>
      </w:r>
      <w:r w:rsidRPr="002B48CC">
        <w:rPr>
          <w:rFonts w:asciiTheme="minorBidi" w:hAnsiTheme="minorBidi"/>
          <w:i/>
          <w:iCs/>
          <w:sz w:val="24"/>
          <w:szCs w:val="24"/>
        </w:rPr>
        <w:t>.</w:t>
      </w:r>
      <w:r w:rsidRPr="002B48CC">
        <w:rPr>
          <w:rFonts w:asciiTheme="minorBidi" w:hAnsiTheme="minorBidi"/>
          <w:sz w:val="24"/>
          <w:szCs w:val="24"/>
        </w:rPr>
        <w:t xml:space="preserve"> (</w:t>
      </w:r>
      <w:r w:rsidRPr="002B48CC">
        <w:rPr>
          <w:rFonts w:asciiTheme="minorBidi" w:hAnsiTheme="minorBidi"/>
          <w:sz w:val="24"/>
          <w:szCs w:val="24"/>
          <w:rtl/>
        </w:rPr>
        <w:t>2013</w:t>
      </w:r>
      <w:r w:rsidRPr="002B48CC">
        <w:rPr>
          <w:rFonts w:asciiTheme="minorBidi" w:hAnsiTheme="minorBidi"/>
          <w:sz w:val="24"/>
          <w:szCs w:val="24"/>
        </w:rPr>
        <w:t>). Quality report on external trade statistics in Southern &amp; Eastern Mediterranean countries</w:t>
      </w:r>
      <w:r w:rsidRPr="002B48CC">
        <w:rPr>
          <w:rFonts w:asciiTheme="minorBidi" w:hAnsiTheme="minorBidi"/>
          <w:i/>
          <w:iCs/>
          <w:sz w:val="24"/>
          <w:szCs w:val="24"/>
        </w:rPr>
        <w:t xml:space="preserve">.  </w:t>
      </w:r>
      <w:r w:rsidRPr="002B48CC">
        <w:rPr>
          <w:rFonts w:asciiTheme="minorBidi" w:hAnsiTheme="minorBidi"/>
          <w:sz w:val="24"/>
          <w:szCs w:val="24"/>
        </w:rPr>
        <w:t xml:space="preserve">Paris, France, EU Medstat III. </w:t>
      </w:r>
    </w:p>
    <w:p w:rsidR="00AB72FA" w:rsidRDefault="00AB72FA" w:rsidP="00605A60">
      <w:pPr>
        <w:spacing w:before="120" w:after="0" w:line="360" w:lineRule="auto"/>
        <w:contextualSpacing/>
        <w:rPr>
          <w:rFonts w:asciiTheme="minorBidi" w:hAnsiTheme="minorBidi"/>
          <w:sz w:val="24"/>
          <w:szCs w:val="24"/>
        </w:rPr>
      </w:pPr>
    </w:p>
    <w:p w:rsidR="002B48CC" w:rsidRPr="002B48CC" w:rsidRDefault="004E13FF" w:rsidP="00605A60">
      <w:pPr>
        <w:spacing w:before="120" w:after="0" w:line="360" w:lineRule="auto"/>
        <w:contextualSpacing/>
        <w:rPr>
          <w:rFonts w:asciiTheme="minorBidi" w:hAnsiTheme="minorBidi"/>
          <w:sz w:val="24"/>
          <w:szCs w:val="24"/>
        </w:rPr>
      </w:pPr>
      <w:r w:rsidRPr="002B48CC">
        <w:rPr>
          <w:rFonts w:asciiTheme="minorBidi" w:hAnsiTheme="minorBidi"/>
          <w:sz w:val="24"/>
          <w:szCs w:val="24"/>
        </w:rPr>
        <w:t>UN, Department of Economic and Social Affairs.(2011). Statistical papers, International Merchandise Trade Statistics: Concepts and Definition</w:t>
      </w:r>
      <w:r w:rsidR="002B48CC" w:rsidRPr="002B48CC">
        <w:rPr>
          <w:rFonts w:asciiTheme="minorBidi" w:hAnsiTheme="minorBidi"/>
          <w:sz w:val="24"/>
          <w:szCs w:val="24"/>
        </w:rPr>
        <w:t xml:space="preserve">s (M52 ,2010). New York, USA, </w:t>
      </w:r>
    </w:p>
    <w:p w:rsidR="00AB72FA" w:rsidRDefault="00AB72FA" w:rsidP="00605A60">
      <w:pPr>
        <w:spacing w:before="120" w:after="0" w:line="360" w:lineRule="auto"/>
        <w:contextualSpacing/>
        <w:rPr>
          <w:rFonts w:asciiTheme="minorBidi" w:hAnsiTheme="minorBidi"/>
          <w:sz w:val="24"/>
          <w:szCs w:val="24"/>
        </w:rPr>
      </w:pPr>
    </w:p>
    <w:p w:rsidR="004E13FF" w:rsidRPr="002B48CC" w:rsidRDefault="004E13FF" w:rsidP="0052031D">
      <w:pPr>
        <w:spacing w:before="120" w:after="0" w:line="360" w:lineRule="auto"/>
        <w:contextualSpacing/>
        <w:rPr>
          <w:rFonts w:asciiTheme="minorBidi" w:hAnsiTheme="minorBidi"/>
          <w:sz w:val="24"/>
          <w:szCs w:val="24"/>
        </w:rPr>
      </w:pPr>
      <w:r w:rsidRPr="002B48CC">
        <w:rPr>
          <w:rFonts w:asciiTheme="minorBidi" w:hAnsiTheme="minorBidi"/>
          <w:sz w:val="24"/>
          <w:szCs w:val="24"/>
        </w:rPr>
        <w:t xml:space="preserve">UN, UN Economic Commission for Europa. (2009). Making Data Meaningful Part 1: A </w:t>
      </w:r>
      <w:r w:rsidR="0052031D">
        <w:rPr>
          <w:rFonts w:asciiTheme="minorBidi" w:hAnsiTheme="minorBidi"/>
          <w:sz w:val="24"/>
          <w:szCs w:val="24"/>
        </w:rPr>
        <w:t>G</w:t>
      </w:r>
      <w:r w:rsidRPr="002B48CC">
        <w:rPr>
          <w:rFonts w:asciiTheme="minorBidi" w:hAnsiTheme="minorBidi"/>
          <w:sz w:val="24"/>
          <w:szCs w:val="24"/>
        </w:rPr>
        <w:t xml:space="preserve">uide to </w:t>
      </w:r>
      <w:r w:rsidR="0052031D">
        <w:rPr>
          <w:rFonts w:asciiTheme="minorBidi" w:hAnsiTheme="minorBidi"/>
          <w:sz w:val="24"/>
          <w:szCs w:val="24"/>
        </w:rPr>
        <w:t>W</w:t>
      </w:r>
      <w:r w:rsidRPr="002B48CC">
        <w:rPr>
          <w:rFonts w:asciiTheme="minorBidi" w:hAnsiTheme="minorBidi"/>
          <w:sz w:val="24"/>
          <w:szCs w:val="24"/>
        </w:rPr>
        <w:t xml:space="preserve">riting </w:t>
      </w:r>
      <w:r w:rsidR="0052031D">
        <w:rPr>
          <w:rFonts w:asciiTheme="minorBidi" w:hAnsiTheme="minorBidi"/>
          <w:sz w:val="24"/>
          <w:szCs w:val="24"/>
        </w:rPr>
        <w:t>S</w:t>
      </w:r>
      <w:r w:rsidRPr="002B48CC">
        <w:rPr>
          <w:rFonts w:asciiTheme="minorBidi" w:hAnsiTheme="minorBidi"/>
          <w:sz w:val="24"/>
          <w:szCs w:val="24"/>
        </w:rPr>
        <w:t xml:space="preserve">tories </w:t>
      </w:r>
      <w:r w:rsidR="0052031D">
        <w:rPr>
          <w:rFonts w:asciiTheme="minorBidi" w:hAnsiTheme="minorBidi"/>
          <w:sz w:val="24"/>
          <w:szCs w:val="24"/>
        </w:rPr>
        <w:t>A</w:t>
      </w:r>
      <w:r w:rsidRPr="002B48CC">
        <w:rPr>
          <w:rFonts w:asciiTheme="minorBidi" w:hAnsiTheme="minorBidi"/>
          <w:sz w:val="24"/>
          <w:szCs w:val="24"/>
        </w:rPr>
        <w:t xml:space="preserve">bout </w:t>
      </w:r>
      <w:r w:rsidR="0052031D">
        <w:rPr>
          <w:rFonts w:asciiTheme="minorBidi" w:hAnsiTheme="minorBidi"/>
          <w:sz w:val="24"/>
          <w:szCs w:val="24"/>
        </w:rPr>
        <w:t>N</w:t>
      </w:r>
      <w:r w:rsidRPr="002B48CC">
        <w:rPr>
          <w:rFonts w:asciiTheme="minorBidi" w:hAnsiTheme="minorBidi"/>
          <w:sz w:val="24"/>
          <w:szCs w:val="24"/>
        </w:rPr>
        <w:t>umbers. Geneva, Switzerland, UN</w:t>
      </w:r>
    </w:p>
    <w:p w:rsidR="00AB72FA" w:rsidRDefault="00AB72FA" w:rsidP="00605A60">
      <w:pPr>
        <w:spacing w:before="120" w:after="0" w:line="360" w:lineRule="auto"/>
        <w:contextualSpacing/>
        <w:rPr>
          <w:rFonts w:asciiTheme="minorBidi" w:hAnsiTheme="minorBidi"/>
          <w:sz w:val="24"/>
          <w:szCs w:val="24"/>
        </w:rPr>
      </w:pPr>
    </w:p>
    <w:p w:rsidR="004E13FF" w:rsidRPr="002B48CC" w:rsidRDefault="004E13FF" w:rsidP="0052031D">
      <w:pPr>
        <w:spacing w:before="120" w:after="0" w:line="360" w:lineRule="auto"/>
        <w:contextualSpacing/>
        <w:rPr>
          <w:rFonts w:asciiTheme="minorBidi" w:hAnsiTheme="minorBidi"/>
          <w:sz w:val="24"/>
          <w:szCs w:val="24"/>
        </w:rPr>
      </w:pPr>
      <w:r w:rsidRPr="002B48CC">
        <w:rPr>
          <w:rFonts w:asciiTheme="minorBidi" w:hAnsiTheme="minorBidi"/>
          <w:sz w:val="24"/>
          <w:szCs w:val="24"/>
        </w:rPr>
        <w:t xml:space="preserve">UN, UN Economic Commission for Europa. (2012). Making Data Meaningful Part 4: A </w:t>
      </w:r>
      <w:r w:rsidR="0052031D">
        <w:rPr>
          <w:rFonts w:asciiTheme="minorBidi" w:hAnsiTheme="minorBidi"/>
          <w:sz w:val="24"/>
          <w:szCs w:val="24"/>
        </w:rPr>
        <w:t>G</w:t>
      </w:r>
      <w:r w:rsidRPr="002B48CC">
        <w:rPr>
          <w:rFonts w:asciiTheme="minorBidi" w:hAnsiTheme="minorBidi"/>
          <w:sz w:val="24"/>
          <w:szCs w:val="24"/>
        </w:rPr>
        <w:t xml:space="preserve">uide to </w:t>
      </w:r>
      <w:r w:rsidR="0052031D">
        <w:rPr>
          <w:rFonts w:asciiTheme="minorBidi" w:hAnsiTheme="minorBidi"/>
          <w:sz w:val="24"/>
          <w:szCs w:val="24"/>
        </w:rPr>
        <w:t>I</w:t>
      </w:r>
      <w:r w:rsidRPr="002B48CC">
        <w:rPr>
          <w:rFonts w:asciiTheme="minorBidi" w:hAnsiTheme="minorBidi"/>
          <w:sz w:val="24"/>
          <w:szCs w:val="24"/>
        </w:rPr>
        <w:t xml:space="preserve">mproving </w:t>
      </w:r>
      <w:r w:rsidR="0052031D">
        <w:rPr>
          <w:rFonts w:asciiTheme="minorBidi" w:hAnsiTheme="minorBidi"/>
          <w:sz w:val="24"/>
          <w:szCs w:val="24"/>
        </w:rPr>
        <w:t>S</w:t>
      </w:r>
      <w:r w:rsidRPr="002B48CC">
        <w:rPr>
          <w:rFonts w:asciiTheme="minorBidi" w:hAnsiTheme="minorBidi"/>
          <w:sz w:val="24"/>
          <w:szCs w:val="24"/>
        </w:rPr>
        <w:t>tatistical Literacy. Geneva, Switzerland, UN.</w:t>
      </w:r>
    </w:p>
    <w:p w:rsidR="00AB72FA" w:rsidRDefault="00AB72FA" w:rsidP="00605A60">
      <w:pPr>
        <w:spacing w:before="120" w:after="0" w:line="360" w:lineRule="auto"/>
        <w:contextualSpacing/>
        <w:jc w:val="both"/>
        <w:rPr>
          <w:rFonts w:asciiTheme="minorBidi" w:hAnsiTheme="minorBidi"/>
          <w:sz w:val="24"/>
          <w:szCs w:val="24"/>
        </w:rPr>
      </w:pPr>
    </w:p>
    <w:p w:rsidR="004E13FF" w:rsidRPr="002B48CC" w:rsidRDefault="004E13FF" w:rsidP="00605A60">
      <w:pPr>
        <w:spacing w:before="120" w:after="0" w:line="360" w:lineRule="auto"/>
        <w:contextualSpacing/>
        <w:jc w:val="both"/>
        <w:rPr>
          <w:rFonts w:asciiTheme="minorBidi" w:hAnsiTheme="minorBidi"/>
          <w:sz w:val="24"/>
          <w:szCs w:val="24"/>
        </w:rPr>
      </w:pPr>
      <w:r w:rsidRPr="002B48CC">
        <w:rPr>
          <w:rFonts w:asciiTheme="minorBidi" w:hAnsiTheme="minorBidi"/>
          <w:sz w:val="24"/>
          <w:szCs w:val="24"/>
        </w:rPr>
        <w:t>Veronese, N.</w:t>
      </w:r>
      <w:r w:rsidRPr="002B48CC">
        <w:rPr>
          <w:rFonts w:asciiTheme="minorBidi" w:hAnsiTheme="minorBidi"/>
          <w:sz w:val="24"/>
          <w:szCs w:val="24"/>
          <w:rtl/>
        </w:rPr>
        <w:t xml:space="preserve">2013) </w:t>
      </w:r>
      <w:r w:rsidRPr="002B48CC">
        <w:rPr>
          <w:rFonts w:asciiTheme="minorBidi" w:hAnsiTheme="minorBidi"/>
          <w:sz w:val="24"/>
          <w:szCs w:val="24"/>
        </w:rPr>
        <w:t>). Synthesis of the asymmetry studies on trade between EU and the Southern and Eastern Mediterranean countries</w:t>
      </w:r>
      <w:r w:rsidRPr="002B48CC">
        <w:rPr>
          <w:rFonts w:asciiTheme="minorBidi" w:hAnsiTheme="minorBidi"/>
          <w:i/>
          <w:iCs/>
          <w:sz w:val="24"/>
          <w:szCs w:val="24"/>
        </w:rPr>
        <w:t xml:space="preserve">. </w:t>
      </w:r>
      <w:r w:rsidRPr="002B48CC">
        <w:rPr>
          <w:rFonts w:asciiTheme="minorBidi" w:hAnsiTheme="minorBidi"/>
          <w:sz w:val="24"/>
          <w:szCs w:val="24"/>
        </w:rPr>
        <w:t xml:space="preserve">Paris, France, EU Medstat III. </w:t>
      </w:r>
    </w:p>
    <w:p w:rsidR="00AB72FA" w:rsidRDefault="00AB72FA" w:rsidP="00605A60">
      <w:pPr>
        <w:spacing w:before="120" w:after="0" w:line="360" w:lineRule="auto"/>
        <w:contextualSpacing/>
        <w:jc w:val="both"/>
        <w:rPr>
          <w:rFonts w:asciiTheme="minorBidi" w:hAnsiTheme="minorBidi"/>
          <w:sz w:val="24"/>
          <w:szCs w:val="24"/>
        </w:rPr>
      </w:pPr>
    </w:p>
    <w:p w:rsidR="004E13FF" w:rsidRPr="002B48CC" w:rsidRDefault="004E13FF" w:rsidP="00605A60">
      <w:pPr>
        <w:spacing w:before="120" w:after="0" w:line="360" w:lineRule="auto"/>
        <w:contextualSpacing/>
        <w:jc w:val="both"/>
        <w:rPr>
          <w:rStyle w:val="Hyperlink"/>
          <w:rFonts w:asciiTheme="minorBidi" w:hAnsiTheme="minorBidi"/>
          <w:sz w:val="24"/>
          <w:szCs w:val="24"/>
        </w:rPr>
      </w:pPr>
      <w:r w:rsidRPr="002B48CC">
        <w:rPr>
          <w:rFonts w:asciiTheme="minorBidi" w:hAnsiTheme="minorBidi"/>
          <w:sz w:val="24"/>
          <w:szCs w:val="24"/>
        </w:rPr>
        <w:t>The Israel Central Bureau of Statistics (</w:t>
      </w:r>
      <w:r w:rsidR="002B48CC">
        <w:rPr>
          <w:rFonts w:asciiTheme="minorBidi" w:hAnsiTheme="minorBidi"/>
          <w:sz w:val="24"/>
          <w:szCs w:val="24"/>
        </w:rPr>
        <w:t>2018</w:t>
      </w:r>
      <w:r w:rsidRPr="002B48CC">
        <w:rPr>
          <w:rFonts w:asciiTheme="minorBidi" w:hAnsiTheme="minorBidi"/>
          <w:sz w:val="24"/>
          <w:szCs w:val="24"/>
        </w:rPr>
        <w:t xml:space="preserve">) Web page </w:t>
      </w:r>
      <w:r w:rsidR="002B48CC">
        <w:rPr>
          <w:rFonts w:asciiTheme="minorBidi" w:hAnsiTheme="minorBidi"/>
          <w:sz w:val="24"/>
          <w:szCs w:val="24"/>
        </w:rPr>
        <w:t>on</w:t>
      </w:r>
      <w:r w:rsidRPr="002B48CC">
        <w:rPr>
          <w:rFonts w:asciiTheme="minorBidi" w:hAnsiTheme="minorBidi"/>
          <w:sz w:val="24"/>
          <w:szCs w:val="24"/>
        </w:rPr>
        <w:t xml:space="preserve"> Foreign Trade data</w:t>
      </w:r>
      <w:r w:rsidR="002B48CC">
        <w:rPr>
          <w:rFonts w:asciiTheme="minorBidi" w:hAnsiTheme="minorBidi"/>
          <w:sz w:val="24"/>
          <w:szCs w:val="24"/>
        </w:rPr>
        <w:t>. Available at:</w:t>
      </w:r>
      <w:r w:rsidRPr="002B48CC">
        <w:rPr>
          <w:rFonts w:asciiTheme="minorBidi" w:hAnsiTheme="minorBidi"/>
          <w:sz w:val="24"/>
          <w:szCs w:val="24"/>
        </w:rPr>
        <w:t xml:space="preserve"> </w:t>
      </w:r>
      <w:hyperlink r:id="rId13" w:history="1">
        <w:r w:rsidRPr="002B48CC">
          <w:rPr>
            <w:rStyle w:val="Hyperlink"/>
            <w:rFonts w:asciiTheme="minorBidi" w:hAnsiTheme="minorBidi"/>
            <w:sz w:val="24"/>
            <w:szCs w:val="24"/>
          </w:rPr>
          <w:t>http://www.cbs.gov.il/reader/?MIval=cw_usr_view_SHTML&amp;ID=461</w:t>
        </w:r>
      </w:hyperlink>
    </w:p>
    <w:sectPr w:rsidR="004E13FF" w:rsidRPr="002B48CC"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9"/>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71C87">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1C87">
    <w:pPr>
      <w:pStyle w:val="a7"/>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1C87">
    <w:pPr>
      <w:pStyle w:val="a7"/>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1C87">
    <w:pPr>
      <w:pStyle w:val="a7"/>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49BA"/>
    <w:rsid w:val="000421AE"/>
    <w:rsid w:val="00043489"/>
    <w:rsid w:val="00047C24"/>
    <w:rsid w:val="00070925"/>
    <w:rsid w:val="0007704A"/>
    <w:rsid w:val="000939C7"/>
    <w:rsid w:val="000957CC"/>
    <w:rsid w:val="000A5D37"/>
    <w:rsid w:val="000C6472"/>
    <w:rsid w:val="000D5544"/>
    <w:rsid w:val="000D705A"/>
    <w:rsid w:val="000F337F"/>
    <w:rsid w:val="0012684A"/>
    <w:rsid w:val="00133E07"/>
    <w:rsid w:val="00142A8D"/>
    <w:rsid w:val="00157DAD"/>
    <w:rsid w:val="00160406"/>
    <w:rsid w:val="001646F8"/>
    <w:rsid w:val="0016743D"/>
    <w:rsid w:val="00182357"/>
    <w:rsid w:val="001D1B8E"/>
    <w:rsid w:val="001E43DC"/>
    <w:rsid w:val="001F498F"/>
    <w:rsid w:val="00201F5D"/>
    <w:rsid w:val="00221F17"/>
    <w:rsid w:val="00234927"/>
    <w:rsid w:val="0023623C"/>
    <w:rsid w:val="00242620"/>
    <w:rsid w:val="00256C5F"/>
    <w:rsid w:val="0028150C"/>
    <w:rsid w:val="00282B53"/>
    <w:rsid w:val="00293580"/>
    <w:rsid w:val="002B48CC"/>
    <w:rsid w:val="002B6D33"/>
    <w:rsid w:val="00336E21"/>
    <w:rsid w:val="0035059A"/>
    <w:rsid w:val="00354CDD"/>
    <w:rsid w:val="0035694D"/>
    <w:rsid w:val="00362815"/>
    <w:rsid w:val="003A1D16"/>
    <w:rsid w:val="003E6BA6"/>
    <w:rsid w:val="003F1BA4"/>
    <w:rsid w:val="003F4EC8"/>
    <w:rsid w:val="004150F5"/>
    <w:rsid w:val="00432CD5"/>
    <w:rsid w:val="00436792"/>
    <w:rsid w:val="00471C87"/>
    <w:rsid w:val="004740F1"/>
    <w:rsid w:val="00493026"/>
    <w:rsid w:val="004A12A7"/>
    <w:rsid w:val="004A1A99"/>
    <w:rsid w:val="004B39C1"/>
    <w:rsid w:val="004B6729"/>
    <w:rsid w:val="004C5048"/>
    <w:rsid w:val="004E13FF"/>
    <w:rsid w:val="004E7BAB"/>
    <w:rsid w:val="004F04B4"/>
    <w:rsid w:val="004F1481"/>
    <w:rsid w:val="00512D06"/>
    <w:rsid w:val="0052031D"/>
    <w:rsid w:val="005215E8"/>
    <w:rsid w:val="00530FD6"/>
    <w:rsid w:val="00564596"/>
    <w:rsid w:val="005812C5"/>
    <w:rsid w:val="005A1F57"/>
    <w:rsid w:val="005B00EE"/>
    <w:rsid w:val="005B6971"/>
    <w:rsid w:val="005D200E"/>
    <w:rsid w:val="005E5F5A"/>
    <w:rsid w:val="006052BF"/>
    <w:rsid w:val="006058DB"/>
    <w:rsid w:val="00605A60"/>
    <w:rsid w:val="0061261D"/>
    <w:rsid w:val="006326CD"/>
    <w:rsid w:val="00650942"/>
    <w:rsid w:val="00653D6C"/>
    <w:rsid w:val="00661460"/>
    <w:rsid w:val="00667788"/>
    <w:rsid w:val="0069009D"/>
    <w:rsid w:val="00697934"/>
    <w:rsid w:val="006B5A4A"/>
    <w:rsid w:val="006C5879"/>
    <w:rsid w:val="006D536E"/>
    <w:rsid w:val="00710329"/>
    <w:rsid w:val="007436FB"/>
    <w:rsid w:val="007730C4"/>
    <w:rsid w:val="00776C97"/>
    <w:rsid w:val="00783040"/>
    <w:rsid w:val="007A415E"/>
    <w:rsid w:val="007E6D8C"/>
    <w:rsid w:val="0082373C"/>
    <w:rsid w:val="00843213"/>
    <w:rsid w:val="00866169"/>
    <w:rsid w:val="00867B2C"/>
    <w:rsid w:val="00873330"/>
    <w:rsid w:val="00883326"/>
    <w:rsid w:val="008A71D2"/>
    <w:rsid w:val="008B0935"/>
    <w:rsid w:val="008C41EC"/>
    <w:rsid w:val="008C4888"/>
    <w:rsid w:val="008D2571"/>
    <w:rsid w:val="008D56E1"/>
    <w:rsid w:val="008D6094"/>
    <w:rsid w:val="008D6CF6"/>
    <w:rsid w:val="0090052B"/>
    <w:rsid w:val="00902A7F"/>
    <w:rsid w:val="009378F5"/>
    <w:rsid w:val="00955591"/>
    <w:rsid w:val="00973B8D"/>
    <w:rsid w:val="00A13AF6"/>
    <w:rsid w:val="00A23816"/>
    <w:rsid w:val="00A454B6"/>
    <w:rsid w:val="00A531F2"/>
    <w:rsid w:val="00A6013E"/>
    <w:rsid w:val="00AA3B00"/>
    <w:rsid w:val="00AB5889"/>
    <w:rsid w:val="00AB72FA"/>
    <w:rsid w:val="00AD1423"/>
    <w:rsid w:val="00AD3336"/>
    <w:rsid w:val="00AD4AEE"/>
    <w:rsid w:val="00AD55CE"/>
    <w:rsid w:val="00AF6C21"/>
    <w:rsid w:val="00B30169"/>
    <w:rsid w:val="00B47197"/>
    <w:rsid w:val="00B72169"/>
    <w:rsid w:val="00B74218"/>
    <w:rsid w:val="00B77A7F"/>
    <w:rsid w:val="00B86FC7"/>
    <w:rsid w:val="00B90DBD"/>
    <w:rsid w:val="00B912C3"/>
    <w:rsid w:val="00BB19AC"/>
    <w:rsid w:val="00BC26CE"/>
    <w:rsid w:val="00BC2DE6"/>
    <w:rsid w:val="00BF6DBC"/>
    <w:rsid w:val="00C159C7"/>
    <w:rsid w:val="00C16E8E"/>
    <w:rsid w:val="00C261EA"/>
    <w:rsid w:val="00C40213"/>
    <w:rsid w:val="00C444A7"/>
    <w:rsid w:val="00C55909"/>
    <w:rsid w:val="00C626F8"/>
    <w:rsid w:val="00C726EA"/>
    <w:rsid w:val="00C74A1D"/>
    <w:rsid w:val="00C930DE"/>
    <w:rsid w:val="00CA3F58"/>
    <w:rsid w:val="00CB2B44"/>
    <w:rsid w:val="00CB4074"/>
    <w:rsid w:val="00CB4ADA"/>
    <w:rsid w:val="00CB53AF"/>
    <w:rsid w:val="00CC1C1D"/>
    <w:rsid w:val="00CC6C3C"/>
    <w:rsid w:val="00CD2120"/>
    <w:rsid w:val="00CE45AD"/>
    <w:rsid w:val="00CF33AD"/>
    <w:rsid w:val="00CF656A"/>
    <w:rsid w:val="00D0258C"/>
    <w:rsid w:val="00D0270E"/>
    <w:rsid w:val="00D02F70"/>
    <w:rsid w:val="00D20550"/>
    <w:rsid w:val="00D26EDD"/>
    <w:rsid w:val="00D3638C"/>
    <w:rsid w:val="00D52061"/>
    <w:rsid w:val="00D52194"/>
    <w:rsid w:val="00D65C24"/>
    <w:rsid w:val="00DA74F6"/>
    <w:rsid w:val="00DB2620"/>
    <w:rsid w:val="00DB7147"/>
    <w:rsid w:val="00DD4526"/>
    <w:rsid w:val="00DD4977"/>
    <w:rsid w:val="00DD55BA"/>
    <w:rsid w:val="00DE01B4"/>
    <w:rsid w:val="00DF178A"/>
    <w:rsid w:val="00DF2532"/>
    <w:rsid w:val="00DF27A8"/>
    <w:rsid w:val="00DF3844"/>
    <w:rsid w:val="00E003D9"/>
    <w:rsid w:val="00E16C55"/>
    <w:rsid w:val="00E261EB"/>
    <w:rsid w:val="00E524FD"/>
    <w:rsid w:val="00E7228E"/>
    <w:rsid w:val="00E743E7"/>
    <w:rsid w:val="00E82B25"/>
    <w:rsid w:val="00E847E7"/>
    <w:rsid w:val="00E92831"/>
    <w:rsid w:val="00E9313B"/>
    <w:rsid w:val="00EA0BF0"/>
    <w:rsid w:val="00EB7A63"/>
    <w:rsid w:val="00EC4285"/>
    <w:rsid w:val="00EC5F5A"/>
    <w:rsid w:val="00ED6AF0"/>
    <w:rsid w:val="00EE2ED0"/>
    <w:rsid w:val="00EE4A70"/>
    <w:rsid w:val="00EF409C"/>
    <w:rsid w:val="00F30C27"/>
    <w:rsid w:val="00F51570"/>
    <w:rsid w:val="00F74EA2"/>
    <w:rsid w:val="00FA1CC4"/>
    <w:rsid w:val="00FC34A8"/>
    <w:rsid w:val="00FC390F"/>
    <w:rsid w:val="00FE369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47197"/>
    <w:pPr>
      <w:spacing w:after="0" w:line="240" w:lineRule="auto"/>
    </w:pPr>
  </w:style>
  <w:style w:type="paragraph" w:styleId="a5">
    <w:name w:val="Balloon Text"/>
    <w:basedOn w:val="a"/>
    <w:link w:val="a6"/>
    <w:uiPriority w:val="99"/>
    <w:semiHidden/>
    <w:unhideWhenUsed/>
    <w:rsid w:val="00B47197"/>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B47197"/>
    <w:rPr>
      <w:rFonts w:ascii="Segoe UI" w:hAnsi="Segoe UI" w:cs="Segoe UI"/>
      <w:sz w:val="18"/>
      <w:szCs w:val="18"/>
    </w:rPr>
  </w:style>
  <w:style w:type="paragraph" w:styleId="a7">
    <w:name w:val="header"/>
    <w:basedOn w:val="a"/>
    <w:link w:val="a8"/>
    <w:uiPriority w:val="99"/>
    <w:unhideWhenUsed/>
    <w:rsid w:val="00E82B25"/>
    <w:pPr>
      <w:tabs>
        <w:tab w:val="center" w:pos="4536"/>
        <w:tab w:val="right" w:pos="9072"/>
      </w:tabs>
      <w:spacing w:after="0" w:line="240" w:lineRule="auto"/>
    </w:pPr>
  </w:style>
  <w:style w:type="character" w:customStyle="1" w:styleId="a8">
    <w:name w:val="כותרת עליונה תו"/>
    <w:basedOn w:val="a0"/>
    <w:link w:val="a7"/>
    <w:uiPriority w:val="99"/>
    <w:rsid w:val="00E82B25"/>
  </w:style>
  <w:style w:type="paragraph" w:styleId="a9">
    <w:name w:val="footer"/>
    <w:basedOn w:val="a"/>
    <w:link w:val="aa"/>
    <w:uiPriority w:val="99"/>
    <w:unhideWhenUsed/>
    <w:rsid w:val="00E82B25"/>
    <w:pPr>
      <w:tabs>
        <w:tab w:val="center" w:pos="4536"/>
        <w:tab w:val="right" w:pos="9072"/>
      </w:tabs>
      <w:spacing w:after="0" w:line="240" w:lineRule="auto"/>
    </w:pPr>
  </w:style>
  <w:style w:type="character" w:customStyle="1" w:styleId="aa">
    <w:name w:val="כותרת תחתונה תו"/>
    <w:basedOn w:val="a0"/>
    <w:link w:val="a9"/>
    <w:uiPriority w:val="99"/>
    <w:rsid w:val="00E82B25"/>
  </w:style>
  <w:style w:type="character" w:styleId="ab">
    <w:name w:val="annotation reference"/>
    <w:basedOn w:val="a0"/>
    <w:uiPriority w:val="99"/>
    <w:semiHidden/>
    <w:unhideWhenUsed/>
    <w:rsid w:val="00697934"/>
    <w:rPr>
      <w:sz w:val="16"/>
      <w:szCs w:val="16"/>
    </w:rPr>
  </w:style>
  <w:style w:type="paragraph" w:styleId="ac">
    <w:name w:val="annotation text"/>
    <w:basedOn w:val="a"/>
    <w:link w:val="ad"/>
    <w:uiPriority w:val="99"/>
    <w:semiHidden/>
    <w:unhideWhenUsed/>
    <w:rsid w:val="00697934"/>
    <w:pPr>
      <w:spacing w:line="240" w:lineRule="auto"/>
    </w:pPr>
    <w:rPr>
      <w:sz w:val="20"/>
      <w:szCs w:val="20"/>
    </w:rPr>
  </w:style>
  <w:style w:type="character" w:customStyle="1" w:styleId="ad">
    <w:name w:val="טקסט הערה תו"/>
    <w:basedOn w:val="a0"/>
    <w:link w:val="ac"/>
    <w:uiPriority w:val="99"/>
    <w:semiHidden/>
    <w:rsid w:val="00697934"/>
    <w:rPr>
      <w:sz w:val="20"/>
      <w:szCs w:val="20"/>
    </w:rPr>
  </w:style>
  <w:style w:type="paragraph" w:styleId="ae">
    <w:name w:val="annotation subject"/>
    <w:basedOn w:val="ac"/>
    <w:next w:val="ac"/>
    <w:link w:val="af"/>
    <w:uiPriority w:val="99"/>
    <w:semiHidden/>
    <w:unhideWhenUsed/>
    <w:rsid w:val="00697934"/>
    <w:rPr>
      <w:b/>
      <w:bCs/>
    </w:rPr>
  </w:style>
  <w:style w:type="character" w:customStyle="1" w:styleId="af">
    <w:name w:val="נושא הערה תו"/>
    <w:basedOn w:val="ad"/>
    <w:link w:val="ae"/>
    <w:uiPriority w:val="99"/>
    <w:semiHidden/>
    <w:rsid w:val="00697934"/>
    <w:rPr>
      <w:b/>
      <w:bCs/>
      <w:sz w:val="20"/>
      <w:szCs w:val="20"/>
    </w:rPr>
  </w:style>
  <w:style w:type="character" w:styleId="Hyperlink">
    <w:name w:val="Hyperlink"/>
    <w:basedOn w:val="a0"/>
    <w:uiPriority w:val="99"/>
    <w:unhideWhenUsed/>
    <w:rsid w:val="00A454B6"/>
    <w:rPr>
      <w:color w:val="0563C1" w:themeColor="hyperlink"/>
      <w:u w:val="single"/>
    </w:rPr>
  </w:style>
  <w:style w:type="paragraph" w:styleId="af0">
    <w:name w:val="footnote text"/>
    <w:basedOn w:val="a"/>
    <w:link w:val="af1"/>
    <w:uiPriority w:val="99"/>
    <w:semiHidden/>
    <w:unhideWhenUsed/>
    <w:rsid w:val="00F30C27"/>
    <w:pPr>
      <w:spacing w:after="0" w:line="240" w:lineRule="auto"/>
    </w:pPr>
    <w:rPr>
      <w:sz w:val="20"/>
      <w:szCs w:val="20"/>
    </w:rPr>
  </w:style>
  <w:style w:type="character" w:customStyle="1" w:styleId="af1">
    <w:name w:val="טקסט הערת שוליים תו"/>
    <w:basedOn w:val="a0"/>
    <w:link w:val="af0"/>
    <w:uiPriority w:val="99"/>
    <w:semiHidden/>
    <w:rsid w:val="00F30C27"/>
    <w:rPr>
      <w:sz w:val="20"/>
      <w:szCs w:val="20"/>
    </w:rPr>
  </w:style>
  <w:style w:type="character" w:styleId="af2">
    <w:name w:val="footnote reference"/>
    <w:basedOn w:val="a0"/>
    <w:uiPriority w:val="99"/>
    <w:semiHidden/>
    <w:unhideWhenUsed/>
    <w:rsid w:val="00F30C27"/>
    <w:rPr>
      <w:vertAlign w:val="superscript"/>
    </w:rPr>
  </w:style>
  <w:style w:type="paragraph" w:styleId="af3">
    <w:name w:val="caption"/>
    <w:basedOn w:val="a"/>
    <w:next w:val="a"/>
    <w:uiPriority w:val="35"/>
    <w:unhideWhenUsed/>
    <w:qFormat/>
    <w:rsid w:val="00AD4AEE"/>
    <w:pPr>
      <w:spacing w:after="200" w:line="240" w:lineRule="auto"/>
    </w:pPr>
    <w:rPr>
      <w:i/>
      <w:iCs/>
      <w:color w:val="44546A" w:themeColor="text2"/>
      <w:sz w:val="18"/>
      <w:szCs w:val="18"/>
    </w:rPr>
  </w:style>
  <w:style w:type="paragraph" w:styleId="af4">
    <w:name w:val="List Paragraph"/>
    <w:basedOn w:val="a"/>
    <w:uiPriority w:val="34"/>
    <w:qFormat/>
    <w:rsid w:val="004E13FF"/>
    <w:pPr>
      <w:bidi/>
      <w:spacing w:after="200" w:line="276" w:lineRule="auto"/>
      <w:ind w:left="720"/>
      <w:contextualSpacing/>
    </w:pPr>
    <w:rPr>
      <w:lang w:val="en-US" w:bidi="he-IL"/>
    </w:rPr>
  </w:style>
  <w:style w:type="paragraph" w:customStyle="1" w:styleId="Default">
    <w:name w:val="Default"/>
    <w:rsid w:val="004E13FF"/>
    <w:pPr>
      <w:autoSpaceDE w:val="0"/>
      <w:autoSpaceDN w:val="0"/>
      <w:adjustRightInd w:val="0"/>
      <w:spacing w:after="0" w:line="240" w:lineRule="auto"/>
    </w:pPr>
    <w:rPr>
      <w:rFonts w:ascii="Arial" w:eastAsia="Times New Roman" w:hAnsi="Arial" w:cs="Arial"/>
      <w:color w:val="000000"/>
      <w:sz w:val="24"/>
      <w:szCs w:val="24"/>
      <w:lang w:val="en-US" w:bidi="he-IL"/>
    </w:rPr>
  </w:style>
  <w:style w:type="table" w:styleId="1-1">
    <w:name w:val="Medium Shading 1 Accent 1"/>
    <w:basedOn w:val="a1"/>
    <w:uiPriority w:val="63"/>
    <w:rsid w:val="004E13FF"/>
    <w:pPr>
      <w:spacing w:after="0" w:line="240" w:lineRule="auto"/>
    </w:pPr>
    <w:rPr>
      <w:lang w:val="en-US" w:bidi="he-I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47197"/>
    <w:pPr>
      <w:spacing w:after="0" w:line="240" w:lineRule="auto"/>
    </w:pPr>
  </w:style>
  <w:style w:type="paragraph" w:styleId="a5">
    <w:name w:val="Balloon Text"/>
    <w:basedOn w:val="a"/>
    <w:link w:val="a6"/>
    <w:uiPriority w:val="99"/>
    <w:semiHidden/>
    <w:unhideWhenUsed/>
    <w:rsid w:val="00B47197"/>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B47197"/>
    <w:rPr>
      <w:rFonts w:ascii="Segoe UI" w:hAnsi="Segoe UI" w:cs="Segoe UI"/>
      <w:sz w:val="18"/>
      <w:szCs w:val="18"/>
    </w:rPr>
  </w:style>
  <w:style w:type="paragraph" w:styleId="a7">
    <w:name w:val="header"/>
    <w:basedOn w:val="a"/>
    <w:link w:val="a8"/>
    <w:uiPriority w:val="99"/>
    <w:unhideWhenUsed/>
    <w:rsid w:val="00E82B25"/>
    <w:pPr>
      <w:tabs>
        <w:tab w:val="center" w:pos="4536"/>
        <w:tab w:val="right" w:pos="9072"/>
      </w:tabs>
      <w:spacing w:after="0" w:line="240" w:lineRule="auto"/>
    </w:pPr>
  </w:style>
  <w:style w:type="character" w:customStyle="1" w:styleId="a8">
    <w:name w:val="כותרת עליונה תו"/>
    <w:basedOn w:val="a0"/>
    <w:link w:val="a7"/>
    <w:uiPriority w:val="99"/>
    <w:rsid w:val="00E82B25"/>
  </w:style>
  <w:style w:type="paragraph" w:styleId="a9">
    <w:name w:val="footer"/>
    <w:basedOn w:val="a"/>
    <w:link w:val="aa"/>
    <w:uiPriority w:val="99"/>
    <w:unhideWhenUsed/>
    <w:rsid w:val="00E82B25"/>
    <w:pPr>
      <w:tabs>
        <w:tab w:val="center" w:pos="4536"/>
        <w:tab w:val="right" w:pos="9072"/>
      </w:tabs>
      <w:spacing w:after="0" w:line="240" w:lineRule="auto"/>
    </w:pPr>
  </w:style>
  <w:style w:type="character" w:customStyle="1" w:styleId="aa">
    <w:name w:val="כותרת תחתונה תו"/>
    <w:basedOn w:val="a0"/>
    <w:link w:val="a9"/>
    <w:uiPriority w:val="99"/>
    <w:rsid w:val="00E82B25"/>
  </w:style>
  <w:style w:type="character" w:styleId="ab">
    <w:name w:val="annotation reference"/>
    <w:basedOn w:val="a0"/>
    <w:uiPriority w:val="99"/>
    <w:semiHidden/>
    <w:unhideWhenUsed/>
    <w:rsid w:val="00697934"/>
    <w:rPr>
      <w:sz w:val="16"/>
      <w:szCs w:val="16"/>
    </w:rPr>
  </w:style>
  <w:style w:type="paragraph" w:styleId="ac">
    <w:name w:val="annotation text"/>
    <w:basedOn w:val="a"/>
    <w:link w:val="ad"/>
    <w:uiPriority w:val="99"/>
    <w:semiHidden/>
    <w:unhideWhenUsed/>
    <w:rsid w:val="00697934"/>
    <w:pPr>
      <w:spacing w:line="240" w:lineRule="auto"/>
    </w:pPr>
    <w:rPr>
      <w:sz w:val="20"/>
      <w:szCs w:val="20"/>
    </w:rPr>
  </w:style>
  <w:style w:type="character" w:customStyle="1" w:styleId="ad">
    <w:name w:val="טקסט הערה תו"/>
    <w:basedOn w:val="a0"/>
    <w:link w:val="ac"/>
    <w:uiPriority w:val="99"/>
    <w:semiHidden/>
    <w:rsid w:val="00697934"/>
    <w:rPr>
      <w:sz w:val="20"/>
      <w:szCs w:val="20"/>
    </w:rPr>
  </w:style>
  <w:style w:type="paragraph" w:styleId="ae">
    <w:name w:val="annotation subject"/>
    <w:basedOn w:val="ac"/>
    <w:next w:val="ac"/>
    <w:link w:val="af"/>
    <w:uiPriority w:val="99"/>
    <w:semiHidden/>
    <w:unhideWhenUsed/>
    <w:rsid w:val="00697934"/>
    <w:rPr>
      <w:b/>
      <w:bCs/>
    </w:rPr>
  </w:style>
  <w:style w:type="character" w:customStyle="1" w:styleId="af">
    <w:name w:val="נושא הערה תו"/>
    <w:basedOn w:val="ad"/>
    <w:link w:val="ae"/>
    <w:uiPriority w:val="99"/>
    <w:semiHidden/>
    <w:rsid w:val="00697934"/>
    <w:rPr>
      <w:b/>
      <w:bCs/>
      <w:sz w:val="20"/>
      <w:szCs w:val="20"/>
    </w:rPr>
  </w:style>
  <w:style w:type="character" w:styleId="Hyperlink">
    <w:name w:val="Hyperlink"/>
    <w:basedOn w:val="a0"/>
    <w:uiPriority w:val="99"/>
    <w:unhideWhenUsed/>
    <w:rsid w:val="00A454B6"/>
    <w:rPr>
      <w:color w:val="0563C1" w:themeColor="hyperlink"/>
      <w:u w:val="single"/>
    </w:rPr>
  </w:style>
  <w:style w:type="paragraph" w:styleId="af0">
    <w:name w:val="footnote text"/>
    <w:basedOn w:val="a"/>
    <w:link w:val="af1"/>
    <w:uiPriority w:val="99"/>
    <w:semiHidden/>
    <w:unhideWhenUsed/>
    <w:rsid w:val="00F30C27"/>
    <w:pPr>
      <w:spacing w:after="0" w:line="240" w:lineRule="auto"/>
    </w:pPr>
    <w:rPr>
      <w:sz w:val="20"/>
      <w:szCs w:val="20"/>
    </w:rPr>
  </w:style>
  <w:style w:type="character" w:customStyle="1" w:styleId="af1">
    <w:name w:val="טקסט הערת שוליים תו"/>
    <w:basedOn w:val="a0"/>
    <w:link w:val="af0"/>
    <w:uiPriority w:val="99"/>
    <w:semiHidden/>
    <w:rsid w:val="00F30C27"/>
    <w:rPr>
      <w:sz w:val="20"/>
      <w:szCs w:val="20"/>
    </w:rPr>
  </w:style>
  <w:style w:type="character" w:styleId="af2">
    <w:name w:val="footnote reference"/>
    <w:basedOn w:val="a0"/>
    <w:uiPriority w:val="99"/>
    <w:semiHidden/>
    <w:unhideWhenUsed/>
    <w:rsid w:val="00F30C27"/>
    <w:rPr>
      <w:vertAlign w:val="superscript"/>
    </w:rPr>
  </w:style>
  <w:style w:type="paragraph" w:styleId="af3">
    <w:name w:val="caption"/>
    <w:basedOn w:val="a"/>
    <w:next w:val="a"/>
    <w:uiPriority w:val="35"/>
    <w:unhideWhenUsed/>
    <w:qFormat/>
    <w:rsid w:val="00AD4AEE"/>
    <w:pPr>
      <w:spacing w:after="200" w:line="240" w:lineRule="auto"/>
    </w:pPr>
    <w:rPr>
      <w:i/>
      <w:iCs/>
      <w:color w:val="44546A" w:themeColor="text2"/>
      <w:sz w:val="18"/>
      <w:szCs w:val="18"/>
    </w:rPr>
  </w:style>
  <w:style w:type="paragraph" w:styleId="af4">
    <w:name w:val="List Paragraph"/>
    <w:basedOn w:val="a"/>
    <w:uiPriority w:val="34"/>
    <w:qFormat/>
    <w:rsid w:val="004E13FF"/>
    <w:pPr>
      <w:bidi/>
      <w:spacing w:after="200" w:line="276" w:lineRule="auto"/>
      <w:ind w:left="720"/>
      <w:contextualSpacing/>
    </w:pPr>
    <w:rPr>
      <w:lang w:val="en-US" w:bidi="he-IL"/>
    </w:rPr>
  </w:style>
  <w:style w:type="paragraph" w:customStyle="1" w:styleId="Default">
    <w:name w:val="Default"/>
    <w:rsid w:val="004E13FF"/>
    <w:pPr>
      <w:autoSpaceDE w:val="0"/>
      <w:autoSpaceDN w:val="0"/>
      <w:adjustRightInd w:val="0"/>
      <w:spacing w:after="0" w:line="240" w:lineRule="auto"/>
    </w:pPr>
    <w:rPr>
      <w:rFonts w:ascii="Arial" w:eastAsia="Times New Roman" w:hAnsi="Arial" w:cs="Arial"/>
      <w:color w:val="000000"/>
      <w:sz w:val="24"/>
      <w:szCs w:val="24"/>
      <w:lang w:val="en-US" w:bidi="he-IL"/>
    </w:rPr>
  </w:style>
  <w:style w:type="table" w:styleId="1-1">
    <w:name w:val="Medium Shading 1 Accent 1"/>
    <w:basedOn w:val="a1"/>
    <w:uiPriority w:val="63"/>
    <w:rsid w:val="004E13FF"/>
    <w:pPr>
      <w:spacing w:after="0" w:line="240" w:lineRule="auto"/>
    </w:pPr>
    <w:rPr>
      <w:lang w:val="en-US" w:bidi="he-I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i@cbs.gov.il" TargetMode="External"/><Relationship Id="rId13" Type="http://schemas.openxmlformats.org/officeDocument/2006/relationships/hyperlink" Target="http://www.cbs.gov.il/reader/?MIval=cw_usr_view_SHTML&amp;ID=46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n@cbs.gov.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s\hf\Nilib\&#1511;&#1513;&#1512;&#1497;&#1501;%20&#1489;&#1497;&#1504;&#1500;&#1488;&#1493;&#1502;&#1497;&#1497;&#1501;%20&#1499;&#1500;&#1500;&#1497;\&#1502;&#1488;&#1502;&#1512;%20&#1500;&#1506;&#1497;&#1514;&#1493;&#1503;%20&#1505;&#1497;&#1490;&#1504;&#1497;&#1508;&#1511;&#1504;&#1505;%20&#1500;&#1497;&#1493;&#1501;%20%20&#1505;&#1496;&#1496;&#1505;&#1496;&#1497;&#1511;&#1492;\&#1506;&#1493;&#1514;&#1511;%20&#1513;&#1500;%20&#1508;&#1506;&#1512;&#1497;&#1501;%205%20&#1489;&#1497;&#1493;&#1500;&#1497;%20%20&#1489;&#1514;&#1512;&#1490;&#1497;&#1500;&#1497;%20&#1512;&#1488;&#1497;%20&#1505;&#1495;&#1512;%20&#1495;&#1493;&#15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hf\Nilib\&#1511;&#1513;&#1512;&#1497;&#1501;%20&#1489;&#1497;&#1504;&#1500;&#1488;&#1493;&#1502;&#1497;&#1497;&#1501;%20&#1499;&#1500;&#1500;&#1497;\&#1502;&#1488;&#1502;&#1512;%20&#1500;&#1506;&#1497;&#1514;&#1493;&#1503;%20&#1505;&#1497;&#1490;&#1504;&#1497;&#1508;&#1511;&#1504;&#1505;%20&#1500;&#1497;&#1493;&#1501;%20%20&#1505;&#1496;&#1496;&#1505;&#1496;&#1497;&#1511;&#1492;\&#1506;&#1493;&#1514;&#1511;%20&#1513;&#1500;%20&#1508;&#1506;&#1512;&#1497;&#1501;%205%20&#1489;&#1497;&#1493;&#1500;&#1497;%20%20&#1489;&#1514;&#1512;&#1490;&#1497;&#1500;&#1497;%20&#1512;&#1488;&#1497;%20&#1505;&#1495;&#1512;%20&#1495;&#1493;&#15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hf\Nilib\&#1511;&#1513;&#1512;&#1497;&#1501;%20&#1489;&#1497;&#1504;&#1500;&#1488;&#1493;&#1502;&#1497;&#1497;&#1501;%20&#1499;&#1500;&#1500;&#1497;\&#1502;&#1488;&#1502;&#1512;%20&#1500;&#1506;&#1497;&#1514;&#1493;&#1503;%20&#1505;&#1497;&#1490;&#1504;&#1497;&#1508;&#1511;&#1504;&#1505;%20&#1500;&#1497;&#1493;&#1501;%20%20&#1505;&#1496;&#1496;&#1505;&#1496;&#1497;&#1511;&#1492;\&#1506;&#1493;&#1514;&#1511;%20&#1513;&#1500;%20&#1508;&#1506;&#1512;&#1497;&#1501;%205%20&#1489;&#1497;&#1493;&#1500;&#1497;%20%20&#1489;&#1514;&#1512;&#1490;&#1497;&#1500;&#1497;%20&#1512;&#1488;&#1497;%20&#1505;&#1495;&#1512;%20&#1495;&#1493;&#15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200" b="0" i="0" u="none" strike="noStrike" kern="1200" baseline="0">
                <a:solidFill>
                  <a:sysClr val="windowText" lastClr="000000"/>
                </a:solidFill>
                <a:latin typeface="+mn-lt"/>
                <a:ea typeface="+mn-ea"/>
                <a:cs typeface="+mn-cs"/>
              </a:defRPr>
            </a:pPr>
            <a:r>
              <a:rPr lang="en-US" sz="1100" b="0" i="0" u="none" strike="noStrike" kern="1200" baseline="0">
                <a:solidFill>
                  <a:sysClr val="windowText" lastClr="000000"/>
                </a:solidFill>
                <a:latin typeface="+mn-lt"/>
                <a:ea typeface="+mn-ea"/>
                <a:cs typeface="+mj-cs"/>
              </a:rPr>
              <a:t>Figure  1:  Asymmetries between Israel and                   </a:t>
            </a:r>
          </a:p>
          <a:p>
            <a:pPr marL="0" marR="0" indent="0" algn="ctr" defTabSz="914400" rtl="0" eaLnBrk="1" fontAlgn="auto" latinLnBrk="0" hangingPunct="1">
              <a:lnSpc>
                <a:spcPct val="100000"/>
              </a:lnSpc>
              <a:spcBef>
                <a:spcPts val="0"/>
              </a:spcBef>
              <a:spcAft>
                <a:spcPts val="0"/>
              </a:spcAft>
              <a:buClrTx/>
              <a:buSzTx/>
              <a:buFontTx/>
              <a:buNone/>
              <a:tabLst/>
              <a:defRPr lang="en-US" sz="1200" b="0" i="0" u="none" strike="noStrike" kern="1200" baseline="0">
                <a:solidFill>
                  <a:sysClr val="windowText" lastClr="000000"/>
                </a:solidFill>
                <a:latin typeface="+mn-lt"/>
                <a:ea typeface="+mn-ea"/>
                <a:cs typeface="+mn-cs"/>
              </a:defRPr>
            </a:pPr>
            <a:r>
              <a:rPr lang="en-US" sz="1100" b="0" i="0" u="none" strike="noStrike" kern="1200" baseline="0">
                <a:solidFill>
                  <a:sysClr val="windowText" lastClr="000000"/>
                </a:solidFill>
                <a:latin typeface="+mn-lt"/>
                <a:ea typeface="+mn-ea"/>
                <a:cs typeface="+mj-cs"/>
              </a:rPr>
              <a:t>                  Egypt,</a:t>
            </a:r>
            <a:r>
              <a:rPr lang="en-US" sz="1800" b="0" i="0" baseline="0">
                <a:effectLst/>
              </a:rPr>
              <a:t> </a:t>
            </a:r>
            <a:r>
              <a:rPr lang="en-US" sz="1100" b="0" i="0" baseline="0">
                <a:effectLst/>
                <a:latin typeface="+mn-lt"/>
              </a:rPr>
              <a:t>2006, </a:t>
            </a:r>
            <a:r>
              <a:rPr lang="en-US" sz="1100" b="0" i="0" u="none" strike="noStrike" kern="1200" baseline="0">
                <a:solidFill>
                  <a:sysClr val="windowText" lastClr="000000"/>
                </a:solidFill>
                <a:latin typeface="+mn-lt"/>
                <a:ea typeface="+mn-ea"/>
                <a:cs typeface="+mj-cs"/>
              </a:rPr>
              <a:t> </a:t>
            </a:r>
            <a:r>
              <a:rPr lang="en-US" sz="1100" b="0" i="0" baseline="0">
                <a:effectLst/>
                <a:cs typeface="+mj-cs"/>
              </a:rPr>
              <a:t>in thousands US$, </a:t>
            </a:r>
            <a:endParaRPr lang="en-US" sz="1000" b="0" i="0" u="none" strike="noStrike" kern="1200" baseline="0">
              <a:solidFill>
                <a:sysClr val="windowText" lastClr="000000"/>
              </a:solidFill>
              <a:latin typeface="+mn-lt"/>
              <a:ea typeface="+mn-ea"/>
              <a:cs typeface="+mn-cs"/>
            </a:endParaRPr>
          </a:p>
        </c:rich>
      </c:tx>
      <c:layout>
        <c:manualLayout>
          <c:xMode val="edge"/>
          <c:yMode val="edge"/>
          <c:x val="0.10614533632574832"/>
          <c:y val="4.3850215360005194E-3"/>
        </c:manualLayout>
      </c:layout>
      <c:overlay val="0"/>
    </c:title>
    <c:autoTitleDeleted val="0"/>
    <c:view3D>
      <c:rotX val="15"/>
      <c:rotY val="340"/>
      <c:rAngAx val="1"/>
    </c:view3D>
    <c:floor>
      <c:thickness val="0"/>
      <c:spPr>
        <a:gradFill>
          <a:gsLst>
            <a:gs pos="0">
              <a:schemeClr val="accent1">
                <a:tint val="66000"/>
                <a:satMod val="160000"/>
              </a:schemeClr>
            </a:gs>
            <a:gs pos="48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manualLayout>
          <c:layoutTarget val="inner"/>
          <c:xMode val="edge"/>
          <c:yMode val="edge"/>
          <c:x val="0"/>
          <c:y val="0.26024637403433903"/>
          <c:w val="0.82858866971985645"/>
          <c:h val="0.56279532866426207"/>
        </c:manualLayout>
      </c:layout>
      <c:bar3DChart>
        <c:barDir val="col"/>
        <c:grouping val="clustered"/>
        <c:varyColors val="0"/>
        <c:ser>
          <c:idx val="0"/>
          <c:order val="0"/>
          <c:spPr>
            <a:solidFill>
              <a:schemeClr val="accent2"/>
            </a:solidFill>
          </c:spPr>
          <c:invertIfNegative val="0"/>
          <c:dPt>
            <c:idx val="0"/>
            <c:invertIfNegative val="0"/>
            <c:bubble3D val="0"/>
            <c:spPr>
              <a:solidFill>
                <a:schemeClr val="accent6">
                  <a:lumMod val="40000"/>
                  <a:lumOff val="60000"/>
                </a:schemeClr>
              </a:solidFill>
            </c:spPr>
          </c:dPt>
          <c:dPt>
            <c:idx val="2"/>
            <c:invertIfNegative val="0"/>
            <c:bubble3D val="0"/>
            <c:spPr>
              <a:solidFill>
                <a:schemeClr val="accent6">
                  <a:lumMod val="40000"/>
                  <a:lumOff val="60000"/>
                </a:schemeClr>
              </a:solidFill>
            </c:spPr>
          </c:dPt>
          <c:dLbls>
            <c:dLbl>
              <c:idx val="0"/>
              <c:layout>
                <c:manualLayout>
                  <c:x val="6.5460492217180991E-2"/>
                  <c:y val="-2.1814645929541555E-2"/>
                </c:manualLayout>
              </c:layout>
              <c:showLegendKey val="0"/>
              <c:showVal val="1"/>
              <c:showCatName val="0"/>
              <c:showSerName val="0"/>
              <c:showPercent val="0"/>
              <c:showBubbleSize val="0"/>
            </c:dLbl>
            <c:dLbl>
              <c:idx val="1"/>
              <c:layout>
                <c:manualLayout>
                  <c:x val="0.13112282517520363"/>
                  <c:y val="0.10160389378121039"/>
                </c:manualLayout>
              </c:layout>
              <c:showLegendKey val="0"/>
              <c:showVal val="1"/>
              <c:showCatName val="0"/>
              <c:showSerName val="0"/>
              <c:showPercent val="0"/>
              <c:showBubbleSize val="0"/>
            </c:dLbl>
            <c:dLbl>
              <c:idx val="2"/>
              <c:layout>
                <c:manualLayout>
                  <c:x val="6.7689589703348943E-2"/>
                  <c:y val="2.7936302442366483E-2"/>
                </c:manualLayout>
              </c:layout>
              <c:showLegendKey val="0"/>
              <c:showVal val="1"/>
              <c:showCatName val="0"/>
              <c:showSerName val="0"/>
              <c:showPercent val="0"/>
              <c:showBubbleSize val="0"/>
            </c:dLbl>
            <c:dLbl>
              <c:idx val="3"/>
              <c:layout>
                <c:manualLayout>
                  <c:x val="0.12261490831687276"/>
                  <c:y val="7.4485639844689588E-2"/>
                </c:manualLayout>
              </c:layout>
              <c:showLegendKey val="0"/>
              <c:showVal val="1"/>
              <c:showCatName val="0"/>
              <c:showSerName val="0"/>
              <c:showPercent val="0"/>
              <c:showBubbleSize val="0"/>
            </c:dLbl>
            <c:numFmt formatCode="#,##0" sourceLinked="0"/>
            <c:txPr>
              <a:bodyPr/>
              <a:lstStyle/>
              <a:p>
                <a:pPr>
                  <a:defRPr sz="1100"/>
                </a:pPr>
                <a:endParaRPr lang="he-IL"/>
              </a:p>
            </c:txPr>
            <c:showLegendKey val="0"/>
            <c:showVal val="1"/>
            <c:showCatName val="0"/>
            <c:showSerName val="0"/>
            <c:showPercent val="0"/>
            <c:showBubbleSize val="0"/>
            <c:showLeaderLines val="0"/>
          </c:dLbls>
          <c:cat>
            <c:strRef>
              <c:f>' מצרים ישראל ראי'!$A$5:$A$8</c:f>
              <c:strCache>
                <c:ptCount val="4"/>
                <c:pt idx="0">
                  <c:v>2. EG reflection</c:v>
                </c:pt>
                <c:pt idx="1">
                  <c:v>2. IL exports to EG</c:v>
                </c:pt>
                <c:pt idx="2">
                  <c:v>1. EG reflection </c:v>
                </c:pt>
                <c:pt idx="3">
                  <c:v>1. IL imports from EG</c:v>
                </c:pt>
              </c:strCache>
            </c:strRef>
          </c:cat>
          <c:val>
            <c:numRef>
              <c:f>' מצרים ישראל ראי'!$B$5:$B$8</c:f>
              <c:numCache>
                <c:formatCode>#,##0</c:formatCode>
                <c:ptCount val="4"/>
                <c:pt idx="0" formatCode="General">
                  <c:v>7801</c:v>
                </c:pt>
                <c:pt idx="1">
                  <c:v>126308</c:v>
                </c:pt>
                <c:pt idx="2" formatCode="General">
                  <c:v>19886</c:v>
                </c:pt>
                <c:pt idx="3" formatCode="General">
                  <c:v>77109</c:v>
                </c:pt>
              </c:numCache>
            </c:numRef>
          </c:val>
        </c:ser>
        <c:dLbls>
          <c:showLegendKey val="0"/>
          <c:showVal val="0"/>
          <c:showCatName val="0"/>
          <c:showSerName val="0"/>
          <c:showPercent val="0"/>
          <c:showBubbleSize val="0"/>
        </c:dLbls>
        <c:gapWidth val="150"/>
        <c:shape val="box"/>
        <c:axId val="43670528"/>
        <c:axId val="43680512"/>
        <c:axId val="0"/>
      </c:bar3DChart>
      <c:catAx>
        <c:axId val="43670528"/>
        <c:scaling>
          <c:orientation val="maxMin"/>
        </c:scaling>
        <c:delete val="0"/>
        <c:axPos val="b"/>
        <c:majorTickMark val="out"/>
        <c:minorTickMark val="none"/>
        <c:tickLblPos val="nextTo"/>
        <c:txPr>
          <a:bodyPr/>
          <a:lstStyle/>
          <a:p>
            <a:pPr>
              <a:defRPr sz="900">
                <a:latin typeface="+mn-lt"/>
                <a:cs typeface="+mj-cs"/>
              </a:defRPr>
            </a:pPr>
            <a:endParaRPr lang="he-IL"/>
          </a:p>
        </c:txPr>
        <c:crossAx val="43680512"/>
        <c:crossesAt val="0"/>
        <c:auto val="1"/>
        <c:lblAlgn val="ctr"/>
        <c:lblOffset val="100"/>
        <c:noMultiLvlLbl val="0"/>
      </c:catAx>
      <c:valAx>
        <c:axId val="43680512"/>
        <c:scaling>
          <c:orientation val="minMax"/>
        </c:scaling>
        <c:delete val="0"/>
        <c:axPos val="r"/>
        <c:majorGridlines/>
        <c:numFmt formatCode="#,##0" sourceLinked="0"/>
        <c:majorTickMark val="out"/>
        <c:minorTickMark val="none"/>
        <c:tickLblPos val="nextTo"/>
        <c:txPr>
          <a:bodyPr/>
          <a:lstStyle/>
          <a:p>
            <a:pPr>
              <a:defRPr sz="900"/>
            </a:pPr>
            <a:endParaRPr lang="he-IL"/>
          </a:p>
        </c:txPr>
        <c:crossAx val="43670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1100" b="0" i="0" u="none" strike="noStrike" baseline="0">
                <a:effectLst/>
              </a:rPr>
              <a:t>Figure 2:  </a:t>
            </a:r>
            <a:r>
              <a:rPr lang="en-US" sz="1100">
                <a:cs typeface="+mj-cs"/>
              </a:rPr>
              <a:t>Asymmetries  between Israel and    </a:t>
            </a:r>
          </a:p>
          <a:p>
            <a:pPr algn="ctr" rtl="0">
              <a:defRPr/>
            </a:pPr>
            <a:r>
              <a:rPr lang="en-US" sz="1100">
                <a:cs typeface="+mj-cs"/>
              </a:rPr>
              <a:t>                Jordan, 2006,  in thousands US$</a:t>
            </a:r>
            <a:endParaRPr lang="he-IL" sz="1100">
              <a:cs typeface="+mj-cs"/>
            </a:endParaRPr>
          </a:p>
          <a:p>
            <a:pPr algn="ctr" rtl="0">
              <a:defRPr/>
            </a:pPr>
            <a:r>
              <a:rPr lang="en-US"/>
              <a:t> </a:t>
            </a:r>
          </a:p>
        </c:rich>
      </c:tx>
      <c:layout>
        <c:manualLayout>
          <c:xMode val="edge"/>
          <c:yMode val="edge"/>
          <c:x val="5.9262749165411854E-2"/>
          <c:y val="2.5787871384811982E-3"/>
        </c:manualLayout>
      </c:layout>
      <c:overlay val="0"/>
    </c:title>
    <c:autoTitleDeleted val="0"/>
    <c:view3D>
      <c:rotX val="15"/>
      <c:rotY val="340"/>
      <c:rAngAx val="1"/>
    </c:view3D>
    <c:floor>
      <c:thickness val="0"/>
      <c:spPr>
        <a:gradFill>
          <a:gsLst>
            <a:gs pos="0">
              <a:schemeClr val="accent1">
                <a:tint val="66000"/>
                <a:satMod val="160000"/>
              </a:schemeClr>
            </a:gs>
            <a:gs pos="48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manualLayout>
          <c:layoutTarget val="inner"/>
          <c:xMode val="edge"/>
          <c:yMode val="edge"/>
          <c:x val="0"/>
          <c:y val="0.16243672434730597"/>
          <c:w val="0.85103549278164048"/>
          <c:h val="0.5122358180837151"/>
        </c:manualLayout>
      </c:layout>
      <c:bar3DChart>
        <c:barDir val="col"/>
        <c:grouping val="clustered"/>
        <c:varyColors val="0"/>
        <c:ser>
          <c:idx val="0"/>
          <c:order val="0"/>
          <c:spPr>
            <a:solidFill>
              <a:schemeClr val="accent2"/>
            </a:solidFill>
          </c:spPr>
          <c:invertIfNegative val="0"/>
          <c:dPt>
            <c:idx val="0"/>
            <c:invertIfNegative val="0"/>
            <c:bubble3D val="0"/>
            <c:spPr>
              <a:solidFill>
                <a:schemeClr val="accent6">
                  <a:lumMod val="40000"/>
                  <a:lumOff val="60000"/>
                </a:schemeClr>
              </a:solidFill>
            </c:spPr>
          </c:dPt>
          <c:dPt>
            <c:idx val="2"/>
            <c:invertIfNegative val="0"/>
            <c:bubble3D val="0"/>
            <c:spPr>
              <a:solidFill>
                <a:schemeClr val="accent6">
                  <a:lumMod val="40000"/>
                  <a:lumOff val="60000"/>
                </a:schemeClr>
              </a:solidFill>
            </c:spPr>
          </c:dPt>
          <c:dLbls>
            <c:dLbl>
              <c:idx val="0"/>
              <c:layout>
                <c:manualLayout>
                  <c:x val="5.1381760378878344E-2"/>
                  <c:y val="8.9553954060827168E-2"/>
                </c:manualLayout>
              </c:layout>
              <c:showLegendKey val="0"/>
              <c:showVal val="1"/>
              <c:showCatName val="0"/>
              <c:showSerName val="0"/>
              <c:showPercent val="0"/>
              <c:showBubbleSize val="0"/>
            </c:dLbl>
            <c:dLbl>
              <c:idx val="1"/>
              <c:layout>
                <c:manualLayout>
                  <c:x val="8.8593872559611722E-2"/>
                  <c:y val="5.4478671293982574E-2"/>
                </c:manualLayout>
              </c:layout>
              <c:showLegendKey val="0"/>
              <c:showVal val="1"/>
              <c:showCatName val="0"/>
              <c:showSerName val="0"/>
              <c:showPercent val="0"/>
              <c:showBubbleSize val="0"/>
            </c:dLbl>
            <c:dLbl>
              <c:idx val="2"/>
              <c:layout>
                <c:manualLayout>
                  <c:x val="0.13213735630382031"/>
                  <c:y val="9.606888309289649E-2"/>
                </c:manualLayout>
              </c:layout>
              <c:showLegendKey val="0"/>
              <c:showVal val="1"/>
              <c:showCatName val="0"/>
              <c:showSerName val="0"/>
              <c:showPercent val="0"/>
              <c:showBubbleSize val="0"/>
            </c:dLbl>
            <c:dLbl>
              <c:idx val="3"/>
              <c:layout>
                <c:manualLayout>
                  <c:x val="8.2563303616720096E-2"/>
                  <c:y val="1.1770244821092278E-2"/>
                </c:manualLayout>
              </c:layout>
              <c:showLegendKey val="0"/>
              <c:showVal val="1"/>
              <c:showCatName val="0"/>
              <c:showSerName val="0"/>
              <c:showPercent val="0"/>
              <c:showBubbleSize val="0"/>
            </c:dLbl>
            <c:numFmt formatCode="#,##0" sourceLinked="0"/>
            <c:txPr>
              <a:bodyPr/>
              <a:lstStyle/>
              <a:p>
                <a:pPr>
                  <a:defRPr sz="1000"/>
                </a:pPr>
                <a:endParaRPr lang="he-IL"/>
              </a:p>
            </c:txPr>
            <c:showLegendKey val="0"/>
            <c:showVal val="1"/>
            <c:showCatName val="0"/>
            <c:showSerName val="0"/>
            <c:showPercent val="0"/>
            <c:showBubbleSize val="0"/>
            <c:showLeaderLines val="0"/>
          </c:dLbls>
          <c:cat>
            <c:strRef>
              <c:f>'ירדן ישראל'!$A$4:$A$7</c:f>
              <c:strCache>
                <c:ptCount val="4"/>
                <c:pt idx="0">
                  <c:v>2. JO reflection</c:v>
                </c:pt>
                <c:pt idx="1">
                  <c:v>2. IL exports  to JO</c:v>
                </c:pt>
                <c:pt idx="2">
                  <c:v>1. JO reflection</c:v>
                </c:pt>
                <c:pt idx="3">
                  <c:v>1. IL imports from JO </c:v>
                </c:pt>
              </c:strCache>
            </c:strRef>
          </c:cat>
          <c:val>
            <c:numRef>
              <c:f>'ירדן ישראל'!$B$4:$B$7</c:f>
              <c:numCache>
                <c:formatCode>#,##0</c:formatCode>
                <c:ptCount val="4"/>
                <c:pt idx="0" formatCode="General">
                  <c:v>139425</c:v>
                </c:pt>
                <c:pt idx="1">
                  <c:v>136653</c:v>
                </c:pt>
                <c:pt idx="2" formatCode="General">
                  <c:v>132245</c:v>
                </c:pt>
                <c:pt idx="3" formatCode="General">
                  <c:v>38312</c:v>
                </c:pt>
              </c:numCache>
            </c:numRef>
          </c:val>
        </c:ser>
        <c:dLbls>
          <c:showLegendKey val="0"/>
          <c:showVal val="0"/>
          <c:showCatName val="0"/>
          <c:showSerName val="0"/>
          <c:showPercent val="0"/>
          <c:showBubbleSize val="0"/>
        </c:dLbls>
        <c:gapWidth val="150"/>
        <c:shape val="box"/>
        <c:axId val="43706624"/>
        <c:axId val="43708416"/>
        <c:axId val="0"/>
      </c:bar3DChart>
      <c:catAx>
        <c:axId val="43706624"/>
        <c:scaling>
          <c:orientation val="maxMin"/>
        </c:scaling>
        <c:delete val="0"/>
        <c:axPos val="b"/>
        <c:numFmt formatCode="General" sourceLinked="1"/>
        <c:majorTickMark val="out"/>
        <c:minorTickMark val="none"/>
        <c:tickLblPos val="nextTo"/>
        <c:txPr>
          <a:bodyPr/>
          <a:lstStyle/>
          <a:p>
            <a:pPr>
              <a:defRPr sz="900">
                <a:latin typeface="+mn-lt"/>
                <a:cs typeface="+mj-cs"/>
              </a:defRPr>
            </a:pPr>
            <a:endParaRPr lang="he-IL"/>
          </a:p>
        </c:txPr>
        <c:crossAx val="43708416"/>
        <c:crossesAt val="0"/>
        <c:auto val="1"/>
        <c:lblAlgn val="ctr"/>
        <c:lblOffset val="100"/>
        <c:noMultiLvlLbl val="0"/>
      </c:catAx>
      <c:valAx>
        <c:axId val="43708416"/>
        <c:scaling>
          <c:orientation val="minMax"/>
        </c:scaling>
        <c:delete val="0"/>
        <c:axPos val="r"/>
        <c:majorGridlines/>
        <c:numFmt formatCode="#,##0" sourceLinked="0"/>
        <c:majorTickMark val="out"/>
        <c:minorTickMark val="none"/>
        <c:tickLblPos val="nextTo"/>
        <c:txPr>
          <a:bodyPr/>
          <a:lstStyle/>
          <a:p>
            <a:pPr>
              <a:defRPr sz="900"/>
            </a:pPr>
            <a:endParaRPr lang="he-IL"/>
          </a:p>
        </c:txPr>
        <c:crossAx val="43706624"/>
        <c:crosses val="autoZero"/>
        <c:crossBetween val="between"/>
      </c:valAx>
    </c:plotArea>
    <c:plotVisOnly val="1"/>
    <c:dispBlanksAs val="gap"/>
    <c:showDLblsOverMax val="0"/>
  </c:chart>
  <c:txPr>
    <a:bodyPr/>
    <a:lstStyle/>
    <a:p>
      <a:pPr marL="0" marR="0" indent="0" algn="ctr" defTabSz="914400" rtl="0" eaLnBrk="1" fontAlgn="auto" latinLnBrk="0" hangingPunct="1">
        <a:lnSpc>
          <a:spcPct val="100000"/>
        </a:lnSpc>
        <a:spcBef>
          <a:spcPts val="0"/>
        </a:spcBef>
        <a:spcAft>
          <a:spcPts val="0"/>
        </a:spcAft>
        <a:buClrTx/>
        <a:buSzTx/>
        <a:buFontTx/>
        <a:buNone/>
        <a:tabLst/>
        <a:defRPr lang="he-IL" sz="1200" b="0" i="0" u="none" strike="noStrike" kern="1200" baseline="0">
          <a:solidFill>
            <a:sysClr val="windowText" lastClr="000000"/>
          </a:solidFill>
          <a:latin typeface="+mn-lt"/>
          <a:ea typeface="+mn-ea"/>
          <a:cs typeface="+mn-cs"/>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0">
                <a:cs typeface="+mj-cs"/>
              </a:rPr>
              <a:t>Figure 3 :  Asymmetries between Israel and </a:t>
            </a:r>
            <a:r>
              <a:rPr lang="en-US" sz="1100" b="0" i="0" u="none" strike="noStrike" kern="1200" baseline="0">
                <a:solidFill>
                  <a:sysClr val="windowText" lastClr="000000"/>
                </a:solidFill>
                <a:latin typeface="+mn-lt"/>
                <a:ea typeface="+mn-ea"/>
                <a:cs typeface="+mj-cs"/>
              </a:rPr>
              <a:t>PA, 2005,  in thousands US$</a:t>
            </a:r>
            <a:endParaRPr lang="he-IL" sz="1100" b="0" i="0" u="none" strike="noStrike" kern="1200" baseline="0">
              <a:solidFill>
                <a:sysClr val="windowText" lastClr="000000"/>
              </a:solidFill>
              <a:latin typeface="+mn-lt"/>
              <a:ea typeface="+mn-ea"/>
              <a:cs typeface="+mj-cs"/>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a:t>   </a:t>
            </a:r>
          </a:p>
        </c:rich>
      </c:tx>
      <c:layout>
        <c:manualLayout>
          <c:xMode val="edge"/>
          <c:yMode val="edge"/>
          <c:x val="0.10886407603275251"/>
          <c:y val="1.8008325581051034E-3"/>
        </c:manualLayout>
      </c:layout>
      <c:overlay val="0"/>
    </c:title>
    <c:autoTitleDeleted val="0"/>
    <c:view3D>
      <c:rotX val="15"/>
      <c:rotY val="340"/>
      <c:rAngAx val="1"/>
    </c:view3D>
    <c:floor>
      <c:thickness val="0"/>
      <c:spPr>
        <a:gradFill>
          <a:gsLst>
            <a:gs pos="0">
              <a:schemeClr val="accent1">
                <a:tint val="66000"/>
                <a:satMod val="160000"/>
              </a:schemeClr>
            </a:gs>
            <a:gs pos="48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manualLayout>
          <c:layoutTarget val="inner"/>
          <c:xMode val="edge"/>
          <c:yMode val="edge"/>
          <c:x val="4.3927648578811367E-2"/>
          <c:y val="0.17959383202099738"/>
          <c:w val="0.79595634132040283"/>
          <c:h val="0.55236800351381965"/>
        </c:manualLayout>
      </c:layout>
      <c:bar3DChart>
        <c:barDir val="col"/>
        <c:grouping val="clustered"/>
        <c:varyColors val="0"/>
        <c:ser>
          <c:idx val="0"/>
          <c:order val="0"/>
          <c:spPr>
            <a:solidFill>
              <a:schemeClr val="accent2"/>
            </a:solidFill>
          </c:spPr>
          <c:invertIfNegative val="0"/>
          <c:dPt>
            <c:idx val="0"/>
            <c:invertIfNegative val="0"/>
            <c:bubble3D val="0"/>
            <c:spPr>
              <a:solidFill>
                <a:schemeClr val="accent6">
                  <a:lumMod val="40000"/>
                  <a:lumOff val="60000"/>
                </a:schemeClr>
              </a:solidFill>
            </c:spPr>
          </c:dPt>
          <c:dPt>
            <c:idx val="2"/>
            <c:invertIfNegative val="0"/>
            <c:bubble3D val="0"/>
            <c:spPr>
              <a:solidFill>
                <a:schemeClr val="accent6">
                  <a:lumMod val="40000"/>
                  <a:lumOff val="60000"/>
                </a:schemeClr>
              </a:solidFill>
            </c:spPr>
          </c:dPt>
          <c:dLbls>
            <c:dLbl>
              <c:idx val="0"/>
              <c:layout>
                <c:manualLayout>
                  <c:x val="6.3902392731537014E-2"/>
                  <c:y val="8.4439202293824733E-2"/>
                </c:manualLayout>
              </c:layout>
              <c:showLegendKey val="0"/>
              <c:showVal val="1"/>
              <c:showCatName val="0"/>
              <c:showSerName val="0"/>
              <c:showPercent val="0"/>
              <c:showBubbleSize val="0"/>
            </c:dLbl>
            <c:dLbl>
              <c:idx val="1"/>
              <c:layout>
                <c:manualLayout>
                  <c:x val="0.14080396704411316"/>
                  <c:y val="4.7682748119907803E-2"/>
                </c:manualLayout>
              </c:layout>
              <c:showLegendKey val="0"/>
              <c:showVal val="1"/>
              <c:showCatName val="0"/>
              <c:showSerName val="0"/>
              <c:showPercent val="0"/>
              <c:showBubbleSize val="0"/>
            </c:dLbl>
            <c:dLbl>
              <c:idx val="2"/>
              <c:layout>
                <c:manualLayout>
                  <c:x val="6.7613008700505517E-2"/>
                  <c:y val="2.3127155967283534E-2"/>
                </c:manualLayout>
              </c:layout>
              <c:showLegendKey val="0"/>
              <c:showVal val="1"/>
              <c:showCatName val="0"/>
              <c:showSerName val="0"/>
              <c:showPercent val="0"/>
              <c:showBubbleSize val="0"/>
            </c:dLbl>
            <c:dLbl>
              <c:idx val="3"/>
              <c:layout>
                <c:manualLayout>
                  <c:x val="9.8278456285206428E-2"/>
                  <c:y val="-1.4215824528670297E-2"/>
                </c:manualLayout>
              </c:layout>
              <c:showLegendKey val="0"/>
              <c:showVal val="1"/>
              <c:showCatName val="0"/>
              <c:showSerName val="0"/>
              <c:showPercent val="0"/>
              <c:showBubbleSize val="0"/>
            </c:dLbl>
            <c:numFmt formatCode="#,##0" sourceLinked="0"/>
            <c:txPr>
              <a:bodyPr/>
              <a:lstStyle/>
              <a:p>
                <a:pPr>
                  <a:defRPr sz="1000">
                    <a:latin typeface="+mn-lt"/>
                  </a:defRPr>
                </a:pPr>
                <a:endParaRPr lang="he-IL"/>
              </a:p>
            </c:txPr>
            <c:showLegendKey val="0"/>
            <c:showVal val="1"/>
            <c:showCatName val="0"/>
            <c:showSerName val="0"/>
            <c:showPercent val="0"/>
            <c:showBubbleSize val="0"/>
            <c:showLeaderLines val="0"/>
          </c:dLbls>
          <c:cat>
            <c:strRef>
              <c:f>'פלשתינים ישראל'!$A$4:$A$7</c:f>
              <c:strCache>
                <c:ptCount val="4"/>
                <c:pt idx="0">
                  <c:v>2.PA  reflection</c:v>
                </c:pt>
                <c:pt idx="1">
                  <c:v>2.IL exports to PA</c:v>
                </c:pt>
                <c:pt idx="2">
                  <c:v>1 PA  reflection</c:v>
                </c:pt>
                <c:pt idx="3">
                  <c:v>1. IL imports from PA </c:v>
                </c:pt>
              </c:strCache>
            </c:strRef>
          </c:cat>
          <c:val>
            <c:numRef>
              <c:f>'פלשתינים ישראל'!$B$4:$B$7</c:f>
              <c:numCache>
                <c:formatCode>General</c:formatCode>
                <c:ptCount val="4"/>
                <c:pt idx="0">
                  <c:v>1873701</c:v>
                </c:pt>
                <c:pt idx="1">
                  <c:v>1938020</c:v>
                </c:pt>
                <c:pt idx="2">
                  <c:v>290558</c:v>
                </c:pt>
                <c:pt idx="3">
                  <c:v>294030</c:v>
                </c:pt>
              </c:numCache>
            </c:numRef>
          </c:val>
        </c:ser>
        <c:dLbls>
          <c:showLegendKey val="0"/>
          <c:showVal val="0"/>
          <c:showCatName val="0"/>
          <c:showSerName val="0"/>
          <c:showPercent val="0"/>
          <c:showBubbleSize val="0"/>
        </c:dLbls>
        <c:gapWidth val="150"/>
        <c:shape val="box"/>
        <c:axId val="106202240"/>
        <c:axId val="106203776"/>
        <c:axId val="0"/>
      </c:bar3DChart>
      <c:catAx>
        <c:axId val="106202240"/>
        <c:scaling>
          <c:orientation val="maxMin"/>
        </c:scaling>
        <c:delete val="0"/>
        <c:axPos val="b"/>
        <c:numFmt formatCode="General" sourceLinked="1"/>
        <c:majorTickMark val="out"/>
        <c:minorTickMark val="none"/>
        <c:tickLblPos val="nextTo"/>
        <c:txPr>
          <a:bodyPr/>
          <a:lstStyle/>
          <a:p>
            <a:pPr>
              <a:defRPr sz="900"/>
            </a:pPr>
            <a:endParaRPr lang="he-IL"/>
          </a:p>
        </c:txPr>
        <c:crossAx val="106203776"/>
        <c:crossesAt val="0"/>
        <c:auto val="1"/>
        <c:lblAlgn val="ctr"/>
        <c:lblOffset val="100"/>
        <c:noMultiLvlLbl val="0"/>
      </c:catAx>
      <c:valAx>
        <c:axId val="106203776"/>
        <c:scaling>
          <c:orientation val="minMax"/>
        </c:scaling>
        <c:delete val="0"/>
        <c:axPos val="r"/>
        <c:majorGridlines/>
        <c:numFmt formatCode="#,##0" sourceLinked="0"/>
        <c:majorTickMark val="out"/>
        <c:minorTickMark val="none"/>
        <c:tickLblPos val="nextTo"/>
        <c:txPr>
          <a:bodyPr/>
          <a:lstStyle/>
          <a:p>
            <a:pPr>
              <a:defRPr sz="900"/>
            </a:pPr>
            <a:endParaRPr lang="he-IL"/>
          </a:p>
        </c:txPr>
        <c:crossAx val="1062022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E0AB-4DD9-4398-9045-36ED92C5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2624</Words>
  <Characters>13121</Characters>
  <Application>Microsoft Office Word</Application>
  <DocSecurity>0</DocSecurity>
  <Lines>109</Lines>
  <Paragraphs>31</Paragraphs>
  <ScaleCrop>false</ScaleCrop>
  <HeadingPairs>
    <vt:vector size="4" baseType="variant">
      <vt:variant>
        <vt:lpstr>שם</vt:lpstr>
      </vt:variant>
      <vt:variant>
        <vt:i4>1</vt:i4>
      </vt:variant>
      <vt:variant>
        <vt:lpstr>Tytuł</vt:lpstr>
      </vt:variant>
      <vt:variant>
        <vt:i4>1</vt:i4>
      </vt:variant>
    </vt:vector>
  </HeadingPairs>
  <TitlesOfParts>
    <vt:vector size="2" baseType="lpstr">
      <vt:lpstr/>
      <vt:lpstr/>
    </vt:vector>
  </TitlesOfParts>
  <Company>CBS</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Nili Karshai Bibi</cp:lastModifiedBy>
  <cp:revision>81</cp:revision>
  <cp:lastPrinted>2018-05-13T06:50:00Z</cp:lastPrinted>
  <dcterms:created xsi:type="dcterms:W3CDTF">2018-04-26T05:32:00Z</dcterms:created>
  <dcterms:modified xsi:type="dcterms:W3CDTF">2018-05-17T10:55:00Z</dcterms:modified>
</cp:coreProperties>
</file>