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DCCD" w14:textId="77777777" w:rsidR="004A1A99" w:rsidRPr="00EC5F5A" w:rsidRDefault="0028524A" w:rsidP="00D0270E">
      <w:pPr>
        <w:spacing w:before="480" w:after="480" w:line="360" w:lineRule="auto"/>
        <w:jc w:val="center"/>
        <w:rPr>
          <w:rFonts w:ascii="Arial" w:hAnsi="Arial" w:cs="Arial"/>
          <w:b/>
          <w:sz w:val="48"/>
          <w:szCs w:val="48"/>
          <w:lang w:val="en-GB"/>
        </w:rPr>
      </w:pPr>
      <w:r w:rsidRPr="0028524A">
        <w:rPr>
          <w:rFonts w:ascii="Arial" w:hAnsi="Arial" w:cs="Arial"/>
          <w:b/>
          <w:sz w:val="48"/>
          <w:szCs w:val="48"/>
          <w:lang w:val="en-GB"/>
        </w:rPr>
        <w:t>Survey quality: Response bias in retrospective questions</w:t>
      </w:r>
    </w:p>
    <w:p w14:paraId="7E915433" w14:textId="77777777" w:rsidR="00D0270E" w:rsidRPr="00EC5F5A" w:rsidRDefault="0028524A" w:rsidP="00C726EA">
      <w:pPr>
        <w:spacing w:after="0" w:line="360" w:lineRule="auto"/>
        <w:jc w:val="both"/>
        <w:rPr>
          <w:rFonts w:ascii="Arial" w:hAnsi="Arial" w:cs="Arial"/>
          <w:sz w:val="24"/>
          <w:szCs w:val="24"/>
          <w:lang w:val="en-GB"/>
        </w:rPr>
      </w:pPr>
      <w:r>
        <w:rPr>
          <w:rFonts w:ascii="Arial" w:hAnsi="Arial" w:cs="Arial"/>
          <w:sz w:val="24"/>
          <w:szCs w:val="24"/>
          <w:lang w:val="en-GB"/>
        </w:rPr>
        <w:t>Mathias Killengreen Revold</w:t>
      </w:r>
      <w:r w:rsidR="000D705A" w:rsidRPr="00EC5F5A">
        <w:rPr>
          <w:rFonts w:ascii="Arial" w:hAnsi="Arial" w:cs="Arial"/>
          <w:sz w:val="24"/>
          <w:szCs w:val="24"/>
          <w:lang w:val="en-GB"/>
        </w:rPr>
        <w:t xml:space="preserve">, </w:t>
      </w:r>
      <w:r>
        <w:rPr>
          <w:rFonts w:ascii="Arial" w:hAnsi="Arial" w:cs="Arial"/>
          <w:sz w:val="24"/>
          <w:szCs w:val="24"/>
          <w:lang w:val="en-GB"/>
        </w:rPr>
        <w:t>Statistics Norway</w:t>
      </w:r>
      <w:r w:rsidR="000D705A" w:rsidRPr="00EC5F5A">
        <w:rPr>
          <w:rFonts w:ascii="Arial" w:hAnsi="Arial" w:cs="Arial"/>
          <w:sz w:val="24"/>
          <w:szCs w:val="24"/>
          <w:lang w:val="en-GB"/>
        </w:rPr>
        <w:t xml:space="preserve">, </w:t>
      </w:r>
      <w:r>
        <w:rPr>
          <w:rFonts w:ascii="Arial" w:hAnsi="Arial" w:cs="Arial"/>
          <w:sz w:val="24"/>
          <w:szCs w:val="24"/>
          <w:lang w:val="en-GB"/>
        </w:rPr>
        <w:t>rmk@ssb.no</w:t>
      </w:r>
    </w:p>
    <w:p w14:paraId="28581D6B" w14:textId="77777777" w:rsidR="000D705A" w:rsidRPr="00EC5F5A" w:rsidRDefault="0028524A" w:rsidP="00C726EA">
      <w:pPr>
        <w:spacing w:after="0" w:line="360" w:lineRule="auto"/>
        <w:jc w:val="both"/>
        <w:rPr>
          <w:rFonts w:ascii="Arial" w:hAnsi="Arial" w:cs="Arial"/>
          <w:sz w:val="24"/>
          <w:szCs w:val="24"/>
          <w:lang w:val="en-GB"/>
        </w:rPr>
      </w:pPr>
      <w:r>
        <w:rPr>
          <w:rFonts w:ascii="Arial" w:hAnsi="Arial" w:cs="Arial"/>
          <w:sz w:val="24"/>
          <w:szCs w:val="24"/>
          <w:lang w:val="en-GB"/>
        </w:rPr>
        <w:t>Mari Lande With</w:t>
      </w:r>
      <w:r w:rsidR="000D705A" w:rsidRPr="00EC5F5A">
        <w:rPr>
          <w:rFonts w:ascii="Arial" w:hAnsi="Arial" w:cs="Arial"/>
          <w:sz w:val="24"/>
          <w:szCs w:val="24"/>
          <w:lang w:val="en-GB"/>
        </w:rPr>
        <w:t xml:space="preserve">, </w:t>
      </w:r>
      <w:r>
        <w:rPr>
          <w:rFonts w:ascii="Arial" w:hAnsi="Arial" w:cs="Arial"/>
          <w:sz w:val="24"/>
          <w:szCs w:val="24"/>
          <w:lang w:val="en-GB"/>
        </w:rPr>
        <w:t>Statistics Norway</w:t>
      </w:r>
      <w:r w:rsidR="000D705A" w:rsidRPr="00EC5F5A">
        <w:rPr>
          <w:rFonts w:ascii="Arial" w:hAnsi="Arial" w:cs="Arial"/>
          <w:sz w:val="24"/>
          <w:szCs w:val="24"/>
          <w:lang w:val="en-GB"/>
        </w:rPr>
        <w:t xml:space="preserve">, </w:t>
      </w:r>
      <w:r>
        <w:rPr>
          <w:rFonts w:ascii="Arial" w:hAnsi="Arial" w:cs="Arial"/>
          <w:sz w:val="24"/>
          <w:szCs w:val="24"/>
          <w:lang w:val="en-GB"/>
        </w:rPr>
        <w:t>mlw@ssb.no</w:t>
      </w:r>
    </w:p>
    <w:p w14:paraId="576D5322"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181B2136" w14:textId="3651EE8B" w:rsidR="000D705A" w:rsidRPr="00C75A8B" w:rsidRDefault="00B830D9" w:rsidP="00C726EA">
      <w:pPr>
        <w:spacing w:after="0" w:line="240" w:lineRule="auto"/>
        <w:jc w:val="both"/>
        <w:rPr>
          <w:rFonts w:ascii="Arial" w:hAnsi="Arial" w:cs="Arial"/>
          <w:i/>
          <w:sz w:val="20"/>
          <w:szCs w:val="20"/>
          <w:lang w:val="en-US"/>
        </w:rPr>
      </w:pPr>
      <w:r>
        <w:rPr>
          <w:rFonts w:ascii="Arial" w:hAnsi="Arial" w:cs="Arial"/>
          <w:i/>
          <w:sz w:val="20"/>
          <w:szCs w:val="20"/>
          <w:lang w:val="en-US"/>
        </w:rPr>
        <w:t xml:space="preserve">The paper examines changes in </w:t>
      </w:r>
      <w:r w:rsidR="00E2006C">
        <w:rPr>
          <w:rFonts w:ascii="Arial" w:hAnsi="Arial" w:cs="Arial"/>
          <w:i/>
          <w:sz w:val="20"/>
          <w:szCs w:val="20"/>
          <w:lang w:val="en-US"/>
        </w:rPr>
        <w:t xml:space="preserve">survey respondents’ answers to retrospective questions when time since the event increases. As a case, we examine self-reported electoral participation using data from two waves of the Norwegian Survey on Living Conditions. As shown in previous studies, self-reported electoral participation is much higher than actual turnout. </w:t>
      </w:r>
      <w:r w:rsidR="001F1294">
        <w:rPr>
          <w:rFonts w:ascii="Arial" w:hAnsi="Arial" w:cs="Arial"/>
          <w:i/>
          <w:sz w:val="20"/>
          <w:szCs w:val="20"/>
          <w:lang w:val="en-US"/>
        </w:rPr>
        <w:t>We find</w:t>
      </w:r>
      <w:r w:rsidR="00E2006C">
        <w:rPr>
          <w:rFonts w:ascii="Arial" w:hAnsi="Arial" w:cs="Arial"/>
          <w:i/>
          <w:sz w:val="20"/>
          <w:szCs w:val="20"/>
          <w:lang w:val="en-US"/>
        </w:rPr>
        <w:t xml:space="preserve"> little discrepancy in self-reported participation at the aggregate level when measured </w:t>
      </w:r>
      <w:r w:rsidR="001F1294">
        <w:rPr>
          <w:rFonts w:ascii="Arial" w:hAnsi="Arial" w:cs="Arial"/>
          <w:i/>
          <w:sz w:val="20"/>
          <w:szCs w:val="20"/>
          <w:lang w:val="en-US"/>
        </w:rPr>
        <w:t xml:space="preserve">after </w:t>
      </w:r>
      <w:r w:rsidR="00E2006C">
        <w:rPr>
          <w:rFonts w:ascii="Arial" w:hAnsi="Arial" w:cs="Arial"/>
          <w:i/>
          <w:sz w:val="20"/>
          <w:szCs w:val="20"/>
          <w:lang w:val="en-US"/>
        </w:rPr>
        <w:t xml:space="preserve">approximately 6 months and </w:t>
      </w:r>
      <w:r w:rsidR="001F1294">
        <w:rPr>
          <w:rFonts w:ascii="Arial" w:hAnsi="Arial" w:cs="Arial"/>
          <w:i/>
          <w:sz w:val="20"/>
          <w:szCs w:val="20"/>
          <w:lang w:val="en-US"/>
        </w:rPr>
        <w:t>after 4</w:t>
      </w:r>
      <w:r w:rsidR="00E2006C">
        <w:rPr>
          <w:rFonts w:ascii="Arial" w:hAnsi="Arial" w:cs="Arial"/>
          <w:i/>
          <w:sz w:val="20"/>
          <w:szCs w:val="20"/>
          <w:lang w:val="en-US"/>
        </w:rPr>
        <w:t xml:space="preserve"> years. At the individual level, there is a larger discrepancy in </w:t>
      </w:r>
      <w:r w:rsidR="00986EE0">
        <w:rPr>
          <w:rFonts w:ascii="Arial" w:hAnsi="Arial" w:cs="Arial"/>
          <w:i/>
          <w:sz w:val="20"/>
          <w:szCs w:val="20"/>
          <w:lang w:val="en-US"/>
        </w:rPr>
        <w:t>reported</w:t>
      </w:r>
      <w:r w:rsidR="00E2006C">
        <w:rPr>
          <w:rFonts w:ascii="Arial" w:hAnsi="Arial" w:cs="Arial"/>
          <w:i/>
          <w:sz w:val="20"/>
          <w:szCs w:val="20"/>
          <w:lang w:val="en-US"/>
        </w:rPr>
        <w:t xml:space="preserve"> </w:t>
      </w:r>
      <w:r w:rsidR="00986EE0">
        <w:rPr>
          <w:rFonts w:ascii="Arial" w:hAnsi="Arial" w:cs="Arial"/>
          <w:i/>
          <w:sz w:val="20"/>
          <w:szCs w:val="20"/>
          <w:lang w:val="en-US"/>
        </w:rPr>
        <w:t>party-choice. At both time points, very few respondents admit to not remembering whether they voted and which party they voted for. Results suggest that respondents are eager to respond even though they do not remember. We find no evidence that respondents</w:t>
      </w:r>
      <w:r w:rsidR="00F77BD2">
        <w:rPr>
          <w:rFonts w:ascii="Arial" w:hAnsi="Arial" w:cs="Arial"/>
          <w:i/>
          <w:sz w:val="20"/>
          <w:szCs w:val="20"/>
          <w:lang w:val="en-US"/>
        </w:rPr>
        <w:t xml:space="preserve"> give more socially desirable answers as time passes since the event.</w:t>
      </w:r>
    </w:p>
    <w:p w14:paraId="63D5D0A2"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C75A8B">
        <w:rPr>
          <w:rFonts w:ascii="Arial" w:hAnsi="Arial" w:cs="Arial"/>
          <w:sz w:val="20"/>
          <w:szCs w:val="20"/>
          <w:lang w:val="en-GB"/>
        </w:rPr>
        <w:t>Survey methodology</w:t>
      </w:r>
      <w:r w:rsidRPr="00EC5F5A">
        <w:rPr>
          <w:rFonts w:ascii="Arial" w:hAnsi="Arial" w:cs="Arial"/>
          <w:sz w:val="20"/>
          <w:szCs w:val="20"/>
          <w:lang w:val="en-GB"/>
        </w:rPr>
        <w:t xml:space="preserve">, </w:t>
      </w:r>
      <w:r w:rsidR="00C75A8B">
        <w:rPr>
          <w:rFonts w:ascii="Arial" w:hAnsi="Arial" w:cs="Arial"/>
          <w:sz w:val="20"/>
          <w:szCs w:val="20"/>
          <w:lang w:val="en-GB"/>
        </w:rPr>
        <w:t>social desirability bias</w:t>
      </w:r>
      <w:r w:rsidRPr="00EC5F5A">
        <w:rPr>
          <w:rFonts w:ascii="Arial" w:hAnsi="Arial" w:cs="Arial"/>
          <w:sz w:val="20"/>
          <w:szCs w:val="20"/>
          <w:lang w:val="en-GB"/>
        </w:rPr>
        <w:t xml:space="preserve">, </w:t>
      </w:r>
      <w:r w:rsidR="00C75A8B">
        <w:rPr>
          <w:rFonts w:ascii="Arial" w:hAnsi="Arial" w:cs="Arial"/>
          <w:sz w:val="20"/>
          <w:szCs w:val="20"/>
          <w:lang w:val="en-GB"/>
        </w:rPr>
        <w:t>forgetting</w:t>
      </w:r>
      <w:r w:rsidRPr="00EC5F5A">
        <w:rPr>
          <w:rFonts w:ascii="Arial" w:hAnsi="Arial" w:cs="Arial"/>
          <w:sz w:val="20"/>
          <w:szCs w:val="20"/>
          <w:lang w:val="en-GB"/>
        </w:rPr>
        <w:t xml:space="preserve">, </w:t>
      </w:r>
      <w:r w:rsidR="00C75A8B">
        <w:rPr>
          <w:rFonts w:ascii="Arial" w:hAnsi="Arial" w:cs="Arial"/>
          <w:sz w:val="20"/>
          <w:szCs w:val="20"/>
          <w:lang w:val="en-GB"/>
        </w:rPr>
        <w:t>self-reported electoral participation</w:t>
      </w:r>
    </w:p>
    <w:p w14:paraId="1CB1C3A6"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5057A">
        <w:rPr>
          <w:rFonts w:ascii="Arial" w:hAnsi="Arial" w:cs="Arial"/>
          <w:b/>
          <w:sz w:val="24"/>
          <w:szCs w:val="24"/>
          <w:lang w:val="en-GB"/>
        </w:rPr>
        <w:t xml:space="preserve">Background </w:t>
      </w:r>
    </w:p>
    <w:p w14:paraId="6AAB8740" w14:textId="1ED18E07" w:rsidR="00867886" w:rsidRDefault="001F1294" w:rsidP="00867886">
      <w:pPr>
        <w:spacing w:before="120" w:after="0" w:line="360" w:lineRule="auto"/>
        <w:jc w:val="both"/>
        <w:rPr>
          <w:rFonts w:ascii="Arial" w:hAnsi="Arial" w:cs="Arial"/>
          <w:sz w:val="24"/>
          <w:szCs w:val="24"/>
          <w:lang w:val="en-GB"/>
        </w:rPr>
      </w:pPr>
      <w:r>
        <w:rPr>
          <w:rFonts w:ascii="Arial" w:hAnsi="Arial" w:cs="Arial"/>
          <w:sz w:val="24"/>
          <w:szCs w:val="24"/>
          <w:lang w:val="en-GB"/>
        </w:rPr>
        <w:t>The</w:t>
      </w:r>
      <w:r w:rsidR="00AC7981">
        <w:rPr>
          <w:rFonts w:ascii="Arial" w:hAnsi="Arial" w:cs="Arial"/>
          <w:sz w:val="24"/>
          <w:szCs w:val="24"/>
          <w:lang w:val="en-GB"/>
        </w:rPr>
        <w:t xml:space="preserve"> paper examine</w:t>
      </w:r>
      <w:r>
        <w:rPr>
          <w:rFonts w:ascii="Arial" w:hAnsi="Arial" w:cs="Arial"/>
          <w:sz w:val="24"/>
          <w:szCs w:val="24"/>
          <w:lang w:val="en-GB"/>
        </w:rPr>
        <w:t>s</w:t>
      </w:r>
      <w:r w:rsidR="00AC7981">
        <w:rPr>
          <w:rFonts w:ascii="Arial" w:hAnsi="Arial" w:cs="Arial"/>
          <w:sz w:val="24"/>
          <w:szCs w:val="24"/>
          <w:lang w:val="en-GB"/>
        </w:rPr>
        <w:t xml:space="preserve"> changes in survey responses over time, when respondents are asked about participation in the Norwegian parliamentary elections </w:t>
      </w:r>
      <w:r w:rsidR="00817A1F">
        <w:rPr>
          <w:rFonts w:ascii="Arial" w:hAnsi="Arial" w:cs="Arial"/>
          <w:sz w:val="24"/>
          <w:szCs w:val="24"/>
          <w:lang w:val="en-GB"/>
        </w:rPr>
        <w:t>at two time-points: s</w:t>
      </w:r>
      <w:r w:rsidR="00AC7981">
        <w:rPr>
          <w:rFonts w:ascii="Arial" w:hAnsi="Arial" w:cs="Arial"/>
          <w:sz w:val="24"/>
          <w:szCs w:val="24"/>
          <w:lang w:val="en-GB"/>
        </w:rPr>
        <w:t xml:space="preserve">hortly after it took place and </w:t>
      </w:r>
      <w:r w:rsidR="005814C6">
        <w:rPr>
          <w:rFonts w:ascii="Arial" w:hAnsi="Arial" w:cs="Arial"/>
          <w:sz w:val="24"/>
          <w:szCs w:val="24"/>
          <w:lang w:val="en-GB"/>
        </w:rPr>
        <w:t xml:space="preserve">after </w:t>
      </w:r>
      <w:r w:rsidR="00AC7981">
        <w:rPr>
          <w:rFonts w:ascii="Arial" w:hAnsi="Arial" w:cs="Arial"/>
          <w:sz w:val="24"/>
          <w:szCs w:val="24"/>
          <w:lang w:val="en-GB"/>
        </w:rPr>
        <w:t xml:space="preserve">four years. </w:t>
      </w:r>
      <w:r>
        <w:rPr>
          <w:rFonts w:ascii="Arial" w:hAnsi="Arial" w:cs="Arial"/>
          <w:sz w:val="24"/>
          <w:szCs w:val="24"/>
          <w:lang w:val="en-GB"/>
        </w:rPr>
        <w:t>B</w:t>
      </w:r>
      <w:r w:rsidR="00817A1F">
        <w:rPr>
          <w:rFonts w:ascii="Arial" w:hAnsi="Arial" w:cs="Arial"/>
          <w:sz w:val="24"/>
          <w:szCs w:val="24"/>
          <w:lang w:val="en-GB"/>
        </w:rPr>
        <w:t>oth</w:t>
      </w:r>
      <w:r w:rsidR="00867886" w:rsidRPr="00A32A3E">
        <w:rPr>
          <w:rFonts w:ascii="Arial" w:hAnsi="Arial" w:cs="Arial"/>
          <w:sz w:val="24"/>
          <w:szCs w:val="24"/>
          <w:lang w:val="en-GB"/>
        </w:rPr>
        <w:t xml:space="preserve"> respondents' </w:t>
      </w:r>
      <w:r w:rsidR="00817A1F">
        <w:rPr>
          <w:rFonts w:ascii="Arial" w:hAnsi="Arial" w:cs="Arial"/>
          <w:sz w:val="24"/>
          <w:szCs w:val="24"/>
          <w:lang w:val="en-GB"/>
        </w:rPr>
        <w:t xml:space="preserve">misreporting and </w:t>
      </w:r>
      <w:r w:rsidR="00AC7981">
        <w:rPr>
          <w:rFonts w:ascii="Arial" w:hAnsi="Arial" w:cs="Arial"/>
          <w:sz w:val="24"/>
          <w:szCs w:val="24"/>
          <w:lang w:val="en-GB"/>
        </w:rPr>
        <w:t>non</w:t>
      </w:r>
      <w:r w:rsidR="00E47C30">
        <w:rPr>
          <w:rFonts w:ascii="Arial" w:hAnsi="Arial" w:cs="Arial"/>
          <w:sz w:val="24"/>
          <w:szCs w:val="24"/>
          <w:lang w:val="en-GB"/>
        </w:rPr>
        <w:t>-</w:t>
      </w:r>
      <w:r w:rsidR="00AC7981">
        <w:rPr>
          <w:rFonts w:ascii="Arial" w:hAnsi="Arial" w:cs="Arial"/>
          <w:sz w:val="24"/>
          <w:szCs w:val="24"/>
          <w:lang w:val="en-GB"/>
        </w:rPr>
        <w:t>response bias</w:t>
      </w:r>
      <w:r w:rsidR="00817A1F">
        <w:rPr>
          <w:rFonts w:ascii="Arial" w:hAnsi="Arial" w:cs="Arial"/>
          <w:sz w:val="24"/>
          <w:szCs w:val="24"/>
          <w:lang w:val="en-GB"/>
        </w:rPr>
        <w:t xml:space="preserve"> </w:t>
      </w:r>
      <w:r w:rsidR="00E47C30">
        <w:rPr>
          <w:rFonts w:ascii="Arial" w:hAnsi="Arial" w:cs="Arial"/>
          <w:sz w:val="24"/>
          <w:szCs w:val="24"/>
          <w:lang w:val="en-GB"/>
        </w:rPr>
        <w:t>may</w:t>
      </w:r>
      <w:r w:rsidR="00AC7981">
        <w:rPr>
          <w:rFonts w:ascii="Arial" w:hAnsi="Arial" w:cs="Arial"/>
          <w:sz w:val="24"/>
          <w:szCs w:val="24"/>
          <w:lang w:val="en-GB"/>
        </w:rPr>
        <w:t xml:space="preserve"> </w:t>
      </w:r>
      <w:r w:rsidR="00867886" w:rsidRPr="00A32A3E">
        <w:rPr>
          <w:rFonts w:ascii="Arial" w:hAnsi="Arial" w:cs="Arial"/>
          <w:sz w:val="24"/>
          <w:szCs w:val="24"/>
          <w:lang w:val="en-GB"/>
        </w:rPr>
        <w:t xml:space="preserve">lead to inaccurate </w:t>
      </w:r>
      <w:r>
        <w:rPr>
          <w:rFonts w:ascii="Arial" w:hAnsi="Arial" w:cs="Arial"/>
          <w:sz w:val="24"/>
          <w:szCs w:val="24"/>
          <w:lang w:val="en-GB"/>
        </w:rPr>
        <w:t xml:space="preserve">survey </w:t>
      </w:r>
      <w:r w:rsidR="00867886" w:rsidRPr="00A32A3E">
        <w:rPr>
          <w:rFonts w:ascii="Arial" w:hAnsi="Arial" w:cs="Arial"/>
          <w:sz w:val="24"/>
          <w:szCs w:val="24"/>
          <w:lang w:val="en-GB"/>
        </w:rPr>
        <w:t xml:space="preserve">results. </w:t>
      </w:r>
      <w:r w:rsidR="00AC7981" w:rsidRPr="00A32A3E">
        <w:rPr>
          <w:rFonts w:ascii="Arial" w:hAnsi="Arial" w:cs="Arial"/>
          <w:sz w:val="24"/>
          <w:szCs w:val="24"/>
          <w:lang w:val="en-GB"/>
        </w:rPr>
        <w:t xml:space="preserve">Whereas previous studies have examined changes in </w:t>
      </w:r>
      <w:r w:rsidR="005814C6">
        <w:rPr>
          <w:rFonts w:ascii="Arial" w:hAnsi="Arial" w:cs="Arial"/>
          <w:sz w:val="24"/>
          <w:szCs w:val="24"/>
          <w:lang w:val="en-GB"/>
        </w:rPr>
        <w:t>such biases</w:t>
      </w:r>
      <w:r w:rsidR="00AC7981" w:rsidRPr="00A32A3E">
        <w:rPr>
          <w:rFonts w:ascii="Arial" w:hAnsi="Arial" w:cs="Arial"/>
          <w:sz w:val="24"/>
          <w:szCs w:val="24"/>
          <w:lang w:val="en-GB"/>
        </w:rPr>
        <w:t xml:space="preserve"> over a relatively short period of time, our data allows us to study the effect several years removed from the event.</w:t>
      </w:r>
    </w:p>
    <w:p w14:paraId="51709B2F" w14:textId="10AA229F" w:rsidR="00867886" w:rsidRDefault="00AC7981" w:rsidP="00867886">
      <w:pPr>
        <w:spacing w:before="120" w:after="0" w:line="360" w:lineRule="auto"/>
        <w:jc w:val="both"/>
        <w:rPr>
          <w:rFonts w:ascii="Arial" w:hAnsi="Arial" w:cs="Arial"/>
          <w:sz w:val="24"/>
          <w:szCs w:val="24"/>
          <w:lang w:val="en-GB"/>
        </w:rPr>
      </w:pPr>
      <w:r>
        <w:rPr>
          <w:rFonts w:ascii="Arial" w:hAnsi="Arial" w:cs="Arial"/>
          <w:sz w:val="24"/>
          <w:szCs w:val="24"/>
          <w:lang w:val="en-GB"/>
        </w:rPr>
        <w:t>S</w:t>
      </w:r>
      <w:r w:rsidRPr="00A32A3E">
        <w:rPr>
          <w:rFonts w:ascii="Arial" w:hAnsi="Arial" w:cs="Arial"/>
          <w:sz w:val="24"/>
          <w:szCs w:val="24"/>
          <w:lang w:val="en-GB"/>
        </w:rPr>
        <w:t>elf</w:t>
      </w:r>
      <w:r w:rsidR="00867886" w:rsidRPr="00A32A3E">
        <w:rPr>
          <w:rFonts w:ascii="Arial" w:hAnsi="Arial" w:cs="Arial"/>
          <w:sz w:val="24"/>
          <w:szCs w:val="24"/>
          <w:lang w:val="en-GB"/>
        </w:rPr>
        <w:t xml:space="preserve">-reported electoral participation </w:t>
      </w:r>
      <w:r w:rsidR="005814C6">
        <w:rPr>
          <w:rFonts w:ascii="Arial" w:hAnsi="Arial" w:cs="Arial"/>
          <w:sz w:val="24"/>
          <w:szCs w:val="24"/>
          <w:lang w:val="en-GB"/>
        </w:rPr>
        <w:t>is generally</w:t>
      </w:r>
      <w:r w:rsidR="00867886" w:rsidRPr="00A32A3E">
        <w:rPr>
          <w:rFonts w:ascii="Arial" w:hAnsi="Arial" w:cs="Arial"/>
          <w:sz w:val="24"/>
          <w:szCs w:val="24"/>
          <w:lang w:val="en-GB"/>
        </w:rPr>
        <w:t xml:space="preserve"> higher than actual </w:t>
      </w:r>
      <w:r w:rsidR="009C651C">
        <w:rPr>
          <w:rFonts w:ascii="Arial" w:hAnsi="Arial" w:cs="Arial"/>
          <w:sz w:val="24"/>
          <w:szCs w:val="24"/>
          <w:lang w:val="en-GB"/>
        </w:rPr>
        <w:t>turnout</w:t>
      </w:r>
      <w:r w:rsidR="00867886" w:rsidRPr="00A32A3E">
        <w:rPr>
          <w:rFonts w:ascii="Arial" w:hAnsi="Arial" w:cs="Arial"/>
          <w:sz w:val="24"/>
          <w:szCs w:val="24"/>
          <w:lang w:val="en-GB"/>
        </w:rPr>
        <w:t>, both at the individual and aggregate level</w:t>
      </w:r>
      <w:r w:rsidR="00FE2504">
        <w:rPr>
          <w:rFonts w:ascii="Arial" w:hAnsi="Arial" w:cs="Arial"/>
          <w:sz w:val="24"/>
          <w:szCs w:val="24"/>
          <w:lang w:val="en-GB"/>
        </w:rPr>
        <w:t xml:space="preserve"> (</w:t>
      </w:r>
      <w:r w:rsidR="003A4C04" w:rsidRPr="00343092">
        <w:rPr>
          <w:rFonts w:ascii="Arial" w:hAnsi="Arial" w:cs="Arial"/>
          <w:sz w:val="24"/>
          <w:szCs w:val="24"/>
          <w:lang w:val="en-GB"/>
        </w:rPr>
        <w:t>Blais, Gidengil and Nevitte 2004</w:t>
      </w:r>
      <w:r w:rsidR="00D83A99">
        <w:rPr>
          <w:rFonts w:ascii="Arial" w:hAnsi="Arial" w:cs="Arial"/>
          <w:sz w:val="24"/>
          <w:szCs w:val="24"/>
          <w:lang w:val="en-GB"/>
        </w:rPr>
        <w:t xml:space="preserve">, </w:t>
      </w:r>
      <w:r w:rsidR="00FE2504">
        <w:rPr>
          <w:rFonts w:ascii="Arial" w:hAnsi="Arial" w:cs="Arial"/>
          <w:sz w:val="24"/>
          <w:szCs w:val="24"/>
          <w:lang w:val="en-GB"/>
        </w:rPr>
        <w:t>Holbrook and Krosnick 2010</w:t>
      </w:r>
      <w:r w:rsidR="00854A12">
        <w:rPr>
          <w:rFonts w:ascii="Arial" w:hAnsi="Arial" w:cs="Arial"/>
          <w:sz w:val="24"/>
          <w:szCs w:val="24"/>
          <w:lang w:val="en-GB"/>
        </w:rPr>
        <w:t xml:space="preserve">, </w:t>
      </w:r>
      <w:r w:rsidR="00854A12" w:rsidRPr="00343092">
        <w:rPr>
          <w:rFonts w:ascii="Arial" w:hAnsi="Arial" w:cs="Arial"/>
          <w:sz w:val="24"/>
          <w:szCs w:val="24"/>
          <w:lang w:val="en-GB"/>
        </w:rPr>
        <w:t>Selb and Munzert 2013</w:t>
      </w:r>
      <w:r w:rsidR="00FE2504">
        <w:rPr>
          <w:rFonts w:ascii="Arial" w:hAnsi="Arial" w:cs="Arial"/>
          <w:sz w:val="24"/>
          <w:szCs w:val="24"/>
          <w:lang w:val="en-GB"/>
        </w:rPr>
        <w:t>)</w:t>
      </w:r>
      <w:r w:rsidR="00867886" w:rsidRPr="00A32A3E">
        <w:rPr>
          <w:rFonts w:ascii="Arial" w:hAnsi="Arial" w:cs="Arial"/>
          <w:sz w:val="24"/>
          <w:szCs w:val="24"/>
          <w:lang w:val="en-GB"/>
        </w:rPr>
        <w:t xml:space="preserve">. </w:t>
      </w:r>
      <w:r w:rsidR="00851354">
        <w:rPr>
          <w:rFonts w:ascii="Arial" w:hAnsi="Arial" w:cs="Arial"/>
          <w:sz w:val="24"/>
          <w:szCs w:val="24"/>
          <w:lang w:val="en-GB"/>
        </w:rPr>
        <w:t>T</w:t>
      </w:r>
      <w:r w:rsidR="00867886" w:rsidRPr="00A32A3E">
        <w:rPr>
          <w:rFonts w:ascii="Arial" w:hAnsi="Arial" w:cs="Arial"/>
          <w:sz w:val="24"/>
          <w:szCs w:val="24"/>
          <w:lang w:val="en-GB"/>
        </w:rPr>
        <w:t xml:space="preserve">his is also the case in the Norwegian </w:t>
      </w:r>
      <w:r w:rsidR="00E47C30">
        <w:rPr>
          <w:rFonts w:ascii="Arial" w:hAnsi="Arial" w:cs="Arial"/>
          <w:sz w:val="24"/>
          <w:szCs w:val="24"/>
          <w:lang w:val="en-GB"/>
        </w:rPr>
        <w:t>S</w:t>
      </w:r>
      <w:r w:rsidR="00867886" w:rsidRPr="00A32A3E">
        <w:rPr>
          <w:rFonts w:ascii="Arial" w:hAnsi="Arial" w:cs="Arial"/>
          <w:sz w:val="24"/>
          <w:szCs w:val="24"/>
          <w:lang w:val="en-GB"/>
        </w:rPr>
        <w:t>urvey</w:t>
      </w:r>
      <w:r w:rsidR="00867886">
        <w:rPr>
          <w:rFonts w:ascii="Arial" w:hAnsi="Arial" w:cs="Arial"/>
          <w:sz w:val="24"/>
          <w:szCs w:val="24"/>
          <w:lang w:val="en-GB"/>
        </w:rPr>
        <w:t xml:space="preserve"> on Living Conditions, which is the data </w:t>
      </w:r>
      <w:r w:rsidR="00CF4DF4">
        <w:rPr>
          <w:rFonts w:ascii="Arial" w:hAnsi="Arial" w:cs="Arial"/>
          <w:sz w:val="24"/>
          <w:szCs w:val="24"/>
          <w:lang w:val="en-GB"/>
        </w:rPr>
        <w:t xml:space="preserve">we </w:t>
      </w:r>
      <w:r w:rsidR="005814C6">
        <w:rPr>
          <w:rFonts w:ascii="Arial" w:hAnsi="Arial" w:cs="Arial"/>
          <w:sz w:val="24"/>
          <w:szCs w:val="24"/>
          <w:lang w:val="en-GB"/>
        </w:rPr>
        <w:t>use. I</w:t>
      </w:r>
      <w:r w:rsidR="00867886">
        <w:rPr>
          <w:rFonts w:ascii="Arial" w:hAnsi="Arial" w:cs="Arial"/>
          <w:sz w:val="24"/>
          <w:szCs w:val="24"/>
          <w:lang w:val="en-GB"/>
        </w:rPr>
        <w:t xml:space="preserve">n </w:t>
      </w:r>
      <w:r w:rsidR="00CF4DF4">
        <w:rPr>
          <w:rFonts w:ascii="Arial" w:hAnsi="Arial" w:cs="Arial"/>
          <w:sz w:val="24"/>
          <w:szCs w:val="24"/>
          <w:lang w:val="en-GB"/>
        </w:rPr>
        <w:t>this</w:t>
      </w:r>
      <w:r w:rsidR="00867886">
        <w:rPr>
          <w:rFonts w:ascii="Arial" w:hAnsi="Arial" w:cs="Arial"/>
          <w:sz w:val="24"/>
          <w:szCs w:val="24"/>
          <w:lang w:val="en-GB"/>
        </w:rPr>
        <w:t xml:space="preserve"> study</w:t>
      </w:r>
      <w:r w:rsidR="005814C6">
        <w:rPr>
          <w:rFonts w:ascii="Arial" w:hAnsi="Arial" w:cs="Arial"/>
          <w:sz w:val="24"/>
          <w:szCs w:val="24"/>
          <w:lang w:val="en-GB"/>
        </w:rPr>
        <w:t>,</w:t>
      </w:r>
      <w:r w:rsidR="00CF4DF4">
        <w:rPr>
          <w:rFonts w:ascii="Arial" w:hAnsi="Arial" w:cs="Arial"/>
          <w:sz w:val="24"/>
          <w:szCs w:val="24"/>
          <w:lang w:val="en-GB"/>
        </w:rPr>
        <w:t xml:space="preserve"> </w:t>
      </w:r>
      <w:r w:rsidR="00867886">
        <w:rPr>
          <w:rFonts w:ascii="Arial" w:hAnsi="Arial" w:cs="Arial"/>
          <w:sz w:val="24"/>
          <w:szCs w:val="24"/>
          <w:lang w:val="en-GB"/>
        </w:rPr>
        <w:t>w</w:t>
      </w:r>
      <w:r w:rsidR="00867886" w:rsidRPr="00A32A3E">
        <w:rPr>
          <w:rFonts w:ascii="Arial" w:hAnsi="Arial" w:cs="Arial"/>
          <w:sz w:val="24"/>
          <w:szCs w:val="24"/>
          <w:lang w:val="en-GB"/>
        </w:rPr>
        <w:t xml:space="preserve">e are not primarily concerned with electoral participation but use this as a case to examine the impact of </w:t>
      </w:r>
      <w:r w:rsidR="00851354">
        <w:rPr>
          <w:rFonts w:ascii="Arial" w:hAnsi="Arial" w:cs="Arial"/>
          <w:sz w:val="24"/>
          <w:szCs w:val="24"/>
          <w:lang w:val="en-GB"/>
        </w:rPr>
        <w:t xml:space="preserve">misreporting </w:t>
      </w:r>
      <w:r>
        <w:rPr>
          <w:rFonts w:ascii="Arial" w:hAnsi="Arial" w:cs="Arial"/>
          <w:sz w:val="24"/>
          <w:szCs w:val="24"/>
          <w:lang w:val="en-GB"/>
        </w:rPr>
        <w:t>and non</w:t>
      </w:r>
      <w:r w:rsidR="00E47C30">
        <w:rPr>
          <w:rFonts w:ascii="Arial" w:hAnsi="Arial" w:cs="Arial"/>
          <w:sz w:val="24"/>
          <w:szCs w:val="24"/>
          <w:lang w:val="en-GB"/>
        </w:rPr>
        <w:t>-</w:t>
      </w:r>
      <w:r>
        <w:rPr>
          <w:rFonts w:ascii="Arial" w:hAnsi="Arial" w:cs="Arial"/>
          <w:sz w:val="24"/>
          <w:szCs w:val="24"/>
          <w:lang w:val="en-GB"/>
        </w:rPr>
        <w:t>response bias</w:t>
      </w:r>
      <w:r w:rsidR="00867886" w:rsidRPr="00A32A3E">
        <w:rPr>
          <w:rFonts w:ascii="Arial" w:hAnsi="Arial" w:cs="Arial"/>
          <w:sz w:val="24"/>
          <w:szCs w:val="24"/>
          <w:lang w:val="en-GB"/>
        </w:rPr>
        <w:t xml:space="preserve"> and thereby the quality of survey data.</w:t>
      </w:r>
      <w:r w:rsidR="00CF4DF4">
        <w:rPr>
          <w:rFonts w:ascii="Arial" w:hAnsi="Arial" w:cs="Arial"/>
          <w:sz w:val="24"/>
          <w:szCs w:val="24"/>
          <w:lang w:val="en-GB"/>
        </w:rPr>
        <w:t xml:space="preserve"> </w:t>
      </w:r>
    </w:p>
    <w:p w14:paraId="7E58D3A7" w14:textId="77777777" w:rsidR="00A4412A" w:rsidRDefault="00A4412A">
      <w:pPr>
        <w:rPr>
          <w:rFonts w:ascii="Arial" w:hAnsi="Arial" w:cs="Arial"/>
          <w:b/>
          <w:sz w:val="24"/>
          <w:szCs w:val="24"/>
          <w:lang w:val="en-GB"/>
        </w:rPr>
      </w:pPr>
      <w:r>
        <w:rPr>
          <w:rFonts w:ascii="Arial" w:hAnsi="Arial" w:cs="Arial"/>
          <w:b/>
          <w:sz w:val="24"/>
          <w:szCs w:val="24"/>
          <w:lang w:val="en-GB"/>
        </w:rPr>
        <w:br w:type="page"/>
      </w:r>
    </w:p>
    <w:p w14:paraId="67FE3A5B" w14:textId="71F926F7" w:rsidR="00867886" w:rsidRDefault="00867886" w:rsidP="00867886">
      <w:pPr>
        <w:spacing w:before="360" w:after="0" w:line="360" w:lineRule="auto"/>
        <w:jc w:val="both"/>
        <w:rPr>
          <w:rFonts w:ascii="Arial" w:hAnsi="Arial" w:cs="Arial"/>
          <w:b/>
          <w:sz w:val="24"/>
          <w:szCs w:val="24"/>
          <w:lang w:val="en-GB"/>
        </w:rPr>
      </w:pPr>
      <w:r w:rsidRPr="00867886">
        <w:rPr>
          <w:rFonts w:ascii="Arial" w:hAnsi="Arial" w:cs="Arial"/>
          <w:b/>
          <w:sz w:val="24"/>
          <w:szCs w:val="24"/>
          <w:lang w:val="en-GB"/>
        </w:rPr>
        <w:t>2. Theoretical perspectives and previous research</w:t>
      </w:r>
    </w:p>
    <w:p w14:paraId="1F119E8F" w14:textId="357D3A88" w:rsidR="00173955" w:rsidRPr="000D3240" w:rsidRDefault="00E62F2C" w:rsidP="00F80B1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Survey quality is affected by both over-representation of certain types of respondents and by respondents’ misreporting. </w:t>
      </w:r>
      <w:r w:rsidR="007004CD">
        <w:rPr>
          <w:rFonts w:ascii="Arial" w:hAnsi="Arial" w:cs="Arial"/>
          <w:sz w:val="24"/>
          <w:szCs w:val="24"/>
          <w:lang w:val="en-GB"/>
        </w:rPr>
        <w:t>Several</w:t>
      </w:r>
      <w:r w:rsidR="00173955">
        <w:rPr>
          <w:rFonts w:ascii="Arial" w:hAnsi="Arial" w:cs="Arial"/>
          <w:sz w:val="24"/>
          <w:szCs w:val="24"/>
          <w:lang w:val="en-GB"/>
        </w:rPr>
        <w:t xml:space="preserve"> factors may affect </w:t>
      </w:r>
      <w:r w:rsidR="0030589D">
        <w:rPr>
          <w:rFonts w:ascii="Arial" w:hAnsi="Arial" w:cs="Arial"/>
          <w:sz w:val="24"/>
          <w:szCs w:val="24"/>
          <w:lang w:val="en-GB"/>
        </w:rPr>
        <w:t xml:space="preserve">how respondents answer </w:t>
      </w:r>
      <w:r w:rsidR="00173955">
        <w:rPr>
          <w:rFonts w:ascii="Arial" w:hAnsi="Arial" w:cs="Arial"/>
          <w:sz w:val="24"/>
          <w:szCs w:val="24"/>
          <w:lang w:val="en-GB"/>
        </w:rPr>
        <w:t>survey</w:t>
      </w:r>
      <w:r w:rsidR="0030589D">
        <w:rPr>
          <w:rFonts w:ascii="Arial" w:hAnsi="Arial" w:cs="Arial"/>
          <w:sz w:val="24"/>
          <w:szCs w:val="24"/>
          <w:lang w:val="en-GB"/>
        </w:rPr>
        <w:t xml:space="preserve"> questions,</w:t>
      </w:r>
      <w:r w:rsidR="00173955">
        <w:rPr>
          <w:rFonts w:ascii="Arial" w:hAnsi="Arial" w:cs="Arial"/>
          <w:sz w:val="24"/>
          <w:szCs w:val="24"/>
          <w:lang w:val="en-GB"/>
        </w:rPr>
        <w:t xml:space="preserve"> yielding inaccurate results. Such factors include </w:t>
      </w:r>
      <w:r w:rsidR="007004CD">
        <w:rPr>
          <w:rFonts w:ascii="Arial" w:hAnsi="Arial" w:cs="Arial"/>
          <w:sz w:val="24"/>
          <w:szCs w:val="24"/>
          <w:lang w:val="en-GB"/>
        </w:rPr>
        <w:t>comprehension</w:t>
      </w:r>
      <w:r w:rsidR="00173955">
        <w:rPr>
          <w:rFonts w:ascii="Arial" w:hAnsi="Arial" w:cs="Arial"/>
          <w:sz w:val="24"/>
          <w:szCs w:val="24"/>
          <w:lang w:val="en-GB"/>
        </w:rPr>
        <w:t xml:space="preserve"> of the question asked, </w:t>
      </w:r>
      <w:r w:rsidR="00F80B11" w:rsidRPr="00A32A3E">
        <w:rPr>
          <w:rFonts w:ascii="Arial" w:hAnsi="Arial" w:cs="Arial"/>
          <w:sz w:val="24"/>
          <w:szCs w:val="24"/>
          <w:lang w:val="en-GB"/>
        </w:rPr>
        <w:t>respondents' failure to remember events accurately (forgetting), psychological mechanisms leading people to present themselves in a socially desirable manner (social desirability bias)</w:t>
      </w:r>
      <w:r w:rsidR="00F80B11" w:rsidRPr="000D3240">
        <w:rPr>
          <w:rFonts w:ascii="Arial" w:hAnsi="Arial" w:cs="Arial"/>
          <w:sz w:val="24"/>
          <w:szCs w:val="24"/>
          <w:lang w:val="en-GB"/>
        </w:rPr>
        <w:t xml:space="preserve"> </w:t>
      </w:r>
      <w:r w:rsidR="00D45A86">
        <w:rPr>
          <w:rFonts w:ascii="Arial" w:hAnsi="Arial" w:cs="Arial"/>
          <w:sz w:val="24"/>
          <w:szCs w:val="24"/>
          <w:lang w:val="en-GB"/>
        </w:rPr>
        <w:t>(Biemer and Lyberg 2003)</w:t>
      </w:r>
      <w:r w:rsidR="005853EF">
        <w:rPr>
          <w:rFonts w:ascii="Arial" w:hAnsi="Arial" w:cs="Arial"/>
          <w:sz w:val="24"/>
          <w:szCs w:val="24"/>
          <w:lang w:val="en-GB"/>
        </w:rPr>
        <w:t xml:space="preserve">. </w:t>
      </w:r>
    </w:p>
    <w:p w14:paraId="5E2E9CBD" w14:textId="3B5C8AA7" w:rsidR="0029530D" w:rsidRDefault="00123095" w:rsidP="00173955">
      <w:pPr>
        <w:spacing w:before="120" w:after="0" w:line="360" w:lineRule="auto"/>
        <w:jc w:val="both"/>
        <w:rPr>
          <w:rFonts w:ascii="Arial" w:hAnsi="Arial" w:cs="Arial"/>
          <w:sz w:val="24"/>
          <w:szCs w:val="24"/>
          <w:lang w:val="en-GB"/>
        </w:rPr>
      </w:pPr>
      <w:r>
        <w:rPr>
          <w:rFonts w:ascii="Arial" w:hAnsi="Arial" w:cs="Arial"/>
          <w:sz w:val="24"/>
          <w:szCs w:val="24"/>
          <w:lang w:val="en-GB"/>
        </w:rPr>
        <w:t>Generally, f</w:t>
      </w:r>
      <w:r w:rsidRPr="00A32A3E">
        <w:rPr>
          <w:rFonts w:ascii="Arial" w:hAnsi="Arial" w:cs="Arial"/>
          <w:sz w:val="24"/>
          <w:szCs w:val="24"/>
          <w:lang w:val="en-GB"/>
        </w:rPr>
        <w:t>orgetting increases the longer it has been since the event</w:t>
      </w:r>
      <w:r>
        <w:rPr>
          <w:rFonts w:ascii="Arial" w:hAnsi="Arial" w:cs="Arial"/>
          <w:sz w:val="24"/>
          <w:szCs w:val="24"/>
          <w:lang w:val="en-GB"/>
        </w:rPr>
        <w:t xml:space="preserve">. </w:t>
      </w:r>
      <w:r w:rsidR="0029530D">
        <w:rPr>
          <w:rFonts w:ascii="Arial" w:hAnsi="Arial" w:cs="Arial"/>
          <w:sz w:val="24"/>
          <w:szCs w:val="24"/>
          <w:lang w:val="en-GB"/>
        </w:rPr>
        <w:t>Responses</w:t>
      </w:r>
      <w:r w:rsidR="0029530D" w:rsidRPr="00A32A3E">
        <w:rPr>
          <w:rFonts w:ascii="Arial" w:hAnsi="Arial" w:cs="Arial"/>
          <w:sz w:val="24"/>
          <w:szCs w:val="24"/>
          <w:lang w:val="en-GB"/>
        </w:rPr>
        <w:t xml:space="preserve"> are most accurate when events are regular and seen as important (Tourangeau, Rips and Rasinski 2000). The Norwegian parliamentary elections occur every four years and </w:t>
      </w:r>
      <w:r w:rsidR="00E62F2C">
        <w:rPr>
          <w:rFonts w:ascii="Arial" w:hAnsi="Arial" w:cs="Arial"/>
          <w:sz w:val="24"/>
          <w:szCs w:val="24"/>
          <w:lang w:val="en-GB"/>
        </w:rPr>
        <w:t>may</w:t>
      </w:r>
      <w:r w:rsidR="0029530D" w:rsidRPr="00A32A3E">
        <w:rPr>
          <w:rFonts w:ascii="Arial" w:hAnsi="Arial" w:cs="Arial"/>
          <w:sz w:val="24"/>
          <w:szCs w:val="24"/>
          <w:lang w:val="en-GB"/>
        </w:rPr>
        <w:t xml:space="preserve"> therefore </w:t>
      </w:r>
      <w:r w:rsidR="00E62F2C">
        <w:rPr>
          <w:rFonts w:ascii="Arial" w:hAnsi="Arial" w:cs="Arial"/>
          <w:sz w:val="24"/>
          <w:szCs w:val="24"/>
          <w:lang w:val="en-GB"/>
        </w:rPr>
        <w:t xml:space="preserve">be seen </w:t>
      </w:r>
      <w:r w:rsidR="0029530D" w:rsidRPr="00A32A3E">
        <w:rPr>
          <w:rFonts w:ascii="Arial" w:hAnsi="Arial" w:cs="Arial"/>
          <w:sz w:val="24"/>
          <w:szCs w:val="24"/>
          <w:lang w:val="en-GB"/>
        </w:rPr>
        <w:t xml:space="preserve">an example of this type of event. </w:t>
      </w:r>
    </w:p>
    <w:p w14:paraId="38DF2676" w14:textId="6BAE6B71" w:rsidR="00932CCA" w:rsidRDefault="000B538A" w:rsidP="00D477D2">
      <w:pPr>
        <w:spacing w:before="120" w:after="0" w:line="360" w:lineRule="auto"/>
        <w:jc w:val="both"/>
        <w:rPr>
          <w:rFonts w:ascii="Arial" w:hAnsi="Arial" w:cs="Arial"/>
          <w:sz w:val="24"/>
          <w:szCs w:val="24"/>
          <w:lang w:val="en-GB"/>
        </w:rPr>
      </w:pPr>
      <w:r>
        <w:rPr>
          <w:rFonts w:ascii="Arial" w:hAnsi="Arial" w:cs="Arial"/>
          <w:sz w:val="24"/>
          <w:szCs w:val="24"/>
          <w:lang w:val="en-GB"/>
        </w:rPr>
        <w:t>In itself</w:t>
      </w:r>
      <w:r w:rsidR="00EB7ED7">
        <w:rPr>
          <w:rFonts w:ascii="Arial" w:hAnsi="Arial" w:cs="Arial"/>
          <w:sz w:val="24"/>
          <w:szCs w:val="24"/>
          <w:lang w:val="en-GB"/>
        </w:rPr>
        <w:t>,</w:t>
      </w:r>
      <w:r>
        <w:rPr>
          <w:rFonts w:ascii="Arial" w:hAnsi="Arial" w:cs="Arial"/>
          <w:sz w:val="24"/>
          <w:szCs w:val="24"/>
          <w:lang w:val="en-GB"/>
        </w:rPr>
        <w:t xml:space="preserve"> forgetting </w:t>
      </w:r>
      <w:r w:rsidR="00307AF7">
        <w:rPr>
          <w:rFonts w:ascii="Arial" w:hAnsi="Arial" w:cs="Arial"/>
          <w:sz w:val="24"/>
          <w:szCs w:val="24"/>
          <w:lang w:val="en-GB"/>
        </w:rPr>
        <w:t>does</w:t>
      </w:r>
      <w:r>
        <w:rPr>
          <w:rFonts w:ascii="Arial" w:hAnsi="Arial" w:cs="Arial"/>
          <w:sz w:val="24"/>
          <w:szCs w:val="24"/>
          <w:lang w:val="en-GB"/>
        </w:rPr>
        <w:t xml:space="preserve"> not </w:t>
      </w:r>
      <w:r w:rsidR="00487864">
        <w:rPr>
          <w:rFonts w:ascii="Arial" w:hAnsi="Arial" w:cs="Arial"/>
          <w:sz w:val="24"/>
          <w:szCs w:val="24"/>
          <w:lang w:val="en-GB"/>
        </w:rPr>
        <w:t xml:space="preserve">necessarily </w:t>
      </w:r>
      <w:r>
        <w:rPr>
          <w:rFonts w:ascii="Arial" w:hAnsi="Arial" w:cs="Arial"/>
          <w:sz w:val="24"/>
          <w:szCs w:val="24"/>
          <w:lang w:val="en-GB"/>
        </w:rPr>
        <w:t xml:space="preserve">lead to </w:t>
      </w:r>
      <w:r w:rsidR="00EB7ED7">
        <w:rPr>
          <w:rFonts w:ascii="Arial" w:hAnsi="Arial" w:cs="Arial"/>
          <w:sz w:val="24"/>
          <w:szCs w:val="24"/>
          <w:lang w:val="en-GB"/>
        </w:rPr>
        <w:t>systematic bias</w:t>
      </w:r>
      <w:r w:rsidR="00307AF7">
        <w:rPr>
          <w:rFonts w:ascii="Arial" w:hAnsi="Arial" w:cs="Arial"/>
          <w:sz w:val="24"/>
          <w:szCs w:val="24"/>
          <w:lang w:val="en-GB"/>
        </w:rPr>
        <w:t xml:space="preserve">. However, </w:t>
      </w:r>
      <w:r w:rsidR="00EB7ED7">
        <w:rPr>
          <w:rFonts w:ascii="Arial" w:hAnsi="Arial" w:cs="Arial"/>
          <w:sz w:val="24"/>
          <w:szCs w:val="24"/>
          <w:lang w:val="en-GB"/>
        </w:rPr>
        <w:t xml:space="preserve">respondents may </w:t>
      </w:r>
      <w:r w:rsidR="00907833">
        <w:rPr>
          <w:rFonts w:ascii="Arial" w:hAnsi="Arial" w:cs="Arial"/>
          <w:sz w:val="24"/>
          <w:szCs w:val="24"/>
          <w:lang w:val="en-GB"/>
        </w:rPr>
        <w:t xml:space="preserve">remember events that happened outside </w:t>
      </w:r>
      <w:r w:rsidR="00907833" w:rsidRPr="00343092">
        <w:rPr>
          <w:rFonts w:ascii="Arial" w:hAnsi="Arial" w:cs="Arial"/>
          <w:sz w:val="24"/>
          <w:szCs w:val="24"/>
          <w:lang w:val="en-GB"/>
        </w:rPr>
        <w:t xml:space="preserve">the reference period as occurring within the reference period. </w:t>
      </w:r>
      <w:r w:rsidR="0042209E" w:rsidRPr="00343092">
        <w:rPr>
          <w:rFonts w:ascii="Arial" w:hAnsi="Arial" w:cs="Arial"/>
          <w:sz w:val="24"/>
          <w:szCs w:val="24"/>
          <w:lang w:val="en-GB"/>
        </w:rPr>
        <w:t>Looking at health data, Kjellson, Clarke and Gerdtham (2014) finds that the number of errors increase as</w:t>
      </w:r>
      <w:r w:rsidR="0042209E">
        <w:rPr>
          <w:rFonts w:ascii="Arial" w:hAnsi="Arial" w:cs="Arial"/>
          <w:sz w:val="24"/>
          <w:szCs w:val="24"/>
          <w:lang w:val="en-GB"/>
        </w:rPr>
        <w:t xml:space="preserve"> recall periods become longer. </w:t>
      </w:r>
      <w:r w:rsidR="00907833">
        <w:rPr>
          <w:rFonts w:ascii="Arial" w:hAnsi="Arial" w:cs="Arial"/>
          <w:sz w:val="24"/>
          <w:szCs w:val="24"/>
          <w:lang w:val="en-GB"/>
        </w:rPr>
        <w:t>In the case of election surveys</w:t>
      </w:r>
      <w:r w:rsidR="00932CCA">
        <w:rPr>
          <w:rFonts w:ascii="Arial" w:hAnsi="Arial" w:cs="Arial"/>
          <w:sz w:val="24"/>
          <w:szCs w:val="24"/>
          <w:lang w:val="en-GB"/>
        </w:rPr>
        <w:t>,</w:t>
      </w:r>
      <w:r w:rsidR="00907833">
        <w:rPr>
          <w:rFonts w:ascii="Arial" w:hAnsi="Arial" w:cs="Arial"/>
          <w:sz w:val="24"/>
          <w:szCs w:val="24"/>
          <w:lang w:val="en-GB"/>
        </w:rPr>
        <w:t xml:space="preserve"> this type of error </w:t>
      </w:r>
      <w:r w:rsidR="00D85EBE">
        <w:rPr>
          <w:rFonts w:ascii="Arial" w:hAnsi="Arial" w:cs="Arial"/>
          <w:sz w:val="24"/>
          <w:szCs w:val="24"/>
          <w:lang w:val="en-GB"/>
        </w:rPr>
        <w:t>c</w:t>
      </w:r>
      <w:r w:rsidR="00D8259B">
        <w:rPr>
          <w:rFonts w:ascii="Arial" w:hAnsi="Arial" w:cs="Arial"/>
          <w:sz w:val="24"/>
          <w:szCs w:val="24"/>
          <w:lang w:val="en-GB"/>
        </w:rPr>
        <w:t>ould</w:t>
      </w:r>
      <w:r w:rsidR="00907833">
        <w:rPr>
          <w:rFonts w:ascii="Arial" w:hAnsi="Arial" w:cs="Arial"/>
          <w:sz w:val="24"/>
          <w:szCs w:val="24"/>
          <w:lang w:val="en-GB"/>
        </w:rPr>
        <w:t xml:space="preserve"> lead to non-voters who voted in previous elections </w:t>
      </w:r>
      <w:r w:rsidR="005A1D06">
        <w:rPr>
          <w:rFonts w:ascii="Arial" w:hAnsi="Arial" w:cs="Arial"/>
          <w:sz w:val="24"/>
          <w:szCs w:val="24"/>
          <w:lang w:val="en-GB"/>
        </w:rPr>
        <w:t xml:space="preserve">erroneously </w:t>
      </w:r>
      <w:r w:rsidR="00907833">
        <w:rPr>
          <w:rFonts w:ascii="Arial" w:hAnsi="Arial" w:cs="Arial"/>
          <w:sz w:val="24"/>
          <w:szCs w:val="24"/>
          <w:lang w:val="en-GB"/>
        </w:rPr>
        <w:t xml:space="preserve">reporting that they voted. </w:t>
      </w:r>
      <w:r w:rsidR="0029530D">
        <w:rPr>
          <w:rFonts w:ascii="Arial" w:hAnsi="Arial" w:cs="Arial"/>
          <w:sz w:val="24"/>
          <w:szCs w:val="24"/>
          <w:lang w:val="en-GB"/>
        </w:rPr>
        <w:t xml:space="preserve">For rare events, this type of over-reporting may also occur because respondents feel the event should be documented or because they try to help the interviewer (Biemer and Lyberg 2003). </w:t>
      </w:r>
    </w:p>
    <w:p w14:paraId="06044BB3" w14:textId="030F4BD0" w:rsidR="00932CCA" w:rsidRDefault="00DA010B" w:rsidP="00D477D2">
      <w:pPr>
        <w:spacing w:before="120" w:after="0" w:line="360" w:lineRule="auto"/>
        <w:jc w:val="both"/>
        <w:rPr>
          <w:rFonts w:ascii="Arial" w:hAnsi="Arial" w:cs="Arial"/>
          <w:sz w:val="24"/>
          <w:szCs w:val="24"/>
          <w:lang w:val="en-GB"/>
        </w:rPr>
      </w:pPr>
      <w:r w:rsidRPr="00DA010B">
        <w:rPr>
          <w:rFonts w:ascii="Arial" w:hAnsi="Arial" w:cs="Arial"/>
          <w:sz w:val="24"/>
          <w:szCs w:val="24"/>
          <w:lang w:val="en-GB"/>
        </w:rPr>
        <w:t>Social desirability bias is typically systematic: Events or behaviours that are seen as socially acceptable are over-reported, whereas those that are perceived to be unacceptable are under-reported (Krumpal 2013).</w:t>
      </w:r>
      <w:r>
        <w:rPr>
          <w:rFonts w:ascii="Arial" w:hAnsi="Arial" w:cs="Arial"/>
          <w:sz w:val="24"/>
          <w:szCs w:val="24"/>
          <w:lang w:val="en-GB"/>
        </w:rPr>
        <w:t xml:space="preserve"> </w:t>
      </w:r>
      <w:r w:rsidR="00F56AB5">
        <w:rPr>
          <w:rFonts w:ascii="Arial" w:hAnsi="Arial" w:cs="Arial"/>
          <w:sz w:val="24"/>
          <w:szCs w:val="24"/>
          <w:lang w:val="en-GB"/>
        </w:rPr>
        <w:t>E</w:t>
      </w:r>
      <w:r w:rsidR="00941DF2" w:rsidRPr="00A32A3E">
        <w:rPr>
          <w:rFonts w:ascii="Arial" w:hAnsi="Arial" w:cs="Arial"/>
          <w:sz w:val="24"/>
          <w:szCs w:val="24"/>
          <w:lang w:val="en-GB"/>
        </w:rPr>
        <w:t xml:space="preserve">lectoral participation is a type of civic engagement </w:t>
      </w:r>
      <w:r w:rsidR="004A518E">
        <w:rPr>
          <w:rFonts w:ascii="Arial" w:hAnsi="Arial" w:cs="Arial"/>
          <w:sz w:val="24"/>
          <w:szCs w:val="24"/>
          <w:lang w:val="en-GB"/>
        </w:rPr>
        <w:t>that</w:t>
      </w:r>
      <w:r w:rsidR="004A518E" w:rsidRPr="00A32A3E">
        <w:rPr>
          <w:rFonts w:ascii="Arial" w:hAnsi="Arial" w:cs="Arial"/>
          <w:sz w:val="24"/>
          <w:szCs w:val="24"/>
          <w:lang w:val="en-GB"/>
        </w:rPr>
        <w:t xml:space="preserve"> </w:t>
      </w:r>
      <w:r w:rsidR="00941DF2" w:rsidRPr="00A32A3E">
        <w:rPr>
          <w:rFonts w:ascii="Arial" w:hAnsi="Arial" w:cs="Arial"/>
          <w:sz w:val="24"/>
          <w:szCs w:val="24"/>
          <w:lang w:val="en-GB"/>
        </w:rPr>
        <w:t>is typically regarded as socially desirable</w:t>
      </w:r>
      <w:r w:rsidR="00941DF2">
        <w:rPr>
          <w:rFonts w:ascii="Arial" w:hAnsi="Arial" w:cs="Arial"/>
          <w:sz w:val="24"/>
          <w:szCs w:val="24"/>
          <w:lang w:val="en-GB"/>
        </w:rPr>
        <w:t xml:space="preserve"> and is thus an event that is likely to be </w:t>
      </w:r>
      <w:r w:rsidR="003958E9">
        <w:rPr>
          <w:rFonts w:ascii="Arial" w:hAnsi="Arial" w:cs="Arial"/>
          <w:sz w:val="24"/>
          <w:szCs w:val="24"/>
          <w:lang w:val="en-GB"/>
        </w:rPr>
        <w:t>over-reported</w:t>
      </w:r>
      <w:r w:rsidR="00576A1E">
        <w:rPr>
          <w:rFonts w:ascii="Arial" w:hAnsi="Arial" w:cs="Arial"/>
          <w:sz w:val="24"/>
          <w:szCs w:val="24"/>
          <w:lang w:val="en-GB"/>
        </w:rPr>
        <w:t xml:space="preserve"> (Holbrook and Krosnick 20</w:t>
      </w:r>
      <w:r w:rsidR="002074D7">
        <w:rPr>
          <w:rFonts w:ascii="Arial" w:hAnsi="Arial" w:cs="Arial"/>
          <w:sz w:val="24"/>
          <w:szCs w:val="24"/>
          <w:lang w:val="en-GB"/>
        </w:rPr>
        <w:t>10</w:t>
      </w:r>
      <w:r w:rsidR="00576A1E">
        <w:rPr>
          <w:rFonts w:ascii="Arial" w:hAnsi="Arial" w:cs="Arial"/>
          <w:sz w:val="24"/>
          <w:szCs w:val="24"/>
          <w:lang w:val="en-GB"/>
        </w:rPr>
        <w:t>)</w:t>
      </w:r>
      <w:r w:rsidR="00941DF2">
        <w:rPr>
          <w:rFonts w:ascii="Arial" w:hAnsi="Arial" w:cs="Arial"/>
          <w:sz w:val="24"/>
          <w:szCs w:val="24"/>
          <w:lang w:val="en-GB"/>
        </w:rPr>
        <w:t xml:space="preserve">. </w:t>
      </w:r>
      <w:r w:rsidRPr="00DA010B">
        <w:rPr>
          <w:rFonts w:ascii="Arial" w:hAnsi="Arial" w:cs="Arial"/>
          <w:sz w:val="24"/>
          <w:szCs w:val="24"/>
          <w:lang w:val="en-GB"/>
        </w:rPr>
        <w:t xml:space="preserve">Previous studies suggest that some </w:t>
      </w:r>
      <w:r w:rsidR="00A616C1">
        <w:rPr>
          <w:rFonts w:ascii="Arial" w:hAnsi="Arial" w:cs="Arial"/>
          <w:sz w:val="24"/>
          <w:szCs w:val="24"/>
          <w:lang w:val="en-GB"/>
        </w:rPr>
        <w:t xml:space="preserve">types of </w:t>
      </w:r>
      <w:r w:rsidRPr="00DA010B">
        <w:rPr>
          <w:rFonts w:ascii="Arial" w:hAnsi="Arial" w:cs="Arial"/>
          <w:sz w:val="24"/>
          <w:szCs w:val="24"/>
          <w:lang w:val="en-GB"/>
        </w:rPr>
        <w:t>respondents are especially likely to over-report voting. People who usually vote are more likely to over-report, and over-reporters are generally similar to voters in terms of educational level and political engagement (Abelson, Loftus, and Greenwald 1992, Belli, Traugott, and Beckmann 2001).</w:t>
      </w:r>
    </w:p>
    <w:p w14:paraId="4A08194A" w14:textId="29EC7A6D" w:rsidR="00D477D2" w:rsidRPr="00343092" w:rsidRDefault="004E3A40" w:rsidP="00D477D2">
      <w:pPr>
        <w:spacing w:before="120" w:after="0" w:line="360" w:lineRule="auto"/>
        <w:jc w:val="both"/>
        <w:rPr>
          <w:rFonts w:ascii="Arial" w:hAnsi="Arial" w:cs="Arial"/>
          <w:sz w:val="24"/>
          <w:szCs w:val="24"/>
          <w:lang w:val="en-GB"/>
        </w:rPr>
      </w:pPr>
      <w:r>
        <w:rPr>
          <w:rFonts w:ascii="Arial" w:hAnsi="Arial" w:cs="Arial"/>
          <w:sz w:val="24"/>
          <w:szCs w:val="24"/>
          <w:lang w:val="en-GB"/>
        </w:rPr>
        <w:t>There is</w:t>
      </w:r>
      <w:r w:rsidR="00932CCA" w:rsidRPr="00A32A3E">
        <w:rPr>
          <w:rFonts w:ascii="Arial" w:hAnsi="Arial" w:cs="Arial"/>
          <w:sz w:val="24"/>
          <w:szCs w:val="24"/>
          <w:lang w:val="en-GB"/>
        </w:rPr>
        <w:t xml:space="preserve"> </w:t>
      </w:r>
      <w:r w:rsidR="00932CCA">
        <w:rPr>
          <w:rFonts w:ascii="Arial" w:hAnsi="Arial" w:cs="Arial"/>
          <w:sz w:val="24"/>
          <w:szCs w:val="24"/>
          <w:lang w:val="en-GB"/>
        </w:rPr>
        <w:t>also indicat</w:t>
      </w:r>
      <w:r>
        <w:rPr>
          <w:rFonts w:ascii="Arial" w:hAnsi="Arial" w:cs="Arial"/>
          <w:sz w:val="24"/>
          <w:szCs w:val="24"/>
          <w:lang w:val="en-GB"/>
        </w:rPr>
        <w:t>ion</w:t>
      </w:r>
      <w:r w:rsidR="00932CCA" w:rsidRPr="00A32A3E">
        <w:rPr>
          <w:rFonts w:ascii="Arial" w:hAnsi="Arial" w:cs="Arial"/>
          <w:sz w:val="24"/>
          <w:szCs w:val="24"/>
          <w:lang w:val="en-GB"/>
        </w:rPr>
        <w:t xml:space="preserve"> that </w:t>
      </w:r>
      <w:r w:rsidR="00932CCA">
        <w:rPr>
          <w:rFonts w:ascii="Arial" w:hAnsi="Arial" w:cs="Arial"/>
          <w:sz w:val="24"/>
          <w:szCs w:val="24"/>
          <w:lang w:val="en-GB"/>
        </w:rPr>
        <w:t xml:space="preserve">respondents give more </w:t>
      </w:r>
      <w:r w:rsidR="00932CCA" w:rsidRPr="00A32A3E">
        <w:rPr>
          <w:rFonts w:ascii="Arial" w:hAnsi="Arial" w:cs="Arial"/>
          <w:sz w:val="24"/>
          <w:szCs w:val="24"/>
          <w:lang w:val="en-GB"/>
        </w:rPr>
        <w:t xml:space="preserve">socially desirable answers </w:t>
      </w:r>
      <w:r w:rsidR="00932CCA">
        <w:rPr>
          <w:rFonts w:ascii="Arial" w:hAnsi="Arial" w:cs="Arial"/>
          <w:sz w:val="24"/>
          <w:szCs w:val="24"/>
          <w:lang w:val="en-GB"/>
        </w:rPr>
        <w:t>if they</w:t>
      </w:r>
      <w:r w:rsidR="00932CCA" w:rsidRPr="00A32A3E">
        <w:rPr>
          <w:rFonts w:ascii="Arial" w:hAnsi="Arial" w:cs="Arial"/>
          <w:sz w:val="24"/>
          <w:szCs w:val="24"/>
          <w:lang w:val="en-GB"/>
        </w:rPr>
        <w:t xml:space="preserve"> do not remember.</w:t>
      </w:r>
      <w:r w:rsidR="00932CCA">
        <w:rPr>
          <w:rFonts w:ascii="Arial" w:hAnsi="Arial" w:cs="Arial"/>
          <w:sz w:val="24"/>
          <w:szCs w:val="24"/>
          <w:lang w:val="en-GB"/>
        </w:rPr>
        <w:t xml:space="preserve"> </w:t>
      </w:r>
      <w:r>
        <w:rPr>
          <w:rFonts w:ascii="Arial" w:hAnsi="Arial" w:cs="Arial"/>
          <w:sz w:val="24"/>
          <w:szCs w:val="24"/>
          <w:lang w:val="en-GB"/>
        </w:rPr>
        <w:t>For example, p</w:t>
      </w:r>
      <w:r w:rsidR="00932CCA">
        <w:rPr>
          <w:rFonts w:ascii="Arial" w:hAnsi="Arial" w:cs="Arial"/>
          <w:sz w:val="24"/>
          <w:szCs w:val="24"/>
          <w:lang w:val="en-GB"/>
        </w:rPr>
        <w:t>revious studies have found that</w:t>
      </w:r>
      <w:r w:rsidR="00F56AB5">
        <w:rPr>
          <w:rFonts w:ascii="Arial" w:hAnsi="Arial" w:cs="Arial"/>
          <w:sz w:val="24"/>
          <w:szCs w:val="24"/>
          <w:lang w:val="en-GB"/>
        </w:rPr>
        <w:t xml:space="preserve"> </w:t>
      </w:r>
      <w:r w:rsidR="00D477D2" w:rsidRPr="00F72370">
        <w:rPr>
          <w:rFonts w:ascii="Arial" w:hAnsi="Arial" w:cs="Arial"/>
          <w:sz w:val="24"/>
          <w:szCs w:val="24"/>
          <w:lang w:val="en-GB"/>
        </w:rPr>
        <w:t>turnout over</w:t>
      </w:r>
      <w:r w:rsidR="00932CCA">
        <w:rPr>
          <w:rFonts w:ascii="Arial" w:hAnsi="Arial" w:cs="Arial"/>
          <w:sz w:val="24"/>
          <w:szCs w:val="24"/>
          <w:lang w:val="en-GB"/>
        </w:rPr>
        <w:t>-</w:t>
      </w:r>
      <w:r w:rsidR="00D477D2" w:rsidRPr="00343092">
        <w:rPr>
          <w:rFonts w:ascii="Arial" w:hAnsi="Arial" w:cs="Arial"/>
          <w:sz w:val="24"/>
          <w:szCs w:val="24"/>
          <w:lang w:val="en-GB"/>
        </w:rPr>
        <w:t>reporting may increase as the time between the election and the interview increases (Belli, Traugott, and Beckmann 2001).</w:t>
      </w:r>
    </w:p>
    <w:p w14:paraId="3D576D27" w14:textId="00F34E32" w:rsidR="00F72370" w:rsidRPr="00912AD5" w:rsidRDefault="00391BF4" w:rsidP="008638AC">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addition to bias due to inaccurate responses, </w:t>
      </w:r>
      <w:r w:rsidRPr="00912AD5">
        <w:rPr>
          <w:rFonts w:ascii="Arial" w:hAnsi="Arial" w:cs="Arial"/>
          <w:sz w:val="24"/>
          <w:szCs w:val="24"/>
          <w:lang w:val="en-GB"/>
        </w:rPr>
        <w:t>s</w:t>
      </w:r>
      <w:r w:rsidR="00F56AB5" w:rsidRPr="00912AD5">
        <w:rPr>
          <w:rFonts w:ascii="Arial" w:hAnsi="Arial" w:cs="Arial"/>
          <w:sz w:val="24"/>
          <w:szCs w:val="24"/>
          <w:lang w:val="en-GB"/>
        </w:rPr>
        <w:t xml:space="preserve">urvey data </w:t>
      </w:r>
      <w:r w:rsidRPr="00912AD5">
        <w:rPr>
          <w:rFonts w:ascii="Arial" w:hAnsi="Arial" w:cs="Arial"/>
          <w:sz w:val="24"/>
          <w:szCs w:val="24"/>
          <w:lang w:val="en-GB"/>
        </w:rPr>
        <w:t xml:space="preserve">may </w:t>
      </w:r>
      <w:r w:rsidR="00F56AB5" w:rsidRPr="00912AD5">
        <w:rPr>
          <w:rFonts w:ascii="Arial" w:hAnsi="Arial" w:cs="Arial"/>
          <w:sz w:val="24"/>
          <w:szCs w:val="24"/>
          <w:lang w:val="en-GB"/>
        </w:rPr>
        <w:t xml:space="preserve">also be erroneous because </w:t>
      </w:r>
      <w:r w:rsidRPr="00912AD5">
        <w:rPr>
          <w:rFonts w:ascii="Arial" w:hAnsi="Arial" w:cs="Arial"/>
          <w:sz w:val="24"/>
          <w:szCs w:val="24"/>
          <w:lang w:val="en-GB"/>
        </w:rPr>
        <w:t>survey</w:t>
      </w:r>
      <w:r w:rsidR="00F56AB5" w:rsidRPr="00912AD5">
        <w:rPr>
          <w:rFonts w:ascii="Arial" w:hAnsi="Arial" w:cs="Arial"/>
          <w:sz w:val="24"/>
          <w:szCs w:val="24"/>
          <w:lang w:val="en-GB"/>
        </w:rPr>
        <w:t xml:space="preserve"> </w:t>
      </w:r>
      <w:r w:rsidR="001108AE" w:rsidRPr="00912AD5">
        <w:rPr>
          <w:rFonts w:ascii="Arial" w:hAnsi="Arial" w:cs="Arial"/>
          <w:sz w:val="24"/>
          <w:szCs w:val="24"/>
          <w:lang w:val="en-GB"/>
        </w:rPr>
        <w:t>participa</w:t>
      </w:r>
      <w:r w:rsidRPr="00912AD5">
        <w:rPr>
          <w:rFonts w:ascii="Arial" w:hAnsi="Arial" w:cs="Arial"/>
          <w:sz w:val="24"/>
          <w:szCs w:val="24"/>
          <w:lang w:val="en-GB"/>
        </w:rPr>
        <w:t xml:space="preserve">nts </w:t>
      </w:r>
      <w:r w:rsidR="00F56AB5" w:rsidRPr="00912AD5">
        <w:rPr>
          <w:rFonts w:ascii="Arial" w:hAnsi="Arial" w:cs="Arial"/>
          <w:sz w:val="24"/>
          <w:szCs w:val="24"/>
          <w:lang w:val="en-GB"/>
        </w:rPr>
        <w:t xml:space="preserve">differ from </w:t>
      </w:r>
      <w:r w:rsidRPr="00912AD5">
        <w:rPr>
          <w:rFonts w:ascii="Arial" w:hAnsi="Arial" w:cs="Arial"/>
          <w:sz w:val="24"/>
          <w:szCs w:val="24"/>
          <w:lang w:val="en-GB"/>
        </w:rPr>
        <w:t>individuals</w:t>
      </w:r>
      <w:r w:rsidR="00F56AB5" w:rsidRPr="00912AD5">
        <w:rPr>
          <w:rFonts w:ascii="Arial" w:hAnsi="Arial" w:cs="Arial"/>
          <w:sz w:val="24"/>
          <w:szCs w:val="24"/>
          <w:lang w:val="en-GB"/>
        </w:rPr>
        <w:t xml:space="preserve"> that do not </w:t>
      </w:r>
      <w:r w:rsidR="001108AE" w:rsidRPr="00912AD5">
        <w:rPr>
          <w:rFonts w:ascii="Arial" w:hAnsi="Arial" w:cs="Arial"/>
          <w:sz w:val="24"/>
          <w:szCs w:val="24"/>
          <w:lang w:val="en-GB"/>
        </w:rPr>
        <w:t>participate</w:t>
      </w:r>
      <w:r w:rsidR="00F56AB5" w:rsidRPr="00912AD5">
        <w:rPr>
          <w:rFonts w:ascii="Arial" w:hAnsi="Arial" w:cs="Arial"/>
          <w:sz w:val="24"/>
          <w:szCs w:val="24"/>
          <w:lang w:val="en-GB"/>
        </w:rPr>
        <w:t>, non-response bias</w:t>
      </w:r>
      <w:r w:rsidR="001108AE" w:rsidRPr="00912AD5">
        <w:rPr>
          <w:rFonts w:ascii="Arial" w:hAnsi="Arial" w:cs="Arial"/>
          <w:sz w:val="24"/>
          <w:szCs w:val="24"/>
          <w:lang w:val="en-GB"/>
        </w:rPr>
        <w:t xml:space="preserve"> (</w:t>
      </w:r>
      <w:r w:rsidR="000C7005" w:rsidRPr="00912AD5">
        <w:rPr>
          <w:rFonts w:ascii="Arial" w:hAnsi="Arial" w:cs="Arial"/>
          <w:sz w:val="24"/>
          <w:szCs w:val="24"/>
          <w:lang w:val="en-GB"/>
        </w:rPr>
        <w:t>Tarrant et al 1993</w:t>
      </w:r>
      <w:r w:rsidR="00B14826" w:rsidRPr="00912AD5">
        <w:rPr>
          <w:rFonts w:ascii="Arial" w:hAnsi="Arial" w:cs="Arial"/>
          <w:sz w:val="24"/>
          <w:szCs w:val="24"/>
          <w:lang w:val="en-GB"/>
        </w:rPr>
        <w:t xml:space="preserve">, </w:t>
      </w:r>
      <w:r w:rsidR="001108AE" w:rsidRPr="00912AD5">
        <w:rPr>
          <w:rFonts w:ascii="Arial" w:hAnsi="Arial" w:cs="Arial"/>
          <w:sz w:val="24"/>
          <w:szCs w:val="24"/>
          <w:lang w:val="en-GB"/>
        </w:rPr>
        <w:t>Selb and Munzert 2013)</w:t>
      </w:r>
      <w:r w:rsidR="00F56AB5" w:rsidRPr="00912AD5">
        <w:rPr>
          <w:rFonts w:ascii="Arial" w:hAnsi="Arial" w:cs="Arial"/>
          <w:sz w:val="24"/>
          <w:szCs w:val="24"/>
          <w:lang w:val="en-GB"/>
        </w:rPr>
        <w:t>.</w:t>
      </w:r>
      <w:r w:rsidR="001108AE" w:rsidRPr="00912AD5">
        <w:rPr>
          <w:rFonts w:ascii="Arial" w:hAnsi="Arial" w:cs="Arial"/>
          <w:sz w:val="24"/>
          <w:szCs w:val="24"/>
          <w:lang w:val="en-GB"/>
        </w:rPr>
        <w:t xml:space="preserve"> </w:t>
      </w:r>
      <w:r w:rsidR="009236F1" w:rsidRPr="00912AD5">
        <w:rPr>
          <w:rFonts w:ascii="Arial" w:hAnsi="Arial" w:cs="Arial"/>
          <w:sz w:val="24"/>
          <w:szCs w:val="24"/>
          <w:lang w:val="en-GB"/>
        </w:rPr>
        <w:t xml:space="preserve">In our study, we </w:t>
      </w:r>
      <w:r w:rsidR="008638AC" w:rsidRPr="00912AD5">
        <w:rPr>
          <w:rFonts w:ascii="Arial" w:hAnsi="Arial" w:cs="Arial"/>
          <w:sz w:val="24"/>
          <w:szCs w:val="24"/>
          <w:lang w:val="en-GB"/>
        </w:rPr>
        <w:t xml:space="preserve">use </w:t>
      </w:r>
      <w:r w:rsidR="009236F1" w:rsidRPr="00912AD5">
        <w:rPr>
          <w:rFonts w:ascii="Arial" w:hAnsi="Arial" w:cs="Arial"/>
          <w:sz w:val="24"/>
          <w:szCs w:val="24"/>
          <w:lang w:val="en-GB"/>
        </w:rPr>
        <w:t>weigh</w:t>
      </w:r>
      <w:r w:rsidR="008638AC" w:rsidRPr="00912AD5">
        <w:rPr>
          <w:rFonts w:ascii="Arial" w:hAnsi="Arial" w:cs="Arial"/>
          <w:sz w:val="24"/>
          <w:szCs w:val="24"/>
          <w:lang w:val="en-GB"/>
        </w:rPr>
        <w:t>ts</w:t>
      </w:r>
      <w:r w:rsidR="009236F1" w:rsidRPr="00912AD5">
        <w:rPr>
          <w:rFonts w:ascii="Arial" w:hAnsi="Arial" w:cs="Arial"/>
          <w:sz w:val="24"/>
          <w:szCs w:val="24"/>
          <w:lang w:val="en-GB"/>
        </w:rPr>
        <w:t xml:space="preserve"> </w:t>
      </w:r>
      <w:r w:rsidR="00F56AB5" w:rsidRPr="00912AD5">
        <w:rPr>
          <w:rFonts w:ascii="Arial" w:hAnsi="Arial" w:cs="Arial"/>
          <w:sz w:val="24"/>
          <w:szCs w:val="24"/>
          <w:lang w:val="en-GB"/>
        </w:rPr>
        <w:t xml:space="preserve">to adjust for </w:t>
      </w:r>
      <w:r w:rsidR="009236F1" w:rsidRPr="00912AD5">
        <w:rPr>
          <w:rFonts w:ascii="Arial" w:hAnsi="Arial" w:cs="Arial"/>
          <w:sz w:val="24"/>
          <w:szCs w:val="24"/>
          <w:lang w:val="en-GB"/>
        </w:rPr>
        <w:t>systematic differences in response rates between population groups</w:t>
      </w:r>
      <w:r w:rsidR="00F56AB5" w:rsidRPr="00912AD5">
        <w:rPr>
          <w:rFonts w:ascii="Arial" w:hAnsi="Arial" w:cs="Arial"/>
          <w:sz w:val="24"/>
          <w:szCs w:val="24"/>
          <w:lang w:val="en-GB"/>
        </w:rPr>
        <w:t xml:space="preserve">, but this is only possible </w:t>
      </w:r>
      <w:r w:rsidR="006E7D4B" w:rsidRPr="00912AD5">
        <w:rPr>
          <w:rFonts w:ascii="Arial" w:hAnsi="Arial" w:cs="Arial"/>
          <w:sz w:val="24"/>
          <w:szCs w:val="24"/>
          <w:lang w:val="en-GB"/>
        </w:rPr>
        <w:t>if population characteristics are known</w:t>
      </w:r>
      <w:r w:rsidR="00F56AB5" w:rsidRPr="00912AD5">
        <w:rPr>
          <w:rFonts w:ascii="Arial" w:hAnsi="Arial" w:cs="Arial"/>
          <w:sz w:val="24"/>
          <w:szCs w:val="24"/>
          <w:lang w:val="en-GB"/>
        </w:rPr>
        <w:t xml:space="preserve">. </w:t>
      </w:r>
      <w:r w:rsidR="009236F1" w:rsidRPr="00912AD5">
        <w:rPr>
          <w:rFonts w:ascii="Arial" w:hAnsi="Arial" w:cs="Arial"/>
          <w:sz w:val="24"/>
          <w:szCs w:val="24"/>
          <w:lang w:val="en-GB"/>
        </w:rPr>
        <w:t xml:space="preserve">Election surveys may be particularly susceptible to non-response bias because electoral participation and survey participation are products of common underlying causes (Selb and Munzert 2013). </w:t>
      </w:r>
      <w:r w:rsidR="00912AD5" w:rsidRPr="00912AD5">
        <w:rPr>
          <w:rFonts w:ascii="Arial" w:hAnsi="Arial" w:cs="Arial"/>
          <w:sz w:val="24"/>
          <w:szCs w:val="24"/>
          <w:lang w:val="en-GB"/>
        </w:rPr>
        <w:t>Estimates cannot be weighted to adjust for higher participation among civic minded individuals unless differences in response likelihood correlate strongly with other variables (e.g. level of education).</w:t>
      </w:r>
    </w:p>
    <w:p w14:paraId="6E2B81B8" w14:textId="5B34EDE9" w:rsidR="0029424D" w:rsidRPr="00450687" w:rsidRDefault="00BA1BC0" w:rsidP="00450687">
      <w:pPr>
        <w:spacing w:before="120" w:after="0" w:line="240" w:lineRule="auto"/>
        <w:jc w:val="both"/>
        <w:rPr>
          <w:rFonts w:ascii="Arial" w:hAnsi="Arial" w:cs="Arial"/>
          <w:i/>
          <w:sz w:val="24"/>
          <w:szCs w:val="24"/>
          <w:lang w:val="en-US"/>
        </w:rPr>
      </w:pPr>
      <w:r w:rsidRPr="00450687">
        <w:rPr>
          <w:rFonts w:ascii="Arial" w:hAnsi="Arial" w:cs="Arial"/>
          <w:i/>
          <w:sz w:val="24"/>
          <w:szCs w:val="24"/>
          <w:lang w:val="en-US"/>
        </w:rPr>
        <w:t>Hypotheses</w:t>
      </w:r>
    </w:p>
    <w:p w14:paraId="01EAEAED" w14:textId="1FBC319E" w:rsidR="008C635C" w:rsidRPr="00BA1BC0" w:rsidRDefault="001C6B17" w:rsidP="0030589D">
      <w:pPr>
        <w:spacing w:before="120" w:after="0" w:line="360" w:lineRule="auto"/>
        <w:jc w:val="both"/>
        <w:rPr>
          <w:rFonts w:ascii="Arial" w:hAnsi="Arial" w:cs="Arial"/>
          <w:sz w:val="24"/>
          <w:szCs w:val="24"/>
          <w:lang w:val="en-US"/>
        </w:rPr>
      </w:pPr>
      <w:r w:rsidRPr="00BA1BC0">
        <w:rPr>
          <w:rFonts w:ascii="Arial" w:hAnsi="Arial" w:cs="Arial"/>
          <w:sz w:val="24"/>
          <w:szCs w:val="24"/>
          <w:lang w:val="en-US"/>
        </w:rPr>
        <w:t xml:space="preserve">In this study we compare self-reported participation in the 2013 parliamentary election, measured in two surveys conducted in 2014 and 2017 respectively. The first survey was conducted </w:t>
      </w:r>
      <w:r w:rsidR="008C635C" w:rsidRPr="00BA1BC0">
        <w:rPr>
          <w:rFonts w:ascii="Arial" w:hAnsi="Arial" w:cs="Arial"/>
          <w:sz w:val="24"/>
          <w:szCs w:val="24"/>
          <w:lang w:val="en-US"/>
        </w:rPr>
        <w:t>approximately</w:t>
      </w:r>
      <w:r w:rsidRPr="00BA1BC0">
        <w:rPr>
          <w:rFonts w:ascii="Arial" w:hAnsi="Arial" w:cs="Arial"/>
          <w:sz w:val="24"/>
          <w:szCs w:val="24"/>
          <w:lang w:val="en-US"/>
        </w:rPr>
        <w:t xml:space="preserve"> </w:t>
      </w:r>
      <w:r w:rsidR="001755BD" w:rsidRPr="00BA1BC0">
        <w:rPr>
          <w:rFonts w:ascii="Arial" w:hAnsi="Arial" w:cs="Arial"/>
          <w:sz w:val="24"/>
          <w:szCs w:val="24"/>
          <w:lang w:val="en-US"/>
        </w:rPr>
        <w:t xml:space="preserve">6 months after the election, and the second three years later. </w:t>
      </w:r>
      <w:r w:rsidR="008C635C" w:rsidRPr="00BA1BC0">
        <w:rPr>
          <w:rFonts w:ascii="Arial" w:hAnsi="Arial" w:cs="Arial"/>
          <w:sz w:val="24"/>
          <w:szCs w:val="24"/>
          <w:lang w:val="en-US"/>
        </w:rPr>
        <w:t>Although accuracy is most likely higher when events are measured only shortly after they happened, retrospective questions with a larger time-frame are often the only available means to retrieve information.</w:t>
      </w:r>
    </w:p>
    <w:p w14:paraId="765ECB6C" w14:textId="67CEBBF3" w:rsidR="00F30D81" w:rsidRDefault="001E7CA0" w:rsidP="0030589D">
      <w:pPr>
        <w:spacing w:before="120" w:after="0" w:line="360" w:lineRule="auto"/>
        <w:jc w:val="both"/>
        <w:rPr>
          <w:rFonts w:ascii="Arial" w:hAnsi="Arial" w:cs="Arial"/>
          <w:sz w:val="24"/>
          <w:szCs w:val="24"/>
          <w:lang w:val="en-US"/>
        </w:rPr>
      </w:pPr>
      <w:r w:rsidRPr="00BA1BC0">
        <w:rPr>
          <w:rFonts w:ascii="Arial" w:hAnsi="Arial" w:cs="Arial"/>
          <w:sz w:val="24"/>
          <w:szCs w:val="24"/>
          <w:lang w:val="en-US"/>
        </w:rPr>
        <w:t>Although non-response bias is an important source of overestimation of electoral participation, we have no reason to expect that this bias varies between the two surveys. Thus, we expect that systematic differences in self-reported electoral participation between the two surveys</w:t>
      </w:r>
      <w:r>
        <w:rPr>
          <w:rFonts w:ascii="Arial" w:hAnsi="Arial" w:cs="Arial"/>
          <w:sz w:val="24"/>
          <w:szCs w:val="24"/>
          <w:lang w:val="en-US"/>
        </w:rPr>
        <w:t xml:space="preserve"> are caused by changes in individuals</w:t>
      </w:r>
      <w:r w:rsidR="00BA1BC0">
        <w:rPr>
          <w:rFonts w:ascii="Arial" w:hAnsi="Arial" w:cs="Arial"/>
          <w:sz w:val="24"/>
          <w:szCs w:val="24"/>
          <w:lang w:val="en-US"/>
        </w:rPr>
        <w:t>’</w:t>
      </w:r>
      <w:r>
        <w:rPr>
          <w:rFonts w:ascii="Arial" w:hAnsi="Arial" w:cs="Arial"/>
          <w:sz w:val="24"/>
          <w:szCs w:val="24"/>
          <w:lang w:val="en-US"/>
        </w:rPr>
        <w:t xml:space="preserve"> ability to </w:t>
      </w:r>
      <w:r w:rsidR="001633C3">
        <w:rPr>
          <w:rFonts w:ascii="Arial" w:hAnsi="Arial" w:cs="Arial"/>
          <w:sz w:val="24"/>
          <w:szCs w:val="24"/>
          <w:lang w:val="en-US"/>
        </w:rPr>
        <w:t xml:space="preserve">recall </w:t>
      </w:r>
      <w:r>
        <w:rPr>
          <w:rFonts w:ascii="Arial" w:hAnsi="Arial" w:cs="Arial"/>
          <w:sz w:val="24"/>
          <w:szCs w:val="24"/>
          <w:lang w:val="en-US"/>
        </w:rPr>
        <w:t>the event accurately and possibly also changes in respondents’ motivation to intentionally misreport.</w:t>
      </w:r>
    </w:p>
    <w:p w14:paraId="6D9D40E4" w14:textId="09EABFF8" w:rsidR="0030589D" w:rsidRPr="00BA1BC0" w:rsidRDefault="001E7CA0" w:rsidP="0030589D">
      <w:pPr>
        <w:spacing w:before="120" w:after="0" w:line="360" w:lineRule="auto"/>
        <w:jc w:val="both"/>
        <w:rPr>
          <w:rFonts w:ascii="Arial" w:hAnsi="Arial" w:cs="Arial"/>
          <w:sz w:val="24"/>
          <w:szCs w:val="24"/>
          <w:lang w:val="en-US"/>
        </w:rPr>
      </w:pPr>
      <w:r>
        <w:rPr>
          <w:rFonts w:ascii="Arial" w:hAnsi="Arial" w:cs="Arial"/>
          <w:sz w:val="24"/>
          <w:szCs w:val="24"/>
          <w:lang w:val="en-GB"/>
        </w:rPr>
        <w:t>As time passes since the elections, we</w:t>
      </w:r>
      <w:r w:rsidR="0030589D" w:rsidRPr="00A32A3E">
        <w:rPr>
          <w:rFonts w:ascii="Arial" w:hAnsi="Arial" w:cs="Arial"/>
          <w:sz w:val="24"/>
          <w:szCs w:val="24"/>
          <w:lang w:val="en-GB"/>
        </w:rPr>
        <w:t xml:space="preserve"> see the four following scenarios as possible </w:t>
      </w:r>
      <w:r w:rsidR="00F56AB5">
        <w:rPr>
          <w:rFonts w:ascii="Arial" w:hAnsi="Arial" w:cs="Arial"/>
          <w:sz w:val="24"/>
          <w:szCs w:val="24"/>
          <w:lang w:val="en-GB"/>
        </w:rPr>
        <w:t>effects of social desirability bias</w:t>
      </w:r>
      <w:r>
        <w:rPr>
          <w:rFonts w:ascii="Arial" w:hAnsi="Arial" w:cs="Arial"/>
          <w:sz w:val="24"/>
          <w:szCs w:val="24"/>
          <w:lang w:val="en-GB"/>
        </w:rPr>
        <w:t xml:space="preserve"> and</w:t>
      </w:r>
      <w:r w:rsidR="00F56AB5">
        <w:rPr>
          <w:rFonts w:ascii="Arial" w:hAnsi="Arial" w:cs="Arial"/>
          <w:sz w:val="24"/>
          <w:szCs w:val="24"/>
          <w:lang w:val="en-GB"/>
        </w:rPr>
        <w:t xml:space="preserve"> forgetting on reported electoral </w:t>
      </w:r>
      <w:r>
        <w:rPr>
          <w:rFonts w:ascii="Arial" w:hAnsi="Arial" w:cs="Arial"/>
          <w:sz w:val="24"/>
          <w:szCs w:val="24"/>
          <w:lang w:val="en-GB"/>
        </w:rPr>
        <w:t>participation:</w:t>
      </w:r>
    </w:p>
    <w:p w14:paraId="44CF54ED" w14:textId="01CB4E74" w:rsidR="0030589D" w:rsidRPr="00A32A3E" w:rsidRDefault="00D01E96" w:rsidP="0030589D">
      <w:pPr>
        <w:spacing w:before="120" w:after="0" w:line="360" w:lineRule="auto"/>
        <w:jc w:val="both"/>
        <w:rPr>
          <w:rFonts w:ascii="Arial" w:hAnsi="Arial" w:cs="Arial"/>
          <w:sz w:val="24"/>
          <w:szCs w:val="24"/>
          <w:lang w:val="en-GB"/>
        </w:rPr>
      </w:pPr>
      <w:r>
        <w:rPr>
          <w:rFonts w:ascii="Arial" w:hAnsi="Arial" w:cs="Arial"/>
          <w:sz w:val="24"/>
          <w:szCs w:val="24"/>
          <w:lang w:val="en-GB"/>
        </w:rPr>
        <w:t xml:space="preserve">H1: </w:t>
      </w:r>
      <w:r w:rsidR="0030589D" w:rsidRPr="00A32A3E">
        <w:rPr>
          <w:rFonts w:ascii="Arial" w:hAnsi="Arial" w:cs="Arial"/>
          <w:sz w:val="24"/>
          <w:szCs w:val="24"/>
          <w:lang w:val="en-GB"/>
        </w:rPr>
        <w:t>Respondents forget and give more socially desirable answers. Thus, reported participation rates increase over time at both the individual and the aggregate level.</w:t>
      </w:r>
    </w:p>
    <w:p w14:paraId="60F9E9BA" w14:textId="6C36C3A3" w:rsidR="0030589D" w:rsidRPr="00A32A3E" w:rsidRDefault="00D01E96" w:rsidP="0030589D">
      <w:pPr>
        <w:spacing w:before="120" w:after="0" w:line="360" w:lineRule="auto"/>
        <w:jc w:val="both"/>
        <w:rPr>
          <w:rFonts w:ascii="Arial" w:hAnsi="Arial" w:cs="Arial"/>
          <w:sz w:val="24"/>
          <w:szCs w:val="24"/>
          <w:lang w:val="en-GB"/>
        </w:rPr>
      </w:pPr>
      <w:r>
        <w:rPr>
          <w:rFonts w:ascii="Arial" w:hAnsi="Arial" w:cs="Arial"/>
          <w:sz w:val="24"/>
          <w:szCs w:val="24"/>
          <w:lang w:val="en-GB"/>
        </w:rPr>
        <w:t xml:space="preserve">H2: </w:t>
      </w:r>
      <w:r w:rsidR="0030589D" w:rsidRPr="00A32A3E">
        <w:rPr>
          <w:rFonts w:ascii="Arial" w:hAnsi="Arial" w:cs="Arial"/>
          <w:sz w:val="24"/>
          <w:szCs w:val="24"/>
          <w:lang w:val="en-GB"/>
        </w:rPr>
        <w:t>Respondents forget and do not feel strong social desirability pressures. Thus, the rates of do-not-know answers increase.</w:t>
      </w:r>
    </w:p>
    <w:p w14:paraId="6E887868" w14:textId="3A78C012" w:rsidR="0030589D" w:rsidRPr="00A32A3E" w:rsidRDefault="00D01E96" w:rsidP="0030589D">
      <w:pPr>
        <w:spacing w:before="120" w:after="0" w:line="360" w:lineRule="auto"/>
        <w:jc w:val="both"/>
        <w:rPr>
          <w:rFonts w:ascii="Arial" w:hAnsi="Arial" w:cs="Arial"/>
          <w:sz w:val="24"/>
          <w:szCs w:val="24"/>
          <w:lang w:val="en-GB"/>
        </w:rPr>
      </w:pPr>
      <w:r>
        <w:rPr>
          <w:rFonts w:ascii="Arial" w:hAnsi="Arial" w:cs="Arial"/>
          <w:sz w:val="24"/>
          <w:szCs w:val="24"/>
          <w:lang w:val="en-GB"/>
        </w:rPr>
        <w:t xml:space="preserve">H3: </w:t>
      </w:r>
      <w:r w:rsidR="0030589D" w:rsidRPr="00A32A3E">
        <w:rPr>
          <w:rFonts w:ascii="Arial" w:hAnsi="Arial" w:cs="Arial"/>
          <w:sz w:val="24"/>
          <w:szCs w:val="24"/>
          <w:lang w:val="en-GB"/>
        </w:rPr>
        <w:t xml:space="preserve">Respondents answer more honestly because they feel less social desirability pressure years after the event. Thus, the aggregate participation rate is closer to the actual </w:t>
      </w:r>
      <w:r w:rsidR="00BD3B0B">
        <w:rPr>
          <w:rFonts w:ascii="Arial" w:hAnsi="Arial" w:cs="Arial"/>
          <w:sz w:val="24"/>
          <w:szCs w:val="24"/>
          <w:lang w:val="en-GB"/>
        </w:rPr>
        <w:t>turnout.</w:t>
      </w:r>
      <w:r w:rsidR="0030589D" w:rsidRPr="00A32A3E">
        <w:rPr>
          <w:rFonts w:ascii="Arial" w:hAnsi="Arial" w:cs="Arial"/>
          <w:sz w:val="24"/>
          <w:szCs w:val="24"/>
          <w:lang w:val="en-GB"/>
        </w:rPr>
        <w:t xml:space="preserve"> </w:t>
      </w:r>
      <w:r w:rsidR="00BD3B0B">
        <w:rPr>
          <w:rFonts w:ascii="Arial" w:hAnsi="Arial" w:cs="Arial"/>
          <w:sz w:val="24"/>
          <w:szCs w:val="24"/>
          <w:lang w:val="en-GB"/>
        </w:rPr>
        <w:t>A</w:t>
      </w:r>
      <w:r w:rsidR="0030589D" w:rsidRPr="00A32A3E">
        <w:rPr>
          <w:rFonts w:ascii="Arial" w:hAnsi="Arial" w:cs="Arial"/>
          <w:sz w:val="24"/>
          <w:szCs w:val="24"/>
          <w:lang w:val="en-GB"/>
        </w:rPr>
        <w:t>t the individual level more respondents change their answer from yes to no than vice versa.</w:t>
      </w:r>
    </w:p>
    <w:p w14:paraId="2AD13FAE" w14:textId="1B622E24" w:rsidR="00867886" w:rsidRPr="0030589D" w:rsidRDefault="00D01E96" w:rsidP="00A32A3E">
      <w:pPr>
        <w:spacing w:before="120" w:after="0" w:line="360" w:lineRule="auto"/>
        <w:jc w:val="both"/>
        <w:rPr>
          <w:rFonts w:ascii="Arial" w:hAnsi="Arial" w:cs="Arial"/>
          <w:sz w:val="24"/>
          <w:szCs w:val="24"/>
          <w:lang w:val="en-GB"/>
        </w:rPr>
      </w:pPr>
      <w:r>
        <w:rPr>
          <w:rFonts w:ascii="Arial" w:hAnsi="Arial" w:cs="Arial"/>
          <w:sz w:val="24"/>
          <w:szCs w:val="24"/>
          <w:lang w:val="en-GB"/>
        </w:rPr>
        <w:t xml:space="preserve">H4: </w:t>
      </w:r>
      <w:r w:rsidR="0030589D" w:rsidRPr="00A32A3E">
        <w:rPr>
          <w:rFonts w:ascii="Arial" w:hAnsi="Arial" w:cs="Arial"/>
          <w:sz w:val="24"/>
          <w:szCs w:val="24"/>
          <w:lang w:val="en-GB"/>
        </w:rPr>
        <w:t>Respondents remember important events such as elections and answer truthfully at both time points. Thus</w:t>
      </w:r>
      <w:r w:rsidR="0030589D">
        <w:rPr>
          <w:rFonts w:ascii="Arial" w:hAnsi="Arial" w:cs="Arial"/>
          <w:sz w:val="24"/>
          <w:szCs w:val="24"/>
          <w:lang w:val="en-GB"/>
        </w:rPr>
        <w:t>,</w:t>
      </w:r>
      <w:r w:rsidR="0030589D" w:rsidRPr="00A32A3E">
        <w:rPr>
          <w:rFonts w:ascii="Arial" w:hAnsi="Arial" w:cs="Arial"/>
          <w:sz w:val="24"/>
          <w:szCs w:val="24"/>
          <w:lang w:val="en-GB"/>
        </w:rPr>
        <w:t xml:space="preserve"> there is a small discrepancy in participation rates at the aggregate and individual level. </w:t>
      </w:r>
      <w:r w:rsidR="00E47C30">
        <w:rPr>
          <w:rFonts w:ascii="Arial" w:hAnsi="Arial" w:cs="Arial"/>
          <w:sz w:val="24"/>
          <w:szCs w:val="24"/>
          <w:lang w:val="en-GB"/>
        </w:rPr>
        <w:t>Over-report</w:t>
      </w:r>
      <w:r w:rsidR="0030589D" w:rsidRPr="00A32A3E">
        <w:rPr>
          <w:rFonts w:ascii="Arial" w:hAnsi="Arial" w:cs="Arial"/>
          <w:sz w:val="24"/>
          <w:szCs w:val="24"/>
          <w:lang w:val="en-GB"/>
        </w:rPr>
        <w:t>ing is therefore due to overrepresentation of voters in the sample.</w:t>
      </w:r>
    </w:p>
    <w:p w14:paraId="3884B96C" w14:textId="77777777" w:rsidR="00867886" w:rsidRPr="00867886" w:rsidRDefault="00867886" w:rsidP="008678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Pr="00867886">
        <w:rPr>
          <w:rFonts w:ascii="Arial" w:hAnsi="Arial" w:cs="Arial"/>
          <w:b/>
          <w:sz w:val="24"/>
          <w:szCs w:val="24"/>
          <w:lang w:val="en-GB"/>
        </w:rPr>
        <w:t>Data and methodology</w:t>
      </w:r>
    </w:p>
    <w:p w14:paraId="4E24AC94" w14:textId="131914E6" w:rsidR="00F52EED" w:rsidRDefault="00842D0C" w:rsidP="00A32A3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data used in this study is the </w:t>
      </w:r>
      <w:r w:rsidR="00A32A3E" w:rsidRPr="00A32A3E">
        <w:rPr>
          <w:rFonts w:ascii="Arial" w:hAnsi="Arial" w:cs="Arial"/>
          <w:sz w:val="24"/>
          <w:szCs w:val="24"/>
          <w:lang w:val="en-GB"/>
        </w:rPr>
        <w:t xml:space="preserve">Norwegian </w:t>
      </w:r>
      <w:r w:rsidR="00F30D81">
        <w:rPr>
          <w:rFonts w:ascii="Arial" w:hAnsi="Arial" w:cs="Arial"/>
          <w:sz w:val="24"/>
          <w:szCs w:val="24"/>
          <w:lang w:val="en-GB"/>
        </w:rPr>
        <w:t>S</w:t>
      </w:r>
      <w:r w:rsidR="00F30D81" w:rsidRPr="00A32A3E">
        <w:rPr>
          <w:rFonts w:ascii="Arial" w:hAnsi="Arial" w:cs="Arial"/>
          <w:sz w:val="24"/>
          <w:szCs w:val="24"/>
          <w:lang w:val="en-GB"/>
        </w:rPr>
        <w:t xml:space="preserve">urvey </w:t>
      </w:r>
      <w:r w:rsidR="00A32A3E" w:rsidRPr="00A32A3E">
        <w:rPr>
          <w:rFonts w:ascii="Arial" w:hAnsi="Arial" w:cs="Arial"/>
          <w:sz w:val="24"/>
          <w:szCs w:val="24"/>
          <w:lang w:val="en-GB"/>
        </w:rPr>
        <w:t xml:space="preserve">on </w:t>
      </w:r>
      <w:r w:rsidR="00F30D81">
        <w:rPr>
          <w:rFonts w:ascii="Arial" w:hAnsi="Arial" w:cs="Arial"/>
          <w:sz w:val="24"/>
          <w:szCs w:val="24"/>
          <w:lang w:val="en-GB"/>
        </w:rPr>
        <w:t>L</w:t>
      </w:r>
      <w:r w:rsidR="00A32A3E" w:rsidRPr="00A32A3E">
        <w:rPr>
          <w:rFonts w:ascii="Arial" w:hAnsi="Arial" w:cs="Arial"/>
          <w:sz w:val="24"/>
          <w:szCs w:val="24"/>
          <w:lang w:val="en-GB"/>
        </w:rPr>
        <w:t xml:space="preserve">iving </w:t>
      </w:r>
      <w:r w:rsidR="00F30D81">
        <w:rPr>
          <w:rFonts w:ascii="Arial" w:hAnsi="Arial" w:cs="Arial"/>
          <w:sz w:val="24"/>
          <w:szCs w:val="24"/>
          <w:lang w:val="en-GB"/>
        </w:rPr>
        <w:t>C</w:t>
      </w:r>
      <w:r w:rsidR="00A32A3E" w:rsidRPr="00A32A3E">
        <w:rPr>
          <w:rFonts w:ascii="Arial" w:hAnsi="Arial" w:cs="Arial"/>
          <w:sz w:val="24"/>
          <w:szCs w:val="24"/>
          <w:lang w:val="en-GB"/>
        </w:rPr>
        <w:t>onditions</w:t>
      </w:r>
      <w:r w:rsidR="00A618D7">
        <w:rPr>
          <w:rFonts w:ascii="Arial" w:hAnsi="Arial" w:cs="Arial"/>
          <w:sz w:val="24"/>
          <w:szCs w:val="24"/>
          <w:lang w:val="en-GB"/>
        </w:rPr>
        <w:t xml:space="preserve"> (SILC)</w:t>
      </w:r>
      <w:r>
        <w:rPr>
          <w:rFonts w:ascii="Arial" w:hAnsi="Arial" w:cs="Arial"/>
          <w:sz w:val="24"/>
          <w:szCs w:val="24"/>
          <w:lang w:val="en-GB"/>
        </w:rPr>
        <w:t xml:space="preserve"> from </w:t>
      </w:r>
      <w:r w:rsidRPr="00A32A3E">
        <w:rPr>
          <w:rFonts w:ascii="Arial" w:hAnsi="Arial" w:cs="Arial"/>
          <w:sz w:val="24"/>
          <w:szCs w:val="24"/>
          <w:lang w:val="en-GB"/>
        </w:rPr>
        <w:t>2014 and 2017</w:t>
      </w:r>
      <w:r>
        <w:rPr>
          <w:rFonts w:ascii="Arial" w:hAnsi="Arial" w:cs="Arial"/>
          <w:sz w:val="24"/>
          <w:szCs w:val="24"/>
          <w:lang w:val="en-GB"/>
        </w:rPr>
        <w:t>. Both years the survey</w:t>
      </w:r>
      <w:r w:rsidRPr="00A32A3E">
        <w:rPr>
          <w:rFonts w:ascii="Arial" w:hAnsi="Arial" w:cs="Arial"/>
          <w:sz w:val="24"/>
          <w:szCs w:val="24"/>
          <w:lang w:val="en-GB"/>
        </w:rPr>
        <w:t xml:space="preserve"> </w:t>
      </w:r>
      <w:r w:rsidR="00A32A3E" w:rsidRPr="00A32A3E">
        <w:rPr>
          <w:rFonts w:ascii="Arial" w:hAnsi="Arial" w:cs="Arial"/>
          <w:sz w:val="24"/>
          <w:szCs w:val="24"/>
          <w:lang w:val="en-GB"/>
        </w:rPr>
        <w:t>included questions on participation in the last parliamentary election</w:t>
      </w:r>
      <w:r w:rsidR="002568FA">
        <w:rPr>
          <w:rFonts w:ascii="Arial" w:hAnsi="Arial" w:cs="Arial"/>
          <w:sz w:val="24"/>
          <w:szCs w:val="24"/>
          <w:lang w:val="en-GB"/>
        </w:rPr>
        <w:t>.</w:t>
      </w:r>
      <w:r w:rsidR="001633C3">
        <w:rPr>
          <w:rFonts w:ascii="Arial" w:hAnsi="Arial" w:cs="Arial"/>
          <w:sz w:val="24"/>
          <w:szCs w:val="24"/>
          <w:lang w:val="en-GB"/>
        </w:rPr>
        <w:t xml:space="preserve"> </w:t>
      </w:r>
      <w:r w:rsidR="00A32A3E" w:rsidRPr="00A32A3E">
        <w:rPr>
          <w:rFonts w:ascii="Arial" w:hAnsi="Arial" w:cs="Arial"/>
          <w:sz w:val="24"/>
          <w:szCs w:val="24"/>
          <w:lang w:val="en-GB"/>
        </w:rPr>
        <w:t xml:space="preserve">Since there had been no national elections between the surveys both referred to the 2013-election. </w:t>
      </w:r>
      <w:r>
        <w:rPr>
          <w:rFonts w:ascii="Arial" w:hAnsi="Arial" w:cs="Arial"/>
          <w:sz w:val="24"/>
          <w:szCs w:val="24"/>
          <w:lang w:val="en-GB"/>
        </w:rPr>
        <w:t>Thus</w:t>
      </w:r>
      <w:r w:rsidR="00A32A3E" w:rsidRPr="00A32A3E">
        <w:rPr>
          <w:rFonts w:ascii="Arial" w:hAnsi="Arial" w:cs="Arial"/>
          <w:sz w:val="24"/>
          <w:szCs w:val="24"/>
          <w:lang w:val="en-GB"/>
        </w:rPr>
        <w:t>, we asked about the same event 4-9 months and 3.5-4 years after it happened</w:t>
      </w:r>
      <w:r w:rsidR="004A3FA0">
        <w:rPr>
          <w:rFonts w:ascii="Arial" w:hAnsi="Arial" w:cs="Arial"/>
          <w:sz w:val="24"/>
          <w:szCs w:val="24"/>
          <w:lang w:val="en-GB"/>
        </w:rPr>
        <w:t>. E</w:t>
      </w:r>
      <w:r w:rsidR="002568FA" w:rsidRPr="002568FA">
        <w:rPr>
          <w:rFonts w:ascii="Arial" w:hAnsi="Arial" w:cs="Arial"/>
          <w:sz w:val="24"/>
          <w:szCs w:val="24"/>
          <w:lang w:val="en-GB"/>
        </w:rPr>
        <w:t>lectoral participation was not the main topic of the survey</w:t>
      </w:r>
      <w:r w:rsidR="00666540">
        <w:rPr>
          <w:rFonts w:ascii="Arial" w:hAnsi="Arial" w:cs="Arial"/>
          <w:sz w:val="24"/>
          <w:szCs w:val="24"/>
          <w:lang w:val="en-GB"/>
        </w:rPr>
        <w:t>s</w:t>
      </w:r>
      <w:r w:rsidR="002568FA" w:rsidRPr="002568FA">
        <w:rPr>
          <w:rFonts w:ascii="Arial" w:hAnsi="Arial" w:cs="Arial"/>
          <w:sz w:val="24"/>
          <w:szCs w:val="24"/>
          <w:lang w:val="en-GB"/>
        </w:rPr>
        <w:t xml:space="preserve">. This reduces the risk of self-selection of politically involved individuals. </w:t>
      </w:r>
      <w:r w:rsidR="00A32A3E" w:rsidRPr="00A32A3E">
        <w:rPr>
          <w:rFonts w:ascii="Arial" w:hAnsi="Arial" w:cs="Arial"/>
          <w:sz w:val="24"/>
          <w:szCs w:val="24"/>
          <w:lang w:val="en-GB"/>
        </w:rPr>
        <w:t xml:space="preserve"> </w:t>
      </w:r>
    </w:p>
    <w:p w14:paraId="56CA3B73" w14:textId="7BBA8F03" w:rsidR="00A32A3E" w:rsidRDefault="00047858" w:rsidP="00A32A3E">
      <w:pPr>
        <w:spacing w:before="120" w:after="0" w:line="360" w:lineRule="auto"/>
        <w:jc w:val="both"/>
        <w:rPr>
          <w:rFonts w:ascii="Arial" w:hAnsi="Arial" w:cs="Arial"/>
          <w:sz w:val="24"/>
          <w:szCs w:val="24"/>
          <w:lang w:val="en-GB"/>
        </w:rPr>
      </w:pPr>
      <w:r>
        <w:rPr>
          <w:rFonts w:ascii="Arial" w:hAnsi="Arial" w:cs="Arial"/>
          <w:sz w:val="24"/>
          <w:szCs w:val="24"/>
          <w:lang w:val="en-GB"/>
        </w:rPr>
        <w:t>The response rate in the 2014 survey was 55 per cent, and 54 per cent in 2017.</w:t>
      </w:r>
      <w:r w:rsidR="009E01BA">
        <w:rPr>
          <w:rFonts w:ascii="Arial" w:hAnsi="Arial" w:cs="Arial"/>
          <w:sz w:val="24"/>
          <w:szCs w:val="24"/>
          <w:lang w:val="en-GB"/>
        </w:rPr>
        <w:t xml:space="preserve"> </w:t>
      </w:r>
      <w:r w:rsidR="00F52EED">
        <w:rPr>
          <w:rFonts w:ascii="Arial" w:hAnsi="Arial" w:cs="Arial"/>
          <w:sz w:val="24"/>
          <w:szCs w:val="24"/>
          <w:lang w:val="en-GB"/>
        </w:rPr>
        <w:t>Non-response weights were applied</w:t>
      </w:r>
      <w:r w:rsidR="00A618D7">
        <w:rPr>
          <w:rStyle w:val="Fotnotereferanse"/>
          <w:rFonts w:ascii="Arial" w:hAnsi="Arial" w:cs="Arial"/>
          <w:sz w:val="24"/>
          <w:szCs w:val="24"/>
          <w:lang w:val="en-GB"/>
        </w:rPr>
        <w:footnoteReference w:id="1"/>
      </w:r>
      <w:r w:rsidR="00F52EED">
        <w:rPr>
          <w:rFonts w:ascii="Arial" w:hAnsi="Arial" w:cs="Arial"/>
          <w:sz w:val="24"/>
          <w:szCs w:val="24"/>
          <w:lang w:val="en-GB"/>
        </w:rPr>
        <w:t xml:space="preserve">. </w:t>
      </w:r>
      <w:r w:rsidR="001633C3">
        <w:rPr>
          <w:rFonts w:ascii="Arial" w:hAnsi="Arial" w:cs="Arial"/>
          <w:sz w:val="24"/>
          <w:szCs w:val="24"/>
          <w:lang w:val="en-GB"/>
        </w:rPr>
        <w:t xml:space="preserve">The survey has a </w:t>
      </w:r>
      <w:r w:rsidR="001633C3" w:rsidRPr="0071289C">
        <w:rPr>
          <w:rFonts w:ascii="Arial" w:hAnsi="Arial" w:cs="Arial"/>
          <w:sz w:val="24"/>
          <w:szCs w:val="24"/>
          <w:lang w:val="en-GB"/>
        </w:rPr>
        <w:t>ro</w:t>
      </w:r>
      <w:r w:rsidR="001633C3">
        <w:rPr>
          <w:rFonts w:ascii="Arial" w:hAnsi="Arial" w:cs="Arial"/>
          <w:sz w:val="24"/>
          <w:szCs w:val="24"/>
          <w:lang w:val="en-GB"/>
        </w:rPr>
        <w:t>tating panel design and a</w:t>
      </w:r>
      <w:r w:rsidR="009E01BA">
        <w:rPr>
          <w:rFonts w:ascii="Arial" w:hAnsi="Arial" w:cs="Arial"/>
          <w:sz w:val="24"/>
          <w:szCs w:val="24"/>
          <w:lang w:val="en-GB"/>
        </w:rPr>
        <w:t xml:space="preserve">bout ¼ </w:t>
      </w:r>
      <w:r w:rsidR="00CA2AAA">
        <w:rPr>
          <w:rFonts w:ascii="Arial" w:hAnsi="Arial" w:cs="Arial"/>
          <w:sz w:val="24"/>
          <w:szCs w:val="24"/>
          <w:lang w:val="en-GB"/>
        </w:rPr>
        <w:t xml:space="preserve">of </w:t>
      </w:r>
      <w:r w:rsidR="009E01BA">
        <w:rPr>
          <w:rFonts w:ascii="Arial" w:hAnsi="Arial" w:cs="Arial"/>
          <w:sz w:val="24"/>
          <w:szCs w:val="24"/>
          <w:lang w:val="en-GB"/>
        </w:rPr>
        <w:t>the 2014 sample were invited to participate again in 2017.</w:t>
      </w:r>
      <w:r w:rsidR="00F52EED">
        <w:rPr>
          <w:rFonts w:ascii="Arial" w:hAnsi="Arial" w:cs="Arial"/>
          <w:sz w:val="24"/>
          <w:szCs w:val="24"/>
          <w:lang w:val="en-GB"/>
        </w:rPr>
        <w:t xml:space="preserve"> Thus, the sample size is considerably lower in the analyses conducted on panel data. </w:t>
      </w:r>
    </w:p>
    <w:p w14:paraId="2C7DF161" w14:textId="78D17E05" w:rsidR="00687399" w:rsidRPr="00687399" w:rsidRDefault="005B2DC0" w:rsidP="00687399">
      <w:pPr>
        <w:spacing w:before="120" w:after="0" w:line="360" w:lineRule="auto"/>
        <w:jc w:val="both"/>
        <w:rPr>
          <w:rFonts w:ascii="Arial" w:hAnsi="Arial" w:cs="Arial"/>
          <w:sz w:val="24"/>
          <w:szCs w:val="24"/>
          <w:lang w:val="en-GB"/>
        </w:rPr>
      </w:pPr>
      <w:r>
        <w:rPr>
          <w:rFonts w:ascii="Arial" w:hAnsi="Arial" w:cs="Arial"/>
          <w:sz w:val="24"/>
          <w:szCs w:val="24"/>
          <w:lang w:val="en-GB"/>
        </w:rPr>
        <w:t>The sample is randomly drawn among residents aged 16 or more at the time of survey</w:t>
      </w:r>
      <w:r w:rsidR="00CA2AAA">
        <w:rPr>
          <w:rFonts w:ascii="Arial" w:hAnsi="Arial" w:cs="Arial"/>
          <w:sz w:val="24"/>
          <w:szCs w:val="24"/>
          <w:lang w:val="en-GB"/>
        </w:rPr>
        <w:t>. W</w:t>
      </w:r>
      <w:r>
        <w:rPr>
          <w:rFonts w:ascii="Arial" w:hAnsi="Arial" w:cs="Arial"/>
          <w:sz w:val="24"/>
          <w:szCs w:val="24"/>
          <w:lang w:val="en-GB"/>
        </w:rPr>
        <w:t xml:space="preserve">e only included respondents that had a right to vote in the 2013 parliamentary election in the analyses. Respondents who were younger than 18 in 2013 and non-citizens are therefore excluded. </w:t>
      </w:r>
      <w:r w:rsidR="00687399" w:rsidRPr="001C3F4E">
        <w:rPr>
          <w:rFonts w:ascii="Arial" w:hAnsi="Arial" w:cs="Arial"/>
          <w:sz w:val="24"/>
          <w:szCs w:val="24"/>
          <w:lang w:val="en-GB"/>
        </w:rPr>
        <w:t>The old and sick are likely to have low participation rates in surveys, as well as in elections. Therefore, results for this age group should be interpreted with care.</w:t>
      </w:r>
    </w:p>
    <w:p w14:paraId="738F3B82" w14:textId="58EAE149" w:rsidR="00687399" w:rsidRDefault="00B20091" w:rsidP="00687399">
      <w:pPr>
        <w:spacing w:before="120" w:after="0" w:line="360" w:lineRule="auto"/>
        <w:jc w:val="both"/>
        <w:rPr>
          <w:rFonts w:ascii="Arial" w:hAnsi="Arial" w:cs="Arial"/>
          <w:sz w:val="24"/>
          <w:szCs w:val="24"/>
          <w:lang w:val="en-GB"/>
        </w:rPr>
      </w:pPr>
      <w:r>
        <w:rPr>
          <w:rFonts w:ascii="Arial" w:hAnsi="Arial" w:cs="Arial"/>
          <w:sz w:val="24"/>
          <w:szCs w:val="24"/>
          <w:lang w:val="en-GB"/>
        </w:rPr>
        <w:t>There were 6 665 respondents in the 2014</w:t>
      </w:r>
      <w:r w:rsidR="002436B7">
        <w:rPr>
          <w:rFonts w:ascii="Arial" w:hAnsi="Arial" w:cs="Arial"/>
          <w:sz w:val="24"/>
          <w:szCs w:val="24"/>
          <w:lang w:val="en-GB"/>
        </w:rPr>
        <w:t xml:space="preserve"> survey and 5 353 respondents in the 2017 survey </w:t>
      </w:r>
      <w:r w:rsidR="00F30D81">
        <w:rPr>
          <w:rFonts w:ascii="Arial" w:hAnsi="Arial" w:cs="Arial"/>
          <w:sz w:val="24"/>
          <w:szCs w:val="24"/>
          <w:lang w:val="en-GB"/>
        </w:rPr>
        <w:t xml:space="preserve">that </w:t>
      </w:r>
      <w:r w:rsidR="002436B7">
        <w:rPr>
          <w:rFonts w:ascii="Arial" w:hAnsi="Arial" w:cs="Arial"/>
          <w:sz w:val="24"/>
          <w:szCs w:val="24"/>
          <w:lang w:val="en-GB"/>
        </w:rPr>
        <w:t>were eligible voters in 2013</w:t>
      </w:r>
      <w:r w:rsidR="00F30D81">
        <w:rPr>
          <w:rFonts w:ascii="Arial" w:hAnsi="Arial" w:cs="Arial"/>
          <w:sz w:val="24"/>
          <w:szCs w:val="24"/>
          <w:lang w:val="en-GB"/>
        </w:rPr>
        <w:t xml:space="preserve"> </w:t>
      </w:r>
      <w:r w:rsidR="00F30D81" w:rsidRPr="00242296">
        <w:rPr>
          <w:rFonts w:ascii="Arial" w:hAnsi="Arial" w:cs="Arial"/>
          <w:sz w:val="24"/>
          <w:szCs w:val="24"/>
          <w:lang w:val="en-GB"/>
        </w:rPr>
        <w:t>and answered the question</w:t>
      </w:r>
      <w:r w:rsidR="00F30D81">
        <w:rPr>
          <w:rFonts w:ascii="Arial" w:hAnsi="Arial" w:cs="Arial"/>
          <w:sz w:val="24"/>
          <w:szCs w:val="24"/>
          <w:lang w:val="en-GB"/>
        </w:rPr>
        <w:t>s</w:t>
      </w:r>
      <w:r w:rsidR="00F30D81" w:rsidRPr="00242296">
        <w:rPr>
          <w:rFonts w:ascii="Arial" w:hAnsi="Arial" w:cs="Arial"/>
          <w:sz w:val="24"/>
          <w:szCs w:val="24"/>
          <w:lang w:val="en-GB"/>
        </w:rPr>
        <w:t xml:space="preserve"> about electoral participation</w:t>
      </w:r>
      <w:r w:rsidR="002436B7">
        <w:rPr>
          <w:rFonts w:ascii="Arial" w:hAnsi="Arial" w:cs="Arial"/>
          <w:sz w:val="24"/>
          <w:szCs w:val="24"/>
          <w:lang w:val="en-GB"/>
        </w:rPr>
        <w:t>.</w:t>
      </w:r>
      <w:r w:rsidR="00242296" w:rsidRPr="00242296">
        <w:t xml:space="preserve"> </w:t>
      </w:r>
      <w:r w:rsidR="00242296" w:rsidRPr="00242296">
        <w:rPr>
          <w:rFonts w:ascii="Arial" w:hAnsi="Arial" w:cs="Arial"/>
          <w:sz w:val="24"/>
          <w:szCs w:val="24"/>
          <w:lang w:val="en-GB"/>
        </w:rPr>
        <w:t>109</w:t>
      </w:r>
      <w:r w:rsidR="00242296">
        <w:rPr>
          <w:rFonts w:ascii="Arial" w:hAnsi="Arial" w:cs="Arial"/>
          <w:sz w:val="24"/>
          <w:szCs w:val="24"/>
          <w:lang w:val="en-GB"/>
        </w:rPr>
        <w:t>4</w:t>
      </w:r>
      <w:r w:rsidR="00242296" w:rsidRPr="00242296">
        <w:rPr>
          <w:rFonts w:ascii="Arial" w:hAnsi="Arial" w:cs="Arial"/>
          <w:sz w:val="24"/>
          <w:szCs w:val="24"/>
          <w:lang w:val="en-GB"/>
        </w:rPr>
        <w:t xml:space="preserve"> </w:t>
      </w:r>
      <w:r w:rsidR="00242296">
        <w:rPr>
          <w:rFonts w:ascii="Arial" w:hAnsi="Arial" w:cs="Arial"/>
          <w:sz w:val="24"/>
          <w:szCs w:val="24"/>
          <w:lang w:val="en-GB"/>
        </w:rPr>
        <w:t>respondents</w:t>
      </w:r>
      <w:r w:rsidR="00242296" w:rsidRPr="00242296">
        <w:rPr>
          <w:rFonts w:ascii="Arial" w:hAnsi="Arial" w:cs="Arial"/>
          <w:sz w:val="24"/>
          <w:szCs w:val="24"/>
          <w:lang w:val="en-GB"/>
        </w:rPr>
        <w:t xml:space="preserve"> participated in both survey</w:t>
      </w:r>
      <w:r w:rsidR="00242296">
        <w:rPr>
          <w:rFonts w:ascii="Arial" w:hAnsi="Arial" w:cs="Arial"/>
          <w:sz w:val="24"/>
          <w:szCs w:val="24"/>
          <w:lang w:val="en-GB"/>
        </w:rPr>
        <w:t xml:space="preserve"> wave</w:t>
      </w:r>
      <w:r w:rsidR="00242296" w:rsidRPr="00242296">
        <w:rPr>
          <w:rFonts w:ascii="Arial" w:hAnsi="Arial" w:cs="Arial"/>
          <w:sz w:val="24"/>
          <w:szCs w:val="24"/>
          <w:lang w:val="en-GB"/>
        </w:rPr>
        <w:t>s.</w:t>
      </w:r>
      <w:r w:rsidR="00242296">
        <w:rPr>
          <w:rFonts w:ascii="Arial" w:hAnsi="Arial" w:cs="Arial"/>
          <w:sz w:val="24"/>
          <w:szCs w:val="24"/>
          <w:lang w:val="en-GB"/>
        </w:rPr>
        <w:t xml:space="preserve"> </w:t>
      </w:r>
    </w:p>
    <w:p w14:paraId="513917D4" w14:textId="77777777" w:rsidR="00A4412A" w:rsidRDefault="00A4412A">
      <w:pPr>
        <w:rPr>
          <w:rFonts w:ascii="Arial" w:hAnsi="Arial" w:cs="Arial"/>
          <w:b/>
          <w:sz w:val="24"/>
          <w:szCs w:val="24"/>
          <w:lang w:val="en-GB"/>
        </w:rPr>
      </w:pPr>
      <w:r>
        <w:rPr>
          <w:rFonts w:ascii="Arial" w:hAnsi="Arial" w:cs="Arial"/>
          <w:b/>
          <w:sz w:val="24"/>
          <w:szCs w:val="24"/>
          <w:lang w:val="en-GB"/>
        </w:rPr>
        <w:br w:type="page"/>
      </w:r>
    </w:p>
    <w:p w14:paraId="102B431B" w14:textId="30BCACAC" w:rsidR="00C50149" w:rsidRDefault="00276E7D" w:rsidP="00687399">
      <w:pPr>
        <w:spacing w:before="120" w:after="0" w:line="360" w:lineRule="auto"/>
        <w:jc w:val="both"/>
        <w:rPr>
          <w:rFonts w:ascii="Arial" w:hAnsi="Arial" w:cs="Arial"/>
          <w:b/>
          <w:sz w:val="24"/>
          <w:szCs w:val="24"/>
          <w:lang w:val="en-GB"/>
        </w:rPr>
      </w:pPr>
      <w:r>
        <w:rPr>
          <w:rFonts w:ascii="Arial" w:hAnsi="Arial" w:cs="Arial"/>
          <w:b/>
          <w:sz w:val="24"/>
          <w:szCs w:val="24"/>
          <w:lang w:val="en-GB"/>
        </w:rPr>
        <w:t>4</w:t>
      </w:r>
      <w:r w:rsidR="00B15163" w:rsidRPr="00C70A50">
        <w:rPr>
          <w:rFonts w:ascii="Arial" w:hAnsi="Arial" w:cs="Arial"/>
          <w:b/>
          <w:sz w:val="24"/>
          <w:szCs w:val="24"/>
          <w:lang w:val="en-GB"/>
        </w:rPr>
        <w:t xml:space="preserve">. </w:t>
      </w:r>
      <w:r w:rsidR="006A2DD9" w:rsidRPr="00C50149">
        <w:rPr>
          <w:rFonts w:ascii="Arial" w:hAnsi="Arial" w:cs="Arial"/>
          <w:b/>
          <w:sz w:val="24"/>
          <w:szCs w:val="24"/>
          <w:lang w:val="en-GB"/>
        </w:rPr>
        <w:t>Results from cross-sectional data</w:t>
      </w:r>
    </w:p>
    <w:p w14:paraId="12BB5ED2" w14:textId="19F5E9A7" w:rsidR="00C70A50" w:rsidRPr="000D3240" w:rsidRDefault="00C70A50" w:rsidP="000D3240">
      <w:pPr>
        <w:spacing w:before="120" w:after="0" w:line="360" w:lineRule="auto"/>
        <w:jc w:val="both"/>
        <w:rPr>
          <w:rFonts w:ascii="Arial" w:hAnsi="Arial" w:cs="Arial"/>
          <w:sz w:val="24"/>
          <w:szCs w:val="24"/>
          <w:lang w:val="en-GB"/>
        </w:rPr>
      </w:pPr>
      <w:r w:rsidRPr="00C70A50">
        <w:rPr>
          <w:rFonts w:ascii="Arial" w:hAnsi="Arial" w:cs="Arial"/>
          <w:sz w:val="24"/>
          <w:szCs w:val="24"/>
          <w:lang w:val="en-GB"/>
        </w:rPr>
        <w:t xml:space="preserve">The reported </w:t>
      </w:r>
      <w:r>
        <w:rPr>
          <w:rFonts w:ascii="Arial" w:hAnsi="Arial" w:cs="Arial"/>
          <w:sz w:val="24"/>
          <w:szCs w:val="24"/>
          <w:lang w:val="en-GB"/>
        </w:rPr>
        <w:t xml:space="preserve">rates of voting were </w:t>
      </w:r>
      <w:r w:rsidR="00FE4963">
        <w:rPr>
          <w:rFonts w:ascii="Arial" w:hAnsi="Arial" w:cs="Arial"/>
          <w:sz w:val="24"/>
          <w:szCs w:val="24"/>
          <w:lang w:val="en-GB"/>
        </w:rPr>
        <w:t>relatively consistent</w:t>
      </w:r>
      <w:r>
        <w:rPr>
          <w:rFonts w:ascii="Arial" w:hAnsi="Arial" w:cs="Arial"/>
          <w:sz w:val="24"/>
          <w:szCs w:val="24"/>
          <w:lang w:val="en-GB"/>
        </w:rPr>
        <w:t xml:space="preserve"> </w:t>
      </w:r>
      <w:r w:rsidR="00BB5DFE">
        <w:rPr>
          <w:rFonts w:ascii="Arial" w:hAnsi="Arial" w:cs="Arial"/>
          <w:sz w:val="24"/>
          <w:szCs w:val="24"/>
          <w:lang w:val="en-GB"/>
        </w:rPr>
        <w:t xml:space="preserve">in </w:t>
      </w:r>
      <w:r w:rsidR="00FE4963">
        <w:rPr>
          <w:rFonts w:ascii="Arial" w:hAnsi="Arial" w:cs="Arial"/>
          <w:sz w:val="24"/>
          <w:szCs w:val="24"/>
          <w:lang w:val="en-GB"/>
        </w:rPr>
        <w:t>the surveys</w:t>
      </w:r>
      <w:r>
        <w:rPr>
          <w:rFonts w:ascii="Arial" w:hAnsi="Arial" w:cs="Arial"/>
          <w:sz w:val="24"/>
          <w:szCs w:val="24"/>
          <w:lang w:val="en-GB"/>
        </w:rPr>
        <w:t xml:space="preserve">. </w:t>
      </w:r>
      <w:r w:rsidR="00391BF4">
        <w:rPr>
          <w:rFonts w:ascii="Arial" w:hAnsi="Arial" w:cs="Arial"/>
          <w:sz w:val="24"/>
          <w:szCs w:val="24"/>
          <w:lang w:val="en-GB"/>
        </w:rPr>
        <w:t xml:space="preserve">In the 2014 survey a total of </w:t>
      </w:r>
      <w:r w:rsidR="00012E9B">
        <w:rPr>
          <w:rFonts w:ascii="Arial" w:hAnsi="Arial" w:cs="Arial"/>
          <w:sz w:val="24"/>
          <w:szCs w:val="24"/>
          <w:lang w:val="en-GB"/>
        </w:rPr>
        <w:t xml:space="preserve">88.8 per cent of eligible voters reported </w:t>
      </w:r>
      <w:r w:rsidR="00391BF4">
        <w:rPr>
          <w:rFonts w:ascii="Arial" w:hAnsi="Arial" w:cs="Arial"/>
          <w:sz w:val="24"/>
          <w:szCs w:val="24"/>
          <w:lang w:val="en-GB"/>
        </w:rPr>
        <w:t>to have</w:t>
      </w:r>
      <w:r w:rsidR="00012E9B">
        <w:rPr>
          <w:rFonts w:ascii="Arial" w:hAnsi="Arial" w:cs="Arial"/>
          <w:sz w:val="24"/>
          <w:szCs w:val="24"/>
          <w:lang w:val="en-GB"/>
        </w:rPr>
        <w:t xml:space="preserve"> voted in the 2013-election, while 88.2 reported to have voted in the same election in the 2017-survey. </w:t>
      </w:r>
      <w:r w:rsidR="00391BF4">
        <w:rPr>
          <w:rFonts w:ascii="Arial" w:hAnsi="Arial" w:cs="Arial"/>
          <w:sz w:val="24"/>
          <w:szCs w:val="24"/>
          <w:lang w:val="en-GB"/>
        </w:rPr>
        <w:t>Thus, at the aggregate level f</w:t>
      </w:r>
      <w:r w:rsidR="005C26E6">
        <w:rPr>
          <w:rFonts w:ascii="Arial" w:hAnsi="Arial" w:cs="Arial"/>
          <w:sz w:val="24"/>
          <w:szCs w:val="24"/>
          <w:lang w:val="en-GB"/>
        </w:rPr>
        <w:t xml:space="preserve">orgetting and social desirability bias </w:t>
      </w:r>
      <w:r w:rsidR="00391BF4">
        <w:rPr>
          <w:rFonts w:ascii="Arial" w:hAnsi="Arial" w:cs="Arial"/>
          <w:sz w:val="24"/>
          <w:szCs w:val="24"/>
          <w:lang w:val="en-GB"/>
        </w:rPr>
        <w:t>appear</w:t>
      </w:r>
      <w:r w:rsidR="005C26E6">
        <w:rPr>
          <w:rFonts w:ascii="Arial" w:hAnsi="Arial" w:cs="Arial"/>
          <w:sz w:val="24"/>
          <w:szCs w:val="24"/>
          <w:lang w:val="en-GB"/>
        </w:rPr>
        <w:t xml:space="preserve"> to have a consistent impact on the headline numbers. </w:t>
      </w:r>
    </w:p>
    <w:p w14:paraId="76D65160" w14:textId="58875952" w:rsidR="00C70A50" w:rsidRPr="00EC5F5A" w:rsidRDefault="00C70A50" w:rsidP="00E53CAE">
      <w:pPr>
        <w:pStyle w:val="Bildetekst"/>
        <w:keepNext/>
        <w:spacing w:after="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A4412A">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Reported electoral participation in 2013 parliamentary election in the SILC-survey in 2014 and 2017</w:t>
      </w:r>
      <w:r w:rsidR="00116A2D">
        <w:rPr>
          <w:rFonts w:ascii="Arial" w:hAnsi="Arial" w:cs="Arial"/>
          <w:b/>
          <w:i w:val="0"/>
          <w:color w:val="auto"/>
          <w:sz w:val="20"/>
          <w:szCs w:val="20"/>
          <w:lang w:val="en-GB"/>
        </w:rPr>
        <w:t>, cross-sectional data.</w:t>
      </w:r>
    </w:p>
    <w:tbl>
      <w:tblPr>
        <w:tblW w:w="83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660"/>
        <w:gridCol w:w="1660"/>
        <w:gridCol w:w="1660"/>
        <w:gridCol w:w="1660"/>
      </w:tblGrid>
      <w:tr w:rsidR="00FD3F56" w:rsidRPr="00FD3F56" w14:paraId="7CA0FB1C" w14:textId="77777777" w:rsidTr="00FD3F56">
        <w:trPr>
          <w:trHeight w:val="308"/>
        </w:trPr>
        <w:tc>
          <w:tcPr>
            <w:tcW w:w="1660" w:type="dxa"/>
            <w:shd w:val="clear" w:color="auto" w:fill="auto"/>
            <w:vAlign w:val="center"/>
            <w:hideMark/>
          </w:tcPr>
          <w:p w14:paraId="1AEE3D94"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Response</w:t>
            </w:r>
          </w:p>
        </w:tc>
        <w:tc>
          <w:tcPr>
            <w:tcW w:w="1660" w:type="dxa"/>
            <w:shd w:val="clear" w:color="auto" w:fill="auto"/>
            <w:vAlign w:val="center"/>
            <w:hideMark/>
          </w:tcPr>
          <w:p w14:paraId="40BD0F43"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Voted</w:t>
            </w:r>
          </w:p>
        </w:tc>
        <w:tc>
          <w:tcPr>
            <w:tcW w:w="1660" w:type="dxa"/>
            <w:shd w:val="clear" w:color="auto" w:fill="auto"/>
            <w:vAlign w:val="center"/>
            <w:hideMark/>
          </w:tcPr>
          <w:p w14:paraId="2FFF5588"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Did not vote</w:t>
            </w:r>
          </w:p>
        </w:tc>
        <w:tc>
          <w:tcPr>
            <w:tcW w:w="1660" w:type="dxa"/>
            <w:shd w:val="clear" w:color="auto" w:fill="auto"/>
            <w:vAlign w:val="center"/>
            <w:hideMark/>
          </w:tcPr>
          <w:p w14:paraId="7181143A" w14:textId="77777777" w:rsidR="00FD3F56" w:rsidRPr="00FD3F56" w:rsidRDefault="00FD3F56" w:rsidP="00FD3F56">
            <w:pPr>
              <w:spacing w:after="0" w:line="240" w:lineRule="auto"/>
              <w:jc w:val="center"/>
              <w:rPr>
                <w:rFonts w:ascii="Arial" w:eastAsia="Times New Roman" w:hAnsi="Arial" w:cs="Arial"/>
                <w:color w:val="000000"/>
                <w:sz w:val="20"/>
                <w:szCs w:val="20"/>
                <w:lang w:val="en-US" w:eastAsia="nb-NO"/>
              </w:rPr>
            </w:pPr>
            <w:r w:rsidRPr="00FD3F56">
              <w:rPr>
                <w:rFonts w:ascii="Arial" w:eastAsia="Times New Roman" w:hAnsi="Arial" w:cs="Arial"/>
                <w:color w:val="000000"/>
                <w:sz w:val="20"/>
                <w:szCs w:val="20"/>
                <w:lang w:val="en-GB" w:eastAsia="nb-NO"/>
              </w:rPr>
              <w:t>Do not want to answer</w:t>
            </w:r>
          </w:p>
        </w:tc>
        <w:tc>
          <w:tcPr>
            <w:tcW w:w="1660" w:type="dxa"/>
            <w:shd w:val="clear" w:color="auto" w:fill="auto"/>
            <w:vAlign w:val="center"/>
            <w:hideMark/>
          </w:tcPr>
          <w:p w14:paraId="7FF1DC65"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Do not know</w:t>
            </w:r>
          </w:p>
        </w:tc>
      </w:tr>
      <w:tr w:rsidR="00FD3F56" w:rsidRPr="00FD3F56" w14:paraId="2ACE51E4" w14:textId="77777777" w:rsidTr="00FD3F56">
        <w:trPr>
          <w:trHeight w:val="184"/>
        </w:trPr>
        <w:tc>
          <w:tcPr>
            <w:tcW w:w="1660" w:type="dxa"/>
            <w:shd w:val="clear" w:color="auto" w:fill="auto"/>
            <w:vAlign w:val="center"/>
            <w:hideMark/>
          </w:tcPr>
          <w:p w14:paraId="46CE5B15" w14:textId="77777777" w:rsidR="00FD3F56" w:rsidRPr="00FD3F56" w:rsidRDefault="00FD3F56" w:rsidP="00FD3F56">
            <w:pPr>
              <w:spacing w:after="0" w:line="240" w:lineRule="auto"/>
              <w:jc w:val="center"/>
              <w:rPr>
                <w:rFonts w:ascii="Arial" w:eastAsia="Times New Roman" w:hAnsi="Arial" w:cs="Arial"/>
                <w:b/>
                <w:bCs/>
                <w:color w:val="000000"/>
                <w:sz w:val="20"/>
                <w:szCs w:val="20"/>
                <w:lang w:val="nb-NO" w:eastAsia="nb-NO"/>
              </w:rPr>
            </w:pPr>
            <w:r w:rsidRPr="00FD3F56">
              <w:rPr>
                <w:rFonts w:ascii="Arial" w:eastAsia="Times New Roman" w:hAnsi="Arial" w:cs="Arial"/>
                <w:b/>
                <w:bCs/>
                <w:color w:val="000000"/>
                <w:sz w:val="20"/>
                <w:szCs w:val="20"/>
                <w:lang w:val="en-GB" w:eastAsia="nb-NO"/>
              </w:rPr>
              <w:t>SILC 2014</w:t>
            </w:r>
          </w:p>
        </w:tc>
        <w:tc>
          <w:tcPr>
            <w:tcW w:w="1660" w:type="dxa"/>
            <w:shd w:val="clear" w:color="auto" w:fill="auto"/>
            <w:vAlign w:val="center"/>
            <w:hideMark/>
          </w:tcPr>
          <w:p w14:paraId="7588FC7B"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88.8</w:t>
            </w:r>
          </w:p>
        </w:tc>
        <w:tc>
          <w:tcPr>
            <w:tcW w:w="1660" w:type="dxa"/>
            <w:shd w:val="clear" w:color="auto" w:fill="auto"/>
            <w:vAlign w:val="center"/>
            <w:hideMark/>
          </w:tcPr>
          <w:p w14:paraId="234B024E" w14:textId="6EEE2392"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10.</w:t>
            </w:r>
            <w:r>
              <w:rPr>
                <w:rFonts w:ascii="Arial" w:eastAsia="Times New Roman" w:hAnsi="Arial" w:cs="Arial"/>
                <w:color w:val="000000"/>
                <w:sz w:val="20"/>
                <w:szCs w:val="20"/>
                <w:lang w:val="en-GB" w:eastAsia="nb-NO"/>
              </w:rPr>
              <w:t>9</w:t>
            </w:r>
          </w:p>
        </w:tc>
        <w:tc>
          <w:tcPr>
            <w:tcW w:w="1660" w:type="dxa"/>
            <w:shd w:val="clear" w:color="auto" w:fill="auto"/>
            <w:vAlign w:val="center"/>
            <w:hideMark/>
          </w:tcPr>
          <w:p w14:paraId="0FA43B7D"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0.3</w:t>
            </w:r>
          </w:p>
        </w:tc>
        <w:tc>
          <w:tcPr>
            <w:tcW w:w="1660" w:type="dxa"/>
            <w:shd w:val="clear" w:color="auto" w:fill="auto"/>
            <w:vAlign w:val="center"/>
            <w:hideMark/>
          </w:tcPr>
          <w:p w14:paraId="2A8AD306"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0.1</w:t>
            </w:r>
          </w:p>
        </w:tc>
      </w:tr>
      <w:tr w:rsidR="00FD3F56" w:rsidRPr="00FD3F56" w14:paraId="7A6F5C0B" w14:textId="77777777" w:rsidTr="00FD3F56">
        <w:trPr>
          <w:trHeight w:val="184"/>
        </w:trPr>
        <w:tc>
          <w:tcPr>
            <w:tcW w:w="1660" w:type="dxa"/>
            <w:shd w:val="clear" w:color="auto" w:fill="auto"/>
            <w:vAlign w:val="center"/>
            <w:hideMark/>
          </w:tcPr>
          <w:p w14:paraId="482860F5" w14:textId="77777777" w:rsidR="00FD3F56" w:rsidRPr="00FD3F56" w:rsidRDefault="00FD3F56" w:rsidP="00FD3F56">
            <w:pPr>
              <w:spacing w:after="0" w:line="240" w:lineRule="auto"/>
              <w:jc w:val="center"/>
              <w:rPr>
                <w:rFonts w:ascii="Arial" w:eastAsia="Times New Roman" w:hAnsi="Arial" w:cs="Arial"/>
                <w:b/>
                <w:bCs/>
                <w:color w:val="000000"/>
                <w:sz w:val="20"/>
                <w:szCs w:val="20"/>
                <w:lang w:val="nb-NO" w:eastAsia="nb-NO"/>
              </w:rPr>
            </w:pPr>
            <w:r w:rsidRPr="00FD3F56">
              <w:rPr>
                <w:rFonts w:ascii="Arial" w:eastAsia="Times New Roman" w:hAnsi="Arial" w:cs="Arial"/>
                <w:b/>
                <w:bCs/>
                <w:color w:val="000000"/>
                <w:sz w:val="20"/>
                <w:szCs w:val="20"/>
                <w:lang w:val="en-GB" w:eastAsia="nb-NO"/>
              </w:rPr>
              <w:t>SILC 2017</w:t>
            </w:r>
          </w:p>
        </w:tc>
        <w:tc>
          <w:tcPr>
            <w:tcW w:w="1660" w:type="dxa"/>
            <w:shd w:val="clear" w:color="auto" w:fill="auto"/>
            <w:vAlign w:val="center"/>
            <w:hideMark/>
          </w:tcPr>
          <w:p w14:paraId="501C7BA2"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88.2</w:t>
            </w:r>
          </w:p>
        </w:tc>
        <w:tc>
          <w:tcPr>
            <w:tcW w:w="1660" w:type="dxa"/>
            <w:shd w:val="clear" w:color="auto" w:fill="auto"/>
            <w:vAlign w:val="center"/>
            <w:hideMark/>
          </w:tcPr>
          <w:p w14:paraId="6FBFCD84" w14:textId="2588E748"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11.</w:t>
            </w:r>
            <w:r>
              <w:rPr>
                <w:rFonts w:ascii="Arial" w:eastAsia="Times New Roman" w:hAnsi="Arial" w:cs="Arial"/>
                <w:color w:val="000000"/>
                <w:sz w:val="20"/>
                <w:szCs w:val="20"/>
                <w:lang w:val="en-GB" w:eastAsia="nb-NO"/>
              </w:rPr>
              <w:t>4</w:t>
            </w:r>
          </w:p>
        </w:tc>
        <w:tc>
          <w:tcPr>
            <w:tcW w:w="1660" w:type="dxa"/>
            <w:shd w:val="clear" w:color="auto" w:fill="auto"/>
            <w:vAlign w:val="center"/>
            <w:hideMark/>
          </w:tcPr>
          <w:p w14:paraId="2C3C2EBA"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0.2</w:t>
            </w:r>
          </w:p>
        </w:tc>
        <w:tc>
          <w:tcPr>
            <w:tcW w:w="1660" w:type="dxa"/>
            <w:shd w:val="clear" w:color="auto" w:fill="auto"/>
            <w:vAlign w:val="center"/>
            <w:hideMark/>
          </w:tcPr>
          <w:p w14:paraId="1BD94D18" w14:textId="77777777" w:rsidR="00FD3F56" w:rsidRPr="00FD3F56" w:rsidRDefault="00FD3F56" w:rsidP="00FD3F56">
            <w:pPr>
              <w:spacing w:after="0" w:line="240" w:lineRule="auto"/>
              <w:jc w:val="center"/>
              <w:rPr>
                <w:rFonts w:ascii="Arial" w:eastAsia="Times New Roman" w:hAnsi="Arial" w:cs="Arial"/>
                <w:color w:val="000000"/>
                <w:sz w:val="20"/>
                <w:szCs w:val="20"/>
                <w:lang w:val="nb-NO" w:eastAsia="nb-NO"/>
              </w:rPr>
            </w:pPr>
            <w:r w:rsidRPr="00FD3F56">
              <w:rPr>
                <w:rFonts w:ascii="Arial" w:eastAsia="Times New Roman" w:hAnsi="Arial" w:cs="Arial"/>
                <w:color w:val="000000"/>
                <w:sz w:val="20"/>
                <w:szCs w:val="20"/>
                <w:lang w:val="en-GB" w:eastAsia="nb-NO"/>
              </w:rPr>
              <w:t>0.2</w:t>
            </w:r>
          </w:p>
        </w:tc>
      </w:tr>
    </w:tbl>
    <w:p w14:paraId="4B13791A" w14:textId="47A21DC9" w:rsidR="00C70A50" w:rsidRPr="00EC5F5A" w:rsidRDefault="00C70A50" w:rsidP="00C70A50">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F30D81">
        <w:rPr>
          <w:rFonts w:ascii="Arial" w:hAnsi="Arial" w:cs="Arial"/>
          <w:sz w:val="20"/>
          <w:szCs w:val="20"/>
          <w:lang w:val="en-GB"/>
        </w:rPr>
        <w:t>Norwegian Survey on Living Conditions</w:t>
      </w:r>
      <w:r>
        <w:rPr>
          <w:rFonts w:ascii="Arial" w:hAnsi="Arial" w:cs="Arial"/>
          <w:sz w:val="20"/>
          <w:szCs w:val="20"/>
          <w:lang w:val="en-GB"/>
        </w:rPr>
        <w:t>, 2014 and 2017</w:t>
      </w:r>
    </w:p>
    <w:p w14:paraId="1501884B" w14:textId="63040CF3" w:rsidR="00C70A50" w:rsidRDefault="00CA33FB" w:rsidP="00C70A50">
      <w:pPr>
        <w:spacing w:before="120" w:after="0" w:line="360" w:lineRule="auto"/>
        <w:jc w:val="both"/>
        <w:rPr>
          <w:rFonts w:ascii="Arial" w:hAnsi="Arial" w:cs="Arial"/>
          <w:sz w:val="24"/>
          <w:szCs w:val="24"/>
          <w:lang w:val="en-GB"/>
        </w:rPr>
      </w:pPr>
      <w:r>
        <w:rPr>
          <w:rFonts w:ascii="Arial" w:hAnsi="Arial" w:cs="Arial"/>
          <w:sz w:val="24"/>
          <w:szCs w:val="24"/>
          <w:lang w:val="en-GB"/>
        </w:rPr>
        <w:t>Few</w:t>
      </w:r>
      <w:r w:rsidR="00472406">
        <w:rPr>
          <w:rFonts w:ascii="Arial" w:hAnsi="Arial" w:cs="Arial"/>
          <w:sz w:val="24"/>
          <w:szCs w:val="24"/>
          <w:lang w:val="en-GB"/>
        </w:rPr>
        <w:t xml:space="preserve"> respondents admit to not remembering whether they voted</w:t>
      </w:r>
      <w:r>
        <w:rPr>
          <w:rFonts w:ascii="Arial" w:hAnsi="Arial" w:cs="Arial"/>
          <w:sz w:val="24"/>
          <w:szCs w:val="24"/>
          <w:lang w:val="en-GB"/>
        </w:rPr>
        <w:t xml:space="preserve"> in the election</w:t>
      </w:r>
      <w:r w:rsidR="00472406">
        <w:rPr>
          <w:rFonts w:ascii="Arial" w:hAnsi="Arial" w:cs="Arial"/>
          <w:sz w:val="24"/>
          <w:szCs w:val="24"/>
          <w:lang w:val="en-GB"/>
        </w:rPr>
        <w:t xml:space="preserve">. It is just as uncommon to </w:t>
      </w:r>
      <w:r w:rsidR="00DA010B">
        <w:rPr>
          <w:rFonts w:ascii="Arial" w:hAnsi="Arial" w:cs="Arial"/>
          <w:sz w:val="24"/>
          <w:szCs w:val="24"/>
          <w:lang w:val="en-GB"/>
        </w:rPr>
        <w:t>refuse</w:t>
      </w:r>
      <w:r w:rsidR="00472406">
        <w:rPr>
          <w:rFonts w:ascii="Arial" w:hAnsi="Arial" w:cs="Arial"/>
          <w:sz w:val="24"/>
          <w:szCs w:val="24"/>
          <w:lang w:val="en-GB"/>
        </w:rPr>
        <w:t xml:space="preserve"> to answer. This indicates that either people do not forget whether they voted or that respondents that do not remember try to give a response anyway.</w:t>
      </w:r>
    </w:p>
    <w:p w14:paraId="26E1D1D4" w14:textId="157886F4" w:rsidR="00705E03" w:rsidRDefault="00705E03" w:rsidP="00C70A50">
      <w:pPr>
        <w:spacing w:before="120" w:after="0" w:line="360" w:lineRule="auto"/>
        <w:jc w:val="both"/>
        <w:rPr>
          <w:rFonts w:ascii="Arial" w:hAnsi="Arial" w:cs="Arial"/>
          <w:sz w:val="24"/>
          <w:szCs w:val="24"/>
          <w:lang w:val="en-GB"/>
        </w:rPr>
      </w:pPr>
      <w:r>
        <w:rPr>
          <w:rFonts w:ascii="Arial" w:hAnsi="Arial" w:cs="Arial"/>
          <w:sz w:val="24"/>
          <w:szCs w:val="24"/>
          <w:lang w:val="en-GB"/>
        </w:rPr>
        <w:t>The electoral participation rates in both surveys are more than ten percentage points higher than the actual turnout</w:t>
      </w:r>
      <w:r w:rsidR="00CA33FB">
        <w:rPr>
          <w:rFonts w:ascii="Arial" w:hAnsi="Arial" w:cs="Arial"/>
          <w:sz w:val="24"/>
          <w:szCs w:val="24"/>
          <w:lang w:val="en-GB"/>
        </w:rPr>
        <w:t>: While</w:t>
      </w:r>
      <w:r>
        <w:rPr>
          <w:rFonts w:ascii="Arial" w:hAnsi="Arial" w:cs="Arial"/>
          <w:sz w:val="24"/>
          <w:szCs w:val="24"/>
          <w:lang w:val="en-GB"/>
        </w:rPr>
        <w:t xml:space="preserve"> 89 per cent reported to have voted in the both surveys</w:t>
      </w:r>
      <w:r>
        <w:rPr>
          <w:rStyle w:val="Fotnotereferanse"/>
          <w:rFonts w:ascii="Arial" w:hAnsi="Arial" w:cs="Arial"/>
          <w:sz w:val="24"/>
          <w:szCs w:val="24"/>
          <w:lang w:val="en-GB"/>
        </w:rPr>
        <w:footnoteReference w:id="2"/>
      </w:r>
      <w:r w:rsidR="00CA33FB">
        <w:rPr>
          <w:rFonts w:ascii="Arial" w:hAnsi="Arial" w:cs="Arial"/>
          <w:sz w:val="24"/>
          <w:szCs w:val="24"/>
          <w:lang w:val="en-GB"/>
        </w:rPr>
        <w:t>,</w:t>
      </w:r>
      <w:r>
        <w:rPr>
          <w:rFonts w:ascii="Arial" w:hAnsi="Arial" w:cs="Arial"/>
          <w:sz w:val="24"/>
          <w:szCs w:val="24"/>
          <w:lang w:val="en-GB"/>
        </w:rPr>
        <w:t xml:space="preserve"> </w:t>
      </w:r>
      <w:r w:rsidR="00CA33FB">
        <w:rPr>
          <w:rFonts w:ascii="Arial" w:hAnsi="Arial" w:cs="Arial"/>
          <w:sz w:val="24"/>
          <w:szCs w:val="24"/>
          <w:lang w:val="en-GB"/>
        </w:rPr>
        <w:t>t</w:t>
      </w:r>
      <w:r>
        <w:rPr>
          <w:rFonts w:ascii="Arial" w:hAnsi="Arial" w:cs="Arial"/>
          <w:sz w:val="24"/>
          <w:szCs w:val="24"/>
          <w:lang w:val="en-GB"/>
        </w:rPr>
        <w:t xml:space="preserve">he actual turnout was </w:t>
      </w:r>
      <w:r w:rsidRPr="008B16A1">
        <w:rPr>
          <w:rFonts w:ascii="Arial" w:hAnsi="Arial" w:cs="Arial"/>
          <w:sz w:val="24"/>
          <w:szCs w:val="24"/>
          <w:lang w:val="en-GB"/>
        </w:rPr>
        <w:t>78</w:t>
      </w:r>
      <w:r>
        <w:rPr>
          <w:rFonts w:ascii="Arial" w:hAnsi="Arial" w:cs="Arial"/>
          <w:sz w:val="24"/>
          <w:szCs w:val="24"/>
          <w:lang w:val="en-GB"/>
        </w:rPr>
        <w:t xml:space="preserve"> per cent. </w:t>
      </w:r>
      <w:r w:rsidR="008B16A1">
        <w:rPr>
          <w:rFonts w:ascii="Arial" w:hAnsi="Arial" w:cs="Arial"/>
          <w:sz w:val="24"/>
          <w:szCs w:val="24"/>
          <w:lang w:val="en-GB"/>
        </w:rPr>
        <w:t>This is in line with the average over-reporting in post-election studies</w:t>
      </w:r>
      <w:r w:rsidR="00FE20E0">
        <w:rPr>
          <w:rFonts w:ascii="Arial" w:hAnsi="Arial" w:cs="Arial"/>
          <w:sz w:val="24"/>
          <w:szCs w:val="24"/>
          <w:lang w:val="en-GB"/>
        </w:rPr>
        <w:t xml:space="preserve"> (</w:t>
      </w:r>
      <w:r w:rsidR="008B16A1">
        <w:rPr>
          <w:rFonts w:ascii="Arial" w:hAnsi="Arial" w:cs="Arial"/>
          <w:sz w:val="24"/>
          <w:szCs w:val="24"/>
          <w:lang w:val="en-GB"/>
        </w:rPr>
        <w:t xml:space="preserve">Selb and Munzert 2013). </w:t>
      </w:r>
      <w:r>
        <w:rPr>
          <w:rFonts w:ascii="Arial" w:hAnsi="Arial" w:cs="Arial"/>
          <w:sz w:val="24"/>
          <w:szCs w:val="24"/>
          <w:lang w:val="en-GB"/>
        </w:rPr>
        <w:t>Electoral participation was over</w:t>
      </w:r>
      <w:r w:rsidR="00543D59">
        <w:rPr>
          <w:rFonts w:ascii="Arial" w:hAnsi="Arial" w:cs="Arial"/>
          <w:sz w:val="24"/>
          <w:szCs w:val="24"/>
          <w:lang w:val="en-GB"/>
        </w:rPr>
        <w:t>-</w:t>
      </w:r>
      <w:r>
        <w:rPr>
          <w:rFonts w:ascii="Arial" w:hAnsi="Arial" w:cs="Arial"/>
          <w:sz w:val="24"/>
          <w:szCs w:val="24"/>
          <w:lang w:val="en-GB"/>
        </w:rPr>
        <w:t>reported at approximately equal levels for men and women.</w:t>
      </w:r>
    </w:p>
    <w:p w14:paraId="5CED2011" w14:textId="44C7FEEE" w:rsidR="008870D4" w:rsidRDefault="00705E03" w:rsidP="00C70A50">
      <w:pPr>
        <w:spacing w:before="120" w:after="0" w:line="360" w:lineRule="auto"/>
        <w:jc w:val="both"/>
        <w:rPr>
          <w:rFonts w:ascii="Arial" w:hAnsi="Arial" w:cs="Arial"/>
          <w:sz w:val="24"/>
          <w:szCs w:val="24"/>
          <w:lang w:val="en-GB"/>
        </w:rPr>
      </w:pPr>
      <w:r>
        <w:rPr>
          <w:rFonts w:ascii="Arial" w:hAnsi="Arial" w:cs="Arial"/>
          <w:sz w:val="24"/>
          <w:szCs w:val="24"/>
          <w:lang w:val="en-GB"/>
        </w:rPr>
        <w:t>The reported rate of voting was close to actual</w:t>
      </w:r>
      <w:r w:rsidR="007F0591">
        <w:rPr>
          <w:rFonts w:ascii="Arial" w:hAnsi="Arial" w:cs="Arial"/>
          <w:sz w:val="24"/>
          <w:szCs w:val="24"/>
          <w:lang w:val="en-GB"/>
        </w:rPr>
        <w:t xml:space="preserve"> turnout</w:t>
      </w:r>
      <w:r>
        <w:rPr>
          <w:rFonts w:ascii="Arial" w:hAnsi="Arial" w:cs="Arial"/>
          <w:sz w:val="24"/>
          <w:szCs w:val="24"/>
          <w:lang w:val="en-GB"/>
        </w:rPr>
        <w:t xml:space="preserve"> for one age group: respondents who were 18 or 19 in 2013. </w:t>
      </w:r>
      <w:r w:rsidR="007F0591">
        <w:rPr>
          <w:rFonts w:ascii="Arial" w:hAnsi="Arial" w:cs="Arial"/>
          <w:sz w:val="24"/>
          <w:szCs w:val="24"/>
          <w:lang w:val="en-GB"/>
        </w:rPr>
        <w:t xml:space="preserve">This group </w:t>
      </w:r>
      <w:r w:rsidR="00FE20E0">
        <w:rPr>
          <w:rFonts w:ascii="Arial" w:hAnsi="Arial" w:cs="Arial"/>
          <w:sz w:val="24"/>
          <w:szCs w:val="24"/>
          <w:lang w:val="en-GB"/>
        </w:rPr>
        <w:t xml:space="preserve">voted for the </w:t>
      </w:r>
      <w:r w:rsidR="007F0591">
        <w:rPr>
          <w:rFonts w:ascii="Arial" w:hAnsi="Arial" w:cs="Arial"/>
          <w:sz w:val="24"/>
          <w:szCs w:val="24"/>
          <w:lang w:val="en-GB"/>
        </w:rPr>
        <w:t>first</w:t>
      </w:r>
      <w:r w:rsidR="00FE20E0">
        <w:rPr>
          <w:rFonts w:ascii="Arial" w:hAnsi="Arial" w:cs="Arial"/>
          <w:sz w:val="24"/>
          <w:szCs w:val="24"/>
          <w:lang w:val="en-GB"/>
        </w:rPr>
        <w:t xml:space="preserve"> </w:t>
      </w:r>
      <w:r w:rsidR="007F0591">
        <w:rPr>
          <w:rFonts w:ascii="Arial" w:hAnsi="Arial" w:cs="Arial"/>
          <w:sz w:val="24"/>
          <w:szCs w:val="24"/>
          <w:lang w:val="en-GB"/>
        </w:rPr>
        <w:t xml:space="preserve">time in </w:t>
      </w:r>
      <w:r w:rsidR="008870D4">
        <w:rPr>
          <w:rFonts w:ascii="Arial" w:hAnsi="Arial" w:cs="Arial"/>
          <w:sz w:val="24"/>
          <w:szCs w:val="24"/>
          <w:lang w:val="en-GB"/>
        </w:rPr>
        <w:t xml:space="preserve">2013. At the time they were interviewed </w:t>
      </w:r>
      <w:r w:rsidR="007F0591">
        <w:rPr>
          <w:rFonts w:ascii="Arial" w:hAnsi="Arial" w:cs="Arial"/>
          <w:sz w:val="24"/>
          <w:szCs w:val="24"/>
          <w:lang w:val="en-GB"/>
        </w:rPr>
        <w:t xml:space="preserve">this was </w:t>
      </w:r>
      <w:r w:rsidR="008870D4">
        <w:rPr>
          <w:rFonts w:ascii="Arial" w:hAnsi="Arial" w:cs="Arial"/>
          <w:sz w:val="24"/>
          <w:szCs w:val="24"/>
          <w:lang w:val="en-GB"/>
        </w:rPr>
        <w:t xml:space="preserve">the only parliamentary election they could </w:t>
      </w:r>
      <w:r w:rsidR="007F0591">
        <w:rPr>
          <w:rFonts w:ascii="Arial" w:hAnsi="Arial" w:cs="Arial"/>
          <w:sz w:val="24"/>
          <w:szCs w:val="24"/>
          <w:lang w:val="en-GB"/>
        </w:rPr>
        <w:t xml:space="preserve">have </w:t>
      </w:r>
      <w:r w:rsidR="008870D4">
        <w:rPr>
          <w:rFonts w:ascii="Arial" w:hAnsi="Arial" w:cs="Arial"/>
          <w:sz w:val="24"/>
          <w:szCs w:val="24"/>
          <w:lang w:val="en-GB"/>
        </w:rPr>
        <w:t>participate</w:t>
      </w:r>
      <w:r w:rsidR="007F0591">
        <w:rPr>
          <w:rFonts w:ascii="Arial" w:hAnsi="Arial" w:cs="Arial"/>
          <w:sz w:val="24"/>
          <w:szCs w:val="24"/>
          <w:lang w:val="en-GB"/>
        </w:rPr>
        <w:t>d</w:t>
      </w:r>
      <w:r w:rsidR="008870D4">
        <w:rPr>
          <w:rFonts w:ascii="Arial" w:hAnsi="Arial" w:cs="Arial"/>
          <w:sz w:val="24"/>
          <w:szCs w:val="24"/>
          <w:lang w:val="en-GB"/>
        </w:rPr>
        <w:t xml:space="preserve"> in. This limits the </w:t>
      </w:r>
      <w:r w:rsidR="007F0591">
        <w:rPr>
          <w:rFonts w:ascii="Arial" w:hAnsi="Arial" w:cs="Arial"/>
          <w:sz w:val="24"/>
          <w:szCs w:val="24"/>
          <w:lang w:val="en-GB"/>
        </w:rPr>
        <w:t xml:space="preserve">risk </w:t>
      </w:r>
      <w:r w:rsidR="008870D4">
        <w:rPr>
          <w:rFonts w:ascii="Arial" w:hAnsi="Arial" w:cs="Arial"/>
          <w:sz w:val="24"/>
          <w:szCs w:val="24"/>
          <w:lang w:val="en-GB"/>
        </w:rPr>
        <w:t xml:space="preserve">of misremembering which election the question refers to. Electoral participation was overreported by at least five </w:t>
      </w:r>
      <w:r w:rsidR="00FE4963">
        <w:rPr>
          <w:rFonts w:ascii="Arial" w:hAnsi="Arial" w:cs="Arial"/>
          <w:sz w:val="24"/>
          <w:szCs w:val="24"/>
          <w:lang w:val="en-GB"/>
        </w:rPr>
        <w:t>percentage points in the other age groups</w:t>
      </w:r>
      <w:r w:rsidR="008870D4">
        <w:rPr>
          <w:rFonts w:ascii="Arial" w:hAnsi="Arial" w:cs="Arial"/>
          <w:sz w:val="24"/>
          <w:szCs w:val="24"/>
          <w:lang w:val="en-GB"/>
        </w:rPr>
        <w:t xml:space="preserve">. The rates are most </w:t>
      </w:r>
      <w:r w:rsidR="00E47C30">
        <w:rPr>
          <w:rFonts w:ascii="Arial" w:hAnsi="Arial" w:cs="Arial"/>
          <w:sz w:val="24"/>
          <w:szCs w:val="24"/>
          <w:lang w:val="en-GB"/>
        </w:rPr>
        <w:t>over-report</w:t>
      </w:r>
      <w:r w:rsidR="008870D4">
        <w:rPr>
          <w:rFonts w:ascii="Arial" w:hAnsi="Arial" w:cs="Arial"/>
          <w:sz w:val="24"/>
          <w:szCs w:val="24"/>
          <w:lang w:val="en-GB"/>
        </w:rPr>
        <w:t xml:space="preserve">ed among respondents in the oldest age group (80 years or older). </w:t>
      </w:r>
      <w:r w:rsidR="007F0591">
        <w:rPr>
          <w:rFonts w:ascii="Arial" w:hAnsi="Arial" w:cs="Arial"/>
          <w:sz w:val="24"/>
          <w:szCs w:val="24"/>
          <w:lang w:val="en-GB"/>
        </w:rPr>
        <w:t>However, t</w:t>
      </w:r>
      <w:r w:rsidR="008870D4">
        <w:rPr>
          <w:rFonts w:ascii="Arial" w:hAnsi="Arial" w:cs="Arial"/>
          <w:sz w:val="24"/>
          <w:szCs w:val="24"/>
          <w:lang w:val="en-GB"/>
        </w:rPr>
        <w:t xml:space="preserve">his </w:t>
      </w:r>
      <w:r w:rsidR="007F0591">
        <w:rPr>
          <w:rFonts w:ascii="Arial" w:hAnsi="Arial" w:cs="Arial"/>
          <w:sz w:val="24"/>
          <w:szCs w:val="24"/>
          <w:lang w:val="en-GB"/>
        </w:rPr>
        <w:t xml:space="preserve">could </w:t>
      </w:r>
      <w:r w:rsidR="008870D4">
        <w:rPr>
          <w:rFonts w:ascii="Arial" w:hAnsi="Arial" w:cs="Arial"/>
          <w:sz w:val="24"/>
          <w:szCs w:val="24"/>
          <w:lang w:val="en-GB"/>
        </w:rPr>
        <w:t xml:space="preserve">be due to the </w:t>
      </w:r>
      <w:r w:rsidR="007F0591">
        <w:rPr>
          <w:rFonts w:ascii="Arial" w:hAnsi="Arial" w:cs="Arial"/>
          <w:sz w:val="24"/>
          <w:szCs w:val="24"/>
          <w:lang w:val="en-GB"/>
        </w:rPr>
        <w:t>oldest and sickest in this age-group</w:t>
      </w:r>
      <w:r w:rsidR="00543D59">
        <w:rPr>
          <w:rFonts w:ascii="Arial" w:hAnsi="Arial" w:cs="Arial"/>
          <w:sz w:val="24"/>
          <w:szCs w:val="24"/>
          <w:lang w:val="en-GB"/>
        </w:rPr>
        <w:t xml:space="preserve"> both having</w:t>
      </w:r>
      <w:r w:rsidR="008870D4">
        <w:rPr>
          <w:rFonts w:ascii="Arial" w:hAnsi="Arial" w:cs="Arial"/>
          <w:sz w:val="24"/>
          <w:szCs w:val="24"/>
          <w:lang w:val="en-GB"/>
        </w:rPr>
        <w:t xml:space="preserve"> </w:t>
      </w:r>
      <w:r w:rsidR="007F0591">
        <w:rPr>
          <w:rFonts w:ascii="Arial" w:hAnsi="Arial" w:cs="Arial"/>
          <w:sz w:val="24"/>
          <w:szCs w:val="24"/>
          <w:lang w:val="en-GB"/>
        </w:rPr>
        <w:t xml:space="preserve">lower probability of </w:t>
      </w:r>
      <w:r w:rsidR="008870D4">
        <w:rPr>
          <w:rFonts w:ascii="Arial" w:hAnsi="Arial" w:cs="Arial"/>
          <w:sz w:val="24"/>
          <w:szCs w:val="24"/>
          <w:lang w:val="en-GB"/>
        </w:rPr>
        <w:t>vot</w:t>
      </w:r>
      <w:r w:rsidR="007F0591">
        <w:rPr>
          <w:rFonts w:ascii="Arial" w:hAnsi="Arial" w:cs="Arial"/>
          <w:sz w:val="24"/>
          <w:szCs w:val="24"/>
          <w:lang w:val="en-GB"/>
        </w:rPr>
        <w:t>ing and</w:t>
      </w:r>
      <w:r w:rsidR="008870D4">
        <w:rPr>
          <w:rFonts w:ascii="Arial" w:hAnsi="Arial" w:cs="Arial"/>
          <w:sz w:val="24"/>
          <w:szCs w:val="24"/>
          <w:lang w:val="en-GB"/>
        </w:rPr>
        <w:t xml:space="preserve"> participat</w:t>
      </w:r>
      <w:r w:rsidR="007F0591">
        <w:rPr>
          <w:rFonts w:ascii="Arial" w:hAnsi="Arial" w:cs="Arial"/>
          <w:sz w:val="24"/>
          <w:szCs w:val="24"/>
          <w:lang w:val="en-GB"/>
        </w:rPr>
        <w:t>ing</w:t>
      </w:r>
      <w:r w:rsidR="008870D4">
        <w:rPr>
          <w:rFonts w:ascii="Arial" w:hAnsi="Arial" w:cs="Arial"/>
          <w:sz w:val="24"/>
          <w:szCs w:val="24"/>
          <w:lang w:val="en-GB"/>
        </w:rPr>
        <w:t xml:space="preserve"> in the surveys.</w:t>
      </w:r>
      <w:r w:rsidR="00CA33FB">
        <w:rPr>
          <w:rFonts w:ascii="Arial" w:hAnsi="Arial" w:cs="Arial"/>
          <w:sz w:val="24"/>
          <w:szCs w:val="24"/>
          <w:lang w:val="en-GB"/>
        </w:rPr>
        <w:t xml:space="preserve"> </w:t>
      </w:r>
    </w:p>
    <w:p w14:paraId="729D928C" w14:textId="34973A57" w:rsidR="005920AF" w:rsidRDefault="00877B31" w:rsidP="00C70A5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Norwegian SILC underestimates the differences in participation rates between </w:t>
      </w:r>
      <w:r w:rsidR="003E6448">
        <w:rPr>
          <w:rFonts w:ascii="Arial" w:hAnsi="Arial" w:cs="Arial"/>
          <w:sz w:val="24"/>
          <w:szCs w:val="24"/>
          <w:lang w:val="en-GB"/>
        </w:rPr>
        <w:t xml:space="preserve">education groups. While only 65 per cent of </w:t>
      </w:r>
      <w:r w:rsidR="007F0591">
        <w:rPr>
          <w:rFonts w:ascii="Arial" w:hAnsi="Arial" w:cs="Arial"/>
          <w:sz w:val="24"/>
          <w:szCs w:val="24"/>
          <w:lang w:val="en-GB"/>
        </w:rPr>
        <w:t xml:space="preserve">persons </w:t>
      </w:r>
      <w:r w:rsidR="003E6448">
        <w:rPr>
          <w:rFonts w:ascii="Arial" w:hAnsi="Arial" w:cs="Arial"/>
          <w:sz w:val="24"/>
          <w:szCs w:val="24"/>
          <w:lang w:val="en-GB"/>
        </w:rPr>
        <w:t xml:space="preserve">with education lower than the upper secondary level voted, </w:t>
      </w:r>
      <w:r w:rsidR="007F0591">
        <w:rPr>
          <w:rFonts w:ascii="Arial" w:hAnsi="Arial" w:cs="Arial"/>
          <w:sz w:val="24"/>
          <w:szCs w:val="24"/>
          <w:lang w:val="en-GB"/>
        </w:rPr>
        <w:t xml:space="preserve">approximately </w:t>
      </w:r>
      <w:r w:rsidR="003E6448">
        <w:rPr>
          <w:rFonts w:ascii="Arial" w:hAnsi="Arial" w:cs="Arial"/>
          <w:sz w:val="24"/>
          <w:szCs w:val="24"/>
          <w:lang w:val="en-GB"/>
        </w:rPr>
        <w:t xml:space="preserve">80 per cent with this education level reported to have voted in the </w:t>
      </w:r>
      <w:r w:rsidR="007F0591">
        <w:rPr>
          <w:rFonts w:ascii="Arial" w:hAnsi="Arial" w:cs="Arial"/>
          <w:sz w:val="24"/>
          <w:szCs w:val="24"/>
          <w:lang w:val="en-GB"/>
        </w:rPr>
        <w:t>surveys</w:t>
      </w:r>
      <w:r w:rsidR="00793038">
        <w:rPr>
          <w:rFonts w:ascii="Arial" w:hAnsi="Arial" w:cs="Arial"/>
          <w:sz w:val="24"/>
          <w:szCs w:val="24"/>
          <w:lang w:val="en-GB"/>
        </w:rPr>
        <w:t>. The actual participation</w:t>
      </w:r>
      <w:r w:rsidR="00A43004">
        <w:rPr>
          <w:rFonts w:ascii="Arial" w:hAnsi="Arial" w:cs="Arial"/>
          <w:sz w:val="24"/>
          <w:szCs w:val="24"/>
          <w:lang w:val="en-GB"/>
        </w:rPr>
        <w:t xml:space="preserve"> rate</w:t>
      </w:r>
      <w:r w:rsidR="00793038">
        <w:rPr>
          <w:rFonts w:ascii="Arial" w:hAnsi="Arial" w:cs="Arial"/>
          <w:sz w:val="24"/>
          <w:szCs w:val="24"/>
          <w:lang w:val="en-GB"/>
        </w:rPr>
        <w:t xml:space="preserve"> for </w:t>
      </w:r>
      <w:r w:rsidR="007F0591">
        <w:rPr>
          <w:rFonts w:ascii="Arial" w:hAnsi="Arial" w:cs="Arial"/>
          <w:sz w:val="24"/>
          <w:szCs w:val="24"/>
          <w:lang w:val="en-GB"/>
        </w:rPr>
        <w:t xml:space="preserve">individuals </w:t>
      </w:r>
      <w:r w:rsidR="00793038">
        <w:rPr>
          <w:rFonts w:ascii="Arial" w:hAnsi="Arial" w:cs="Arial"/>
          <w:sz w:val="24"/>
          <w:szCs w:val="24"/>
          <w:lang w:val="en-GB"/>
        </w:rPr>
        <w:t xml:space="preserve">with tertiary education was 90 per cent, </w:t>
      </w:r>
      <w:r w:rsidR="00A43004">
        <w:rPr>
          <w:rFonts w:ascii="Arial" w:hAnsi="Arial" w:cs="Arial"/>
          <w:sz w:val="24"/>
          <w:szCs w:val="24"/>
          <w:lang w:val="en-GB"/>
        </w:rPr>
        <w:t xml:space="preserve">whereas </w:t>
      </w:r>
      <w:r w:rsidR="00793038">
        <w:rPr>
          <w:rFonts w:ascii="Arial" w:hAnsi="Arial" w:cs="Arial"/>
          <w:sz w:val="24"/>
          <w:szCs w:val="24"/>
          <w:lang w:val="en-GB"/>
        </w:rPr>
        <w:t xml:space="preserve">95 per cent of the </w:t>
      </w:r>
      <w:r w:rsidR="00A9685B">
        <w:rPr>
          <w:rFonts w:ascii="Arial" w:hAnsi="Arial" w:cs="Arial"/>
          <w:sz w:val="24"/>
          <w:szCs w:val="24"/>
          <w:lang w:val="en-GB"/>
        </w:rPr>
        <w:t>respondents</w:t>
      </w:r>
      <w:r w:rsidR="00793038">
        <w:rPr>
          <w:rFonts w:ascii="Arial" w:hAnsi="Arial" w:cs="Arial"/>
          <w:sz w:val="24"/>
          <w:szCs w:val="24"/>
          <w:lang w:val="en-GB"/>
        </w:rPr>
        <w:t xml:space="preserve"> </w:t>
      </w:r>
      <w:r w:rsidR="00FB7D07">
        <w:rPr>
          <w:rFonts w:ascii="Arial" w:hAnsi="Arial" w:cs="Arial"/>
          <w:sz w:val="24"/>
          <w:szCs w:val="24"/>
          <w:lang w:val="en-GB"/>
        </w:rPr>
        <w:t xml:space="preserve">in this group </w:t>
      </w:r>
      <w:r w:rsidR="00793038">
        <w:rPr>
          <w:rFonts w:ascii="Arial" w:hAnsi="Arial" w:cs="Arial"/>
          <w:sz w:val="24"/>
          <w:szCs w:val="24"/>
          <w:lang w:val="en-GB"/>
        </w:rPr>
        <w:t xml:space="preserve">reported to have voted. </w:t>
      </w:r>
    </w:p>
    <w:p w14:paraId="1310747B" w14:textId="03AC3E8D" w:rsidR="005D7B08" w:rsidRPr="00EC5F5A" w:rsidRDefault="005D7B08" w:rsidP="00D8712E">
      <w:pPr>
        <w:pStyle w:val="Bildetekst"/>
        <w:keepNext/>
        <w:spacing w:before="240" w:after="0"/>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A4412A">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Reported and actual participation rate in 2013 parliamentary election in various groups</w:t>
      </w:r>
    </w:p>
    <w:tbl>
      <w:tblPr>
        <w:tblStyle w:val="Tabellrutenett"/>
        <w:tblW w:w="0" w:type="auto"/>
        <w:tblLook w:val="04A0" w:firstRow="1" w:lastRow="0" w:firstColumn="1" w:lastColumn="0" w:noHBand="0" w:noVBand="1"/>
      </w:tblPr>
      <w:tblGrid>
        <w:gridCol w:w="1951"/>
        <w:gridCol w:w="1701"/>
        <w:gridCol w:w="1559"/>
        <w:gridCol w:w="1094"/>
        <w:gridCol w:w="1548"/>
        <w:gridCol w:w="1435"/>
      </w:tblGrid>
      <w:tr w:rsidR="00867E0A" w:rsidRPr="00EC5F5A" w14:paraId="1CAAB3C5" w14:textId="399C8246" w:rsidTr="00624DCE">
        <w:trPr>
          <w:cantSplit/>
        </w:trPr>
        <w:tc>
          <w:tcPr>
            <w:tcW w:w="1951" w:type="dxa"/>
          </w:tcPr>
          <w:p w14:paraId="79515E5C" w14:textId="24534C20" w:rsidR="00867E0A" w:rsidRPr="00EC5F5A" w:rsidRDefault="00867E0A" w:rsidP="005920AF">
            <w:pPr>
              <w:spacing w:line="360" w:lineRule="auto"/>
              <w:jc w:val="center"/>
              <w:rPr>
                <w:rFonts w:ascii="Arial" w:hAnsi="Arial" w:cs="Arial"/>
                <w:sz w:val="20"/>
                <w:szCs w:val="20"/>
                <w:lang w:val="en-GB"/>
              </w:rPr>
            </w:pPr>
          </w:p>
        </w:tc>
        <w:tc>
          <w:tcPr>
            <w:tcW w:w="1701" w:type="dxa"/>
          </w:tcPr>
          <w:p w14:paraId="2772B209" w14:textId="250E9339" w:rsidR="00867E0A" w:rsidRDefault="00867E0A" w:rsidP="005920AF">
            <w:pPr>
              <w:spacing w:line="360" w:lineRule="auto"/>
              <w:jc w:val="center"/>
              <w:rPr>
                <w:rFonts w:ascii="Arial" w:hAnsi="Arial" w:cs="Arial"/>
                <w:b/>
                <w:sz w:val="20"/>
                <w:szCs w:val="20"/>
                <w:lang w:val="en-GB"/>
              </w:rPr>
            </w:pPr>
            <w:r>
              <w:rPr>
                <w:rFonts w:ascii="Arial" w:hAnsi="Arial" w:cs="Arial"/>
                <w:b/>
                <w:sz w:val="20"/>
                <w:szCs w:val="20"/>
                <w:lang w:val="en-GB"/>
              </w:rPr>
              <w:t>Actual turnout</w:t>
            </w:r>
          </w:p>
        </w:tc>
        <w:tc>
          <w:tcPr>
            <w:tcW w:w="1559" w:type="dxa"/>
          </w:tcPr>
          <w:p w14:paraId="419DDACB" w14:textId="619F7AF4" w:rsidR="00867E0A" w:rsidRPr="00EC5F5A" w:rsidRDefault="00867E0A" w:rsidP="005920AF">
            <w:pPr>
              <w:spacing w:line="360" w:lineRule="auto"/>
              <w:jc w:val="center"/>
              <w:rPr>
                <w:rFonts w:ascii="Arial" w:hAnsi="Arial" w:cs="Arial"/>
                <w:sz w:val="20"/>
                <w:szCs w:val="20"/>
                <w:lang w:val="en-GB"/>
              </w:rPr>
            </w:pPr>
            <w:r>
              <w:rPr>
                <w:rFonts w:ascii="Arial" w:hAnsi="Arial" w:cs="Arial"/>
                <w:b/>
                <w:sz w:val="20"/>
                <w:szCs w:val="20"/>
                <w:lang w:val="en-GB"/>
              </w:rPr>
              <w:t>SILC 2014</w:t>
            </w:r>
          </w:p>
        </w:tc>
        <w:tc>
          <w:tcPr>
            <w:tcW w:w="1094" w:type="dxa"/>
          </w:tcPr>
          <w:p w14:paraId="5A3BD186" w14:textId="179C6323" w:rsidR="00867E0A" w:rsidRDefault="00867E0A" w:rsidP="005920AF">
            <w:pPr>
              <w:spacing w:line="360" w:lineRule="auto"/>
              <w:jc w:val="center"/>
              <w:rPr>
                <w:rFonts w:ascii="Arial" w:hAnsi="Arial" w:cs="Arial"/>
                <w:b/>
                <w:sz w:val="20"/>
                <w:szCs w:val="20"/>
                <w:lang w:val="en-GB"/>
              </w:rPr>
            </w:pPr>
            <w:r>
              <w:rPr>
                <w:rFonts w:ascii="Arial" w:hAnsi="Arial" w:cs="Arial"/>
                <w:b/>
                <w:sz w:val="20"/>
                <w:szCs w:val="20"/>
                <w:lang w:val="en-GB"/>
              </w:rPr>
              <w:t>N 2014</w:t>
            </w:r>
          </w:p>
        </w:tc>
        <w:tc>
          <w:tcPr>
            <w:tcW w:w="1548" w:type="dxa"/>
          </w:tcPr>
          <w:p w14:paraId="5FDF82D3" w14:textId="1E3B0BAE" w:rsidR="00867E0A" w:rsidRPr="00EC5F5A" w:rsidRDefault="00867E0A" w:rsidP="005920AF">
            <w:pPr>
              <w:spacing w:line="360" w:lineRule="auto"/>
              <w:jc w:val="center"/>
              <w:rPr>
                <w:rFonts w:ascii="Arial" w:hAnsi="Arial" w:cs="Arial"/>
                <w:sz w:val="20"/>
                <w:szCs w:val="20"/>
                <w:lang w:val="en-GB"/>
              </w:rPr>
            </w:pPr>
            <w:r>
              <w:rPr>
                <w:rFonts w:ascii="Arial" w:hAnsi="Arial" w:cs="Arial"/>
                <w:b/>
                <w:sz w:val="20"/>
                <w:szCs w:val="20"/>
                <w:lang w:val="en-GB"/>
              </w:rPr>
              <w:t>SILC 2017</w:t>
            </w:r>
          </w:p>
        </w:tc>
        <w:tc>
          <w:tcPr>
            <w:tcW w:w="1435" w:type="dxa"/>
          </w:tcPr>
          <w:p w14:paraId="443E8A60" w14:textId="4DA98345" w:rsidR="00867E0A" w:rsidRDefault="00867E0A" w:rsidP="005920AF">
            <w:pPr>
              <w:spacing w:line="360" w:lineRule="auto"/>
              <w:jc w:val="center"/>
              <w:rPr>
                <w:rFonts w:ascii="Arial" w:hAnsi="Arial" w:cs="Arial"/>
                <w:b/>
                <w:sz w:val="20"/>
                <w:szCs w:val="20"/>
                <w:lang w:val="en-GB"/>
              </w:rPr>
            </w:pPr>
            <w:r>
              <w:rPr>
                <w:rFonts w:ascii="Arial" w:hAnsi="Arial" w:cs="Arial"/>
                <w:b/>
                <w:sz w:val="20"/>
                <w:szCs w:val="20"/>
                <w:lang w:val="en-GB"/>
              </w:rPr>
              <w:t>N 2017</w:t>
            </w:r>
          </w:p>
        </w:tc>
      </w:tr>
      <w:tr w:rsidR="00624DCE" w:rsidRPr="00EC5F5A" w14:paraId="04EF06D8" w14:textId="2E4F61A3" w:rsidTr="00624DCE">
        <w:trPr>
          <w:cantSplit/>
        </w:trPr>
        <w:tc>
          <w:tcPr>
            <w:tcW w:w="1951" w:type="dxa"/>
          </w:tcPr>
          <w:p w14:paraId="5BBF3B3F" w14:textId="4E2EA3B9" w:rsidR="00624DCE" w:rsidRPr="005D7B08" w:rsidRDefault="00624DCE" w:rsidP="00624DCE">
            <w:pPr>
              <w:spacing w:line="360" w:lineRule="auto"/>
              <w:jc w:val="center"/>
              <w:rPr>
                <w:rFonts w:ascii="Arial" w:hAnsi="Arial" w:cs="Arial"/>
                <w:b/>
                <w:sz w:val="20"/>
                <w:szCs w:val="20"/>
                <w:lang w:val="en-GB"/>
              </w:rPr>
            </w:pPr>
            <w:r>
              <w:rPr>
                <w:rFonts w:ascii="Arial" w:hAnsi="Arial" w:cs="Arial"/>
                <w:b/>
                <w:sz w:val="20"/>
                <w:szCs w:val="20"/>
                <w:lang w:val="en-GB"/>
              </w:rPr>
              <w:t>All</w:t>
            </w:r>
          </w:p>
        </w:tc>
        <w:tc>
          <w:tcPr>
            <w:tcW w:w="1701" w:type="dxa"/>
          </w:tcPr>
          <w:p w14:paraId="7B359B87" w14:textId="15B7F841" w:rsidR="00624DCE" w:rsidRPr="005464BC" w:rsidRDefault="00624DCE" w:rsidP="00624DCE">
            <w:pPr>
              <w:spacing w:line="360" w:lineRule="auto"/>
              <w:jc w:val="center"/>
              <w:rPr>
                <w:rFonts w:ascii="Arial" w:hAnsi="Arial" w:cs="Arial"/>
                <w:b/>
                <w:sz w:val="20"/>
                <w:szCs w:val="20"/>
                <w:lang w:val="en-GB"/>
              </w:rPr>
            </w:pPr>
            <w:r w:rsidRPr="005464BC">
              <w:rPr>
                <w:b/>
              </w:rPr>
              <w:t>78</w:t>
            </w:r>
            <w:r>
              <w:rPr>
                <w:b/>
              </w:rPr>
              <w:t>.</w:t>
            </w:r>
            <w:r w:rsidRPr="005464BC">
              <w:rPr>
                <w:b/>
              </w:rPr>
              <w:t>2</w:t>
            </w:r>
          </w:p>
        </w:tc>
        <w:tc>
          <w:tcPr>
            <w:tcW w:w="1559" w:type="dxa"/>
          </w:tcPr>
          <w:p w14:paraId="5250BFF2" w14:textId="2E4D8B9D" w:rsidR="00624DCE" w:rsidRPr="005464BC" w:rsidRDefault="00624DCE" w:rsidP="00624DCE">
            <w:pPr>
              <w:spacing w:line="360" w:lineRule="auto"/>
              <w:jc w:val="center"/>
              <w:rPr>
                <w:rFonts w:ascii="Arial" w:hAnsi="Arial" w:cs="Arial"/>
                <w:b/>
                <w:sz w:val="20"/>
                <w:szCs w:val="20"/>
                <w:lang w:val="en-GB"/>
              </w:rPr>
            </w:pPr>
            <w:r w:rsidRPr="005464BC">
              <w:rPr>
                <w:b/>
              </w:rPr>
              <w:t>89</w:t>
            </w:r>
            <w:r>
              <w:rPr>
                <w:b/>
              </w:rPr>
              <w:t>.</w:t>
            </w:r>
            <w:r w:rsidRPr="005464BC">
              <w:rPr>
                <w:b/>
              </w:rPr>
              <w:t>1</w:t>
            </w:r>
          </w:p>
        </w:tc>
        <w:tc>
          <w:tcPr>
            <w:tcW w:w="1094" w:type="dxa"/>
            <w:vAlign w:val="bottom"/>
          </w:tcPr>
          <w:p w14:paraId="4D7B0EC9" w14:textId="13F9451C" w:rsidR="00624DCE" w:rsidRPr="005464BC" w:rsidRDefault="00624DCE" w:rsidP="00624DCE">
            <w:pPr>
              <w:spacing w:line="360" w:lineRule="auto"/>
              <w:jc w:val="center"/>
              <w:rPr>
                <w:b/>
              </w:rPr>
            </w:pPr>
            <w:r>
              <w:rPr>
                <w:rFonts w:ascii="Calibri" w:hAnsi="Calibri" w:cs="Calibri"/>
                <w:color w:val="000000"/>
                <w:lang w:val="en-GB"/>
              </w:rPr>
              <w:t>6 665</w:t>
            </w:r>
          </w:p>
        </w:tc>
        <w:tc>
          <w:tcPr>
            <w:tcW w:w="1548" w:type="dxa"/>
          </w:tcPr>
          <w:p w14:paraId="7EE07B81" w14:textId="43E1EE2D" w:rsidR="00624DCE" w:rsidRPr="005464BC" w:rsidRDefault="00624DCE" w:rsidP="00624DCE">
            <w:pPr>
              <w:spacing w:line="360" w:lineRule="auto"/>
              <w:jc w:val="center"/>
              <w:rPr>
                <w:rFonts w:ascii="Arial" w:hAnsi="Arial" w:cs="Arial"/>
                <w:b/>
                <w:sz w:val="20"/>
                <w:szCs w:val="20"/>
                <w:lang w:val="en-GB"/>
              </w:rPr>
            </w:pPr>
            <w:r w:rsidRPr="005464BC">
              <w:rPr>
                <w:b/>
              </w:rPr>
              <w:t>88</w:t>
            </w:r>
            <w:r>
              <w:rPr>
                <w:b/>
              </w:rPr>
              <w:t>.</w:t>
            </w:r>
            <w:r w:rsidRPr="005464BC">
              <w:rPr>
                <w:b/>
              </w:rPr>
              <w:t>6</w:t>
            </w:r>
          </w:p>
        </w:tc>
        <w:tc>
          <w:tcPr>
            <w:tcW w:w="1435" w:type="dxa"/>
            <w:vAlign w:val="bottom"/>
          </w:tcPr>
          <w:p w14:paraId="36617F1C" w14:textId="0B2CA0B4" w:rsidR="00624DCE" w:rsidRPr="005464BC" w:rsidRDefault="00624DCE" w:rsidP="00624DCE">
            <w:pPr>
              <w:spacing w:line="360" w:lineRule="auto"/>
              <w:jc w:val="center"/>
              <w:rPr>
                <w:b/>
              </w:rPr>
            </w:pPr>
            <w:r>
              <w:rPr>
                <w:rFonts w:ascii="Calibri" w:hAnsi="Calibri" w:cs="Calibri"/>
                <w:color w:val="000000"/>
                <w:lang w:val="en-GB"/>
              </w:rPr>
              <w:t>5 353</w:t>
            </w:r>
          </w:p>
        </w:tc>
      </w:tr>
      <w:tr w:rsidR="00624DCE" w:rsidRPr="00EC5F5A" w14:paraId="7CB9B532" w14:textId="5556274B" w:rsidTr="00624DCE">
        <w:trPr>
          <w:cantSplit/>
        </w:trPr>
        <w:tc>
          <w:tcPr>
            <w:tcW w:w="1951" w:type="dxa"/>
          </w:tcPr>
          <w:p w14:paraId="78571E7F" w14:textId="2AB68AB2" w:rsidR="00624DCE" w:rsidRDefault="00624DCE" w:rsidP="00624DCE">
            <w:pPr>
              <w:spacing w:line="360" w:lineRule="auto"/>
              <w:jc w:val="center"/>
              <w:rPr>
                <w:rFonts w:ascii="Arial" w:hAnsi="Arial" w:cs="Arial"/>
                <w:sz w:val="20"/>
                <w:szCs w:val="20"/>
                <w:lang w:val="en-GB"/>
              </w:rPr>
            </w:pPr>
            <w:r>
              <w:rPr>
                <w:rFonts w:ascii="Arial" w:hAnsi="Arial" w:cs="Arial"/>
                <w:sz w:val="20"/>
                <w:szCs w:val="20"/>
                <w:lang w:val="en-GB"/>
              </w:rPr>
              <w:t>Men</w:t>
            </w:r>
          </w:p>
        </w:tc>
        <w:tc>
          <w:tcPr>
            <w:tcW w:w="1701" w:type="dxa"/>
          </w:tcPr>
          <w:p w14:paraId="4139E62C" w14:textId="694B892B" w:rsidR="00624DCE" w:rsidRDefault="00624DCE" w:rsidP="00624DCE">
            <w:pPr>
              <w:spacing w:line="360" w:lineRule="auto"/>
              <w:jc w:val="center"/>
              <w:rPr>
                <w:rFonts w:ascii="Arial" w:hAnsi="Arial" w:cs="Arial"/>
                <w:sz w:val="20"/>
                <w:szCs w:val="20"/>
                <w:lang w:val="en-GB"/>
              </w:rPr>
            </w:pPr>
            <w:r w:rsidRPr="00894414">
              <w:t>76</w:t>
            </w:r>
            <w:r>
              <w:t>.</w:t>
            </w:r>
            <w:r w:rsidRPr="00894414">
              <w:t>8</w:t>
            </w:r>
          </w:p>
        </w:tc>
        <w:tc>
          <w:tcPr>
            <w:tcW w:w="1559" w:type="dxa"/>
          </w:tcPr>
          <w:p w14:paraId="653FFF5F" w14:textId="76E702D4" w:rsidR="00624DCE" w:rsidRDefault="00624DCE" w:rsidP="00624DCE">
            <w:pPr>
              <w:spacing w:line="360" w:lineRule="auto"/>
              <w:jc w:val="center"/>
              <w:rPr>
                <w:rFonts w:ascii="Arial" w:hAnsi="Arial" w:cs="Arial"/>
                <w:sz w:val="20"/>
                <w:szCs w:val="20"/>
                <w:lang w:val="en-GB"/>
              </w:rPr>
            </w:pPr>
            <w:r w:rsidRPr="00894414">
              <w:t>87</w:t>
            </w:r>
            <w:r>
              <w:t>.</w:t>
            </w:r>
            <w:r w:rsidRPr="00894414">
              <w:t>9</w:t>
            </w:r>
          </w:p>
        </w:tc>
        <w:tc>
          <w:tcPr>
            <w:tcW w:w="1094" w:type="dxa"/>
            <w:vAlign w:val="bottom"/>
          </w:tcPr>
          <w:p w14:paraId="7CEF6FAF" w14:textId="5CDCF479" w:rsidR="00624DCE" w:rsidRPr="00894414" w:rsidRDefault="00624DCE" w:rsidP="00624DCE">
            <w:pPr>
              <w:spacing w:line="360" w:lineRule="auto"/>
              <w:jc w:val="center"/>
            </w:pPr>
            <w:r>
              <w:rPr>
                <w:rFonts w:ascii="Calibri" w:hAnsi="Calibri" w:cs="Calibri"/>
                <w:color w:val="000000"/>
                <w:lang w:val="en-GB"/>
              </w:rPr>
              <w:t>3 456</w:t>
            </w:r>
          </w:p>
        </w:tc>
        <w:tc>
          <w:tcPr>
            <w:tcW w:w="1548" w:type="dxa"/>
          </w:tcPr>
          <w:p w14:paraId="6334D419" w14:textId="04F31814" w:rsidR="00624DCE" w:rsidRDefault="00624DCE" w:rsidP="00624DCE">
            <w:pPr>
              <w:spacing w:line="360" w:lineRule="auto"/>
              <w:jc w:val="center"/>
              <w:rPr>
                <w:rFonts w:ascii="Arial" w:hAnsi="Arial" w:cs="Arial"/>
                <w:sz w:val="20"/>
                <w:szCs w:val="20"/>
                <w:lang w:val="en-GB"/>
              </w:rPr>
            </w:pPr>
            <w:r w:rsidRPr="00894414">
              <w:t>88</w:t>
            </w:r>
            <w:r>
              <w:t>.</w:t>
            </w:r>
            <w:r w:rsidRPr="00894414">
              <w:t>4</w:t>
            </w:r>
          </w:p>
        </w:tc>
        <w:tc>
          <w:tcPr>
            <w:tcW w:w="1435" w:type="dxa"/>
            <w:vAlign w:val="bottom"/>
          </w:tcPr>
          <w:p w14:paraId="652E4515" w14:textId="4A1DD45C" w:rsidR="00624DCE" w:rsidRPr="00894414" w:rsidRDefault="00624DCE" w:rsidP="00624DCE">
            <w:pPr>
              <w:spacing w:line="360" w:lineRule="auto"/>
              <w:jc w:val="center"/>
            </w:pPr>
            <w:r>
              <w:rPr>
                <w:rFonts w:ascii="Calibri" w:hAnsi="Calibri" w:cs="Calibri"/>
                <w:color w:val="000000"/>
                <w:lang w:val="en-GB"/>
              </w:rPr>
              <w:t>2 739</w:t>
            </w:r>
          </w:p>
        </w:tc>
      </w:tr>
      <w:tr w:rsidR="00624DCE" w:rsidRPr="00EC5F5A" w14:paraId="60476AC0" w14:textId="3B1D127E" w:rsidTr="00624DCE">
        <w:trPr>
          <w:cantSplit/>
        </w:trPr>
        <w:tc>
          <w:tcPr>
            <w:tcW w:w="1951" w:type="dxa"/>
          </w:tcPr>
          <w:p w14:paraId="020882E7" w14:textId="37F38E0E" w:rsidR="00624DCE" w:rsidRDefault="00624DCE" w:rsidP="00624DCE">
            <w:pPr>
              <w:spacing w:line="360" w:lineRule="auto"/>
              <w:jc w:val="center"/>
              <w:rPr>
                <w:rFonts w:ascii="Arial" w:hAnsi="Arial" w:cs="Arial"/>
                <w:sz w:val="20"/>
                <w:szCs w:val="20"/>
                <w:lang w:val="en-GB"/>
              </w:rPr>
            </w:pPr>
            <w:r>
              <w:rPr>
                <w:rFonts w:ascii="Arial" w:hAnsi="Arial" w:cs="Arial"/>
                <w:sz w:val="20"/>
                <w:szCs w:val="20"/>
                <w:lang w:val="en-GB"/>
              </w:rPr>
              <w:t>Women</w:t>
            </w:r>
          </w:p>
        </w:tc>
        <w:tc>
          <w:tcPr>
            <w:tcW w:w="1701" w:type="dxa"/>
          </w:tcPr>
          <w:p w14:paraId="1B928D92" w14:textId="1725F83A" w:rsidR="00624DCE" w:rsidRDefault="00624DCE" w:rsidP="00624DCE">
            <w:pPr>
              <w:spacing w:line="360" w:lineRule="auto"/>
              <w:jc w:val="center"/>
              <w:rPr>
                <w:rFonts w:ascii="Arial" w:hAnsi="Arial" w:cs="Arial"/>
                <w:sz w:val="20"/>
                <w:szCs w:val="20"/>
                <w:lang w:val="en-GB"/>
              </w:rPr>
            </w:pPr>
            <w:r w:rsidRPr="00894414">
              <w:t>79</w:t>
            </w:r>
            <w:r>
              <w:t>.</w:t>
            </w:r>
            <w:r w:rsidRPr="00894414">
              <w:t>9</w:t>
            </w:r>
          </w:p>
        </w:tc>
        <w:tc>
          <w:tcPr>
            <w:tcW w:w="1559" w:type="dxa"/>
          </w:tcPr>
          <w:p w14:paraId="604DCF9D" w14:textId="5B787EA0" w:rsidR="00624DCE" w:rsidRDefault="00624DCE" w:rsidP="00624DCE">
            <w:pPr>
              <w:spacing w:line="360" w:lineRule="auto"/>
              <w:jc w:val="center"/>
              <w:rPr>
                <w:rFonts w:ascii="Arial" w:hAnsi="Arial" w:cs="Arial"/>
                <w:sz w:val="20"/>
                <w:szCs w:val="20"/>
                <w:lang w:val="en-GB"/>
              </w:rPr>
            </w:pPr>
            <w:r w:rsidRPr="00894414">
              <w:t>90</w:t>
            </w:r>
            <w:r>
              <w:t>.</w:t>
            </w:r>
            <w:r w:rsidRPr="00894414">
              <w:t>3</w:t>
            </w:r>
          </w:p>
        </w:tc>
        <w:tc>
          <w:tcPr>
            <w:tcW w:w="1094" w:type="dxa"/>
            <w:vAlign w:val="bottom"/>
          </w:tcPr>
          <w:p w14:paraId="7786EED6" w14:textId="239BB3BB" w:rsidR="00624DCE" w:rsidRPr="00894414" w:rsidRDefault="00624DCE" w:rsidP="00624DCE">
            <w:pPr>
              <w:spacing w:line="360" w:lineRule="auto"/>
              <w:jc w:val="center"/>
            </w:pPr>
            <w:r>
              <w:rPr>
                <w:rFonts w:ascii="Calibri" w:hAnsi="Calibri" w:cs="Calibri"/>
                <w:color w:val="000000"/>
                <w:lang w:val="en-GB"/>
              </w:rPr>
              <w:t>3 209</w:t>
            </w:r>
          </w:p>
        </w:tc>
        <w:tc>
          <w:tcPr>
            <w:tcW w:w="1548" w:type="dxa"/>
          </w:tcPr>
          <w:p w14:paraId="2422A602" w14:textId="089C842A" w:rsidR="00624DCE" w:rsidRDefault="00624DCE" w:rsidP="00624DCE">
            <w:pPr>
              <w:spacing w:line="360" w:lineRule="auto"/>
              <w:jc w:val="center"/>
              <w:rPr>
                <w:rFonts w:ascii="Arial" w:hAnsi="Arial" w:cs="Arial"/>
                <w:sz w:val="20"/>
                <w:szCs w:val="20"/>
                <w:lang w:val="en-GB"/>
              </w:rPr>
            </w:pPr>
            <w:r w:rsidRPr="00894414">
              <w:t>88</w:t>
            </w:r>
            <w:r>
              <w:t>.</w:t>
            </w:r>
            <w:r w:rsidRPr="00894414">
              <w:t>8</w:t>
            </w:r>
          </w:p>
        </w:tc>
        <w:tc>
          <w:tcPr>
            <w:tcW w:w="1435" w:type="dxa"/>
            <w:vAlign w:val="bottom"/>
          </w:tcPr>
          <w:p w14:paraId="655B39C6" w14:textId="7568A562" w:rsidR="00624DCE" w:rsidRPr="00894414" w:rsidRDefault="00624DCE" w:rsidP="00624DCE">
            <w:pPr>
              <w:spacing w:line="360" w:lineRule="auto"/>
              <w:jc w:val="center"/>
            </w:pPr>
            <w:r>
              <w:rPr>
                <w:rFonts w:ascii="Calibri" w:hAnsi="Calibri" w:cs="Calibri"/>
                <w:color w:val="000000"/>
                <w:lang w:val="en-GB"/>
              </w:rPr>
              <w:t>2 614</w:t>
            </w:r>
          </w:p>
        </w:tc>
      </w:tr>
      <w:tr w:rsidR="00624DCE" w:rsidRPr="00EC5F5A" w14:paraId="38C1C478" w14:textId="77C43E23" w:rsidTr="00624DCE">
        <w:trPr>
          <w:cantSplit/>
        </w:trPr>
        <w:tc>
          <w:tcPr>
            <w:tcW w:w="1951" w:type="dxa"/>
          </w:tcPr>
          <w:p w14:paraId="00F7C028" w14:textId="527638C3" w:rsidR="00624DCE" w:rsidRPr="005D7B08" w:rsidRDefault="00624DCE" w:rsidP="00624DCE">
            <w:pPr>
              <w:spacing w:line="360" w:lineRule="auto"/>
              <w:jc w:val="center"/>
              <w:rPr>
                <w:rFonts w:ascii="Arial" w:hAnsi="Arial" w:cs="Arial"/>
                <w:b/>
                <w:sz w:val="20"/>
                <w:szCs w:val="20"/>
                <w:lang w:val="en-GB"/>
              </w:rPr>
            </w:pPr>
            <w:r>
              <w:rPr>
                <w:rFonts w:ascii="Arial" w:hAnsi="Arial" w:cs="Arial"/>
                <w:b/>
                <w:sz w:val="20"/>
                <w:szCs w:val="20"/>
                <w:lang w:val="en-GB"/>
              </w:rPr>
              <w:t>Age in 2013</w:t>
            </w:r>
          </w:p>
        </w:tc>
        <w:tc>
          <w:tcPr>
            <w:tcW w:w="1701" w:type="dxa"/>
          </w:tcPr>
          <w:p w14:paraId="0E4398CC" w14:textId="77777777" w:rsidR="00624DCE" w:rsidRDefault="00624DCE" w:rsidP="00624DCE">
            <w:pPr>
              <w:spacing w:line="360" w:lineRule="auto"/>
              <w:jc w:val="center"/>
              <w:rPr>
                <w:rFonts w:ascii="Arial" w:hAnsi="Arial" w:cs="Arial"/>
                <w:sz w:val="20"/>
                <w:szCs w:val="20"/>
                <w:lang w:val="en-GB"/>
              </w:rPr>
            </w:pPr>
          </w:p>
        </w:tc>
        <w:tc>
          <w:tcPr>
            <w:tcW w:w="1559" w:type="dxa"/>
          </w:tcPr>
          <w:p w14:paraId="3B936D83" w14:textId="5D1F844B" w:rsidR="00624DCE" w:rsidRPr="00EC5F5A" w:rsidRDefault="00624DCE" w:rsidP="00624DCE">
            <w:pPr>
              <w:spacing w:line="360" w:lineRule="auto"/>
              <w:jc w:val="center"/>
              <w:rPr>
                <w:rFonts w:ascii="Arial" w:hAnsi="Arial" w:cs="Arial"/>
                <w:sz w:val="20"/>
                <w:szCs w:val="20"/>
                <w:lang w:val="en-GB"/>
              </w:rPr>
            </w:pPr>
          </w:p>
        </w:tc>
        <w:tc>
          <w:tcPr>
            <w:tcW w:w="1094" w:type="dxa"/>
            <w:vAlign w:val="bottom"/>
          </w:tcPr>
          <w:p w14:paraId="2FF46C52" w14:textId="77777777" w:rsidR="00624DCE" w:rsidRPr="00EC5F5A" w:rsidRDefault="00624DCE" w:rsidP="00624DCE">
            <w:pPr>
              <w:spacing w:line="360" w:lineRule="auto"/>
              <w:jc w:val="center"/>
              <w:rPr>
                <w:rFonts w:ascii="Arial" w:hAnsi="Arial" w:cs="Arial"/>
                <w:sz w:val="20"/>
                <w:szCs w:val="20"/>
                <w:lang w:val="en-GB"/>
              </w:rPr>
            </w:pPr>
          </w:p>
        </w:tc>
        <w:tc>
          <w:tcPr>
            <w:tcW w:w="1548" w:type="dxa"/>
          </w:tcPr>
          <w:p w14:paraId="21DD1029" w14:textId="0E856EB2" w:rsidR="00624DCE" w:rsidRPr="00EC5F5A" w:rsidRDefault="00624DCE" w:rsidP="00624DCE">
            <w:pPr>
              <w:spacing w:line="360" w:lineRule="auto"/>
              <w:jc w:val="center"/>
              <w:rPr>
                <w:rFonts w:ascii="Arial" w:hAnsi="Arial" w:cs="Arial"/>
                <w:sz w:val="20"/>
                <w:szCs w:val="20"/>
                <w:lang w:val="en-GB"/>
              </w:rPr>
            </w:pPr>
          </w:p>
        </w:tc>
        <w:tc>
          <w:tcPr>
            <w:tcW w:w="1435" w:type="dxa"/>
            <w:vAlign w:val="bottom"/>
          </w:tcPr>
          <w:p w14:paraId="3E90C36B" w14:textId="77777777" w:rsidR="00624DCE" w:rsidRPr="00EC5F5A" w:rsidRDefault="00624DCE" w:rsidP="00624DCE">
            <w:pPr>
              <w:spacing w:line="360" w:lineRule="auto"/>
              <w:jc w:val="center"/>
              <w:rPr>
                <w:rFonts w:ascii="Arial" w:hAnsi="Arial" w:cs="Arial"/>
                <w:sz w:val="20"/>
                <w:szCs w:val="20"/>
                <w:lang w:val="en-GB"/>
              </w:rPr>
            </w:pPr>
          </w:p>
        </w:tc>
      </w:tr>
      <w:tr w:rsidR="00624DCE" w:rsidRPr="00EC5F5A" w14:paraId="3A2878A1" w14:textId="52A5BFB4" w:rsidTr="00624DCE">
        <w:trPr>
          <w:cantSplit/>
        </w:trPr>
        <w:tc>
          <w:tcPr>
            <w:tcW w:w="1951" w:type="dxa"/>
          </w:tcPr>
          <w:p w14:paraId="7C9B05AF" w14:textId="07DAB4A7" w:rsidR="00624DCE" w:rsidRPr="00EC5F5A" w:rsidRDefault="00624DCE" w:rsidP="00624DCE">
            <w:pPr>
              <w:spacing w:line="360" w:lineRule="auto"/>
              <w:jc w:val="center"/>
              <w:rPr>
                <w:rFonts w:ascii="Arial" w:hAnsi="Arial" w:cs="Arial"/>
                <w:sz w:val="20"/>
                <w:szCs w:val="20"/>
                <w:lang w:val="en-GB"/>
              </w:rPr>
            </w:pPr>
            <w:r>
              <w:rPr>
                <w:rFonts w:ascii="Arial" w:hAnsi="Arial" w:cs="Arial"/>
                <w:sz w:val="20"/>
                <w:szCs w:val="20"/>
                <w:lang w:val="en-GB"/>
              </w:rPr>
              <w:t>18-19 years</w:t>
            </w:r>
          </w:p>
        </w:tc>
        <w:tc>
          <w:tcPr>
            <w:tcW w:w="1701" w:type="dxa"/>
            <w:vAlign w:val="bottom"/>
          </w:tcPr>
          <w:p w14:paraId="6B1E35BC" w14:textId="779E01B8"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70.4</w:t>
            </w:r>
          </w:p>
        </w:tc>
        <w:tc>
          <w:tcPr>
            <w:tcW w:w="1559" w:type="dxa"/>
            <w:vAlign w:val="bottom"/>
          </w:tcPr>
          <w:p w14:paraId="6235FF76" w14:textId="508F00EA"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68.6</w:t>
            </w:r>
          </w:p>
        </w:tc>
        <w:tc>
          <w:tcPr>
            <w:tcW w:w="1094" w:type="dxa"/>
            <w:vAlign w:val="bottom"/>
          </w:tcPr>
          <w:p w14:paraId="5A8B32C6" w14:textId="274AC462" w:rsidR="00624DCE" w:rsidRDefault="00624DCE" w:rsidP="00624DCE">
            <w:pPr>
              <w:spacing w:line="360" w:lineRule="auto"/>
              <w:jc w:val="center"/>
              <w:rPr>
                <w:rFonts w:ascii="Calibri" w:hAnsi="Calibri"/>
                <w:color w:val="000000"/>
              </w:rPr>
            </w:pPr>
            <w:r>
              <w:rPr>
                <w:rFonts w:ascii="Calibri" w:hAnsi="Calibri" w:cs="Calibri"/>
                <w:color w:val="000000"/>
                <w:lang w:val="en-GB"/>
              </w:rPr>
              <w:t>204</w:t>
            </w:r>
          </w:p>
        </w:tc>
        <w:tc>
          <w:tcPr>
            <w:tcW w:w="1548" w:type="dxa"/>
            <w:vAlign w:val="bottom"/>
          </w:tcPr>
          <w:p w14:paraId="4C96397E" w14:textId="4EEC4E78"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70.7</w:t>
            </w:r>
          </w:p>
        </w:tc>
        <w:tc>
          <w:tcPr>
            <w:tcW w:w="1435" w:type="dxa"/>
            <w:vAlign w:val="bottom"/>
          </w:tcPr>
          <w:p w14:paraId="3BB84272" w14:textId="4A9DAA3F" w:rsidR="00624DCE" w:rsidRDefault="00624DCE" w:rsidP="00624DCE">
            <w:pPr>
              <w:spacing w:line="360" w:lineRule="auto"/>
              <w:jc w:val="center"/>
              <w:rPr>
                <w:rFonts w:ascii="Calibri" w:hAnsi="Calibri"/>
                <w:color w:val="000000"/>
              </w:rPr>
            </w:pPr>
            <w:r>
              <w:rPr>
                <w:rFonts w:ascii="Calibri" w:hAnsi="Calibri" w:cs="Calibri"/>
                <w:color w:val="000000"/>
                <w:lang w:val="en-GB"/>
              </w:rPr>
              <w:t>178</w:t>
            </w:r>
          </w:p>
        </w:tc>
      </w:tr>
      <w:tr w:rsidR="00624DCE" w:rsidRPr="00EC5F5A" w14:paraId="6F81E4AB" w14:textId="26D9D207" w:rsidTr="00624DCE">
        <w:trPr>
          <w:cantSplit/>
        </w:trPr>
        <w:tc>
          <w:tcPr>
            <w:tcW w:w="1951" w:type="dxa"/>
          </w:tcPr>
          <w:p w14:paraId="5034B6EB" w14:textId="196E2A3F" w:rsidR="00624DCE" w:rsidRPr="00EC5F5A" w:rsidRDefault="00624DCE" w:rsidP="00624DCE">
            <w:pPr>
              <w:spacing w:line="360" w:lineRule="auto"/>
              <w:jc w:val="center"/>
              <w:rPr>
                <w:rFonts w:ascii="Arial" w:hAnsi="Arial" w:cs="Arial"/>
                <w:sz w:val="20"/>
                <w:szCs w:val="20"/>
                <w:lang w:val="en-GB"/>
              </w:rPr>
            </w:pPr>
            <w:r w:rsidRPr="00E77238">
              <w:t>20-24 years</w:t>
            </w:r>
          </w:p>
        </w:tc>
        <w:tc>
          <w:tcPr>
            <w:tcW w:w="1701" w:type="dxa"/>
            <w:vAlign w:val="bottom"/>
          </w:tcPr>
          <w:p w14:paraId="115A3FD9" w14:textId="3FAE8017"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63.0</w:t>
            </w:r>
          </w:p>
        </w:tc>
        <w:tc>
          <w:tcPr>
            <w:tcW w:w="1559" w:type="dxa"/>
            <w:vAlign w:val="bottom"/>
          </w:tcPr>
          <w:p w14:paraId="4E501F94" w14:textId="2FBC0C7C"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75.0</w:t>
            </w:r>
          </w:p>
        </w:tc>
        <w:tc>
          <w:tcPr>
            <w:tcW w:w="1094" w:type="dxa"/>
            <w:vAlign w:val="bottom"/>
          </w:tcPr>
          <w:p w14:paraId="75F0234F" w14:textId="7A5CA6F5" w:rsidR="00624DCE" w:rsidRDefault="00624DCE" w:rsidP="00624DCE">
            <w:pPr>
              <w:spacing w:line="360" w:lineRule="auto"/>
              <w:jc w:val="center"/>
              <w:rPr>
                <w:rFonts w:ascii="Calibri" w:hAnsi="Calibri"/>
                <w:color w:val="000000"/>
              </w:rPr>
            </w:pPr>
            <w:r>
              <w:rPr>
                <w:rFonts w:ascii="Calibri" w:hAnsi="Calibri" w:cs="Calibri"/>
                <w:color w:val="000000"/>
                <w:lang w:val="en-GB"/>
              </w:rPr>
              <w:t>470</w:t>
            </w:r>
          </w:p>
        </w:tc>
        <w:tc>
          <w:tcPr>
            <w:tcW w:w="1548" w:type="dxa"/>
            <w:vAlign w:val="bottom"/>
          </w:tcPr>
          <w:p w14:paraId="72D84FFF" w14:textId="2927C653"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75.1</w:t>
            </w:r>
          </w:p>
        </w:tc>
        <w:tc>
          <w:tcPr>
            <w:tcW w:w="1435" w:type="dxa"/>
            <w:vAlign w:val="bottom"/>
          </w:tcPr>
          <w:p w14:paraId="0D5B1C61" w14:textId="1D99004A" w:rsidR="00624DCE" w:rsidRDefault="00624DCE" w:rsidP="00624DCE">
            <w:pPr>
              <w:spacing w:line="360" w:lineRule="auto"/>
              <w:jc w:val="center"/>
              <w:rPr>
                <w:rFonts w:ascii="Calibri" w:hAnsi="Calibri"/>
                <w:color w:val="000000"/>
              </w:rPr>
            </w:pPr>
            <w:r>
              <w:rPr>
                <w:rFonts w:ascii="Calibri" w:hAnsi="Calibri" w:cs="Calibri"/>
                <w:color w:val="000000"/>
                <w:lang w:val="en-GB"/>
              </w:rPr>
              <w:t>415</w:t>
            </w:r>
          </w:p>
        </w:tc>
      </w:tr>
      <w:tr w:rsidR="00624DCE" w:rsidRPr="00EC5F5A" w14:paraId="07399CC9" w14:textId="7B5C73CD" w:rsidTr="00624DCE">
        <w:trPr>
          <w:cantSplit/>
        </w:trPr>
        <w:tc>
          <w:tcPr>
            <w:tcW w:w="1951" w:type="dxa"/>
          </w:tcPr>
          <w:p w14:paraId="652E57B3" w14:textId="32576637" w:rsidR="00624DCE" w:rsidRPr="00EC5F5A" w:rsidRDefault="00624DCE" w:rsidP="00624DCE">
            <w:pPr>
              <w:spacing w:line="360" w:lineRule="auto"/>
              <w:jc w:val="center"/>
              <w:rPr>
                <w:rFonts w:ascii="Arial" w:hAnsi="Arial" w:cs="Arial"/>
                <w:sz w:val="20"/>
                <w:szCs w:val="20"/>
                <w:lang w:val="en-GB"/>
              </w:rPr>
            </w:pPr>
            <w:r w:rsidRPr="00E77238">
              <w:t>25-44 years</w:t>
            </w:r>
          </w:p>
        </w:tc>
        <w:tc>
          <w:tcPr>
            <w:tcW w:w="1701" w:type="dxa"/>
            <w:vAlign w:val="bottom"/>
          </w:tcPr>
          <w:p w14:paraId="3DE7574D" w14:textId="756E68C2"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75.6</w:t>
            </w:r>
          </w:p>
        </w:tc>
        <w:tc>
          <w:tcPr>
            <w:tcW w:w="1559" w:type="dxa"/>
            <w:vAlign w:val="bottom"/>
          </w:tcPr>
          <w:p w14:paraId="6F0D06AD" w14:textId="0639FAE5"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87.8</w:t>
            </w:r>
          </w:p>
        </w:tc>
        <w:tc>
          <w:tcPr>
            <w:tcW w:w="1094" w:type="dxa"/>
            <w:vAlign w:val="bottom"/>
          </w:tcPr>
          <w:p w14:paraId="215EDFA2" w14:textId="4F7E1085" w:rsidR="00624DCE" w:rsidRDefault="00624DCE" w:rsidP="00624DCE">
            <w:pPr>
              <w:spacing w:line="360" w:lineRule="auto"/>
              <w:jc w:val="center"/>
              <w:rPr>
                <w:rFonts w:ascii="Calibri" w:hAnsi="Calibri"/>
                <w:color w:val="000000"/>
              </w:rPr>
            </w:pPr>
            <w:r>
              <w:rPr>
                <w:rFonts w:ascii="Calibri" w:hAnsi="Calibri" w:cs="Calibri"/>
                <w:color w:val="000000"/>
                <w:lang w:val="en-GB"/>
              </w:rPr>
              <w:t>2 056</w:t>
            </w:r>
          </w:p>
        </w:tc>
        <w:tc>
          <w:tcPr>
            <w:tcW w:w="1548" w:type="dxa"/>
            <w:vAlign w:val="bottom"/>
          </w:tcPr>
          <w:p w14:paraId="61C615A7" w14:textId="188780A4"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86.5</w:t>
            </w:r>
          </w:p>
        </w:tc>
        <w:tc>
          <w:tcPr>
            <w:tcW w:w="1435" w:type="dxa"/>
            <w:vAlign w:val="bottom"/>
          </w:tcPr>
          <w:p w14:paraId="24D37304" w14:textId="11ACE2B7" w:rsidR="00624DCE" w:rsidRDefault="00624DCE" w:rsidP="00624DCE">
            <w:pPr>
              <w:spacing w:line="360" w:lineRule="auto"/>
              <w:jc w:val="center"/>
              <w:rPr>
                <w:rFonts w:ascii="Calibri" w:hAnsi="Calibri"/>
                <w:color w:val="000000"/>
              </w:rPr>
            </w:pPr>
            <w:r>
              <w:rPr>
                <w:rFonts w:ascii="Calibri" w:hAnsi="Calibri" w:cs="Calibri"/>
                <w:color w:val="000000"/>
                <w:lang w:val="en-GB"/>
              </w:rPr>
              <w:t>1 765</w:t>
            </w:r>
          </w:p>
        </w:tc>
      </w:tr>
      <w:tr w:rsidR="00624DCE" w:rsidRPr="00EC5F5A" w14:paraId="42777460" w14:textId="5EF01786" w:rsidTr="00624DCE">
        <w:trPr>
          <w:cantSplit/>
        </w:trPr>
        <w:tc>
          <w:tcPr>
            <w:tcW w:w="1951" w:type="dxa"/>
          </w:tcPr>
          <w:p w14:paraId="48407AD3" w14:textId="5DF90FB7" w:rsidR="00624DCE" w:rsidRPr="00EC5F5A" w:rsidRDefault="00624DCE" w:rsidP="00624DCE">
            <w:pPr>
              <w:spacing w:line="360" w:lineRule="auto"/>
              <w:jc w:val="center"/>
              <w:rPr>
                <w:rFonts w:ascii="Arial" w:hAnsi="Arial" w:cs="Arial"/>
                <w:sz w:val="20"/>
                <w:szCs w:val="20"/>
                <w:lang w:val="en-GB"/>
              </w:rPr>
            </w:pPr>
            <w:r w:rsidRPr="00E77238">
              <w:t>45-66 years</w:t>
            </w:r>
          </w:p>
        </w:tc>
        <w:tc>
          <w:tcPr>
            <w:tcW w:w="1701" w:type="dxa"/>
            <w:vAlign w:val="bottom"/>
          </w:tcPr>
          <w:p w14:paraId="6CB4C625" w14:textId="3933F5DD"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82.8</w:t>
            </w:r>
          </w:p>
        </w:tc>
        <w:tc>
          <w:tcPr>
            <w:tcW w:w="1559" w:type="dxa"/>
            <w:vAlign w:val="bottom"/>
          </w:tcPr>
          <w:p w14:paraId="6E225CF2" w14:textId="5BBD2F44"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93.2</w:t>
            </w:r>
          </w:p>
        </w:tc>
        <w:tc>
          <w:tcPr>
            <w:tcW w:w="1094" w:type="dxa"/>
            <w:vAlign w:val="bottom"/>
          </w:tcPr>
          <w:p w14:paraId="15DDD902" w14:textId="324CA08C" w:rsidR="00624DCE" w:rsidRDefault="00624DCE" w:rsidP="00624DCE">
            <w:pPr>
              <w:spacing w:line="360" w:lineRule="auto"/>
              <w:jc w:val="center"/>
              <w:rPr>
                <w:rFonts w:ascii="Calibri" w:hAnsi="Calibri"/>
                <w:color w:val="000000"/>
              </w:rPr>
            </w:pPr>
            <w:r>
              <w:rPr>
                <w:rFonts w:ascii="Calibri" w:hAnsi="Calibri" w:cs="Calibri"/>
                <w:color w:val="000000"/>
                <w:lang w:val="en-GB"/>
              </w:rPr>
              <w:t>2 772</w:t>
            </w:r>
          </w:p>
        </w:tc>
        <w:tc>
          <w:tcPr>
            <w:tcW w:w="1548" w:type="dxa"/>
            <w:vAlign w:val="bottom"/>
          </w:tcPr>
          <w:p w14:paraId="37549225" w14:textId="4FB60B57"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92.4</w:t>
            </w:r>
          </w:p>
        </w:tc>
        <w:tc>
          <w:tcPr>
            <w:tcW w:w="1435" w:type="dxa"/>
            <w:vAlign w:val="bottom"/>
          </w:tcPr>
          <w:p w14:paraId="3BC35CED" w14:textId="30823310" w:rsidR="00624DCE" w:rsidRDefault="00624DCE" w:rsidP="00624DCE">
            <w:pPr>
              <w:spacing w:line="360" w:lineRule="auto"/>
              <w:jc w:val="center"/>
              <w:rPr>
                <w:rFonts w:ascii="Calibri" w:hAnsi="Calibri"/>
                <w:color w:val="000000"/>
              </w:rPr>
            </w:pPr>
            <w:r>
              <w:rPr>
                <w:rFonts w:ascii="Calibri" w:hAnsi="Calibri" w:cs="Calibri"/>
                <w:color w:val="000000"/>
                <w:lang w:val="en-GB"/>
              </w:rPr>
              <w:t>2 214</w:t>
            </w:r>
          </w:p>
        </w:tc>
      </w:tr>
      <w:tr w:rsidR="00624DCE" w:rsidRPr="00EC5F5A" w14:paraId="3009EA10" w14:textId="50D0C37E" w:rsidTr="00624DCE">
        <w:trPr>
          <w:cantSplit/>
        </w:trPr>
        <w:tc>
          <w:tcPr>
            <w:tcW w:w="1951" w:type="dxa"/>
          </w:tcPr>
          <w:p w14:paraId="7BB86608" w14:textId="36DCC11D" w:rsidR="00624DCE" w:rsidRPr="00EC5F5A" w:rsidRDefault="00624DCE" w:rsidP="00624DCE">
            <w:pPr>
              <w:spacing w:line="360" w:lineRule="auto"/>
              <w:jc w:val="center"/>
              <w:rPr>
                <w:rFonts w:ascii="Arial" w:hAnsi="Arial" w:cs="Arial"/>
                <w:sz w:val="20"/>
                <w:szCs w:val="20"/>
                <w:lang w:val="en-GB"/>
              </w:rPr>
            </w:pPr>
            <w:r w:rsidRPr="00E77238">
              <w:t>67-79 years</w:t>
            </w:r>
          </w:p>
        </w:tc>
        <w:tc>
          <w:tcPr>
            <w:tcW w:w="1701" w:type="dxa"/>
            <w:vAlign w:val="bottom"/>
          </w:tcPr>
          <w:p w14:paraId="6C2F34F8" w14:textId="4B8A8C96"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87.6</w:t>
            </w:r>
          </w:p>
        </w:tc>
        <w:tc>
          <w:tcPr>
            <w:tcW w:w="1559" w:type="dxa"/>
            <w:vAlign w:val="bottom"/>
          </w:tcPr>
          <w:p w14:paraId="6A0FF5DE" w14:textId="43F52E41"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92.8</w:t>
            </w:r>
          </w:p>
        </w:tc>
        <w:tc>
          <w:tcPr>
            <w:tcW w:w="1094" w:type="dxa"/>
            <w:vAlign w:val="bottom"/>
          </w:tcPr>
          <w:p w14:paraId="379F6429" w14:textId="40B7F9B8" w:rsidR="00624DCE" w:rsidRDefault="00624DCE" w:rsidP="00624DCE">
            <w:pPr>
              <w:spacing w:line="360" w:lineRule="auto"/>
              <w:jc w:val="center"/>
              <w:rPr>
                <w:rFonts w:ascii="Calibri" w:hAnsi="Calibri"/>
                <w:color w:val="000000"/>
              </w:rPr>
            </w:pPr>
            <w:r>
              <w:rPr>
                <w:rFonts w:ascii="Calibri" w:hAnsi="Calibri" w:cs="Calibri"/>
                <w:color w:val="000000"/>
                <w:lang w:val="en-GB"/>
              </w:rPr>
              <w:t>929</w:t>
            </w:r>
          </w:p>
        </w:tc>
        <w:tc>
          <w:tcPr>
            <w:tcW w:w="1548" w:type="dxa"/>
            <w:vAlign w:val="bottom"/>
          </w:tcPr>
          <w:p w14:paraId="01583585" w14:textId="7ADAD161"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95.2</w:t>
            </w:r>
          </w:p>
        </w:tc>
        <w:tc>
          <w:tcPr>
            <w:tcW w:w="1435" w:type="dxa"/>
            <w:vAlign w:val="bottom"/>
          </w:tcPr>
          <w:p w14:paraId="73E898FB" w14:textId="0DEDC994" w:rsidR="00624DCE" w:rsidRDefault="00624DCE" w:rsidP="00624DCE">
            <w:pPr>
              <w:spacing w:line="360" w:lineRule="auto"/>
              <w:jc w:val="center"/>
              <w:rPr>
                <w:rFonts w:ascii="Calibri" w:hAnsi="Calibri"/>
                <w:color w:val="000000"/>
              </w:rPr>
            </w:pPr>
            <w:r>
              <w:rPr>
                <w:rFonts w:ascii="Calibri" w:hAnsi="Calibri" w:cs="Calibri"/>
                <w:color w:val="000000"/>
                <w:lang w:val="en-GB"/>
              </w:rPr>
              <w:t>660</w:t>
            </w:r>
          </w:p>
        </w:tc>
      </w:tr>
      <w:tr w:rsidR="00624DCE" w:rsidRPr="00EC5F5A" w14:paraId="730CDFEC" w14:textId="3D41B7B7" w:rsidTr="00624DCE">
        <w:trPr>
          <w:cantSplit/>
        </w:trPr>
        <w:tc>
          <w:tcPr>
            <w:tcW w:w="1951" w:type="dxa"/>
          </w:tcPr>
          <w:p w14:paraId="07652AE1" w14:textId="4DE94303" w:rsidR="00624DCE" w:rsidRPr="00EC5F5A" w:rsidRDefault="00624DCE" w:rsidP="00624DCE">
            <w:pPr>
              <w:spacing w:line="360" w:lineRule="auto"/>
              <w:jc w:val="center"/>
              <w:rPr>
                <w:rFonts w:ascii="Arial" w:hAnsi="Arial" w:cs="Arial"/>
                <w:sz w:val="20"/>
                <w:szCs w:val="20"/>
                <w:lang w:val="en-GB"/>
              </w:rPr>
            </w:pPr>
            <w:r w:rsidRPr="00E77238">
              <w:t>80 years or older</w:t>
            </w:r>
          </w:p>
        </w:tc>
        <w:tc>
          <w:tcPr>
            <w:tcW w:w="1701" w:type="dxa"/>
            <w:vAlign w:val="bottom"/>
          </w:tcPr>
          <w:p w14:paraId="4F2AA828" w14:textId="26620DFC"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70.7</w:t>
            </w:r>
          </w:p>
        </w:tc>
        <w:tc>
          <w:tcPr>
            <w:tcW w:w="1559" w:type="dxa"/>
            <w:vAlign w:val="bottom"/>
          </w:tcPr>
          <w:p w14:paraId="3281E162" w14:textId="369BE595"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90.5</w:t>
            </w:r>
          </w:p>
        </w:tc>
        <w:tc>
          <w:tcPr>
            <w:tcW w:w="1094" w:type="dxa"/>
            <w:vAlign w:val="bottom"/>
          </w:tcPr>
          <w:p w14:paraId="34AEEB25" w14:textId="6CF3E008" w:rsidR="00624DCE" w:rsidRDefault="00624DCE" w:rsidP="00624DCE">
            <w:pPr>
              <w:spacing w:line="360" w:lineRule="auto"/>
              <w:jc w:val="center"/>
              <w:rPr>
                <w:rFonts w:ascii="Calibri" w:hAnsi="Calibri"/>
                <w:color w:val="000000"/>
              </w:rPr>
            </w:pPr>
            <w:r>
              <w:rPr>
                <w:rFonts w:ascii="Calibri" w:hAnsi="Calibri" w:cs="Calibri"/>
                <w:color w:val="000000"/>
                <w:lang w:val="en-GB"/>
              </w:rPr>
              <w:t>234</w:t>
            </w:r>
          </w:p>
        </w:tc>
        <w:tc>
          <w:tcPr>
            <w:tcW w:w="1548" w:type="dxa"/>
            <w:vAlign w:val="bottom"/>
          </w:tcPr>
          <w:p w14:paraId="3BB03C7A" w14:textId="78D23E5A" w:rsidR="00624DCE" w:rsidRPr="005464BC" w:rsidRDefault="00624DCE" w:rsidP="00624DCE">
            <w:pPr>
              <w:spacing w:line="360" w:lineRule="auto"/>
              <w:jc w:val="center"/>
              <w:rPr>
                <w:rFonts w:ascii="Arial" w:hAnsi="Arial" w:cs="Arial"/>
                <w:b/>
                <w:sz w:val="20"/>
                <w:szCs w:val="20"/>
                <w:lang w:val="en-GB"/>
              </w:rPr>
            </w:pPr>
            <w:r>
              <w:rPr>
                <w:rFonts w:ascii="Calibri" w:hAnsi="Calibri"/>
                <w:color w:val="000000"/>
              </w:rPr>
              <w:t>93.2</w:t>
            </w:r>
          </w:p>
        </w:tc>
        <w:tc>
          <w:tcPr>
            <w:tcW w:w="1435" w:type="dxa"/>
            <w:vAlign w:val="bottom"/>
          </w:tcPr>
          <w:p w14:paraId="1D31BBED" w14:textId="765AE14B" w:rsidR="00624DCE" w:rsidRDefault="00624DCE" w:rsidP="00624DCE">
            <w:pPr>
              <w:spacing w:line="360" w:lineRule="auto"/>
              <w:jc w:val="center"/>
              <w:rPr>
                <w:rFonts w:ascii="Calibri" w:hAnsi="Calibri"/>
                <w:color w:val="000000"/>
              </w:rPr>
            </w:pPr>
            <w:r>
              <w:rPr>
                <w:rFonts w:ascii="Calibri" w:hAnsi="Calibri" w:cs="Calibri"/>
                <w:color w:val="000000"/>
                <w:lang w:val="en-GB"/>
              </w:rPr>
              <w:t>121</w:t>
            </w:r>
          </w:p>
        </w:tc>
      </w:tr>
      <w:tr w:rsidR="00624DCE" w:rsidRPr="00EC5F5A" w14:paraId="6C32E4CF" w14:textId="180341C6" w:rsidTr="00624DCE">
        <w:trPr>
          <w:cantSplit/>
        </w:trPr>
        <w:tc>
          <w:tcPr>
            <w:tcW w:w="1951" w:type="dxa"/>
          </w:tcPr>
          <w:p w14:paraId="4FF74523" w14:textId="35C71A08" w:rsidR="00624DCE" w:rsidRPr="005464BC" w:rsidRDefault="00624DCE" w:rsidP="00624DCE">
            <w:pPr>
              <w:spacing w:line="360" w:lineRule="auto"/>
              <w:jc w:val="center"/>
              <w:rPr>
                <w:rFonts w:ascii="Arial" w:hAnsi="Arial" w:cs="Arial"/>
                <w:b/>
                <w:sz w:val="20"/>
                <w:szCs w:val="20"/>
                <w:lang w:val="en-GB"/>
              </w:rPr>
            </w:pPr>
            <w:r>
              <w:rPr>
                <w:b/>
              </w:rPr>
              <w:t>E</w:t>
            </w:r>
            <w:r w:rsidRPr="005464BC">
              <w:rPr>
                <w:b/>
              </w:rPr>
              <w:t>ducation</w:t>
            </w:r>
          </w:p>
        </w:tc>
        <w:tc>
          <w:tcPr>
            <w:tcW w:w="1701" w:type="dxa"/>
          </w:tcPr>
          <w:p w14:paraId="5C2438D6" w14:textId="77777777" w:rsidR="00624DCE" w:rsidRDefault="00624DCE" w:rsidP="00624DCE">
            <w:pPr>
              <w:spacing w:line="360" w:lineRule="auto"/>
              <w:jc w:val="center"/>
              <w:rPr>
                <w:rFonts w:ascii="Arial" w:hAnsi="Arial" w:cs="Arial"/>
                <w:sz w:val="20"/>
                <w:szCs w:val="20"/>
                <w:lang w:val="en-GB"/>
              </w:rPr>
            </w:pPr>
          </w:p>
        </w:tc>
        <w:tc>
          <w:tcPr>
            <w:tcW w:w="1559" w:type="dxa"/>
          </w:tcPr>
          <w:p w14:paraId="74A563DF" w14:textId="77777777" w:rsidR="00624DCE" w:rsidRPr="00EC5F5A" w:rsidRDefault="00624DCE" w:rsidP="00624DCE">
            <w:pPr>
              <w:spacing w:line="360" w:lineRule="auto"/>
              <w:jc w:val="center"/>
              <w:rPr>
                <w:rFonts w:ascii="Arial" w:hAnsi="Arial" w:cs="Arial"/>
                <w:sz w:val="20"/>
                <w:szCs w:val="20"/>
                <w:lang w:val="en-GB"/>
              </w:rPr>
            </w:pPr>
          </w:p>
        </w:tc>
        <w:tc>
          <w:tcPr>
            <w:tcW w:w="1094" w:type="dxa"/>
            <w:vAlign w:val="bottom"/>
          </w:tcPr>
          <w:p w14:paraId="02D041DD" w14:textId="77777777" w:rsidR="00624DCE" w:rsidRPr="00EC5F5A" w:rsidRDefault="00624DCE" w:rsidP="00624DCE">
            <w:pPr>
              <w:spacing w:line="360" w:lineRule="auto"/>
              <w:jc w:val="center"/>
              <w:rPr>
                <w:rFonts w:ascii="Arial" w:hAnsi="Arial" w:cs="Arial"/>
                <w:sz w:val="20"/>
                <w:szCs w:val="20"/>
                <w:lang w:val="en-GB"/>
              </w:rPr>
            </w:pPr>
          </w:p>
        </w:tc>
        <w:tc>
          <w:tcPr>
            <w:tcW w:w="1548" w:type="dxa"/>
          </w:tcPr>
          <w:p w14:paraId="07F56511" w14:textId="357FCC60" w:rsidR="00624DCE" w:rsidRPr="00EC5F5A" w:rsidRDefault="00624DCE" w:rsidP="00624DCE">
            <w:pPr>
              <w:spacing w:line="360" w:lineRule="auto"/>
              <w:jc w:val="center"/>
              <w:rPr>
                <w:rFonts w:ascii="Arial" w:hAnsi="Arial" w:cs="Arial"/>
                <w:sz w:val="20"/>
                <w:szCs w:val="20"/>
                <w:lang w:val="en-GB"/>
              </w:rPr>
            </w:pPr>
          </w:p>
        </w:tc>
        <w:tc>
          <w:tcPr>
            <w:tcW w:w="1435" w:type="dxa"/>
            <w:vAlign w:val="bottom"/>
          </w:tcPr>
          <w:p w14:paraId="4FFF1821" w14:textId="77777777" w:rsidR="00624DCE" w:rsidRPr="00EC5F5A" w:rsidRDefault="00624DCE" w:rsidP="00624DCE">
            <w:pPr>
              <w:spacing w:line="360" w:lineRule="auto"/>
              <w:jc w:val="center"/>
              <w:rPr>
                <w:rFonts w:ascii="Arial" w:hAnsi="Arial" w:cs="Arial"/>
                <w:sz w:val="20"/>
                <w:szCs w:val="20"/>
                <w:lang w:val="en-GB"/>
              </w:rPr>
            </w:pPr>
          </w:p>
        </w:tc>
      </w:tr>
      <w:tr w:rsidR="00624DCE" w:rsidRPr="00EC5F5A" w14:paraId="2680E8D7" w14:textId="084D839B" w:rsidTr="00624DCE">
        <w:trPr>
          <w:cantSplit/>
        </w:trPr>
        <w:tc>
          <w:tcPr>
            <w:tcW w:w="1951" w:type="dxa"/>
          </w:tcPr>
          <w:p w14:paraId="7E3C74A1" w14:textId="48001825" w:rsidR="00624DCE" w:rsidRPr="00EC5F5A" w:rsidRDefault="00624DCE" w:rsidP="00624DCE">
            <w:pPr>
              <w:spacing w:line="360" w:lineRule="auto"/>
              <w:jc w:val="center"/>
              <w:rPr>
                <w:rFonts w:ascii="Arial" w:hAnsi="Arial" w:cs="Arial"/>
                <w:sz w:val="20"/>
                <w:szCs w:val="20"/>
                <w:lang w:val="en-GB"/>
              </w:rPr>
            </w:pPr>
            <w:r>
              <w:t>&lt;</w:t>
            </w:r>
            <w:r w:rsidR="0074524E">
              <w:t>U</w:t>
            </w:r>
            <w:r w:rsidRPr="00A616A0">
              <w:t xml:space="preserve">pper secondary </w:t>
            </w:r>
          </w:p>
        </w:tc>
        <w:tc>
          <w:tcPr>
            <w:tcW w:w="1701" w:type="dxa"/>
            <w:vAlign w:val="bottom"/>
          </w:tcPr>
          <w:p w14:paraId="70533A59" w14:textId="238F14C5" w:rsidR="00624DCE" w:rsidRDefault="00624DCE" w:rsidP="00624DCE">
            <w:pPr>
              <w:spacing w:line="360" w:lineRule="auto"/>
              <w:jc w:val="center"/>
              <w:rPr>
                <w:rFonts w:ascii="Arial" w:hAnsi="Arial" w:cs="Arial"/>
                <w:sz w:val="20"/>
                <w:szCs w:val="20"/>
                <w:lang w:val="en-GB"/>
              </w:rPr>
            </w:pPr>
            <w:r>
              <w:rPr>
                <w:rFonts w:ascii="Calibri" w:hAnsi="Calibri"/>
                <w:color w:val="000000"/>
              </w:rPr>
              <w:t>65.1</w:t>
            </w:r>
          </w:p>
        </w:tc>
        <w:tc>
          <w:tcPr>
            <w:tcW w:w="1559" w:type="dxa"/>
            <w:vAlign w:val="bottom"/>
          </w:tcPr>
          <w:p w14:paraId="43F25DE5" w14:textId="39D2DFB1"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80.0</w:t>
            </w:r>
          </w:p>
        </w:tc>
        <w:tc>
          <w:tcPr>
            <w:tcW w:w="1094" w:type="dxa"/>
            <w:vAlign w:val="bottom"/>
          </w:tcPr>
          <w:p w14:paraId="3E8E26E8" w14:textId="62E68B17" w:rsidR="00624DCE" w:rsidRDefault="00624DCE" w:rsidP="00624DCE">
            <w:pPr>
              <w:spacing w:line="360" w:lineRule="auto"/>
              <w:jc w:val="center"/>
              <w:rPr>
                <w:rFonts w:ascii="Calibri" w:hAnsi="Calibri"/>
                <w:color w:val="000000"/>
              </w:rPr>
            </w:pPr>
            <w:r>
              <w:rPr>
                <w:rFonts w:ascii="Calibri" w:hAnsi="Calibri" w:cs="Calibri"/>
                <w:color w:val="000000"/>
                <w:lang w:val="en-GB"/>
              </w:rPr>
              <w:t>1 140</w:t>
            </w:r>
          </w:p>
        </w:tc>
        <w:tc>
          <w:tcPr>
            <w:tcW w:w="1548" w:type="dxa"/>
            <w:vAlign w:val="bottom"/>
          </w:tcPr>
          <w:p w14:paraId="4408F3E1" w14:textId="0A7B7D9A"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78.1</w:t>
            </w:r>
          </w:p>
        </w:tc>
        <w:tc>
          <w:tcPr>
            <w:tcW w:w="1435" w:type="dxa"/>
            <w:vAlign w:val="bottom"/>
          </w:tcPr>
          <w:p w14:paraId="20BE8E14" w14:textId="1781F2BC" w:rsidR="00624DCE" w:rsidRDefault="00624DCE" w:rsidP="00624DCE">
            <w:pPr>
              <w:spacing w:line="360" w:lineRule="auto"/>
              <w:jc w:val="center"/>
              <w:rPr>
                <w:rFonts w:ascii="Calibri" w:hAnsi="Calibri"/>
                <w:color w:val="000000"/>
              </w:rPr>
            </w:pPr>
            <w:r>
              <w:rPr>
                <w:rFonts w:ascii="Calibri" w:hAnsi="Calibri" w:cs="Calibri"/>
                <w:color w:val="000000"/>
                <w:lang w:val="en-GB"/>
              </w:rPr>
              <w:t>814</w:t>
            </w:r>
          </w:p>
        </w:tc>
      </w:tr>
      <w:tr w:rsidR="00624DCE" w:rsidRPr="00EC5F5A" w14:paraId="2010A69E" w14:textId="495D54A8" w:rsidTr="00624DCE">
        <w:trPr>
          <w:cantSplit/>
          <w:trHeight w:val="239"/>
        </w:trPr>
        <w:tc>
          <w:tcPr>
            <w:tcW w:w="1951" w:type="dxa"/>
          </w:tcPr>
          <w:p w14:paraId="2D2764D9" w14:textId="323E87E3" w:rsidR="00624DCE" w:rsidRPr="00EC5F5A" w:rsidRDefault="00624DCE" w:rsidP="00624DCE">
            <w:pPr>
              <w:spacing w:line="360" w:lineRule="auto"/>
              <w:jc w:val="center"/>
              <w:rPr>
                <w:rFonts w:ascii="Arial" w:hAnsi="Arial" w:cs="Arial"/>
                <w:sz w:val="20"/>
                <w:szCs w:val="20"/>
                <w:lang w:val="en-GB"/>
              </w:rPr>
            </w:pPr>
            <w:r w:rsidRPr="00A616A0">
              <w:t xml:space="preserve">Upper secondary </w:t>
            </w:r>
          </w:p>
        </w:tc>
        <w:tc>
          <w:tcPr>
            <w:tcW w:w="1701" w:type="dxa"/>
            <w:vAlign w:val="bottom"/>
          </w:tcPr>
          <w:p w14:paraId="5B5494ED" w14:textId="50E67154" w:rsidR="00624DCE" w:rsidRDefault="00624DCE" w:rsidP="00624DCE">
            <w:pPr>
              <w:spacing w:line="360" w:lineRule="auto"/>
              <w:jc w:val="center"/>
              <w:rPr>
                <w:rFonts w:ascii="Arial" w:hAnsi="Arial" w:cs="Arial"/>
                <w:sz w:val="20"/>
                <w:szCs w:val="20"/>
                <w:lang w:val="en-GB"/>
              </w:rPr>
            </w:pPr>
            <w:r>
              <w:rPr>
                <w:rFonts w:ascii="Calibri" w:hAnsi="Calibri"/>
                <w:color w:val="000000"/>
              </w:rPr>
              <w:t>78.5</w:t>
            </w:r>
          </w:p>
        </w:tc>
        <w:tc>
          <w:tcPr>
            <w:tcW w:w="1559" w:type="dxa"/>
            <w:vAlign w:val="bottom"/>
          </w:tcPr>
          <w:p w14:paraId="56E22100" w14:textId="32FA13B3"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89.1</w:t>
            </w:r>
          </w:p>
        </w:tc>
        <w:tc>
          <w:tcPr>
            <w:tcW w:w="1094" w:type="dxa"/>
            <w:vAlign w:val="bottom"/>
          </w:tcPr>
          <w:p w14:paraId="784FE1D7" w14:textId="4172D8AF" w:rsidR="00624DCE" w:rsidRDefault="00624DCE" w:rsidP="00624DCE">
            <w:pPr>
              <w:spacing w:line="360" w:lineRule="auto"/>
              <w:jc w:val="center"/>
              <w:rPr>
                <w:rFonts w:ascii="Calibri" w:hAnsi="Calibri"/>
                <w:color w:val="000000"/>
              </w:rPr>
            </w:pPr>
            <w:r>
              <w:rPr>
                <w:rFonts w:ascii="Calibri" w:hAnsi="Calibri" w:cs="Calibri"/>
                <w:color w:val="000000"/>
                <w:lang w:val="en-GB"/>
              </w:rPr>
              <w:t>2 964</w:t>
            </w:r>
          </w:p>
        </w:tc>
        <w:tc>
          <w:tcPr>
            <w:tcW w:w="1548" w:type="dxa"/>
            <w:vAlign w:val="bottom"/>
          </w:tcPr>
          <w:p w14:paraId="3C18D784" w14:textId="6E777852"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88.4</w:t>
            </w:r>
          </w:p>
        </w:tc>
        <w:tc>
          <w:tcPr>
            <w:tcW w:w="1435" w:type="dxa"/>
            <w:vAlign w:val="bottom"/>
          </w:tcPr>
          <w:p w14:paraId="1C857E23" w14:textId="6F49CCC4" w:rsidR="00624DCE" w:rsidRDefault="00624DCE" w:rsidP="00624DCE">
            <w:pPr>
              <w:spacing w:line="360" w:lineRule="auto"/>
              <w:jc w:val="center"/>
              <w:rPr>
                <w:rFonts w:ascii="Calibri" w:hAnsi="Calibri"/>
                <w:color w:val="000000"/>
              </w:rPr>
            </w:pPr>
            <w:r>
              <w:rPr>
                <w:rFonts w:ascii="Calibri" w:hAnsi="Calibri" w:cs="Calibri"/>
                <w:color w:val="000000"/>
                <w:lang w:val="en-GB"/>
              </w:rPr>
              <w:t>2 234</w:t>
            </w:r>
          </w:p>
        </w:tc>
      </w:tr>
      <w:tr w:rsidR="00624DCE" w:rsidRPr="00EC5F5A" w14:paraId="66330633" w14:textId="4844B4AB" w:rsidTr="00624DCE">
        <w:trPr>
          <w:cantSplit/>
          <w:trHeight w:val="259"/>
        </w:trPr>
        <w:tc>
          <w:tcPr>
            <w:tcW w:w="1951" w:type="dxa"/>
          </w:tcPr>
          <w:p w14:paraId="7DFBD150" w14:textId="23EFE748" w:rsidR="00624DCE" w:rsidRPr="00EC5F5A" w:rsidRDefault="00624DCE" w:rsidP="00624DCE">
            <w:pPr>
              <w:spacing w:line="360" w:lineRule="auto"/>
              <w:jc w:val="center"/>
              <w:rPr>
                <w:rFonts w:ascii="Arial" w:hAnsi="Arial" w:cs="Arial"/>
                <w:sz w:val="20"/>
                <w:szCs w:val="20"/>
                <w:lang w:val="en-GB"/>
              </w:rPr>
            </w:pPr>
            <w:r w:rsidRPr="00A616A0">
              <w:t xml:space="preserve">Tertiary </w:t>
            </w:r>
          </w:p>
        </w:tc>
        <w:tc>
          <w:tcPr>
            <w:tcW w:w="1701" w:type="dxa"/>
            <w:vAlign w:val="bottom"/>
          </w:tcPr>
          <w:p w14:paraId="4099EF36" w14:textId="5C69C6D8" w:rsidR="00624DCE" w:rsidRDefault="00624DCE" w:rsidP="00624DCE">
            <w:pPr>
              <w:spacing w:line="360" w:lineRule="auto"/>
              <w:jc w:val="center"/>
              <w:rPr>
                <w:rFonts w:ascii="Arial" w:hAnsi="Arial" w:cs="Arial"/>
                <w:sz w:val="20"/>
                <w:szCs w:val="20"/>
                <w:lang w:val="en-GB"/>
              </w:rPr>
            </w:pPr>
            <w:r>
              <w:rPr>
                <w:rFonts w:ascii="Calibri" w:hAnsi="Calibri"/>
                <w:color w:val="000000"/>
              </w:rPr>
              <w:t>90.4</w:t>
            </w:r>
          </w:p>
        </w:tc>
        <w:tc>
          <w:tcPr>
            <w:tcW w:w="1559" w:type="dxa"/>
            <w:vAlign w:val="bottom"/>
          </w:tcPr>
          <w:p w14:paraId="6C7ABBE9" w14:textId="115E12E2"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95.2</w:t>
            </w:r>
          </w:p>
        </w:tc>
        <w:tc>
          <w:tcPr>
            <w:tcW w:w="1094" w:type="dxa"/>
            <w:vAlign w:val="bottom"/>
          </w:tcPr>
          <w:p w14:paraId="7C5D8F77" w14:textId="6DEF778E" w:rsidR="00624DCE" w:rsidRDefault="00624DCE" w:rsidP="00624DCE">
            <w:pPr>
              <w:spacing w:line="360" w:lineRule="auto"/>
              <w:jc w:val="center"/>
              <w:rPr>
                <w:rFonts w:ascii="Calibri" w:hAnsi="Calibri"/>
                <w:color w:val="000000"/>
              </w:rPr>
            </w:pPr>
            <w:r>
              <w:rPr>
                <w:rFonts w:ascii="Calibri" w:hAnsi="Calibri" w:cs="Calibri"/>
                <w:color w:val="000000"/>
                <w:lang w:val="en-GB"/>
              </w:rPr>
              <w:t>2 542</w:t>
            </w:r>
          </w:p>
        </w:tc>
        <w:tc>
          <w:tcPr>
            <w:tcW w:w="1548" w:type="dxa"/>
            <w:vAlign w:val="bottom"/>
          </w:tcPr>
          <w:p w14:paraId="3B87DCEB" w14:textId="2B97DF48" w:rsidR="00624DCE" w:rsidRPr="00EC5F5A" w:rsidRDefault="00624DCE" w:rsidP="00624DCE">
            <w:pPr>
              <w:spacing w:line="360" w:lineRule="auto"/>
              <w:jc w:val="center"/>
              <w:rPr>
                <w:rFonts w:ascii="Arial" w:hAnsi="Arial" w:cs="Arial"/>
                <w:sz w:val="20"/>
                <w:szCs w:val="20"/>
                <w:lang w:val="en-GB"/>
              </w:rPr>
            </w:pPr>
            <w:r>
              <w:rPr>
                <w:rFonts w:ascii="Calibri" w:hAnsi="Calibri"/>
                <w:color w:val="000000"/>
              </w:rPr>
              <w:t>92.8</w:t>
            </w:r>
          </w:p>
        </w:tc>
        <w:tc>
          <w:tcPr>
            <w:tcW w:w="1435" w:type="dxa"/>
            <w:vAlign w:val="bottom"/>
          </w:tcPr>
          <w:p w14:paraId="0ED3E78E" w14:textId="7D417D6D" w:rsidR="00624DCE" w:rsidRDefault="00624DCE" w:rsidP="00624DCE">
            <w:pPr>
              <w:spacing w:line="360" w:lineRule="auto"/>
              <w:jc w:val="center"/>
              <w:rPr>
                <w:rFonts w:ascii="Calibri" w:hAnsi="Calibri"/>
                <w:color w:val="000000"/>
              </w:rPr>
            </w:pPr>
            <w:r>
              <w:rPr>
                <w:rFonts w:ascii="Calibri" w:hAnsi="Calibri" w:cs="Calibri"/>
                <w:color w:val="000000"/>
                <w:lang w:val="en-GB"/>
              </w:rPr>
              <w:t>2 288</w:t>
            </w:r>
          </w:p>
        </w:tc>
      </w:tr>
    </w:tbl>
    <w:p w14:paraId="14CCB5F7" w14:textId="0228968C" w:rsidR="005D7B08" w:rsidRPr="00EC5F5A" w:rsidRDefault="005D7B08" w:rsidP="005D7B08">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673285">
        <w:rPr>
          <w:rFonts w:ascii="Arial" w:hAnsi="Arial" w:cs="Arial"/>
          <w:sz w:val="20"/>
          <w:szCs w:val="20"/>
          <w:lang w:val="en-GB"/>
        </w:rPr>
        <w:t xml:space="preserve"> Election statistics and </w:t>
      </w:r>
      <w:r w:rsidR="00543D59">
        <w:rPr>
          <w:rFonts w:ascii="Arial" w:hAnsi="Arial" w:cs="Arial"/>
          <w:sz w:val="20"/>
          <w:szCs w:val="20"/>
          <w:lang w:val="en-GB"/>
        </w:rPr>
        <w:t xml:space="preserve">the </w:t>
      </w:r>
      <w:r w:rsidR="00F30D81">
        <w:rPr>
          <w:rFonts w:ascii="Arial" w:hAnsi="Arial" w:cs="Arial"/>
          <w:sz w:val="20"/>
          <w:szCs w:val="20"/>
          <w:lang w:val="en-GB"/>
        </w:rPr>
        <w:t>Norwegian Survey on Living Conditions</w:t>
      </w:r>
      <w:r>
        <w:rPr>
          <w:rFonts w:ascii="Arial" w:hAnsi="Arial" w:cs="Arial"/>
          <w:sz w:val="20"/>
          <w:szCs w:val="20"/>
          <w:lang w:val="en-GB"/>
        </w:rPr>
        <w:t>, 2014 and 2017</w:t>
      </w:r>
    </w:p>
    <w:p w14:paraId="3A1CE432" w14:textId="6296EB94" w:rsidR="00D8712E" w:rsidRDefault="00793038" w:rsidP="00C70A50">
      <w:pPr>
        <w:spacing w:before="120" w:after="0" w:line="360" w:lineRule="auto"/>
        <w:jc w:val="both"/>
        <w:rPr>
          <w:rFonts w:ascii="Arial" w:hAnsi="Arial" w:cs="Arial"/>
          <w:sz w:val="24"/>
          <w:szCs w:val="24"/>
          <w:lang w:val="en-GB"/>
        </w:rPr>
      </w:pPr>
      <w:r>
        <w:rPr>
          <w:rFonts w:ascii="Arial" w:hAnsi="Arial" w:cs="Arial"/>
          <w:sz w:val="24"/>
          <w:szCs w:val="24"/>
          <w:lang w:val="en-GB"/>
        </w:rPr>
        <w:t>The</w:t>
      </w:r>
      <w:r w:rsidR="00FE4963">
        <w:rPr>
          <w:rFonts w:ascii="Arial" w:hAnsi="Arial" w:cs="Arial"/>
          <w:sz w:val="24"/>
          <w:szCs w:val="24"/>
          <w:lang w:val="en-GB"/>
        </w:rPr>
        <w:t xml:space="preserve">re were only minor changes in the </w:t>
      </w:r>
      <w:r w:rsidR="00276E7D">
        <w:rPr>
          <w:rFonts w:ascii="Arial" w:hAnsi="Arial" w:cs="Arial"/>
          <w:sz w:val="24"/>
          <w:szCs w:val="24"/>
          <w:lang w:val="en-GB"/>
        </w:rPr>
        <w:t xml:space="preserve">aggregate </w:t>
      </w:r>
      <w:r w:rsidR="00FE4963">
        <w:rPr>
          <w:rFonts w:ascii="Arial" w:hAnsi="Arial" w:cs="Arial"/>
          <w:sz w:val="24"/>
          <w:szCs w:val="24"/>
          <w:lang w:val="en-GB"/>
        </w:rPr>
        <w:t xml:space="preserve">reported participation rates </w:t>
      </w:r>
      <w:r w:rsidR="00E14636">
        <w:rPr>
          <w:rFonts w:ascii="Arial" w:hAnsi="Arial" w:cs="Arial"/>
          <w:sz w:val="24"/>
          <w:szCs w:val="24"/>
          <w:lang w:val="en-GB"/>
        </w:rPr>
        <w:t>between the survey</w:t>
      </w:r>
      <w:r w:rsidR="009064E4">
        <w:rPr>
          <w:rFonts w:ascii="Arial" w:hAnsi="Arial" w:cs="Arial"/>
          <w:sz w:val="24"/>
          <w:szCs w:val="24"/>
          <w:lang w:val="en-GB"/>
        </w:rPr>
        <w:t>s</w:t>
      </w:r>
      <w:r w:rsidR="00E14636">
        <w:rPr>
          <w:rFonts w:ascii="Arial" w:hAnsi="Arial" w:cs="Arial"/>
          <w:sz w:val="24"/>
          <w:szCs w:val="24"/>
          <w:lang w:val="en-GB"/>
        </w:rPr>
        <w:t xml:space="preserve"> </w:t>
      </w:r>
      <w:r w:rsidR="00FE4963">
        <w:rPr>
          <w:rFonts w:ascii="Arial" w:hAnsi="Arial" w:cs="Arial"/>
          <w:sz w:val="24"/>
          <w:szCs w:val="24"/>
          <w:lang w:val="en-GB"/>
        </w:rPr>
        <w:t xml:space="preserve">for the population groups </w:t>
      </w:r>
      <w:r w:rsidR="00E14636">
        <w:rPr>
          <w:rFonts w:ascii="Arial" w:hAnsi="Arial" w:cs="Arial"/>
          <w:sz w:val="24"/>
          <w:szCs w:val="24"/>
          <w:lang w:val="en-GB"/>
        </w:rPr>
        <w:t>we look at</w:t>
      </w:r>
      <w:r>
        <w:rPr>
          <w:rFonts w:ascii="Arial" w:hAnsi="Arial" w:cs="Arial"/>
          <w:sz w:val="24"/>
          <w:szCs w:val="24"/>
          <w:lang w:val="en-GB"/>
        </w:rPr>
        <w:t>.</w:t>
      </w:r>
      <w:r w:rsidR="00E14636">
        <w:rPr>
          <w:rFonts w:ascii="Arial" w:hAnsi="Arial" w:cs="Arial"/>
          <w:sz w:val="24"/>
          <w:szCs w:val="24"/>
          <w:lang w:val="en-GB"/>
        </w:rPr>
        <w:t xml:space="preserve"> Again</w:t>
      </w:r>
      <w:r w:rsidR="009064E4">
        <w:rPr>
          <w:rFonts w:ascii="Arial" w:hAnsi="Arial" w:cs="Arial"/>
          <w:sz w:val="24"/>
          <w:szCs w:val="24"/>
          <w:lang w:val="en-GB"/>
        </w:rPr>
        <w:t>,</w:t>
      </w:r>
      <w:r w:rsidR="00E14636">
        <w:rPr>
          <w:rFonts w:ascii="Arial" w:hAnsi="Arial" w:cs="Arial"/>
          <w:sz w:val="24"/>
          <w:szCs w:val="24"/>
          <w:lang w:val="en-GB"/>
        </w:rPr>
        <w:t xml:space="preserve"> this indicates that </w:t>
      </w:r>
      <w:r w:rsidR="009064E4">
        <w:rPr>
          <w:rFonts w:ascii="Arial" w:hAnsi="Arial" w:cs="Arial"/>
          <w:sz w:val="24"/>
          <w:szCs w:val="24"/>
          <w:lang w:val="en-GB"/>
        </w:rPr>
        <w:t xml:space="preserve">the mechanisms leading to misreporting </w:t>
      </w:r>
      <w:r w:rsidR="00E14636">
        <w:rPr>
          <w:rFonts w:ascii="Arial" w:hAnsi="Arial" w:cs="Arial"/>
          <w:sz w:val="24"/>
          <w:szCs w:val="24"/>
          <w:lang w:val="en-GB"/>
        </w:rPr>
        <w:t>affect the results similar</w:t>
      </w:r>
      <w:r w:rsidR="00FE20E0">
        <w:rPr>
          <w:rFonts w:ascii="Arial" w:hAnsi="Arial" w:cs="Arial"/>
          <w:sz w:val="24"/>
          <w:szCs w:val="24"/>
          <w:lang w:val="en-GB"/>
        </w:rPr>
        <w:t>ly</w:t>
      </w:r>
      <w:r w:rsidR="00E14636">
        <w:rPr>
          <w:rFonts w:ascii="Arial" w:hAnsi="Arial" w:cs="Arial"/>
          <w:sz w:val="24"/>
          <w:szCs w:val="24"/>
          <w:lang w:val="en-GB"/>
        </w:rPr>
        <w:t xml:space="preserve"> </w:t>
      </w:r>
      <w:r w:rsidR="009064E4">
        <w:rPr>
          <w:rFonts w:ascii="Arial" w:hAnsi="Arial" w:cs="Arial"/>
          <w:sz w:val="24"/>
          <w:szCs w:val="24"/>
          <w:lang w:val="en-GB"/>
        </w:rPr>
        <w:t>when measured several years</w:t>
      </w:r>
      <w:r w:rsidR="009064E4" w:rsidRPr="00E14636">
        <w:rPr>
          <w:rFonts w:ascii="Arial" w:hAnsi="Arial" w:cs="Arial"/>
          <w:sz w:val="24"/>
          <w:szCs w:val="24"/>
          <w:lang w:val="en-GB"/>
        </w:rPr>
        <w:t xml:space="preserve"> </w:t>
      </w:r>
      <w:r w:rsidR="009064E4">
        <w:rPr>
          <w:rFonts w:ascii="Arial" w:hAnsi="Arial" w:cs="Arial"/>
          <w:sz w:val="24"/>
          <w:szCs w:val="24"/>
          <w:lang w:val="en-GB"/>
        </w:rPr>
        <w:t>after the event as when measured after approximately 6</w:t>
      </w:r>
      <w:r w:rsidR="00E14636">
        <w:rPr>
          <w:rFonts w:ascii="Arial" w:hAnsi="Arial" w:cs="Arial"/>
          <w:sz w:val="24"/>
          <w:szCs w:val="24"/>
          <w:lang w:val="en-GB"/>
        </w:rPr>
        <w:t xml:space="preserve"> months.</w:t>
      </w:r>
    </w:p>
    <w:p w14:paraId="2094660D" w14:textId="13939D9D" w:rsidR="006A2DD9" w:rsidRDefault="00276E7D" w:rsidP="00C70A50">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5. </w:t>
      </w:r>
      <w:r w:rsidR="006A2DD9" w:rsidRPr="00276E7D">
        <w:rPr>
          <w:rFonts w:ascii="Arial" w:hAnsi="Arial" w:cs="Arial"/>
          <w:b/>
          <w:sz w:val="24"/>
          <w:szCs w:val="24"/>
          <w:lang w:val="en-GB"/>
        </w:rPr>
        <w:t>Results from panel data</w:t>
      </w:r>
    </w:p>
    <w:p w14:paraId="2D1FDCF3" w14:textId="158D4C22" w:rsidR="006A2DD9" w:rsidRDefault="006D1EEB" w:rsidP="006A2DD9">
      <w:pPr>
        <w:spacing w:before="120" w:after="0" w:line="360" w:lineRule="auto"/>
        <w:jc w:val="both"/>
        <w:rPr>
          <w:rFonts w:ascii="Arial" w:hAnsi="Arial" w:cs="Arial"/>
          <w:sz w:val="24"/>
          <w:szCs w:val="24"/>
          <w:lang w:val="en-GB"/>
        </w:rPr>
      </w:pPr>
      <w:r>
        <w:rPr>
          <w:rFonts w:ascii="Arial" w:hAnsi="Arial" w:cs="Arial"/>
          <w:sz w:val="24"/>
          <w:szCs w:val="24"/>
          <w:lang w:val="en-US"/>
        </w:rPr>
        <w:t>O</w:t>
      </w:r>
      <w:r w:rsidR="006A2DD9" w:rsidRPr="00242296">
        <w:rPr>
          <w:rFonts w:ascii="Arial" w:hAnsi="Arial" w:cs="Arial"/>
          <w:sz w:val="24"/>
          <w:szCs w:val="24"/>
          <w:lang w:val="en-US"/>
        </w:rPr>
        <w:t>f t</w:t>
      </w:r>
      <w:r w:rsidR="006A2DD9">
        <w:rPr>
          <w:rFonts w:ascii="Arial" w:hAnsi="Arial" w:cs="Arial"/>
          <w:sz w:val="24"/>
          <w:szCs w:val="24"/>
          <w:lang w:val="en-US"/>
        </w:rPr>
        <w:t>he 1094 respondents who participated in both survey waves, 43 changed their response from “voter” to “non-voter” from the first to the second survey, whereas 28 respondents changed their response from “non-voter” to “voter”</w:t>
      </w:r>
      <w:r w:rsidR="00093853">
        <w:rPr>
          <w:rStyle w:val="Fotnotereferanse"/>
          <w:rFonts w:ascii="Arial" w:hAnsi="Arial" w:cs="Arial"/>
          <w:sz w:val="24"/>
          <w:szCs w:val="24"/>
          <w:lang w:val="en-US"/>
        </w:rPr>
        <w:footnoteReference w:id="3"/>
      </w:r>
      <w:r w:rsidR="006A2DD9">
        <w:rPr>
          <w:rFonts w:ascii="Arial" w:hAnsi="Arial" w:cs="Arial"/>
          <w:sz w:val="24"/>
          <w:szCs w:val="24"/>
          <w:lang w:val="en-US"/>
        </w:rPr>
        <w:t>. As observed in the cross-section analysis, very few individuals refused to answer the question or said they did not know</w:t>
      </w:r>
      <w:r w:rsidR="00FE20E0">
        <w:rPr>
          <w:rFonts w:ascii="Arial" w:hAnsi="Arial" w:cs="Arial"/>
          <w:sz w:val="24"/>
          <w:szCs w:val="24"/>
          <w:lang w:val="en-US"/>
        </w:rPr>
        <w:t xml:space="preserve">. </w:t>
      </w:r>
      <w:r>
        <w:rPr>
          <w:rFonts w:ascii="Arial" w:hAnsi="Arial" w:cs="Arial"/>
          <w:sz w:val="24"/>
          <w:szCs w:val="24"/>
          <w:lang w:val="en-GB"/>
        </w:rPr>
        <w:t>In total</w:t>
      </w:r>
      <w:r w:rsidR="006A2DD9">
        <w:rPr>
          <w:rFonts w:ascii="Arial" w:hAnsi="Arial" w:cs="Arial"/>
          <w:sz w:val="24"/>
          <w:szCs w:val="24"/>
          <w:lang w:val="en-GB"/>
        </w:rPr>
        <w:t>, approximately 7 per cent of panel participants changed their voter status from the first to the second time they were asked.</w:t>
      </w:r>
    </w:p>
    <w:p w14:paraId="1FB3C102" w14:textId="4B060A06" w:rsidR="007A6EAE" w:rsidRPr="007A6EAE" w:rsidRDefault="007A6EAE" w:rsidP="007A6EAE">
      <w:pPr>
        <w:pStyle w:val="Bildetekst"/>
        <w:keepNext/>
        <w:spacing w:before="240" w:after="0"/>
        <w:rPr>
          <w:rFonts w:ascii="Arial" w:hAnsi="Arial" w:cs="Arial"/>
          <w:b/>
          <w:i w:val="0"/>
          <w:color w:val="auto"/>
          <w:sz w:val="20"/>
          <w:szCs w:val="20"/>
          <w:lang w:val="en-GB"/>
        </w:rPr>
      </w:pPr>
      <w:r w:rsidRPr="00D8712E">
        <w:rPr>
          <w:rFonts w:ascii="Arial" w:hAnsi="Arial" w:cs="Arial"/>
          <w:b/>
          <w:i w:val="0"/>
          <w:color w:val="auto"/>
          <w:sz w:val="20"/>
          <w:szCs w:val="20"/>
          <w:lang w:val="en-GB"/>
        </w:rPr>
        <w:t xml:space="preserve">Table </w:t>
      </w:r>
      <w:r w:rsidR="00A4412A">
        <w:rPr>
          <w:rFonts w:ascii="Arial" w:hAnsi="Arial" w:cs="Arial"/>
          <w:b/>
          <w:i w:val="0"/>
          <w:color w:val="auto"/>
          <w:sz w:val="20"/>
          <w:szCs w:val="20"/>
          <w:lang w:val="en-GB"/>
        </w:rPr>
        <w:t>3</w:t>
      </w:r>
      <w:r w:rsidRPr="00D8712E">
        <w:rPr>
          <w:rFonts w:ascii="Arial" w:hAnsi="Arial" w:cs="Arial"/>
          <w:b/>
          <w:i w:val="0"/>
          <w:color w:val="auto"/>
          <w:sz w:val="20"/>
          <w:szCs w:val="20"/>
          <w:lang w:val="en-GB"/>
        </w:rPr>
        <w:t xml:space="preserve">. </w:t>
      </w:r>
      <w:r w:rsidR="00047858">
        <w:rPr>
          <w:rFonts w:ascii="Arial" w:hAnsi="Arial" w:cs="Arial"/>
          <w:b/>
          <w:i w:val="0"/>
          <w:color w:val="auto"/>
          <w:sz w:val="20"/>
          <w:szCs w:val="20"/>
          <w:lang w:val="en-GB"/>
        </w:rPr>
        <w:t xml:space="preserve">Number of respondents by </w:t>
      </w:r>
      <w:r w:rsidR="000A0848">
        <w:rPr>
          <w:rFonts w:ascii="Arial" w:hAnsi="Arial" w:cs="Arial"/>
          <w:b/>
          <w:i w:val="0"/>
          <w:color w:val="auto"/>
          <w:sz w:val="20"/>
          <w:szCs w:val="20"/>
          <w:lang w:val="en-GB"/>
        </w:rPr>
        <w:t>voter status</w:t>
      </w:r>
      <w:r w:rsidR="00047858">
        <w:rPr>
          <w:rFonts w:ascii="Arial" w:hAnsi="Arial" w:cs="Arial"/>
          <w:b/>
          <w:i w:val="0"/>
          <w:color w:val="auto"/>
          <w:sz w:val="20"/>
          <w:szCs w:val="20"/>
          <w:lang w:val="en-GB"/>
        </w:rPr>
        <w:t xml:space="preserve"> in 2014 and 2017</w:t>
      </w:r>
      <w:r w:rsidRPr="00D8712E">
        <w:rPr>
          <w:rFonts w:ascii="Arial" w:hAnsi="Arial" w:cs="Arial"/>
          <w:b/>
          <w:i w:val="0"/>
          <w:color w:val="auto"/>
          <w:sz w:val="20"/>
          <w:szCs w:val="20"/>
          <w:lang w:val="en-GB"/>
        </w:rPr>
        <w:t>. Panel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3"/>
        <w:gridCol w:w="588"/>
        <w:gridCol w:w="634"/>
        <w:gridCol w:w="1865"/>
        <w:gridCol w:w="1503"/>
        <w:gridCol w:w="919"/>
      </w:tblGrid>
      <w:tr w:rsidR="0084063A" w:rsidRPr="0084063A" w14:paraId="4F9F2BB7" w14:textId="77777777" w:rsidTr="000A0848">
        <w:trPr>
          <w:trHeight w:val="300"/>
        </w:trPr>
        <w:tc>
          <w:tcPr>
            <w:tcW w:w="2010" w:type="pct"/>
            <w:shd w:val="clear" w:color="auto" w:fill="auto"/>
            <w:noWrap/>
            <w:vAlign w:val="bottom"/>
            <w:hideMark/>
          </w:tcPr>
          <w:p w14:paraId="2D1B7E1C" w14:textId="77777777" w:rsidR="0084063A" w:rsidRPr="00047858" w:rsidRDefault="0084063A" w:rsidP="0084063A">
            <w:pPr>
              <w:spacing w:after="0" w:line="240" w:lineRule="auto"/>
              <w:rPr>
                <w:rFonts w:ascii="Times New Roman" w:eastAsia="Times New Roman" w:hAnsi="Times New Roman" w:cs="Times New Roman"/>
                <w:sz w:val="24"/>
                <w:szCs w:val="24"/>
                <w:lang w:val="en-US" w:eastAsia="nb-NO"/>
              </w:rPr>
            </w:pPr>
          </w:p>
        </w:tc>
        <w:tc>
          <w:tcPr>
            <w:tcW w:w="2491" w:type="pct"/>
            <w:gridSpan w:val="4"/>
            <w:tcBorders>
              <w:right w:val="nil"/>
            </w:tcBorders>
            <w:shd w:val="clear" w:color="auto" w:fill="auto"/>
            <w:noWrap/>
            <w:vAlign w:val="bottom"/>
            <w:hideMark/>
          </w:tcPr>
          <w:p w14:paraId="12C1D3BD" w14:textId="77777777" w:rsidR="0084063A" w:rsidRPr="0084063A" w:rsidRDefault="0084063A" w:rsidP="0084063A">
            <w:pPr>
              <w:spacing w:after="0" w:line="240" w:lineRule="auto"/>
              <w:rPr>
                <w:rFonts w:ascii="Calibri" w:eastAsia="Times New Roman" w:hAnsi="Calibri" w:cs="Calibri"/>
                <w:color w:val="000000"/>
                <w:lang w:val="en-US" w:eastAsia="nb-NO"/>
              </w:rPr>
            </w:pPr>
            <w:r w:rsidRPr="0084063A">
              <w:rPr>
                <w:rFonts w:ascii="Calibri" w:eastAsia="Times New Roman" w:hAnsi="Calibri" w:cs="Calibri"/>
                <w:color w:val="000000"/>
                <w:lang w:val="en-US" w:eastAsia="nb-NO"/>
              </w:rPr>
              <w:t>2017: Voted in the 2013 parliamentary election</w:t>
            </w:r>
          </w:p>
        </w:tc>
        <w:tc>
          <w:tcPr>
            <w:tcW w:w="499" w:type="pct"/>
            <w:tcBorders>
              <w:left w:val="nil"/>
            </w:tcBorders>
            <w:shd w:val="clear" w:color="auto" w:fill="auto"/>
            <w:noWrap/>
            <w:vAlign w:val="bottom"/>
            <w:hideMark/>
          </w:tcPr>
          <w:p w14:paraId="30E4ABCA" w14:textId="46877BD8" w:rsidR="0084063A" w:rsidRPr="000A0848" w:rsidRDefault="0084063A" w:rsidP="0084063A">
            <w:pPr>
              <w:spacing w:after="0" w:line="240" w:lineRule="auto"/>
              <w:rPr>
                <w:rFonts w:ascii="Calibri" w:eastAsia="Times New Roman" w:hAnsi="Calibri" w:cs="Calibri"/>
                <w:color w:val="000000"/>
                <w:lang w:val="en-US" w:eastAsia="nb-NO"/>
              </w:rPr>
            </w:pPr>
          </w:p>
        </w:tc>
      </w:tr>
      <w:tr w:rsidR="000A0848" w:rsidRPr="0084063A" w14:paraId="57940739" w14:textId="77777777" w:rsidTr="000A0848">
        <w:trPr>
          <w:trHeight w:val="300"/>
        </w:trPr>
        <w:tc>
          <w:tcPr>
            <w:tcW w:w="2010" w:type="pct"/>
            <w:shd w:val="clear" w:color="auto" w:fill="auto"/>
            <w:noWrap/>
            <w:vAlign w:val="bottom"/>
            <w:hideMark/>
          </w:tcPr>
          <w:p w14:paraId="285CE253" w14:textId="77777777" w:rsidR="0084063A" w:rsidRPr="000A0848" w:rsidRDefault="0084063A" w:rsidP="0084063A">
            <w:pPr>
              <w:spacing w:after="0" w:line="240" w:lineRule="auto"/>
              <w:rPr>
                <w:rFonts w:ascii="Calibri" w:eastAsia="Times New Roman" w:hAnsi="Calibri" w:cs="Calibri"/>
                <w:color w:val="000000"/>
                <w:lang w:val="en-US" w:eastAsia="nb-NO"/>
              </w:rPr>
            </w:pPr>
          </w:p>
        </w:tc>
        <w:tc>
          <w:tcPr>
            <w:tcW w:w="319" w:type="pct"/>
            <w:shd w:val="clear" w:color="auto" w:fill="auto"/>
            <w:noWrap/>
            <w:vAlign w:val="bottom"/>
            <w:hideMark/>
          </w:tcPr>
          <w:p w14:paraId="0E6351A3"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Yes</w:t>
            </w:r>
          </w:p>
        </w:tc>
        <w:tc>
          <w:tcPr>
            <w:tcW w:w="344" w:type="pct"/>
            <w:shd w:val="clear" w:color="auto" w:fill="auto"/>
            <w:noWrap/>
            <w:vAlign w:val="bottom"/>
            <w:hideMark/>
          </w:tcPr>
          <w:p w14:paraId="133F98A2"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No</w:t>
            </w:r>
          </w:p>
        </w:tc>
        <w:tc>
          <w:tcPr>
            <w:tcW w:w="1012" w:type="pct"/>
            <w:shd w:val="clear" w:color="auto" w:fill="auto"/>
            <w:noWrap/>
            <w:vAlign w:val="bottom"/>
            <w:hideMark/>
          </w:tcPr>
          <w:p w14:paraId="09CF3E18" w14:textId="77777777" w:rsidR="0084063A" w:rsidRPr="0084063A" w:rsidRDefault="0084063A" w:rsidP="0084063A">
            <w:pPr>
              <w:spacing w:after="0" w:line="240" w:lineRule="auto"/>
              <w:rPr>
                <w:rFonts w:ascii="Calibri" w:eastAsia="Times New Roman" w:hAnsi="Calibri" w:cs="Calibri"/>
                <w:color w:val="000000"/>
                <w:lang w:val="en-US" w:eastAsia="nb-NO"/>
              </w:rPr>
            </w:pPr>
            <w:r w:rsidRPr="0084063A">
              <w:rPr>
                <w:rFonts w:ascii="Calibri" w:eastAsia="Times New Roman" w:hAnsi="Calibri" w:cs="Calibri"/>
                <w:color w:val="000000"/>
                <w:lang w:val="en-US" w:eastAsia="nb-NO"/>
              </w:rPr>
              <w:t>Do not want to answer</w:t>
            </w:r>
          </w:p>
        </w:tc>
        <w:tc>
          <w:tcPr>
            <w:tcW w:w="816" w:type="pct"/>
            <w:shd w:val="clear" w:color="auto" w:fill="auto"/>
            <w:noWrap/>
            <w:vAlign w:val="bottom"/>
            <w:hideMark/>
          </w:tcPr>
          <w:p w14:paraId="6E8DDDE1"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Don't know</w:t>
            </w:r>
          </w:p>
        </w:tc>
        <w:tc>
          <w:tcPr>
            <w:tcW w:w="499" w:type="pct"/>
            <w:shd w:val="clear" w:color="auto" w:fill="auto"/>
            <w:noWrap/>
            <w:vAlign w:val="bottom"/>
            <w:hideMark/>
          </w:tcPr>
          <w:p w14:paraId="538605A9" w14:textId="06FB28C6" w:rsidR="0084063A" w:rsidRPr="0084063A" w:rsidRDefault="000A0848" w:rsidP="0084063A">
            <w:pPr>
              <w:spacing w:after="0" w:line="240" w:lineRule="auto"/>
              <w:rPr>
                <w:rFonts w:ascii="Calibri" w:eastAsia="Times New Roman" w:hAnsi="Calibri" w:cs="Calibri"/>
                <w:color w:val="000000"/>
                <w:lang w:val="nb-NO" w:eastAsia="nb-NO"/>
              </w:rPr>
            </w:pPr>
            <w:r>
              <w:rPr>
                <w:rFonts w:ascii="Calibri" w:eastAsia="Times New Roman" w:hAnsi="Calibri" w:cs="Calibri"/>
                <w:color w:val="000000"/>
                <w:lang w:val="nb-NO" w:eastAsia="nb-NO"/>
              </w:rPr>
              <w:t>Total</w:t>
            </w:r>
          </w:p>
        </w:tc>
      </w:tr>
      <w:tr w:rsidR="000A0848" w:rsidRPr="0084063A" w14:paraId="1DE19B1A" w14:textId="77777777" w:rsidTr="000A0848">
        <w:trPr>
          <w:trHeight w:val="300"/>
        </w:trPr>
        <w:tc>
          <w:tcPr>
            <w:tcW w:w="2010" w:type="pct"/>
            <w:shd w:val="clear" w:color="auto" w:fill="auto"/>
            <w:noWrap/>
            <w:vAlign w:val="bottom"/>
            <w:hideMark/>
          </w:tcPr>
          <w:p w14:paraId="64E605F3" w14:textId="77777777" w:rsidR="0084063A" w:rsidRPr="0084063A" w:rsidRDefault="0084063A" w:rsidP="0084063A">
            <w:pPr>
              <w:spacing w:after="0" w:line="240" w:lineRule="auto"/>
              <w:rPr>
                <w:rFonts w:ascii="Calibri" w:eastAsia="Times New Roman" w:hAnsi="Calibri" w:cs="Calibri"/>
                <w:color w:val="000000"/>
                <w:lang w:val="en-US" w:eastAsia="nb-NO"/>
              </w:rPr>
            </w:pPr>
            <w:r w:rsidRPr="0084063A">
              <w:rPr>
                <w:rFonts w:ascii="Calibri" w:eastAsia="Times New Roman" w:hAnsi="Calibri" w:cs="Calibri"/>
                <w:color w:val="000000"/>
                <w:lang w:val="en-US" w:eastAsia="nb-NO"/>
              </w:rPr>
              <w:t>2014: Voted in the 2013 parliamentary election</w:t>
            </w:r>
          </w:p>
        </w:tc>
        <w:tc>
          <w:tcPr>
            <w:tcW w:w="319" w:type="pct"/>
            <w:shd w:val="clear" w:color="auto" w:fill="auto"/>
            <w:noWrap/>
            <w:vAlign w:val="bottom"/>
            <w:hideMark/>
          </w:tcPr>
          <w:p w14:paraId="677F18DC" w14:textId="77777777" w:rsidR="0084063A" w:rsidRPr="0084063A" w:rsidRDefault="0084063A" w:rsidP="0084063A">
            <w:pPr>
              <w:spacing w:after="0" w:line="240" w:lineRule="auto"/>
              <w:rPr>
                <w:rFonts w:ascii="Calibri" w:eastAsia="Times New Roman" w:hAnsi="Calibri" w:cs="Calibri"/>
                <w:color w:val="000000"/>
                <w:lang w:val="en-US" w:eastAsia="nb-NO"/>
              </w:rPr>
            </w:pPr>
          </w:p>
        </w:tc>
        <w:tc>
          <w:tcPr>
            <w:tcW w:w="344" w:type="pct"/>
            <w:shd w:val="clear" w:color="auto" w:fill="auto"/>
            <w:noWrap/>
            <w:vAlign w:val="bottom"/>
            <w:hideMark/>
          </w:tcPr>
          <w:p w14:paraId="11E9AB1B" w14:textId="77777777" w:rsidR="0084063A" w:rsidRPr="0084063A" w:rsidRDefault="0084063A" w:rsidP="0084063A">
            <w:pPr>
              <w:spacing w:after="0" w:line="240" w:lineRule="auto"/>
              <w:rPr>
                <w:rFonts w:ascii="Times New Roman" w:eastAsia="Times New Roman" w:hAnsi="Times New Roman" w:cs="Times New Roman"/>
                <w:sz w:val="20"/>
                <w:szCs w:val="20"/>
                <w:lang w:val="en-US" w:eastAsia="nb-NO"/>
              </w:rPr>
            </w:pPr>
          </w:p>
        </w:tc>
        <w:tc>
          <w:tcPr>
            <w:tcW w:w="1012" w:type="pct"/>
            <w:shd w:val="clear" w:color="auto" w:fill="auto"/>
            <w:noWrap/>
            <w:vAlign w:val="bottom"/>
            <w:hideMark/>
          </w:tcPr>
          <w:p w14:paraId="4C55F5F6" w14:textId="77777777" w:rsidR="0084063A" w:rsidRPr="0084063A" w:rsidRDefault="0084063A" w:rsidP="0084063A">
            <w:pPr>
              <w:spacing w:after="0" w:line="240" w:lineRule="auto"/>
              <w:rPr>
                <w:rFonts w:ascii="Times New Roman" w:eastAsia="Times New Roman" w:hAnsi="Times New Roman" w:cs="Times New Roman"/>
                <w:sz w:val="20"/>
                <w:szCs w:val="20"/>
                <w:lang w:val="en-US" w:eastAsia="nb-NO"/>
              </w:rPr>
            </w:pPr>
          </w:p>
        </w:tc>
        <w:tc>
          <w:tcPr>
            <w:tcW w:w="816" w:type="pct"/>
            <w:shd w:val="clear" w:color="auto" w:fill="auto"/>
            <w:noWrap/>
            <w:vAlign w:val="bottom"/>
            <w:hideMark/>
          </w:tcPr>
          <w:p w14:paraId="18C9BF54" w14:textId="77777777" w:rsidR="0084063A" w:rsidRPr="0084063A" w:rsidRDefault="0084063A" w:rsidP="0084063A">
            <w:pPr>
              <w:spacing w:after="0" w:line="240" w:lineRule="auto"/>
              <w:rPr>
                <w:rFonts w:ascii="Times New Roman" w:eastAsia="Times New Roman" w:hAnsi="Times New Roman" w:cs="Times New Roman"/>
                <w:sz w:val="20"/>
                <w:szCs w:val="20"/>
                <w:lang w:val="en-US" w:eastAsia="nb-NO"/>
              </w:rPr>
            </w:pPr>
          </w:p>
        </w:tc>
        <w:tc>
          <w:tcPr>
            <w:tcW w:w="499" w:type="pct"/>
            <w:shd w:val="clear" w:color="auto" w:fill="auto"/>
            <w:noWrap/>
            <w:vAlign w:val="bottom"/>
            <w:hideMark/>
          </w:tcPr>
          <w:p w14:paraId="0EBDAEA5" w14:textId="77777777" w:rsidR="0084063A" w:rsidRPr="0084063A" w:rsidRDefault="0084063A" w:rsidP="0084063A">
            <w:pPr>
              <w:spacing w:after="0" w:line="240" w:lineRule="auto"/>
              <w:rPr>
                <w:rFonts w:ascii="Times New Roman" w:eastAsia="Times New Roman" w:hAnsi="Times New Roman" w:cs="Times New Roman"/>
                <w:sz w:val="20"/>
                <w:szCs w:val="20"/>
                <w:lang w:val="en-US" w:eastAsia="nb-NO"/>
              </w:rPr>
            </w:pPr>
          </w:p>
        </w:tc>
      </w:tr>
      <w:tr w:rsidR="000A0848" w:rsidRPr="0084063A" w14:paraId="25632264" w14:textId="77777777" w:rsidTr="000A0848">
        <w:trPr>
          <w:trHeight w:val="300"/>
        </w:trPr>
        <w:tc>
          <w:tcPr>
            <w:tcW w:w="2010" w:type="pct"/>
            <w:shd w:val="clear" w:color="auto" w:fill="auto"/>
            <w:noWrap/>
            <w:vAlign w:val="bottom"/>
            <w:hideMark/>
          </w:tcPr>
          <w:p w14:paraId="7307FFE5"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Yes</w:t>
            </w:r>
          </w:p>
        </w:tc>
        <w:tc>
          <w:tcPr>
            <w:tcW w:w="319" w:type="pct"/>
            <w:shd w:val="clear" w:color="auto" w:fill="auto"/>
            <w:noWrap/>
            <w:vAlign w:val="bottom"/>
            <w:hideMark/>
          </w:tcPr>
          <w:p w14:paraId="14F0F106"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971</w:t>
            </w:r>
          </w:p>
        </w:tc>
        <w:tc>
          <w:tcPr>
            <w:tcW w:w="344" w:type="pct"/>
            <w:shd w:val="clear" w:color="auto" w:fill="auto"/>
            <w:noWrap/>
            <w:vAlign w:val="bottom"/>
            <w:hideMark/>
          </w:tcPr>
          <w:p w14:paraId="7A5B3E54"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43</w:t>
            </w:r>
          </w:p>
        </w:tc>
        <w:tc>
          <w:tcPr>
            <w:tcW w:w="1012" w:type="pct"/>
            <w:shd w:val="clear" w:color="auto" w:fill="auto"/>
            <w:noWrap/>
            <w:vAlign w:val="bottom"/>
            <w:hideMark/>
          </w:tcPr>
          <w:p w14:paraId="197323D7"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1</w:t>
            </w:r>
          </w:p>
        </w:tc>
        <w:tc>
          <w:tcPr>
            <w:tcW w:w="816" w:type="pct"/>
            <w:shd w:val="clear" w:color="auto" w:fill="auto"/>
            <w:noWrap/>
            <w:vAlign w:val="bottom"/>
            <w:hideMark/>
          </w:tcPr>
          <w:p w14:paraId="7132A460"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2</w:t>
            </w:r>
          </w:p>
        </w:tc>
        <w:tc>
          <w:tcPr>
            <w:tcW w:w="499" w:type="pct"/>
            <w:shd w:val="clear" w:color="auto" w:fill="auto"/>
            <w:noWrap/>
            <w:vAlign w:val="bottom"/>
            <w:hideMark/>
          </w:tcPr>
          <w:p w14:paraId="3ED8FCB3"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1017</w:t>
            </w:r>
          </w:p>
        </w:tc>
      </w:tr>
      <w:tr w:rsidR="000A0848" w:rsidRPr="0084063A" w14:paraId="7E881E93" w14:textId="77777777" w:rsidTr="000A0848">
        <w:trPr>
          <w:trHeight w:val="300"/>
        </w:trPr>
        <w:tc>
          <w:tcPr>
            <w:tcW w:w="2010" w:type="pct"/>
            <w:shd w:val="clear" w:color="auto" w:fill="auto"/>
            <w:noWrap/>
            <w:vAlign w:val="bottom"/>
            <w:hideMark/>
          </w:tcPr>
          <w:p w14:paraId="672B151E"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No</w:t>
            </w:r>
          </w:p>
        </w:tc>
        <w:tc>
          <w:tcPr>
            <w:tcW w:w="319" w:type="pct"/>
            <w:shd w:val="clear" w:color="auto" w:fill="auto"/>
            <w:noWrap/>
            <w:vAlign w:val="bottom"/>
            <w:hideMark/>
          </w:tcPr>
          <w:p w14:paraId="7AD601FA"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28</w:t>
            </w:r>
          </w:p>
        </w:tc>
        <w:tc>
          <w:tcPr>
            <w:tcW w:w="344" w:type="pct"/>
            <w:shd w:val="clear" w:color="auto" w:fill="auto"/>
            <w:noWrap/>
            <w:vAlign w:val="bottom"/>
            <w:hideMark/>
          </w:tcPr>
          <w:p w14:paraId="7F16CB1A"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47</w:t>
            </w:r>
          </w:p>
        </w:tc>
        <w:tc>
          <w:tcPr>
            <w:tcW w:w="1012" w:type="pct"/>
            <w:shd w:val="clear" w:color="auto" w:fill="auto"/>
            <w:noWrap/>
            <w:vAlign w:val="bottom"/>
            <w:hideMark/>
          </w:tcPr>
          <w:p w14:paraId="287AAB3E"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0</w:t>
            </w:r>
          </w:p>
        </w:tc>
        <w:tc>
          <w:tcPr>
            <w:tcW w:w="816" w:type="pct"/>
            <w:shd w:val="clear" w:color="auto" w:fill="auto"/>
            <w:noWrap/>
            <w:vAlign w:val="bottom"/>
            <w:hideMark/>
          </w:tcPr>
          <w:p w14:paraId="05083AAD"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0</w:t>
            </w:r>
          </w:p>
        </w:tc>
        <w:tc>
          <w:tcPr>
            <w:tcW w:w="499" w:type="pct"/>
            <w:shd w:val="clear" w:color="auto" w:fill="auto"/>
            <w:noWrap/>
            <w:vAlign w:val="bottom"/>
            <w:hideMark/>
          </w:tcPr>
          <w:p w14:paraId="27BFA776"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75</w:t>
            </w:r>
          </w:p>
        </w:tc>
      </w:tr>
      <w:tr w:rsidR="000A0848" w:rsidRPr="0084063A" w14:paraId="6B4CC9F0" w14:textId="77777777" w:rsidTr="000A0848">
        <w:trPr>
          <w:trHeight w:val="300"/>
        </w:trPr>
        <w:tc>
          <w:tcPr>
            <w:tcW w:w="2010" w:type="pct"/>
            <w:shd w:val="clear" w:color="auto" w:fill="auto"/>
            <w:noWrap/>
            <w:vAlign w:val="bottom"/>
            <w:hideMark/>
          </w:tcPr>
          <w:p w14:paraId="4709DCE5" w14:textId="77777777" w:rsidR="0084063A" w:rsidRPr="0084063A" w:rsidRDefault="0084063A" w:rsidP="0084063A">
            <w:pPr>
              <w:spacing w:after="0" w:line="240" w:lineRule="auto"/>
              <w:rPr>
                <w:rFonts w:ascii="Calibri" w:eastAsia="Times New Roman" w:hAnsi="Calibri" w:cs="Calibri"/>
                <w:color w:val="000000"/>
                <w:lang w:val="en-US" w:eastAsia="nb-NO"/>
              </w:rPr>
            </w:pPr>
            <w:r w:rsidRPr="0084063A">
              <w:rPr>
                <w:rFonts w:ascii="Calibri" w:eastAsia="Times New Roman" w:hAnsi="Calibri" w:cs="Calibri"/>
                <w:color w:val="000000"/>
                <w:lang w:val="en-US" w:eastAsia="nb-NO"/>
              </w:rPr>
              <w:t>Do not want to answer</w:t>
            </w:r>
          </w:p>
        </w:tc>
        <w:tc>
          <w:tcPr>
            <w:tcW w:w="319" w:type="pct"/>
            <w:shd w:val="clear" w:color="auto" w:fill="auto"/>
            <w:noWrap/>
            <w:vAlign w:val="bottom"/>
            <w:hideMark/>
          </w:tcPr>
          <w:p w14:paraId="606C21D2"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0</w:t>
            </w:r>
          </w:p>
        </w:tc>
        <w:tc>
          <w:tcPr>
            <w:tcW w:w="344" w:type="pct"/>
            <w:shd w:val="clear" w:color="auto" w:fill="auto"/>
            <w:noWrap/>
            <w:vAlign w:val="bottom"/>
            <w:hideMark/>
          </w:tcPr>
          <w:p w14:paraId="2F5A4CF5"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1</w:t>
            </w:r>
          </w:p>
        </w:tc>
        <w:tc>
          <w:tcPr>
            <w:tcW w:w="1012" w:type="pct"/>
            <w:shd w:val="clear" w:color="auto" w:fill="auto"/>
            <w:noWrap/>
            <w:vAlign w:val="bottom"/>
            <w:hideMark/>
          </w:tcPr>
          <w:p w14:paraId="36471A69"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1</w:t>
            </w:r>
          </w:p>
        </w:tc>
        <w:tc>
          <w:tcPr>
            <w:tcW w:w="816" w:type="pct"/>
            <w:shd w:val="clear" w:color="auto" w:fill="auto"/>
            <w:noWrap/>
            <w:vAlign w:val="bottom"/>
            <w:hideMark/>
          </w:tcPr>
          <w:p w14:paraId="60CD0BF4"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0</w:t>
            </w:r>
          </w:p>
        </w:tc>
        <w:tc>
          <w:tcPr>
            <w:tcW w:w="499" w:type="pct"/>
            <w:shd w:val="clear" w:color="auto" w:fill="auto"/>
            <w:noWrap/>
            <w:vAlign w:val="bottom"/>
            <w:hideMark/>
          </w:tcPr>
          <w:p w14:paraId="3550795E"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2</w:t>
            </w:r>
          </w:p>
        </w:tc>
      </w:tr>
      <w:tr w:rsidR="000A0848" w:rsidRPr="0084063A" w14:paraId="5B554A32" w14:textId="77777777" w:rsidTr="000A0848">
        <w:trPr>
          <w:trHeight w:val="300"/>
        </w:trPr>
        <w:tc>
          <w:tcPr>
            <w:tcW w:w="2010" w:type="pct"/>
            <w:shd w:val="clear" w:color="auto" w:fill="auto"/>
            <w:noWrap/>
            <w:vAlign w:val="bottom"/>
            <w:hideMark/>
          </w:tcPr>
          <w:p w14:paraId="7BEBDE44" w14:textId="77777777" w:rsidR="0084063A" w:rsidRPr="0084063A" w:rsidRDefault="0084063A" w:rsidP="0084063A">
            <w:pPr>
              <w:spacing w:after="0" w:line="240" w:lineRule="auto"/>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Total</w:t>
            </w:r>
          </w:p>
        </w:tc>
        <w:tc>
          <w:tcPr>
            <w:tcW w:w="319" w:type="pct"/>
            <w:shd w:val="clear" w:color="auto" w:fill="auto"/>
            <w:noWrap/>
            <w:vAlign w:val="bottom"/>
            <w:hideMark/>
          </w:tcPr>
          <w:p w14:paraId="22BACE11"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999</w:t>
            </w:r>
          </w:p>
        </w:tc>
        <w:tc>
          <w:tcPr>
            <w:tcW w:w="344" w:type="pct"/>
            <w:shd w:val="clear" w:color="auto" w:fill="auto"/>
            <w:noWrap/>
            <w:vAlign w:val="bottom"/>
            <w:hideMark/>
          </w:tcPr>
          <w:p w14:paraId="73802349"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91</w:t>
            </w:r>
          </w:p>
        </w:tc>
        <w:tc>
          <w:tcPr>
            <w:tcW w:w="1012" w:type="pct"/>
            <w:shd w:val="clear" w:color="auto" w:fill="auto"/>
            <w:noWrap/>
            <w:vAlign w:val="bottom"/>
            <w:hideMark/>
          </w:tcPr>
          <w:p w14:paraId="15D6A1CE"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2</w:t>
            </w:r>
          </w:p>
        </w:tc>
        <w:tc>
          <w:tcPr>
            <w:tcW w:w="816" w:type="pct"/>
            <w:shd w:val="clear" w:color="auto" w:fill="auto"/>
            <w:noWrap/>
            <w:vAlign w:val="bottom"/>
            <w:hideMark/>
          </w:tcPr>
          <w:p w14:paraId="660A2018"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2</w:t>
            </w:r>
          </w:p>
        </w:tc>
        <w:tc>
          <w:tcPr>
            <w:tcW w:w="499" w:type="pct"/>
            <w:shd w:val="clear" w:color="auto" w:fill="auto"/>
            <w:noWrap/>
            <w:vAlign w:val="bottom"/>
            <w:hideMark/>
          </w:tcPr>
          <w:p w14:paraId="2D7E24C4" w14:textId="77777777" w:rsidR="0084063A" w:rsidRPr="0084063A" w:rsidRDefault="0084063A" w:rsidP="0084063A">
            <w:pPr>
              <w:spacing w:after="0" w:line="240" w:lineRule="auto"/>
              <w:jc w:val="right"/>
              <w:rPr>
                <w:rFonts w:ascii="Calibri" w:eastAsia="Times New Roman" w:hAnsi="Calibri" w:cs="Calibri"/>
                <w:color w:val="000000"/>
                <w:lang w:val="nb-NO" w:eastAsia="nb-NO"/>
              </w:rPr>
            </w:pPr>
            <w:r w:rsidRPr="0084063A">
              <w:rPr>
                <w:rFonts w:ascii="Calibri" w:eastAsia="Times New Roman" w:hAnsi="Calibri" w:cs="Calibri"/>
                <w:color w:val="000000"/>
                <w:lang w:val="nb-NO" w:eastAsia="nb-NO"/>
              </w:rPr>
              <w:t>1094</w:t>
            </w:r>
          </w:p>
        </w:tc>
      </w:tr>
    </w:tbl>
    <w:p w14:paraId="27EAAE9C" w14:textId="0A7BA81A" w:rsidR="000A0848" w:rsidRDefault="000A0848" w:rsidP="000A0848">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F30D81">
        <w:rPr>
          <w:rFonts w:ascii="Arial" w:hAnsi="Arial" w:cs="Arial"/>
          <w:sz w:val="20"/>
          <w:szCs w:val="20"/>
          <w:lang w:val="en-GB"/>
        </w:rPr>
        <w:t>Norwegian Survey on Living Conditions</w:t>
      </w:r>
      <w:r>
        <w:rPr>
          <w:rFonts w:ascii="Arial" w:hAnsi="Arial" w:cs="Arial"/>
          <w:sz w:val="20"/>
          <w:szCs w:val="20"/>
          <w:lang w:val="en-GB"/>
        </w:rPr>
        <w:t>, 2014 and 2017</w:t>
      </w:r>
    </w:p>
    <w:p w14:paraId="3949B0CA" w14:textId="70038ED1" w:rsidR="006A2DD9" w:rsidRPr="00C70A50" w:rsidRDefault="006A2DD9" w:rsidP="006A2DD9">
      <w:pPr>
        <w:spacing w:before="120" w:after="0" w:line="360" w:lineRule="auto"/>
        <w:jc w:val="both"/>
        <w:rPr>
          <w:rFonts w:ascii="Arial" w:hAnsi="Arial" w:cs="Arial"/>
          <w:sz w:val="24"/>
          <w:szCs w:val="24"/>
          <w:lang w:val="en-GB"/>
        </w:rPr>
      </w:pPr>
      <w:r>
        <w:rPr>
          <w:rFonts w:ascii="Arial" w:hAnsi="Arial" w:cs="Arial"/>
          <w:sz w:val="24"/>
          <w:szCs w:val="24"/>
          <w:lang w:val="en-GB"/>
        </w:rPr>
        <w:t>Overall, a slightly larger percentage changed their answer from yes to no, than vice versa</w:t>
      </w:r>
      <w:r w:rsidR="006D1EEB">
        <w:rPr>
          <w:rFonts w:ascii="Arial" w:hAnsi="Arial" w:cs="Arial"/>
          <w:sz w:val="24"/>
          <w:szCs w:val="24"/>
          <w:lang w:val="en-GB"/>
        </w:rPr>
        <w:t>:</w:t>
      </w:r>
      <w:r>
        <w:rPr>
          <w:rFonts w:ascii="Arial" w:hAnsi="Arial" w:cs="Arial"/>
          <w:sz w:val="24"/>
          <w:szCs w:val="24"/>
          <w:lang w:val="en-GB"/>
        </w:rPr>
        <w:t xml:space="preserve"> 4 per cent versus 2.5 per cent. However, this pattern is not consistent across groups. Thus, </w:t>
      </w:r>
      <w:r w:rsidR="006D1EEB">
        <w:rPr>
          <w:rFonts w:ascii="Arial" w:hAnsi="Arial" w:cs="Arial"/>
          <w:sz w:val="24"/>
          <w:szCs w:val="24"/>
          <w:lang w:val="en-GB"/>
        </w:rPr>
        <w:t>there is no evidence that</w:t>
      </w:r>
      <w:r>
        <w:rPr>
          <w:rFonts w:ascii="Arial" w:hAnsi="Arial" w:cs="Arial"/>
          <w:sz w:val="24"/>
          <w:szCs w:val="24"/>
          <w:lang w:val="en-GB"/>
        </w:rPr>
        <w:t xml:space="preserve"> respondents’ answers </w:t>
      </w:r>
      <w:r w:rsidR="00A4412A">
        <w:rPr>
          <w:rFonts w:ascii="Arial" w:hAnsi="Arial" w:cs="Arial"/>
          <w:sz w:val="24"/>
          <w:szCs w:val="24"/>
          <w:lang w:val="en-GB"/>
        </w:rPr>
        <w:t>are</w:t>
      </w:r>
      <w:r>
        <w:rPr>
          <w:rFonts w:ascii="Arial" w:hAnsi="Arial" w:cs="Arial"/>
          <w:sz w:val="24"/>
          <w:szCs w:val="24"/>
          <w:lang w:val="en-GB"/>
        </w:rPr>
        <w:t xml:space="preserve"> more affected by social desirability bias as time passes</w:t>
      </w:r>
      <w:r w:rsidR="00D57657">
        <w:rPr>
          <w:rFonts w:ascii="Arial" w:hAnsi="Arial" w:cs="Arial"/>
          <w:sz w:val="24"/>
          <w:szCs w:val="24"/>
          <w:lang w:val="en-GB"/>
        </w:rPr>
        <w:t xml:space="preserve">, as one would expect if </w:t>
      </w:r>
      <w:r w:rsidR="00A4412A">
        <w:rPr>
          <w:rFonts w:ascii="Arial" w:hAnsi="Arial" w:cs="Arial"/>
          <w:sz w:val="24"/>
          <w:szCs w:val="24"/>
          <w:lang w:val="en-GB"/>
        </w:rPr>
        <w:t>t</w:t>
      </w:r>
      <w:r w:rsidR="00D257BD">
        <w:rPr>
          <w:rFonts w:ascii="Arial" w:hAnsi="Arial" w:cs="Arial"/>
          <w:sz w:val="24"/>
          <w:szCs w:val="24"/>
          <w:lang w:val="en-GB"/>
        </w:rPr>
        <w:t>h</w:t>
      </w:r>
      <w:r w:rsidR="00A4412A">
        <w:rPr>
          <w:rFonts w:ascii="Arial" w:hAnsi="Arial" w:cs="Arial"/>
          <w:sz w:val="24"/>
          <w:szCs w:val="24"/>
          <w:lang w:val="en-GB"/>
        </w:rPr>
        <w:t>is</w:t>
      </w:r>
      <w:r w:rsidR="00D57657">
        <w:rPr>
          <w:rFonts w:ascii="Arial" w:hAnsi="Arial" w:cs="Arial"/>
          <w:sz w:val="24"/>
          <w:szCs w:val="24"/>
          <w:lang w:val="en-GB"/>
        </w:rPr>
        <w:t xml:space="preserve"> bias increases as the risk of misremembering increases</w:t>
      </w:r>
      <w:r>
        <w:rPr>
          <w:rFonts w:ascii="Arial" w:hAnsi="Arial" w:cs="Arial"/>
          <w:sz w:val="24"/>
          <w:szCs w:val="24"/>
          <w:lang w:val="en-GB"/>
        </w:rPr>
        <w:t>. Neither is the</w:t>
      </w:r>
      <w:r w:rsidR="00D57657">
        <w:rPr>
          <w:rFonts w:ascii="Arial" w:hAnsi="Arial" w:cs="Arial"/>
          <w:sz w:val="24"/>
          <w:szCs w:val="24"/>
          <w:lang w:val="en-GB"/>
        </w:rPr>
        <w:t xml:space="preserve">re </w:t>
      </w:r>
      <w:r w:rsidR="00D51CCF">
        <w:rPr>
          <w:rFonts w:ascii="Arial" w:hAnsi="Arial" w:cs="Arial"/>
          <w:sz w:val="24"/>
          <w:szCs w:val="24"/>
          <w:lang w:val="en-GB"/>
        </w:rPr>
        <w:t xml:space="preserve">clear </w:t>
      </w:r>
      <w:r w:rsidR="00D57657">
        <w:rPr>
          <w:rFonts w:ascii="Arial" w:hAnsi="Arial" w:cs="Arial"/>
          <w:sz w:val="24"/>
          <w:szCs w:val="24"/>
          <w:lang w:val="en-GB"/>
        </w:rPr>
        <w:t xml:space="preserve">evidence </w:t>
      </w:r>
      <w:r>
        <w:rPr>
          <w:rFonts w:ascii="Arial" w:hAnsi="Arial" w:cs="Arial"/>
          <w:sz w:val="24"/>
          <w:szCs w:val="24"/>
          <w:lang w:val="en-GB"/>
        </w:rPr>
        <w:t xml:space="preserve">that answers are less affected by desirability bias over time as respondents can distance themselves from the event several years later. </w:t>
      </w:r>
    </w:p>
    <w:p w14:paraId="1C50E3C8" w14:textId="287BE7B8" w:rsidR="006A2DD9" w:rsidRDefault="007A15D9" w:rsidP="006A2DD9">
      <w:pPr>
        <w:spacing w:before="120" w:after="0" w:line="360" w:lineRule="auto"/>
        <w:jc w:val="both"/>
        <w:rPr>
          <w:rFonts w:ascii="Arial" w:hAnsi="Arial" w:cs="Arial"/>
          <w:sz w:val="24"/>
          <w:szCs w:val="24"/>
          <w:lang w:val="en-US"/>
        </w:rPr>
      </w:pPr>
      <w:r w:rsidRPr="000D3240">
        <w:rPr>
          <w:rFonts w:ascii="Arial" w:hAnsi="Arial" w:cs="Arial"/>
          <w:sz w:val="24"/>
          <w:szCs w:val="24"/>
          <w:lang w:val="en-US"/>
        </w:rPr>
        <w:t>The self-reported voters were also asked about party choice.</w:t>
      </w:r>
      <w:r>
        <w:rPr>
          <w:rFonts w:ascii="Arial" w:hAnsi="Arial" w:cs="Arial"/>
          <w:sz w:val="20"/>
          <w:szCs w:val="20"/>
          <w:lang w:val="en-GB"/>
        </w:rPr>
        <w:t xml:space="preserve"> </w:t>
      </w:r>
      <w:r w:rsidR="006A2DD9">
        <w:rPr>
          <w:rFonts w:ascii="Arial" w:hAnsi="Arial" w:cs="Arial"/>
          <w:sz w:val="24"/>
          <w:szCs w:val="24"/>
          <w:lang w:val="en-US"/>
        </w:rPr>
        <w:t xml:space="preserve">Table </w:t>
      </w:r>
      <w:r w:rsidR="00A4412A">
        <w:rPr>
          <w:rFonts w:ascii="Arial" w:hAnsi="Arial" w:cs="Arial"/>
          <w:sz w:val="24"/>
          <w:szCs w:val="24"/>
          <w:lang w:val="en-US"/>
        </w:rPr>
        <w:t>4</w:t>
      </w:r>
      <w:r w:rsidR="006A2DD9">
        <w:rPr>
          <w:rFonts w:ascii="Arial" w:hAnsi="Arial" w:cs="Arial"/>
          <w:sz w:val="24"/>
          <w:szCs w:val="24"/>
          <w:lang w:val="en-US"/>
        </w:rPr>
        <w:t xml:space="preserve"> shows </w:t>
      </w:r>
      <w:r w:rsidR="00A4412A">
        <w:rPr>
          <w:rFonts w:ascii="Arial" w:hAnsi="Arial" w:cs="Arial"/>
          <w:sz w:val="24"/>
          <w:szCs w:val="24"/>
          <w:lang w:val="en-US"/>
        </w:rPr>
        <w:t xml:space="preserve">changes in </w:t>
      </w:r>
      <w:r w:rsidR="006A2DD9">
        <w:rPr>
          <w:rFonts w:ascii="Arial" w:hAnsi="Arial" w:cs="Arial"/>
          <w:sz w:val="24"/>
          <w:szCs w:val="24"/>
          <w:lang w:val="en-US"/>
        </w:rPr>
        <w:t xml:space="preserve">the answers about party choice </w:t>
      </w:r>
      <w:r w:rsidR="00253C6B">
        <w:rPr>
          <w:rFonts w:ascii="Arial" w:hAnsi="Arial" w:cs="Arial"/>
          <w:sz w:val="24"/>
          <w:szCs w:val="24"/>
          <w:lang w:val="en-US"/>
        </w:rPr>
        <w:t>for</w:t>
      </w:r>
      <w:r w:rsidR="006A2DD9">
        <w:rPr>
          <w:rFonts w:ascii="Arial" w:hAnsi="Arial" w:cs="Arial"/>
          <w:sz w:val="24"/>
          <w:szCs w:val="24"/>
          <w:lang w:val="en-US"/>
        </w:rPr>
        <w:t xml:space="preserve"> panel participants with “voter status” in both waves. 73 per cent reported to have voted for the same party both survey years, whereas 16 per cent changed their answer to a different party. Nearly 8 per cent refused </w:t>
      </w:r>
      <w:r>
        <w:rPr>
          <w:rFonts w:ascii="Arial" w:hAnsi="Arial" w:cs="Arial"/>
          <w:sz w:val="24"/>
          <w:szCs w:val="24"/>
          <w:lang w:val="en-US"/>
        </w:rPr>
        <w:t>to disclose</w:t>
      </w:r>
      <w:r w:rsidR="006A2DD9">
        <w:rPr>
          <w:rFonts w:ascii="Arial" w:hAnsi="Arial" w:cs="Arial"/>
          <w:sz w:val="24"/>
          <w:szCs w:val="24"/>
          <w:lang w:val="en-US"/>
        </w:rPr>
        <w:t xml:space="preserve"> party choice in at least one of the surveys. A relatively small percentage, 2 per cent</w:t>
      </w:r>
      <w:r w:rsidR="00590E3B">
        <w:rPr>
          <w:rFonts w:ascii="Arial" w:hAnsi="Arial" w:cs="Arial"/>
          <w:sz w:val="24"/>
          <w:szCs w:val="24"/>
          <w:lang w:val="en-US"/>
        </w:rPr>
        <w:t>,</w:t>
      </w:r>
      <w:r w:rsidR="006A2DD9">
        <w:rPr>
          <w:rFonts w:ascii="Arial" w:hAnsi="Arial" w:cs="Arial"/>
          <w:sz w:val="24"/>
          <w:szCs w:val="24"/>
          <w:lang w:val="en-US"/>
        </w:rPr>
        <w:t xml:space="preserve"> changed their answer from a party to “don’t know”. </w:t>
      </w:r>
    </w:p>
    <w:p w14:paraId="0D632344" w14:textId="4F52A3F8" w:rsidR="00B36BFD" w:rsidRPr="007A6EAE" w:rsidRDefault="00B36BFD" w:rsidP="00B36BFD">
      <w:pPr>
        <w:pStyle w:val="Bildetekst"/>
        <w:keepNext/>
        <w:spacing w:before="240" w:after="0"/>
        <w:rPr>
          <w:rFonts w:ascii="Arial" w:hAnsi="Arial" w:cs="Arial"/>
          <w:b/>
          <w:i w:val="0"/>
          <w:color w:val="auto"/>
          <w:sz w:val="20"/>
          <w:szCs w:val="20"/>
          <w:lang w:val="en-GB"/>
        </w:rPr>
      </w:pPr>
      <w:r w:rsidRPr="00D8712E">
        <w:rPr>
          <w:rFonts w:ascii="Arial" w:hAnsi="Arial" w:cs="Arial"/>
          <w:b/>
          <w:i w:val="0"/>
          <w:color w:val="auto"/>
          <w:sz w:val="20"/>
          <w:szCs w:val="20"/>
          <w:lang w:val="en-GB"/>
        </w:rPr>
        <w:t xml:space="preserve">Table </w:t>
      </w:r>
      <w:r w:rsidR="00A4412A">
        <w:rPr>
          <w:rFonts w:ascii="Arial" w:hAnsi="Arial" w:cs="Arial"/>
          <w:b/>
          <w:i w:val="0"/>
          <w:color w:val="auto"/>
          <w:sz w:val="20"/>
          <w:szCs w:val="20"/>
          <w:lang w:val="en-GB"/>
        </w:rPr>
        <w:t>4</w:t>
      </w:r>
      <w:r w:rsidRPr="00D8712E">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Respondents by </w:t>
      </w:r>
      <w:r w:rsidR="000D2593">
        <w:rPr>
          <w:rFonts w:ascii="Arial" w:hAnsi="Arial" w:cs="Arial"/>
          <w:b/>
          <w:i w:val="0"/>
          <w:color w:val="auto"/>
          <w:sz w:val="20"/>
          <w:szCs w:val="20"/>
          <w:lang w:val="en-GB"/>
        </w:rPr>
        <w:t xml:space="preserve">combinations of answers about </w:t>
      </w:r>
      <w:r>
        <w:rPr>
          <w:rFonts w:ascii="Arial" w:hAnsi="Arial" w:cs="Arial"/>
          <w:b/>
          <w:i w:val="0"/>
          <w:color w:val="auto"/>
          <w:sz w:val="20"/>
          <w:szCs w:val="20"/>
          <w:lang w:val="en-GB"/>
        </w:rPr>
        <w:t>party choice in 2014 and 2017</w:t>
      </w:r>
      <w:r w:rsidRPr="00D8712E">
        <w:rPr>
          <w:rFonts w:ascii="Arial" w:hAnsi="Arial" w:cs="Arial"/>
          <w:b/>
          <w:i w:val="0"/>
          <w:color w:val="auto"/>
          <w:sz w:val="20"/>
          <w:szCs w:val="20"/>
          <w:lang w:val="en-GB"/>
        </w:rPr>
        <w:t>. Panel participants.</w:t>
      </w:r>
      <w:r>
        <w:rPr>
          <w:rFonts w:ascii="Arial" w:hAnsi="Arial" w:cs="Arial"/>
          <w:b/>
          <w:i w:val="0"/>
          <w:color w:val="auto"/>
          <w:sz w:val="20"/>
          <w:szCs w:val="20"/>
          <w:lang w:val="en-GB"/>
        </w:rPr>
        <w:t xml:space="preserve"> Per cent.</w:t>
      </w:r>
    </w:p>
    <w:tbl>
      <w:tblPr>
        <w:tblW w:w="8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5"/>
        <w:gridCol w:w="1115"/>
        <w:gridCol w:w="1115"/>
        <w:gridCol w:w="1115"/>
        <w:gridCol w:w="1115"/>
        <w:gridCol w:w="1115"/>
        <w:gridCol w:w="1115"/>
        <w:gridCol w:w="1115"/>
      </w:tblGrid>
      <w:tr w:rsidR="00B36BFD" w:rsidRPr="00B36BFD" w14:paraId="0BA0CA60" w14:textId="77777777" w:rsidTr="0074524E">
        <w:trPr>
          <w:trHeight w:val="283"/>
        </w:trPr>
        <w:tc>
          <w:tcPr>
            <w:tcW w:w="1115" w:type="dxa"/>
            <w:shd w:val="clear" w:color="auto" w:fill="auto"/>
            <w:noWrap/>
            <w:vAlign w:val="bottom"/>
            <w:hideMark/>
          </w:tcPr>
          <w:p w14:paraId="2A03937F" w14:textId="77777777" w:rsidR="00B36BFD" w:rsidRPr="00B36BFD" w:rsidRDefault="00B36BFD" w:rsidP="00B36BFD">
            <w:pPr>
              <w:spacing w:after="0" w:line="240" w:lineRule="auto"/>
              <w:rPr>
                <w:rFonts w:ascii="Times New Roman" w:eastAsia="Times New Roman" w:hAnsi="Times New Roman" w:cs="Times New Roman"/>
                <w:b/>
                <w:sz w:val="24"/>
                <w:szCs w:val="24"/>
                <w:lang w:val="en-US" w:eastAsia="nb-NO"/>
              </w:rPr>
            </w:pPr>
          </w:p>
        </w:tc>
        <w:tc>
          <w:tcPr>
            <w:tcW w:w="1115" w:type="dxa"/>
            <w:shd w:val="clear" w:color="auto" w:fill="auto"/>
            <w:noWrap/>
            <w:vAlign w:val="bottom"/>
            <w:hideMark/>
          </w:tcPr>
          <w:p w14:paraId="663E41B5"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Same party</w:t>
            </w:r>
          </w:p>
        </w:tc>
        <w:tc>
          <w:tcPr>
            <w:tcW w:w="1115" w:type="dxa"/>
            <w:shd w:val="clear" w:color="auto" w:fill="auto"/>
            <w:noWrap/>
            <w:vAlign w:val="bottom"/>
            <w:hideMark/>
          </w:tcPr>
          <w:p w14:paraId="7D6B9D09"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Changed party</w:t>
            </w:r>
          </w:p>
        </w:tc>
        <w:tc>
          <w:tcPr>
            <w:tcW w:w="1115" w:type="dxa"/>
            <w:shd w:val="clear" w:color="auto" w:fill="auto"/>
            <w:noWrap/>
            <w:vAlign w:val="bottom"/>
            <w:hideMark/>
          </w:tcPr>
          <w:p w14:paraId="24744BC5"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 xml:space="preserve">Change from "don't know" </w:t>
            </w:r>
          </w:p>
        </w:tc>
        <w:tc>
          <w:tcPr>
            <w:tcW w:w="1115" w:type="dxa"/>
            <w:shd w:val="clear" w:color="auto" w:fill="auto"/>
            <w:noWrap/>
            <w:vAlign w:val="bottom"/>
            <w:hideMark/>
          </w:tcPr>
          <w:p w14:paraId="1C8B94D1"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Changed to "don't know"</w:t>
            </w:r>
          </w:p>
        </w:tc>
        <w:tc>
          <w:tcPr>
            <w:tcW w:w="1115" w:type="dxa"/>
            <w:shd w:val="clear" w:color="auto" w:fill="auto"/>
            <w:noWrap/>
            <w:vAlign w:val="bottom"/>
            <w:hideMark/>
          </w:tcPr>
          <w:p w14:paraId="31D8DE02"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"Don't know" both surveys</w:t>
            </w:r>
          </w:p>
        </w:tc>
        <w:tc>
          <w:tcPr>
            <w:tcW w:w="1115" w:type="dxa"/>
            <w:shd w:val="clear" w:color="auto" w:fill="auto"/>
            <w:noWrap/>
            <w:vAlign w:val="bottom"/>
            <w:hideMark/>
          </w:tcPr>
          <w:p w14:paraId="67C9C286" w14:textId="77777777" w:rsidR="00B36BFD" w:rsidRPr="00B36BFD" w:rsidRDefault="00B36BFD" w:rsidP="00B36BFD">
            <w:pPr>
              <w:spacing w:after="0" w:line="240" w:lineRule="auto"/>
              <w:rPr>
                <w:rFonts w:ascii="Calibri" w:eastAsia="Times New Roman" w:hAnsi="Calibri" w:cs="Calibri"/>
                <w:b/>
                <w:color w:val="000000"/>
                <w:lang w:val="en-US" w:eastAsia="nb-NO"/>
              </w:rPr>
            </w:pPr>
            <w:r w:rsidRPr="00B36BFD">
              <w:rPr>
                <w:rFonts w:ascii="Calibri" w:eastAsia="Times New Roman" w:hAnsi="Calibri" w:cs="Calibri"/>
                <w:b/>
                <w:color w:val="000000"/>
                <w:lang w:val="en-US" w:eastAsia="nb-NO"/>
              </w:rPr>
              <w:t>"Do not want to answer"</w:t>
            </w:r>
          </w:p>
        </w:tc>
        <w:tc>
          <w:tcPr>
            <w:tcW w:w="1115" w:type="dxa"/>
            <w:shd w:val="clear" w:color="auto" w:fill="auto"/>
            <w:noWrap/>
            <w:vAlign w:val="bottom"/>
            <w:hideMark/>
          </w:tcPr>
          <w:p w14:paraId="423879AD" w14:textId="77777777" w:rsidR="00B36BFD" w:rsidRPr="00B36BFD" w:rsidRDefault="00B36BFD" w:rsidP="00B36BFD">
            <w:pPr>
              <w:spacing w:after="0" w:line="240" w:lineRule="auto"/>
              <w:rPr>
                <w:rFonts w:ascii="Calibri" w:eastAsia="Times New Roman" w:hAnsi="Calibri" w:cs="Calibri"/>
                <w:b/>
                <w:color w:val="000000"/>
                <w:lang w:val="nb-NO" w:eastAsia="nb-NO"/>
              </w:rPr>
            </w:pPr>
            <w:r w:rsidRPr="00B36BFD">
              <w:rPr>
                <w:rFonts w:ascii="Calibri" w:eastAsia="Times New Roman" w:hAnsi="Calibri" w:cs="Calibri"/>
                <w:b/>
                <w:color w:val="000000"/>
                <w:lang w:val="nb-NO" w:eastAsia="nb-NO"/>
              </w:rPr>
              <w:t>N</w:t>
            </w:r>
          </w:p>
        </w:tc>
      </w:tr>
      <w:tr w:rsidR="00B36BFD" w:rsidRPr="00B36BFD" w14:paraId="43E306CB" w14:textId="77777777" w:rsidTr="0074524E">
        <w:trPr>
          <w:trHeight w:val="283"/>
        </w:trPr>
        <w:tc>
          <w:tcPr>
            <w:tcW w:w="1115" w:type="dxa"/>
            <w:shd w:val="clear" w:color="auto" w:fill="auto"/>
            <w:noWrap/>
            <w:vAlign w:val="bottom"/>
            <w:hideMark/>
          </w:tcPr>
          <w:p w14:paraId="32808743" w14:textId="77777777" w:rsidR="00B36BFD" w:rsidRPr="00B36BFD" w:rsidRDefault="00B36BFD" w:rsidP="00B36BFD">
            <w:pPr>
              <w:spacing w:after="0" w:line="240" w:lineRule="auto"/>
              <w:rPr>
                <w:rFonts w:ascii="Calibri" w:eastAsia="Times New Roman" w:hAnsi="Calibri" w:cs="Calibri"/>
                <w:color w:val="000000"/>
                <w:lang w:val="nb-NO" w:eastAsia="nb-NO"/>
              </w:rPr>
            </w:pPr>
            <w:r w:rsidRPr="00B36BFD">
              <w:rPr>
                <w:rFonts w:ascii="Calibri" w:eastAsia="Times New Roman" w:hAnsi="Calibri" w:cs="Calibri"/>
                <w:color w:val="000000"/>
                <w:lang w:val="nb-NO" w:eastAsia="nb-NO"/>
              </w:rPr>
              <w:t>Per cent</w:t>
            </w:r>
          </w:p>
        </w:tc>
        <w:tc>
          <w:tcPr>
            <w:tcW w:w="1115" w:type="dxa"/>
            <w:shd w:val="clear" w:color="auto" w:fill="auto"/>
            <w:noWrap/>
            <w:vAlign w:val="bottom"/>
            <w:hideMark/>
          </w:tcPr>
          <w:p w14:paraId="07D1ECA3" w14:textId="60F81699"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73</w:t>
            </w:r>
            <w:r w:rsidR="00E14636">
              <w:rPr>
                <w:rFonts w:ascii="Calibri" w:hAnsi="Calibri" w:cs="Calibri"/>
                <w:color w:val="000000"/>
              </w:rPr>
              <w:t>.</w:t>
            </w:r>
            <w:r>
              <w:rPr>
                <w:rFonts w:ascii="Calibri" w:hAnsi="Calibri" w:cs="Calibri"/>
                <w:color w:val="000000"/>
              </w:rPr>
              <w:t>1</w:t>
            </w:r>
          </w:p>
        </w:tc>
        <w:tc>
          <w:tcPr>
            <w:tcW w:w="1115" w:type="dxa"/>
            <w:shd w:val="clear" w:color="auto" w:fill="auto"/>
            <w:noWrap/>
            <w:vAlign w:val="bottom"/>
            <w:hideMark/>
          </w:tcPr>
          <w:p w14:paraId="1B6FCDC8" w14:textId="272CD5E2"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16</w:t>
            </w:r>
            <w:r w:rsidR="00E14636">
              <w:rPr>
                <w:rFonts w:ascii="Calibri" w:hAnsi="Calibri" w:cs="Calibri"/>
                <w:color w:val="000000"/>
              </w:rPr>
              <w:t>.</w:t>
            </w:r>
            <w:r>
              <w:rPr>
                <w:rFonts w:ascii="Calibri" w:hAnsi="Calibri" w:cs="Calibri"/>
                <w:color w:val="000000"/>
              </w:rPr>
              <w:t>1</w:t>
            </w:r>
          </w:p>
        </w:tc>
        <w:tc>
          <w:tcPr>
            <w:tcW w:w="1115" w:type="dxa"/>
            <w:shd w:val="clear" w:color="auto" w:fill="auto"/>
            <w:noWrap/>
            <w:vAlign w:val="bottom"/>
            <w:hideMark/>
          </w:tcPr>
          <w:p w14:paraId="2B363DB6" w14:textId="0C94300E"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0</w:t>
            </w:r>
            <w:r w:rsidR="00E14636">
              <w:rPr>
                <w:rFonts w:ascii="Calibri" w:hAnsi="Calibri" w:cs="Calibri"/>
                <w:color w:val="000000"/>
              </w:rPr>
              <w:t>.</w:t>
            </w:r>
            <w:r>
              <w:rPr>
                <w:rFonts w:ascii="Calibri" w:hAnsi="Calibri" w:cs="Calibri"/>
                <w:color w:val="000000"/>
              </w:rPr>
              <w:t>8</w:t>
            </w:r>
          </w:p>
        </w:tc>
        <w:tc>
          <w:tcPr>
            <w:tcW w:w="1115" w:type="dxa"/>
            <w:shd w:val="clear" w:color="auto" w:fill="auto"/>
            <w:noWrap/>
            <w:vAlign w:val="bottom"/>
            <w:hideMark/>
          </w:tcPr>
          <w:p w14:paraId="5AEA309A" w14:textId="57F2F772"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2</w:t>
            </w:r>
            <w:r w:rsidR="00E14636">
              <w:rPr>
                <w:rFonts w:ascii="Calibri" w:hAnsi="Calibri" w:cs="Calibri"/>
                <w:color w:val="000000"/>
              </w:rPr>
              <w:t>.</w:t>
            </w:r>
            <w:r>
              <w:rPr>
                <w:rFonts w:ascii="Calibri" w:hAnsi="Calibri" w:cs="Calibri"/>
                <w:color w:val="000000"/>
              </w:rPr>
              <w:t>1</w:t>
            </w:r>
          </w:p>
        </w:tc>
        <w:tc>
          <w:tcPr>
            <w:tcW w:w="1115" w:type="dxa"/>
            <w:shd w:val="clear" w:color="auto" w:fill="auto"/>
            <w:noWrap/>
            <w:vAlign w:val="bottom"/>
            <w:hideMark/>
          </w:tcPr>
          <w:p w14:paraId="65577AB4" w14:textId="66AB2FCF"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0</w:t>
            </w:r>
            <w:r w:rsidR="00E14636">
              <w:rPr>
                <w:rFonts w:ascii="Calibri" w:hAnsi="Calibri" w:cs="Calibri"/>
                <w:color w:val="000000"/>
              </w:rPr>
              <w:t>.</w:t>
            </w:r>
            <w:r>
              <w:rPr>
                <w:rFonts w:ascii="Calibri" w:hAnsi="Calibri" w:cs="Calibri"/>
                <w:color w:val="000000"/>
              </w:rPr>
              <w:t>0</w:t>
            </w:r>
          </w:p>
        </w:tc>
        <w:tc>
          <w:tcPr>
            <w:tcW w:w="1115" w:type="dxa"/>
            <w:shd w:val="clear" w:color="auto" w:fill="auto"/>
            <w:noWrap/>
            <w:vAlign w:val="bottom"/>
            <w:hideMark/>
          </w:tcPr>
          <w:p w14:paraId="680B47C5" w14:textId="38BCB6ED" w:rsidR="00B36BFD" w:rsidRPr="00B36BFD" w:rsidRDefault="00B36BFD" w:rsidP="00E14636">
            <w:pPr>
              <w:spacing w:after="0" w:line="240" w:lineRule="auto"/>
              <w:jc w:val="right"/>
              <w:rPr>
                <w:rFonts w:ascii="Calibri" w:eastAsia="Times New Roman" w:hAnsi="Calibri" w:cs="Calibri"/>
                <w:color w:val="000000"/>
                <w:lang w:val="nb-NO" w:eastAsia="nb-NO"/>
              </w:rPr>
            </w:pPr>
            <w:r>
              <w:rPr>
                <w:rFonts w:ascii="Calibri" w:hAnsi="Calibri" w:cs="Calibri"/>
                <w:color w:val="000000"/>
              </w:rPr>
              <w:t>7</w:t>
            </w:r>
            <w:r w:rsidR="00E14636">
              <w:rPr>
                <w:rFonts w:ascii="Calibri" w:hAnsi="Calibri" w:cs="Calibri"/>
                <w:color w:val="000000"/>
              </w:rPr>
              <w:t>.</w:t>
            </w:r>
            <w:r>
              <w:rPr>
                <w:rFonts w:ascii="Calibri" w:hAnsi="Calibri" w:cs="Calibri"/>
                <w:color w:val="000000"/>
              </w:rPr>
              <w:t>9</w:t>
            </w:r>
          </w:p>
        </w:tc>
        <w:tc>
          <w:tcPr>
            <w:tcW w:w="1115" w:type="dxa"/>
            <w:shd w:val="clear" w:color="auto" w:fill="auto"/>
            <w:noWrap/>
            <w:vAlign w:val="center"/>
            <w:hideMark/>
          </w:tcPr>
          <w:p w14:paraId="13CD3E7D" w14:textId="6C640145" w:rsidR="00B36BFD" w:rsidRPr="00B36BFD" w:rsidRDefault="00B36BFD" w:rsidP="00B36BFD">
            <w:pPr>
              <w:spacing w:after="0" w:line="240" w:lineRule="auto"/>
              <w:jc w:val="right"/>
              <w:rPr>
                <w:rFonts w:ascii="Calibri" w:eastAsia="Times New Roman" w:hAnsi="Calibri" w:cs="Calibri"/>
                <w:color w:val="000000"/>
                <w:lang w:val="nb-NO" w:eastAsia="nb-NO"/>
              </w:rPr>
            </w:pPr>
            <w:r>
              <w:rPr>
                <w:rFonts w:ascii="Calibri" w:hAnsi="Calibri" w:cs="Calibri"/>
                <w:color w:val="000000"/>
              </w:rPr>
              <w:t>971</w:t>
            </w:r>
          </w:p>
        </w:tc>
      </w:tr>
    </w:tbl>
    <w:p w14:paraId="440E0B84" w14:textId="41DCCCAA" w:rsidR="000D2593" w:rsidRPr="00EC5F5A" w:rsidRDefault="000D2593" w:rsidP="000D2593">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F30D81">
        <w:rPr>
          <w:rFonts w:ascii="Arial" w:hAnsi="Arial" w:cs="Arial"/>
          <w:sz w:val="20"/>
          <w:szCs w:val="20"/>
          <w:lang w:val="en-GB"/>
        </w:rPr>
        <w:t>Norwegian Survey on Living Conditions</w:t>
      </w:r>
      <w:r>
        <w:rPr>
          <w:rFonts w:ascii="Arial" w:hAnsi="Arial" w:cs="Arial"/>
          <w:sz w:val="20"/>
          <w:szCs w:val="20"/>
          <w:lang w:val="en-GB"/>
        </w:rPr>
        <w:t>, 2014 and 2017</w:t>
      </w:r>
    </w:p>
    <w:p w14:paraId="0819809B" w14:textId="1A9B48A6" w:rsidR="00992BE6" w:rsidRDefault="00590E3B" w:rsidP="00437EE7">
      <w:pPr>
        <w:spacing w:before="120" w:after="0" w:line="360" w:lineRule="auto"/>
        <w:jc w:val="both"/>
        <w:rPr>
          <w:rFonts w:ascii="Arial" w:hAnsi="Arial" w:cs="Arial"/>
          <w:sz w:val="24"/>
          <w:szCs w:val="24"/>
          <w:lang w:val="en-US"/>
        </w:rPr>
      </w:pPr>
      <w:r>
        <w:rPr>
          <w:rFonts w:ascii="Arial" w:hAnsi="Arial" w:cs="Arial"/>
          <w:sz w:val="24"/>
          <w:szCs w:val="24"/>
          <w:lang w:val="en-GB"/>
        </w:rPr>
        <w:t>If individuals who answered “don’t know” or “do not want to answer” either year are excluded from the analysis, the percentage of voters who changed party is slightly higher, at 18 per cent.</w:t>
      </w:r>
      <w:r w:rsidR="007A15D9">
        <w:rPr>
          <w:rFonts w:ascii="Arial" w:hAnsi="Arial" w:cs="Arial"/>
          <w:sz w:val="24"/>
          <w:szCs w:val="24"/>
          <w:lang w:val="en-GB"/>
        </w:rPr>
        <w:t xml:space="preserve"> </w:t>
      </w:r>
      <w:r w:rsidR="00CF08CE">
        <w:rPr>
          <w:rFonts w:ascii="Arial" w:hAnsi="Arial" w:cs="Arial"/>
          <w:sz w:val="24"/>
          <w:szCs w:val="24"/>
          <w:lang w:val="en-GB"/>
        </w:rPr>
        <w:t>D</w:t>
      </w:r>
      <w:r>
        <w:rPr>
          <w:rFonts w:ascii="Arial" w:hAnsi="Arial" w:cs="Arial"/>
          <w:sz w:val="24"/>
          <w:szCs w:val="24"/>
          <w:lang w:val="en-GB"/>
        </w:rPr>
        <w:t xml:space="preserve">iscrepancy in responses </w:t>
      </w:r>
      <w:r w:rsidR="007A15D9">
        <w:rPr>
          <w:rFonts w:ascii="Arial" w:hAnsi="Arial" w:cs="Arial"/>
          <w:sz w:val="24"/>
          <w:szCs w:val="24"/>
          <w:lang w:val="en-GB"/>
        </w:rPr>
        <w:t xml:space="preserve">about </w:t>
      </w:r>
      <w:r>
        <w:rPr>
          <w:rFonts w:ascii="Arial" w:hAnsi="Arial" w:cs="Arial"/>
          <w:sz w:val="24"/>
          <w:szCs w:val="24"/>
          <w:lang w:val="en-GB"/>
        </w:rPr>
        <w:t>party choice</w:t>
      </w:r>
      <w:r w:rsidR="00992BE6">
        <w:rPr>
          <w:rFonts w:ascii="Arial" w:hAnsi="Arial" w:cs="Arial"/>
          <w:sz w:val="24"/>
          <w:szCs w:val="24"/>
          <w:lang w:val="en-GB"/>
        </w:rPr>
        <w:t xml:space="preserve"> is clearly higher than for voting</w:t>
      </w:r>
      <w:r>
        <w:rPr>
          <w:rFonts w:ascii="Arial" w:hAnsi="Arial" w:cs="Arial"/>
          <w:sz w:val="24"/>
          <w:szCs w:val="24"/>
          <w:lang w:val="en-GB"/>
        </w:rPr>
        <w:t xml:space="preserve">, even though only </w:t>
      </w:r>
      <w:r w:rsidR="007A15D9">
        <w:rPr>
          <w:rFonts w:ascii="Arial" w:hAnsi="Arial" w:cs="Arial"/>
          <w:sz w:val="24"/>
          <w:szCs w:val="24"/>
          <w:lang w:val="en-GB"/>
        </w:rPr>
        <w:t xml:space="preserve">those </w:t>
      </w:r>
      <w:r>
        <w:rPr>
          <w:rFonts w:ascii="Arial" w:hAnsi="Arial" w:cs="Arial"/>
          <w:sz w:val="24"/>
          <w:szCs w:val="24"/>
          <w:lang w:val="en-GB"/>
        </w:rPr>
        <w:t xml:space="preserve">who answered consistently as “voters” are included. </w:t>
      </w:r>
      <w:r w:rsidR="00C64CD9" w:rsidRPr="0099141B">
        <w:rPr>
          <w:rFonts w:ascii="Arial" w:hAnsi="Arial" w:cs="Arial"/>
          <w:sz w:val="24"/>
          <w:szCs w:val="24"/>
          <w:lang w:val="en-US"/>
        </w:rPr>
        <w:t xml:space="preserve">This suggests that </w:t>
      </w:r>
      <w:r w:rsidR="00C828A9" w:rsidRPr="0099141B">
        <w:rPr>
          <w:rFonts w:ascii="Arial" w:hAnsi="Arial" w:cs="Arial"/>
          <w:sz w:val="24"/>
          <w:szCs w:val="24"/>
          <w:lang w:val="en-US"/>
        </w:rPr>
        <w:t>the impact of time on response</w:t>
      </w:r>
      <w:r w:rsidR="00400C28" w:rsidRPr="0099141B">
        <w:rPr>
          <w:rFonts w:ascii="Arial" w:hAnsi="Arial" w:cs="Arial"/>
          <w:sz w:val="24"/>
          <w:szCs w:val="24"/>
          <w:lang w:val="en-US"/>
        </w:rPr>
        <w:t xml:space="preserve"> accuracy</w:t>
      </w:r>
      <w:r w:rsidR="00C828A9" w:rsidRPr="0099141B">
        <w:rPr>
          <w:rFonts w:ascii="Arial" w:hAnsi="Arial" w:cs="Arial"/>
          <w:sz w:val="24"/>
          <w:szCs w:val="24"/>
          <w:lang w:val="en-US"/>
        </w:rPr>
        <w:t xml:space="preserve"> </w:t>
      </w:r>
      <w:r w:rsidR="00400C28" w:rsidRPr="0099141B">
        <w:rPr>
          <w:rFonts w:ascii="Arial" w:hAnsi="Arial" w:cs="Arial"/>
          <w:sz w:val="24"/>
          <w:szCs w:val="24"/>
          <w:lang w:val="en-US"/>
        </w:rPr>
        <w:t>varies between</w:t>
      </w:r>
      <w:r w:rsidR="00C828A9" w:rsidRPr="0099141B">
        <w:rPr>
          <w:rFonts w:ascii="Arial" w:hAnsi="Arial" w:cs="Arial"/>
          <w:sz w:val="24"/>
          <w:szCs w:val="24"/>
          <w:lang w:val="en-US"/>
        </w:rPr>
        <w:t xml:space="preserve"> the type of phenomena measure</w:t>
      </w:r>
      <w:r w:rsidR="00992BE6">
        <w:rPr>
          <w:rFonts w:ascii="Arial" w:hAnsi="Arial" w:cs="Arial"/>
          <w:sz w:val="24"/>
          <w:szCs w:val="24"/>
          <w:lang w:val="en-US"/>
        </w:rPr>
        <w:t>d</w:t>
      </w:r>
      <w:r w:rsidR="00C828A9" w:rsidRPr="0099141B">
        <w:rPr>
          <w:rFonts w:ascii="Arial" w:hAnsi="Arial" w:cs="Arial"/>
          <w:sz w:val="24"/>
          <w:szCs w:val="24"/>
          <w:lang w:val="en-US"/>
        </w:rPr>
        <w:t xml:space="preserve">. </w:t>
      </w:r>
      <w:r w:rsidR="00400C28" w:rsidRPr="0099141B">
        <w:rPr>
          <w:rFonts w:ascii="Arial" w:hAnsi="Arial" w:cs="Arial"/>
          <w:sz w:val="24"/>
          <w:szCs w:val="24"/>
          <w:lang w:val="en-US"/>
        </w:rPr>
        <w:t xml:space="preserve">As there are </w:t>
      </w:r>
      <w:r w:rsidR="00992BE6">
        <w:rPr>
          <w:rFonts w:ascii="Arial" w:hAnsi="Arial" w:cs="Arial"/>
          <w:sz w:val="24"/>
          <w:szCs w:val="24"/>
          <w:lang w:val="en-US"/>
        </w:rPr>
        <w:t>more</w:t>
      </w:r>
      <w:r w:rsidR="00400C28" w:rsidRPr="0099141B">
        <w:rPr>
          <w:rFonts w:ascii="Arial" w:hAnsi="Arial" w:cs="Arial"/>
          <w:sz w:val="24"/>
          <w:szCs w:val="24"/>
          <w:lang w:val="en-US"/>
        </w:rPr>
        <w:t xml:space="preserve"> alternatives</w:t>
      </w:r>
      <w:r w:rsidR="00992BE6">
        <w:rPr>
          <w:rFonts w:ascii="Arial" w:hAnsi="Arial" w:cs="Arial"/>
          <w:sz w:val="24"/>
          <w:szCs w:val="24"/>
          <w:lang w:val="en-US"/>
        </w:rPr>
        <w:t>, party choice</w:t>
      </w:r>
      <w:r w:rsidR="00400C28" w:rsidRPr="0099141B">
        <w:rPr>
          <w:rFonts w:ascii="Arial" w:hAnsi="Arial" w:cs="Arial"/>
          <w:sz w:val="24"/>
          <w:szCs w:val="24"/>
          <w:lang w:val="en-US"/>
        </w:rPr>
        <w:t xml:space="preserve"> is more difficult to</w:t>
      </w:r>
      <w:r w:rsidR="00C828A9" w:rsidRPr="0099141B">
        <w:rPr>
          <w:rFonts w:ascii="Arial" w:hAnsi="Arial" w:cs="Arial"/>
          <w:sz w:val="24"/>
          <w:szCs w:val="24"/>
          <w:lang w:val="en-US"/>
        </w:rPr>
        <w:t xml:space="preserve"> remember </w:t>
      </w:r>
      <w:r w:rsidR="00992BE6">
        <w:rPr>
          <w:rFonts w:ascii="Arial" w:hAnsi="Arial" w:cs="Arial"/>
          <w:sz w:val="24"/>
          <w:szCs w:val="24"/>
          <w:lang w:val="en-US"/>
        </w:rPr>
        <w:t>than voting, and i</w:t>
      </w:r>
      <w:r w:rsidR="00C828A9" w:rsidRPr="0099141B">
        <w:rPr>
          <w:rFonts w:ascii="Arial" w:hAnsi="Arial" w:cs="Arial"/>
          <w:sz w:val="24"/>
          <w:szCs w:val="24"/>
          <w:lang w:val="en-US"/>
        </w:rPr>
        <w:t xml:space="preserve">t is less likely </w:t>
      </w:r>
      <w:r w:rsidR="00400C28" w:rsidRPr="0099141B">
        <w:rPr>
          <w:rFonts w:ascii="Arial" w:hAnsi="Arial" w:cs="Arial"/>
          <w:sz w:val="24"/>
          <w:szCs w:val="24"/>
          <w:lang w:val="en-US"/>
        </w:rPr>
        <w:t xml:space="preserve">to </w:t>
      </w:r>
      <w:r w:rsidR="00992BE6">
        <w:rPr>
          <w:rFonts w:ascii="Arial" w:hAnsi="Arial" w:cs="Arial"/>
          <w:sz w:val="24"/>
          <w:szCs w:val="24"/>
          <w:lang w:val="en-US"/>
        </w:rPr>
        <w:t>give the same response</w:t>
      </w:r>
      <w:r w:rsidR="00400C28" w:rsidRPr="0099141B">
        <w:rPr>
          <w:rFonts w:ascii="Arial" w:hAnsi="Arial" w:cs="Arial"/>
          <w:sz w:val="24"/>
          <w:szCs w:val="24"/>
          <w:lang w:val="en-US"/>
        </w:rPr>
        <w:t xml:space="preserve"> by chance.</w:t>
      </w:r>
    </w:p>
    <w:p w14:paraId="35C40526" w14:textId="4023AEED" w:rsidR="00074981" w:rsidRDefault="00400C28" w:rsidP="00437EE7">
      <w:pPr>
        <w:spacing w:before="120" w:after="0" w:line="360" w:lineRule="auto"/>
        <w:jc w:val="both"/>
        <w:rPr>
          <w:rFonts w:ascii="Arial" w:hAnsi="Arial" w:cs="Arial"/>
          <w:b/>
          <w:sz w:val="24"/>
          <w:szCs w:val="24"/>
          <w:lang w:val="en-GB"/>
        </w:rPr>
      </w:pPr>
      <w:r w:rsidRPr="0099141B">
        <w:rPr>
          <w:rFonts w:ascii="Arial" w:hAnsi="Arial" w:cs="Arial"/>
          <w:sz w:val="24"/>
          <w:szCs w:val="24"/>
          <w:lang w:val="en-US"/>
        </w:rPr>
        <w:t xml:space="preserve">Furthermore, </w:t>
      </w:r>
      <w:r w:rsidR="009D3335">
        <w:rPr>
          <w:rFonts w:ascii="Arial" w:hAnsi="Arial" w:cs="Arial"/>
          <w:sz w:val="24"/>
          <w:szCs w:val="24"/>
          <w:lang w:val="en-US"/>
        </w:rPr>
        <w:t xml:space="preserve">more than one party </w:t>
      </w:r>
      <w:r w:rsidR="00F84FDE">
        <w:rPr>
          <w:rFonts w:ascii="Arial" w:hAnsi="Arial" w:cs="Arial"/>
          <w:sz w:val="24"/>
          <w:szCs w:val="24"/>
          <w:lang w:val="en-US"/>
        </w:rPr>
        <w:t>may be</w:t>
      </w:r>
      <w:r w:rsidR="009D3335">
        <w:rPr>
          <w:rFonts w:ascii="Arial" w:hAnsi="Arial" w:cs="Arial"/>
          <w:sz w:val="24"/>
          <w:szCs w:val="24"/>
          <w:lang w:val="en-US"/>
        </w:rPr>
        <w:t xml:space="preserve"> seen as a socially acceptable answer. This </w:t>
      </w:r>
      <w:r w:rsidR="00992BE6">
        <w:rPr>
          <w:rFonts w:ascii="Arial" w:hAnsi="Arial" w:cs="Arial"/>
          <w:sz w:val="24"/>
          <w:szCs w:val="24"/>
          <w:lang w:val="en-US"/>
        </w:rPr>
        <w:t xml:space="preserve">also </w:t>
      </w:r>
      <w:r w:rsidR="009D3335">
        <w:rPr>
          <w:rFonts w:ascii="Arial" w:hAnsi="Arial" w:cs="Arial"/>
          <w:sz w:val="24"/>
          <w:szCs w:val="24"/>
          <w:lang w:val="en-US"/>
        </w:rPr>
        <w:t>reduces the risk that those who do not remember</w:t>
      </w:r>
      <w:r w:rsidR="00437EE7">
        <w:rPr>
          <w:rFonts w:ascii="Arial" w:hAnsi="Arial" w:cs="Arial"/>
          <w:sz w:val="24"/>
          <w:szCs w:val="24"/>
          <w:lang w:val="en-US"/>
        </w:rPr>
        <w:t>,</w:t>
      </w:r>
      <w:r w:rsidR="009D3335">
        <w:rPr>
          <w:rFonts w:ascii="Arial" w:hAnsi="Arial" w:cs="Arial"/>
          <w:sz w:val="24"/>
          <w:szCs w:val="24"/>
          <w:lang w:val="en-US"/>
        </w:rPr>
        <w:t xml:space="preserve"> consistently ch</w:t>
      </w:r>
      <w:r w:rsidR="00437EE7">
        <w:rPr>
          <w:rFonts w:ascii="Arial" w:hAnsi="Arial" w:cs="Arial"/>
          <w:sz w:val="24"/>
          <w:szCs w:val="24"/>
          <w:lang w:val="en-US"/>
        </w:rPr>
        <w:t>o</w:t>
      </w:r>
      <w:r w:rsidR="009D3335">
        <w:rPr>
          <w:rFonts w:ascii="Arial" w:hAnsi="Arial" w:cs="Arial"/>
          <w:sz w:val="24"/>
          <w:szCs w:val="24"/>
          <w:lang w:val="en-US"/>
        </w:rPr>
        <w:t xml:space="preserve">ose the </w:t>
      </w:r>
      <w:r w:rsidR="00F84FDE">
        <w:rPr>
          <w:rFonts w:ascii="Arial" w:hAnsi="Arial" w:cs="Arial"/>
          <w:sz w:val="24"/>
          <w:szCs w:val="24"/>
          <w:lang w:val="en-US"/>
        </w:rPr>
        <w:t>same</w:t>
      </w:r>
      <w:r w:rsidR="009D3335">
        <w:rPr>
          <w:rFonts w:ascii="Arial" w:hAnsi="Arial" w:cs="Arial"/>
          <w:sz w:val="24"/>
          <w:szCs w:val="24"/>
          <w:lang w:val="en-US"/>
        </w:rPr>
        <w:t xml:space="preserve"> answer. </w:t>
      </w:r>
      <w:r w:rsidR="00F84FDE">
        <w:rPr>
          <w:rFonts w:ascii="Arial" w:hAnsi="Arial" w:cs="Arial"/>
          <w:sz w:val="24"/>
          <w:szCs w:val="24"/>
          <w:lang w:val="en-US"/>
        </w:rPr>
        <w:t>Interestingly, relatively many respondents change their answer about party choice</w:t>
      </w:r>
      <w:r w:rsidR="00C828A9" w:rsidRPr="0099141B">
        <w:rPr>
          <w:rFonts w:ascii="Arial" w:hAnsi="Arial" w:cs="Arial"/>
          <w:sz w:val="24"/>
          <w:szCs w:val="24"/>
          <w:lang w:val="en-US"/>
        </w:rPr>
        <w:t xml:space="preserve">, </w:t>
      </w:r>
      <w:r w:rsidR="00F84FDE">
        <w:rPr>
          <w:rFonts w:ascii="Arial" w:hAnsi="Arial" w:cs="Arial"/>
          <w:sz w:val="24"/>
          <w:szCs w:val="24"/>
          <w:lang w:val="en-US"/>
        </w:rPr>
        <w:t>while</w:t>
      </w:r>
      <w:r w:rsidR="00C828A9" w:rsidRPr="0099141B">
        <w:rPr>
          <w:rFonts w:ascii="Arial" w:hAnsi="Arial" w:cs="Arial"/>
          <w:sz w:val="24"/>
          <w:szCs w:val="24"/>
          <w:lang w:val="en-US"/>
        </w:rPr>
        <w:t xml:space="preserve"> very few admit that they do not remember.</w:t>
      </w:r>
      <w:r w:rsidR="007F4EEC" w:rsidRPr="0099141B">
        <w:rPr>
          <w:rFonts w:ascii="Arial" w:hAnsi="Arial" w:cs="Arial"/>
          <w:sz w:val="24"/>
          <w:szCs w:val="24"/>
          <w:lang w:val="en-US"/>
        </w:rPr>
        <w:t xml:space="preserve"> This </w:t>
      </w:r>
      <w:r w:rsidR="00F84FDE">
        <w:rPr>
          <w:rFonts w:ascii="Arial" w:hAnsi="Arial" w:cs="Arial"/>
          <w:sz w:val="24"/>
          <w:szCs w:val="24"/>
          <w:lang w:val="en-US"/>
        </w:rPr>
        <w:t>suggests</w:t>
      </w:r>
      <w:r w:rsidR="007F4EEC" w:rsidRPr="0099141B">
        <w:rPr>
          <w:rFonts w:ascii="Arial" w:hAnsi="Arial" w:cs="Arial"/>
          <w:sz w:val="24"/>
          <w:szCs w:val="24"/>
          <w:lang w:val="en-US"/>
        </w:rPr>
        <w:t xml:space="preserve"> that respondents try to give an answer even when they have forgotten which party they actually voted for.</w:t>
      </w:r>
      <w:r w:rsidRPr="0099141B">
        <w:rPr>
          <w:rFonts w:ascii="Arial" w:hAnsi="Arial" w:cs="Arial"/>
          <w:sz w:val="24"/>
          <w:szCs w:val="24"/>
          <w:lang w:val="en-US"/>
        </w:rPr>
        <w:t xml:space="preserve"> Between the surveys there were local elections in 2015. </w:t>
      </w:r>
      <w:r w:rsidR="00F90E14">
        <w:rPr>
          <w:rFonts w:ascii="Arial" w:hAnsi="Arial" w:cs="Arial"/>
          <w:sz w:val="24"/>
          <w:szCs w:val="24"/>
          <w:lang w:val="en-US"/>
        </w:rPr>
        <w:t>P</w:t>
      </w:r>
      <w:r w:rsidRPr="0099141B">
        <w:rPr>
          <w:rFonts w:ascii="Arial" w:hAnsi="Arial" w:cs="Arial"/>
          <w:sz w:val="24"/>
          <w:szCs w:val="24"/>
          <w:lang w:val="en-US"/>
        </w:rPr>
        <w:t>ossibl</w:t>
      </w:r>
      <w:r w:rsidR="00F90E14">
        <w:rPr>
          <w:rFonts w:ascii="Arial" w:hAnsi="Arial" w:cs="Arial"/>
          <w:sz w:val="24"/>
          <w:szCs w:val="24"/>
          <w:lang w:val="en-US"/>
        </w:rPr>
        <w:t>y,</w:t>
      </w:r>
      <w:r w:rsidRPr="0099141B">
        <w:rPr>
          <w:rFonts w:ascii="Arial" w:hAnsi="Arial" w:cs="Arial"/>
          <w:sz w:val="24"/>
          <w:szCs w:val="24"/>
          <w:lang w:val="en-US"/>
        </w:rPr>
        <w:t xml:space="preserve"> party choice in the parliamentary elections </w:t>
      </w:r>
      <w:r w:rsidR="001144AF">
        <w:rPr>
          <w:rFonts w:ascii="Arial" w:hAnsi="Arial" w:cs="Arial"/>
          <w:sz w:val="24"/>
          <w:szCs w:val="24"/>
          <w:lang w:val="en-US"/>
        </w:rPr>
        <w:t>is</w:t>
      </w:r>
      <w:r w:rsidR="001144AF" w:rsidRPr="0099141B">
        <w:rPr>
          <w:rFonts w:ascii="Arial" w:hAnsi="Arial" w:cs="Arial"/>
          <w:sz w:val="24"/>
          <w:szCs w:val="24"/>
          <w:lang w:val="en-US"/>
        </w:rPr>
        <w:t xml:space="preserve"> </w:t>
      </w:r>
      <w:r w:rsidRPr="0099141B">
        <w:rPr>
          <w:rFonts w:ascii="Arial" w:hAnsi="Arial" w:cs="Arial"/>
          <w:sz w:val="24"/>
          <w:szCs w:val="24"/>
          <w:lang w:val="en-US"/>
        </w:rPr>
        <w:t>confused with that of the local elections.</w:t>
      </w:r>
    </w:p>
    <w:p w14:paraId="4835EA8D" w14:textId="04A40D70" w:rsidR="000D278E" w:rsidRPr="00437EE7" w:rsidRDefault="00437EE7" w:rsidP="00437EE7">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6. </w:t>
      </w:r>
      <w:r w:rsidR="000D278E" w:rsidRPr="00437EE7">
        <w:rPr>
          <w:rFonts w:ascii="Arial" w:hAnsi="Arial" w:cs="Arial"/>
          <w:b/>
          <w:sz w:val="24"/>
          <w:szCs w:val="24"/>
          <w:lang w:val="en-GB"/>
        </w:rPr>
        <w:t>Changes in answers in selected demographic groups</w:t>
      </w:r>
    </w:p>
    <w:p w14:paraId="530AB317" w14:textId="6304EADC" w:rsidR="00590E3B" w:rsidRDefault="00590E3B" w:rsidP="00590E3B">
      <w:pPr>
        <w:spacing w:before="120" w:after="0" w:line="360" w:lineRule="auto"/>
        <w:jc w:val="both"/>
        <w:rPr>
          <w:rFonts w:ascii="Arial" w:hAnsi="Arial" w:cs="Arial"/>
          <w:sz w:val="24"/>
          <w:szCs w:val="24"/>
          <w:lang w:val="en-GB"/>
        </w:rPr>
      </w:pPr>
      <w:r>
        <w:rPr>
          <w:rFonts w:ascii="Arial" w:hAnsi="Arial" w:cs="Arial"/>
          <w:sz w:val="24"/>
          <w:szCs w:val="24"/>
          <w:lang w:val="en-GB"/>
        </w:rPr>
        <w:t xml:space="preserve">Table </w:t>
      </w:r>
      <w:r w:rsidR="00A4412A">
        <w:rPr>
          <w:rFonts w:ascii="Arial" w:hAnsi="Arial" w:cs="Arial"/>
          <w:sz w:val="24"/>
          <w:szCs w:val="24"/>
          <w:lang w:val="en-GB"/>
        </w:rPr>
        <w:t>5</w:t>
      </w:r>
      <w:r>
        <w:rPr>
          <w:rFonts w:ascii="Arial" w:hAnsi="Arial" w:cs="Arial"/>
          <w:sz w:val="24"/>
          <w:szCs w:val="24"/>
          <w:lang w:val="en-GB"/>
        </w:rPr>
        <w:t xml:space="preserve"> shows </w:t>
      </w:r>
      <w:r w:rsidR="004D45DC">
        <w:rPr>
          <w:rFonts w:ascii="Arial" w:hAnsi="Arial" w:cs="Arial"/>
          <w:sz w:val="24"/>
          <w:szCs w:val="24"/>
          <w:lang w:val="en-GB"/>
        </w:rPr>
        <w:t>the percentages who changed their</w:t>
      </w:r>
      <w:r>
        <w:rPr>
          <w:rFonts w:ascii="Arial" w:hAnsi="Arial" w:cs="Arial"/>
          <w:sz w:val="24"/>
          <w:szCs w:val="24"/>
          <w:lang w:val="en-GB"/>
        </w:rPr>
        <w:t xml:space="preserve"> </w:t>
      </w:r>
      <w:r w:rsidR="004D45DC">
        <w:rPr>
          <w:rFonts w:ascii="Arial" w:hAnsi="Arial" w:cs="Arial"/>
          <w:sz w:val="24"/>
          <w:szCs w:val="24"/>
          <w:lang w:val="en-GB"/>
        </w:rPr>
        <w:t>answers</w:t>
      </w:r>
      <w:r>
        <w:rPr>
          <w:rFonts w:ascii="Arial" w:hAnsi="Arial" w:cs="Arial"/>
          <w:sz w:val="24"/>
          <w:szCs w:val="24"/>
          <w:lang w:val="en-GB"/>
        </w:rPr>
        <w:t xml:space="preserve"> </w:t>
      </w:r>
      <w:r w:rsidR="004D45DC">
        <w:rPr>
          <w:rFonts w:ascii="Arial" w:hAnsi="Arial" w:cs="Arial"/>
          <w:sz w:val="24"/>
          <w:szCs w:val="24"/>
          <w:lang w:val="en-GB"/>
        </w:rPr>
        <w:t>between the surveys for</w:t>
      </w:r>
      <w:r>
        <w:rPr>
          <w:rFonts w:ascii="Arial" w:hAnsi="Arial" w:cs="Arial"/>
          <w:sz w:val="24"/>
          <w:szCs w:val="24"/>
          <w:lang w:val="en-GB"/>
        </w:rPr>
        <w:t xml:space="preserve"> </w:t>
      </w:r>
      <w:r w:rsidR="004D45DC">
        <w:rPr>
          <w:rFonts w:ascii="Arial" w:hAnsi="Arial" w:cs="Arial"/>
          <w:sz w:val="24"/>
          <w:szCs w:val="24"/>
          <w:lang w:val="en-GB"/>
        </w:rPr>
        <w:t>selected</w:t>
      </w:r>
      <w:r>
        <w:rPr>
          <w:rFonts w:ascii="Arial" w:hAnsi="Arial" w:cs="Arial"/>
          <w:sz w:val="24"/>
          <w:szCs w:val="24"/>
          <w:lang w:val="en-GB"/>
        </w:rPr>
        <w:t xml:space="preserve"> demographic </w:t>
      </w:r>
      <w:r w:rsidR="004D45DC">
        <w:rPr>
          <w:rFonts w:ascii="Arial" w:hAnsi="Arial" w:cs="Arial"/>
          <w:sz w:val="24"/>
          <w:szCs w:val="24"/>
          <w:lang w:val="en-GB"/>
        </w:rPr>
        <w:t>groups</w:t>
      </w:r>
      <w:r>
        <w:rPr>
          <w:rFonts w:ascii="Arial" w:hAnsi="Arial" w:cs="Arial"/>
          <w:sz w:val="24"/>
          <w:szCs w:val="24"/>
          <w:lang w:val="en-GB"/>
        </w:rPr>
        <w:t>. The percentage who changed their answer is highest among persons with education lower than upper secondary level, and also decrease</w:t>
      </w:r>
      <w:r w:rsidR="001144AF">
        <w:rPr>
          <w:rFonts w:ascii="Arial" w:hAnsi="Arial" w:cs="Arial"/>
          <w:sz w:val="24"/>
          <w:szCs w:val="24"/>
          <w:lang w:val="en-GB"/>
        </w:rPr>
        <w:t>s</w:t>
      </w:r>
      <w:r>
        <w:rPr>
          <w:rFonts w:ascii="Arial" w:hAnsi="Arial" w:cs="Arial"/>
          <w:sz w:val="24"/>
          <w:szCs w:val="24"/>
          <w:lang w:val="en-GB"/>
        </w:rPr>
        <w:t xml:space="preserve"> with age. This is the case both for the question about electoral participation and party choice.</w:t>
      </w:r>
    </w:p>
    <w:p w14:paraId="3F36F346" w14:textId="7F341049" w:rsidR="00B75A1D" w:rsidRDefault="00B75A1D" w:rsidP="00D8712E">
      <w:pPr>
        <w:pStyle w:val="Bildetekst"/>
        <w:keepNext/>
        <w:spacing w:before="240" w:after="0"/>
        <w:rPr>
          <w:rFonts w:ascii="Arial" w:hAnsi="Arial" w:cs="Arial"/>
          <w:b/>
          <w:i w:val="0"/>
          <w:color w:val="auto"/>
          <w:sz w:val="20"/>
          <w:szCs w:val="20"/>
          <w:lang w:val="en-GB"/>
        </w:rPr>
      </w:pPr>
      <w:r w:rsidRPr="00F14FBA">
        <w:rPr>
          <w:rFonts w:ascii="Arial" w:hAnsi="Arial" w:cs="Arial"/>
          <w:b/>
          <w:i w:val="0"/>
          <w:color w:val="auto"/>
          <w:sz w:val="20"/>
          <w:szCs w:val="20"/>
          <w:lang w:val="en-US"/>
        </w:rPr>
        <w:t>T</w:t>
      </w:r>
      <w:bookmarkStart w:id="0" w:name="_GoBack"/>
      <w:bookmarkEnd w:id="0"/>
      <w:r w:rsidRPr="00F14FBA">
        <w:rPr>
          <w:rFonts w:ascii="Arial" w:hAnsi="Arial" w:cs="Arial"/>
          <w:b/>
          <w:i w:val="0"/>
          <w:color w:val="auto"/>
          <w:sz w:val="20"/>
          <w:szCs w:val="20"/>
          <w:lang w:val="en-US"/>
        </w:rPr>
        <w:t xml:space="preserve">able </w:t>
      </w:r>
      <w:r w:rsidR="00A4412A">
        <w:rPr>
          <w:rFonts w:ascii="Arial" w:hAnsi="Arial" w:cs="Arial"/>
          <w:b/>
          <w:i w:val="0"/>
          <w:color w:val="auto"/>
          <w:sz w:val="20"/>
          <w:szCs w:val="20"/>
          <w:lang w:val="en-US"/>
        </w:rPr>
        <w:t>5</w:t>
      </w:r>
      <w:r w:rsidRPr="00F14FBA">
        <w:rPr>
          <w:rFonts w:ascii="Arial" w:hAnsi="Arial" w:cs="Arial"/>
          <w:b/>
          <w:i w:val="0"/>
          <w:color w:val="auto"/>
          <w:sz w:val="20"/>
          <w:szCs w:val="20"/>
          <w:lang w:val="en-US"/>
        </w:rPr>
        <w:t xml:space="preserve">. </w:t>
      </w:r>
      <w:r w:rsidRPr="00D8712E">
        <w:rPr>
          <w:rFonts w:ascii="Arial" w:hAnsi="Arial" w:cs="Arial"/>
          <w:b/>
          <w:i w:val="0"/>
          <w:color w:val="auto"/>
          <w:sz w:val="20"/>
          <w:szCs w:val="20"/>
          <w:lang w:val="en-GB"/>
        </w:rPr>
        <w:t>Percentage who changed their answer between survey</w:t>
      </w:r>
      <w:r w:rsidR="000A0848">
        <w:rPr>
          <w:rFonts w:ascii="Arial" w:hAnsi="Arial" w:cs="Arial"/>
          <w:b/>
          <w:i w:val="0"/>
          <w:color w:val="auto"/>
          <w:sz w:val="20"/>
          <w:szCs w:val="20"/>
          <w:lang w:val="en-GB"/>
        </w:rPr>
        <w:t xml:space="preserve"> wave</w:t>
      </w:r>
      <w:r w:rsidRPr="00D8712E">
        <w:rPr>
          <w:rFonts w:ascii="Arial" w:hAnsi="Arial" w:cs="Arial"/>
          <w:b/>
          <w:i w:val="0"/>
          <w:color w:val="auto"/>
          <w:sz w:val="20"/>
          <w:szCs w:val="20"/>
          <w:lang w:val="en-GB"/>
        </w:rPr>
        <w:t>s in selected groups. Panel participants.</w:t>
      </w:r>
      <w:r w:rsidR="00E53CAE">
        <w:rPr>
          <w:rFonts w:ascii="Arial" w:hAnsi="Arial" w:cs="Arial"/>
          <w:b/>
          <w:i w:val="0"/>
          <w:color w:val="auto"/>
          <w:sz w:val="20"/>
          <w:szCs w:val="20"/>
          <w:lang w:val="en-GB"/>
        </w:rPr>
        <w:t xml:space="preserve"> Per cent.</w:t>
      </w:r>
    </w:p>
    <w:tbl>
      <w:tblPr>
        <w:tblW w:w="9086" w:type="dxa"/>
        <w:tblInd w:w="80" w:type="dxa"/>
        <w:tblCellMar>
          <w:left w:w="70" w:type="dxa"/>
          <w:right w:w="70" w:type="dxa"/>
        </w:tblCellMar>
        <w:tblLook w:val="04A0" w:firstRow="1" w:lastRow="0" w:firstColumn="1" w:lastColumn="0" w:noHBand="0" w:noVBand="1"/>
      </w:tblPr>
      <w:tblGrid>
        <w:gridCol w:w="1833"/>
        <w:gridCol w:w="1930"/>
        <w:gridCol w:w="2031"/>
        <w:gridCol w:w="1698"/>
        <w:gridCol w:w="1594"/>
      </w:tblGrid>
      <w:tr w:rsidR="000A0848" w:rsidRPr="000A0848" w14:paraId="2389D621" w14:textId="77777777" w:rsidTr="00A4412A">
        <w:trPr>
          <w:trHeight w:val="986"/>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33CEE7" w14:textId="77777777" w:rsidR="000A0848" w:rsidRPr="000A0848" w:rsidRDefault="000A0848" w:rsidP="000A0848">
            <w:pPr>
              <w:spacing w:after="0" w:line="240" w:lineRule="auto"/>
              <w:jc w:val="center"/>
              <w:rPr>
                <w:rFonts w:ascii="Arial" w:eastAsia="Times New Roman" w:hAnsi="Arial" w:cs="Arial"/>
                <w:color w:val="000000"/>
                <w:sz w:val="20"/>
                <w:szCs w:val="20"/>
                <w:lang w:val="en-US" w:eastAsia="nb-NO"/>
              </w:rPr>
            </w:pPr>
            <w:r w:rsidRPr="000A0848">
              <w:rPr>
                <w:rFonts w:ascii="Arial" w:eastAsia="Times New Roman" w:hAnsi="Arial" w:cs="Arial"/>
                <w:color w:val="000000"/>
                <w:sz w:val="20"/>
                <w:szCs w:val="20"/>
                <w:lang w:val="en-US" w:eastAsia="nb-NO"/>
              </w:rPr>
              <w:t> </w:t>
            </w:r>
          </w:p>
        </w:tc>
        <w:tc>
          <w:tcPr>
            <w:tcW w:w="1930" w:type="dxa"/>
            <w:tcBorders>
              <w:top w:val="single" w:sz="8" w:space="0" w:color="auto"/>
              <w:left w:val="nil"/>
              <w:bottom w:val="single" w:sz="8" w:space="0" w:color="auto"/>
              <w:right w:val="single" w:sz="8" w:space="0" w:color="auto"/>
            </w:tcBorders>
            <w:shd w:val="clear" w:color="auto" w:fill="auto"/>
            <w:vAlign w:val="center"/>
            <w:hideMark/>
          </w:tcPr>
          <w:p w14:paraId="0F95679C" w14:textId="6D8B5139" w:rsidR="000A0848" w:rsidRPr="00A55776" w:rsidRDefault="000A0848" w:rsidP="000A0848">
            <w:pPr>
              <w:spacing w:after="0" w:line="240" w:lineRule="auto"/>
              <w:jc w:val="center"/>
              <w:rPr>
                <w:rFonts w:ascii="Arial" w:eastAsia="Times New Roman" w:hAnsi="Arial" w:cs="Arial"/>
                <w:b/>
                <w:bCs/>
                <w:color w:val="000000"/>
                <w:sz w:val="20"/>
                <w:szCs w:val="20"/>
                <w:lang w:val="en-GB" w:eastAsia="nb-NO"/>
              </w:rPr>
            </w:pPr>
            <w:r w:rsidRPr="00A55776">
              <w:rPr>
                <w:rFonts w:ascii="Arial" w:eastAsia="Times New Roman" w:hAnsi="Arial" w:cs="Arial"/>
                <w:b/>
                <w:bCs/>
                <w:color w:val="000000"/>
                <w:sz w:val="20"/>
                <w:szCs w:val="20"/>
                <w:lang w:val="en-GB" w:eastAsia="nb-NO"/>
              </w:rPr>
              <w:t xml:space="preserve">Changed answer, </w:t>
            </w:r>
            <w:r w:rsidR="00A55776" w:rsidRPr="00A55776">
              <w:rPr>
                <w:rFonts w:ascii="Arial" w:eastAsia="Times New Roman" w:hAnsi="Arial" w:cs="Arial"/>
                <w:b/>
                <w:bCs/>
                <w:color w:val="000000"/>
                <w:sz w:val="20"/>
                <w:szCs w:val="20"/>
                <w:lang w:val="en-GB" w:eastAsia="nb-NO"/>
              </w:rPr>
              <w:t>electoral</w:t>
            </w:r>
            <w:r w:rsidRPr="00A55776">
              <w:rPr>
                <w:rFonts w:ascii="Arial" w:eastAsia="Times New Roman" w:hAnsi="Arial" w:cs="Arial"/>
                <w:b/>
                <w:bCs/>
                <w:color w:val="000000"/>
                <w:sz w:val="20"/>
                <w:szCs w:val="20"/>
                <w:lang w:val="en-GB" w:eastAsia="nb-NO"/>
              </w:rPr>
              <w:t xml:space="preserve"> participation</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71B49087" w14:textId="77777777" w:rsidR="000A0848" w:rsidRPr="00A55776" w:rsidRDefault="000A0848" w:rsidP="000A0848">
            <w:pPr>
              <w:spacing w:after="0" w:line="240" w:lineRule="auto"/>
              <w:jc w:val="center"/>
              <w:rPr>
                <w:rFonts w:ascii="Arial" w:eastAsia="Times New Roman" w:hAnsi="Arial" w:cs="Arial"/>
                <w:b/>
                <w:bCs/>
                <w:color w:val="000000"/>
                <w:sz w:val="20"/>
                <w:szCs w:val="20"/>
                <w:lang w:val="en-GB" w:eastAsia="nb-NO"/>
              </w:rPr>
            </w:pPr>
            <w:r w:rsidRPr="00A55776">
              <w:rPr>
                <w:rFonts w:ascii="Arial" w:eastAsia="Times New Roman" w:hAnsi="Arial" w:cs="Arial"/>
                <w:b/>
                <w:bCs/>
                <w:color w:val="000000"/>
                <w:sz w:val="20"/>
                <w:szCs w:val="20"/>
                <w:lang w:val="en-GB" w:eastAsia="nb-NO"/>
              </w:rPr>
              <w:t>N (panel participants)</w:t>
            </w:r>
          </w:p>
        </w:tc>
        <w:tc>
          <w:tcPr>
            <w:tcW w:w="1698" w:type="dxa"/>
            <w:tcBorders>
              <w:top w:val="single" w:sz="8" w:space="0" w:color="auto"/>
              <w:left w:val="nil"/>
              <w:bottom w:val="single" w:sz="8" w:space="0" w:color="auto"/>
              <w:right w:val="single" w:sz="8" w:space="0" w:color="auto"/>
            </w:tcBorders>
            <w:shd w:val="clear" w:color="auto" w:fill="auto"/>
            <w:vAlign w:val="center"/>
            <w:hideMark/>
          </w:tcPr>
          <w:p w14:paraId="37198879" w14:textId="77777777" w:rsidR="000A0848" w:rsidRPr="00A55776" w:rsidRDefault="000A0848" w:rsidP="000A0848">
            <w:pPr>
              <w:spacing w:after="0" w:line="240" w:lineRule="auto"/>
              <w:jc w:val="center"/>
              <w:rPr>
                <w:rFonts w:ascii="Arial" w:eastAsia="Times New Roman" w:hAnsi="Arial" w:cs="Arial"/>
                <w:b/>
                <w:bCs/>
                <w:color w:val="000000"/>
                <w:sz w:val="20"/>
                <w:szCs w:val="20"/>
                <w:lang w:val="en-GB" w:eastAsia="nb-NO"/>
              </w:rPr>
            </w:pPr>
            <w:r w:rsidRPr="00A55776">
              <w:rPr>
                <w:rFonts w:ascii="Arial" w:eastAsia="Times New Roman" w:hAnsi="Arial" w:cs="Arial"/>
                <w:b/>
                <w:bCs/>
                <w:color w:val="000000"/>
                <w:sz w:val="20"/>
                <w:szCs w:val="20"/>
                <w:lang w:val="en-GB" w:eastAsia="nb-NO"/>
              </w:rPr>
              <w:t>Changed answer, party choice</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14:paraId="6995667E" w14:textId="77777777" w:rsidR="000A0848" w:rsidRPr="00A55776" w:rsidRDefault="000A0848" w:rsidP="000A0848">
            <w:pPr>
              <w:spacing w:after="0" w:line="240" w:lineRule="auto"/>
              <w:jc w:val="center"/>
              <w:rPr>
                <w:rFonts w:ascii="Arial" w:eastAsia="Times New Roman" w:hAnsi="Arial" w:cs="Arial"/>
                <w:b/>
                <w:bCs/>
                <w:color w:val="000000"/>
                <w:sz w:val="20"/>
                <w:szCs w:val="20"/>
                <w:lang w:val="en-GB" w:eastAsia="nb-NO"/>
              </w:rPr>
            </w:pPr>
            <w:r w:rsidRPr="00A55776">
              <w:rPr>
                <w:rFonts w:ascii="Arial" w:eastAsia="Times New Roman" w:hAnsi="Arial" w:cs="Arial"/>
                <w:b/>
                <w:bCs/>
                <w:color w:val="000000"/>
                <w:sz w:val="20"/>
                <w:szCs w:val="20"/>
                <w:lang w:val="en-GB" w:eastAsia="nb-NO"/>
              </w:rPr>
              <w:t>N (voters both waves)</w:t>
            </w:r>
          </w:p>
        </w:tc>
      </w:tr>
      <w:tr w:rsidR="00B36BFD" w:rsidRPr="000A0848" w14:paraId="3D31A25F"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9E8681B" w14:textId="77777777" w:rsidR="00B36BFD" w:rsidRPr="000A0848" w:rsidRDefault="00B36BFD" w:rsidP="00B36BFD">
            <w:pPr>
              <w:spacing w:after="0" w:line="240" w:lineRule="auto"/>
              <w:jc w:val="center"/>
              <w:rPr>
                <w:rFonts w:ascii="Arial" w:eastAsia="Times New Roman" w:hAnsi="Arial" w:cs="Arial"/>
                <w:b/>
                <w:bCs/>
                <w:color w:val="000000"/>
                <w:sz w:val="20"/>
                <w:szCs w:val="20"/>
                <w:lang w:val="nb-NO" w:eastAsia="nb-NO"/>
              </w:rPr>
            </w:pPr>
            <w:r w:rsidRPr="000A0848">
              <w:rPr>
                <w:rFonts w:ascii="Arial" w:eastAsia="Times New Roman" w:hAnsi="Arial" w:cs="Arial"/>
                <w:b/>
                <w:bCs/>
                <w:color w:val="000000"/>
                <w:sz w:val="20"/>
                <w:szCs w:val="20"/>
                <w:lang w:val="nb-NO" w:eastAsia="nb-NO"/>
              </w:rPr>
              <w:t>All</w:t>
            </w:r>
          </w:p>
        </w:tc>
        <w:tc>
          <w:tcPr>
            <w:tcW w:w="1930" w:type="dxa"/>
            <w:tcBorders>
              <w:top w:val="nil"/>
              <w:left w:val="nil"/>
              <w:bottom w:val="single" w:sz="8" w:space="0" w:color="auto"/>
              <w:right w:val="single" w:sz="8" w:space="0" w:color="auto"/>
            </w:tcBorders>
            <w:shd w:val="clear" w:color="auto" w:fill="auto"/>
            <w:vAlign w:val="center"/>
            <w:hideMark/>
          </w:tcPr>
          <w:p w14:paraId="63EED5E2" w14:textId="70A47867" w:rsidR="00B36BFD" w:rsidRPr="000A0848" w:rsidRDefault="00B36BFD" w:rsidP="00B36BFD">
            <w:pPr>
              <w:spacing w:after="0" w:line="240" w:lineRule="auto"/>
              <w:jc w:val="center"/>
              <w:rPr>
                <w:rFonts w:ascii="Calibri" w:eastAsia="Times New Roman" w:hAnsi="Calibri" w:cs="Calibri"/>
                <w:b/>
                <w:bCs/>
                <w:color w:val="000000"/>
                <w:lang w:val="nb-NO" w:eastAsia="nb-NO"/>
              </w:rPr>
            </w:pPr>
            <w:r w:rsidRPr="000A0848">
              <w:rPr>
                <w:rFonts w:ascii="Calibri" w:eastAsia="Times New Roman" w:hAnsi="Calibri" w:cs="Calibri"/>
                <w:b/>
                <w:bCs/>
                <w:color w:val="000000"/>
                <w:lang w:val="nb-NO" w:eastAsia="nb-NO"/>
              </w:rPr>
              <w:t>6</w:t>
            </w:r>
            <w:r w:rsidR="00FB7D07">
              <w:rPr>
                <w:rFonts w:ascii="Calibri" w:eastAsia="Times New Roman" w:hAnsi="Calibri" w:cs="Calibri"/>
                <w:b/>
                <w:bCs/>
                <w:color w:val="000000"/>
                <w:lang w:val="nb-NO" w:eastAsia="nb-NO"/>
              </w:rPr>
              <w:t>.</w:t>
            </w:r>
            <w:r w:rsidRPr="000A0848">
              <w:rPr>
                <w:rFonts w:ascii="Calibri" w:eastAsia="Times New Roman" w:hAnsi="Calibri" w:cs="Calibri"/>
                <w:b/>
                <w:bCs/>
                <w:color w:val="000000"/>
                <w:lang w:val="nb-NO" w:eastAsia="nb-NO"/>
              </w:rPr>
              <w:t>7</w:t>
            </w:r>
          </w:p>
        </w:tc>
        <w:tc>
          <w:tcPr>
            <w:tcW w:w="2031" w:type="dxa"/>
            <w:tcBorders>
              <w:top w:val="nil"/>
              <w:left w:val="nil"/>
              <w:bottom w:val="single" w:sz="8" w:space="0" w:color="auto"/>
              <w:right w:val="single" w:sz="8" w:space="0" w:color="auto"/>
            </w:tcBorders>
            <w:shd w:val="clear" w:color="auto" w:fill="auto"/>
            <w:vAlign w:val="center"/>
            <w:hideMark/>
          </w:tcPr>
          <w:p w14:paraId="5C902587" w14:textId="77777777" w:rsidR="00B36BFD" w:rsidRPr="000A0848" w:rsidRDefault="00B36BFD" w:rsidP="00B36BFD">
            <w:pPr>
              <w:spacing w:after="0" w:line="240" w:lineRule="auto"/>
              <w:jc w:val="center"/>
              <w:rPr>
                <w:rFonts w:ascii="Calibri" w:eastAsia="Times New Roman" w:hAnsi="Calibri" w:cs="Calibri"/>
                <w:b/>
                <w:bCs/>
                <w:color w:val="000000"/>
                <w:lang w:val="nb-NO" w:eastAsia="nb-NO"/>
              </w:rPr>
            </w:pPr>
            <w:r w:rsidRPr="000A0848">
              <w:rPr>
                <w:rFonts w:ascii="Calibri" w:eastAsia="Times New Roman" w:hAnsi="Calibri" w:cs="Calibri"/>
                <w:b/>
                <w:bCs/>
                <w:color w:val="000000"/>
                <w:lang w:val="nb-NO" w:eastAsia="nb-NO"/>
              </w:rPr>
              <w:t>1094</w:t>
            </w:r>
          </w:p>
        </w:tc>
        <w:tc>
          <w:tcPr>
            <w:tcW w:w="1698" w:type="dxa"/>
            <w:tcBorders>
              <w:top w:val="nil"/>
              <w:left w:val="nil"/>
              <w:bottom w:val="single" w:sz="8" w:space="0" w:color="auto"/>
              <w:right w:val="single" w:sz="8" w:space="0" w:color="auto"/>
            </w:tcBorders>
            <w:shd w:val="clear" w:color="auto" w:fill="auto"/>
            <w:vAlign w:val="center"/>
            <w:hideMark/>
          </w:tcPr>
          <w:p w14:paraId="20FC9180" w14:textId="15B7DB02" w:rsidR="00B36BFD" w:rsidRPr="000A0848" w:rsidRDefault="00B36BFD" w:rsidP="00B36BFD">
            <w:pPr>
              <w:spacing w:after="0" w:line="240" w:lineRule="auto"/>
              <w:jc w:val="center"/>
              <w:rPr>
                <w:rFonts w:ascii="Calibri" w:eastAsia="Times New Roman" w:hAnsi="Calibri" w:cs="Calibri"/>
                <w:b/>
                <w:bCs/>
                <w:color w:val="000000"/>
                <w:lang w:val="nb-NO" w:eastAsia="nb-NO"/>
              </w:rPr>
            </w:pPr>
            <w:r>
              <w:rPr>
                <w:rFonts w:ascii="Calibri" w:hAnsi="Calibri" w:cs="Calibri"/>
                <w:b/>
                <w:bCs/>
                <w:color w:val="000000"/>
              </w:rPr>
              <w:t>18</w:t>
            </w:r>
            <w:r w:rsidR="00FB7D07">
              <w:rPr>
                <w:rFonts w:ascii="Calibri" w:hAnsi="Calibri" w:cs="Calibri"/>
                <w:b/>
                <w:bCs/>
                <w:color w:val="000000"/>
              </w:rPr>
              <w:t>.</w:t>
            </w:r>
            <w:r>
              <w:rPr>
                <w:rFonts w:ascii="Calibri" w:hAnsi="Calibri" w:cs="Calibri"/>
                <w:b/>
                <w:bCs/>
                <w:color w:val="000000"/>
              </w:rPr>
              <w:t>0</w:t>
            </w:r>
          </w:p>
        </w:tc>
        <w:tc>
          <w:tcPr>
            <w:tcW w:w="1594" w:type="dxa"/>
            <w:tcBorders>
              <w:top w:val="nil"/>
              <w:left w:val="nil"/>
              <w:bottom w:val="single" w:sz="8" w:space="0" w:color="auto"/>
              <w:right w:val="single" w:sz="8" w:space="0" w:color="auto"/>
            </w:tcBorders>
            <w:shd w:val="clear" w:color="auto" w:fill="auto"/>
            <w:vAlign w:val="center"/>
            <w:hideMark/>
          </w:tcPr>
          <w:p w14:paraId="14668CBB" w14:textId="75D06FB9" w:rsidR="00B36BFD" w:rsidRPr="000A0848" w:rsidRDefault="00B36BFD" w:rsidP="00B36BFD">
            <w:pPr>
              <w:spacing w:after="0" w:line="240" w:lineRule="auto"/>
              <w:jc w:val="center"/>
              <w:rPr>
                <w:rFonts w:ascii="Calibri" w:eastAsia="Times New Roman" w:hAnsi="Calibri" w:cs="Calibri"/>
                <w:b/>
                <w:bCs/>
                <w:color w:val="000000"/>
                <w:lang w:val="nb-NO" w:eastAsia="nb-NO"/>
              </w:rPr>
            </w:pPr>
            <w:r>
              <w:rPr>
                <w:rFonts w:ascii="Calibri" w:hAnsi="Calibri" w:cs="Calibri"/>
                <w:b/>
                <w:bCs/>
                <w:color w:val="000000"/>
              </w:rPr>
              <w:t>868</w:t>
            </w:r>
          </w:p>
        </w:tc>
      </w:tr>
      <w:tr w:rsidR="00B36BFD" w:rsidRPr="000A0848" w14:paraId="67A2CA38"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42EF872" w14:textId="77777777" w:rsidR="00B36BFD" w:rsidRPr="000A0848" w:rsidRDefault="00B36BFD" w:rsidP="00B36BFD">
            <w:pPr>
              <w:spacing w:after="0" w:line="240" w:lineRule="auto"/>
              <w:jc w:val="center"/>
              <w:rPr>
                <w:rFonts w:ascii="Arial" w:eastAsia="Times New Roman" w:hAnsi="Arial" w:cs="Arial"/>
                <w:color w:val="000000"/>
                <w:sz w:val="20"/>
                <w:szCs w:val="20"/>
                <w:lang w:val="nb-NO" w:eastAsia="nb-NO"/>
              </w:rPr>
            </w:pPr>
            <w:r w:rsidRPr="000A0848">
              <w:rPr>
                <w:rFonts w:ascii="Arial" w:eastAsia="Times New Roman" w:hAnsi="Arial" w:cs="Arial"/>
                <w:color w:val="000000"/>
                <w:sz w:val="20"/>
                <w:szCs w:val="20"/>
                <w:lang w:val="nb-NO" w:eastAsia="nb-NO"/>
              </w:rPr>
              <w:t>Men</w:t>
            </w:r>
          </w:p>
        </w:tc>
        <w:tc>
          <w:tcPr>
            <w:tcW w:w="1930" w:type="dxa"/>
            <w:tcBorders>
              <w:top w:val="nil"/>
              <w:left w:val="nil"/>
              <w:bottom w:val="single" w:sz="8" w:space="0" w:color="auto"/>
              <w:right w:val="single" w:sz="8" w:space="0" w:color="auto"/>
            </w:tcBorders>
            <w:shd w:val="clear" w:color="auto" w:fill="auto"/>
            <w:vAlign w:val="center"/>
            <w:hideMark/>
          </w:tcPr>
          <w:p w14:paraId="08FDF067" w14:textId="53646964"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7</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0</w:t>
            </w:r>
          </w:p>
        </w:tc>
        <w:tc>
          <w:tcPr>
            <w:tcW w:w="2031" w:type="dxa"/>
            <w:tcBorders>
              <w:top w:val="nil"/>
              <w:left w:val="nil"/>
              <w:bottom w:val="single" w:sz="8" w:space="0" w:color="auto"/>
              <w:right w:val="single" w:sz="8" w:space="0" w:color="auto"/>
            </w:tcBorders>
            <w:shd w:val="clear" w:color="auto" w:fill="auto"/>
            <w:vAlign w:val="center"/>
            <w:hideMark/>
          </w:tcPr>
          <w:p w14:paraId="10FC61BC"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576</w:t>
            </w:r>
          </w:p>
        </w:tc>
        <w:tc>
          <w:tcPr>
            <w:tcW w:w="1698" w:type="dxa"/>
            <w:tcBorders>
              <w:top w:val="nil"/>
              <w:left w:val="nil"/>
              <w:bottom w:val="single" w:sz="8" w:space="0" w:color="auto"/>
              <w:right w:val="single" w:sz="8" w:space="0" w:color="auto"/>
            </w:tcBorders>
            <w:shd w:val="clear" w:color="auto" w:fill="auto"/>
            <w:vAlign w:val="center"/>
            <w:hideMark/>
          </w:tcPr>
          <w:p w14:paraId="3D3E1342" w14:textId="56E3173A"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17</w:t>
            </w:r>
            <w:r w:rsidR="00FB7D07">
              <w:rPr>
                <w:rFonts w:ascii="Calibri" w:hAnsi="Calibri" w:cs="Calibri"/>
                <w:color w:val="000000"/>
              </w:rPr>
              <w:t>.</w:t>
            </w:r>
            <w:r>
              <w:rPr>
                <w:rFonts w:ascii="Calibri" w:hAnsi="Calibri" w:cs="Calibri"/>
                <w:color w:val="000000"/>
              </w:rPr>
              <w:t>8</w:t>
            </w:r>
          </w:p>
        </w:tc>
        <w:tc>
          <w:tcPr>
            <w:tcW w:w="1594" w:type="dxa"/>
            <w:tcBorders>
              <w:top w:val="nil"/>
              <w:left w:val="nil"/>
              <w:bottom w:val="single" w:sz="8" w:space="0" w:color="auto"/>
              <w:right w:val="single" w:sz="8" w:space="0" w:color="auto"/>
            </w:tcBorders>
            <w:shd w:val="clear" w:color="auto" w:fill="auto"/>
            <w:vAlign w:val="center"/>
            <w:hideMark/>
          </w:tcPr>
          <w:p w14:paraId="11759A07" w14:textId="61354935"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464</w:t>
            </w:r>
          </w:p>
        </w:tc>
      </w:tr>
      <w:tr w:rsidR="00B36BFD" w:rsidRPr="000A0848" w14:paraId="3F21ECA0"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B34B1B7" w14:textId="77777777" w:rsidR="00B36BFD" w:rsidRPr="000A0848" w:rsidRDefault="00B36BFD" w:rsidP="00B36BFD">
            <w:pPr>
              <w:spacing w:after="0" w:line="240" w:lineRule="auto"/>
              <w:jc w:val="center"/>
              <w:rPr>
                <w:rFonts w:ascii="Arial" w:eastAsia="Times New Roman" w:hAnsi="Arial" w:cs="Arial"/>
                <w:color w:val="000000"/>
                <w:sz w:val="20"/>
                <w:szCs w:val="20"/>
                <w:lang w:val="nb-NO" w:eastAsia="nb-NO"/>
              </w:rPr>
            </w:pPr>
            <w:r w:rsidRPr="000A0848">
              <w:rPr>
                <w:rFonts w:ascii="Arial" w:eastAsia="Times New Roman" w:hAnsi="Arial" w:cs="Arial"/>
                <w:color w:val="000000"/>
                <w:sz w:val="20"/>
                <w:szCs w:val="20"/>
                <w:lang w:val="nb-NO" w:eastAsia="nb-NO"/>
              </w:rPr>
              <w:t>Women</w:t>
            </w:r>
          </w:p>
        </w:tc>
        <w:tc>
          <w:tcPr>
            <w:tcW w:w="1930" w:type="dxa"/>
            <w:tcBorders>
              <w:top w:val="nil"/>
              <w:left w:val="nil"/>
              <w:bottom w:val="single" w:sz="8" w:space="0" w:color="auto"/>
              <w:right w:val="single" w:sz="8" w:space="0" w:color="auto"/>
            </w:tcBorders>
            <w:shd w:val="clear" w:color="auto" w:fill="auto"/>
            <w:vAlign w:val="center"/>
            <w:hideMark/>
          </w:tcPr>
          <w:p w14:paraId="5F929E7B" w14:textId="7288FB92"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6</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4</w:t>
            </w:r>
          </w:p>
        </w:tc>
        <w:tc>
          <w:tcPr>
            <w:tcW w:w="2031" w:type="dxa"/>
            <w:tcBorders>
              <w:top w:val="nil"/>
              <w:left w:val="nil"/>
              <w:bottom w:val="single" w:sz="8" w:space="0" w:color="auto"/>
              <w:right w:val="single" w:sz="8" w:space="0" w:color="auto"/>
            </w:tcBorders>
            <w:shd w:val="clear" w:color="auto" w:fill="auto"/>
            <w:vAlign w:val="center"/>
            <w:hideMark/>
          </w:tcPr>
          <w:p w14:paraId="16D6CF32"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518</w:t>
            </w:r>
          </w:p>
        </w:tc>
        <w:tc>
          <w:tcPr>
            <w:tcW w:w="1698" w:type="dxa"/>
            <w:tcBorders>
              <w:top w:val="nil"/>
              <w:left w:val="nil"/>
              <w:bottom w:val="single" w:sz="8" w:space="0" w:color="auto"/>
              <w:right w:val="single" w:sz="8" w:space="0" w:color="auto"/>
            </w:tcBorders>
            <w:shd w:val="clear" w:color="auto" w:fill="auto"/>
            <w:vAlign w:val="center"/>
            <w:hideMark/>
          </w:tcPr>
          <w:p w14:paraId="49D763F7" w14:textId="41BF36C7"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18</w:t>
            </w:r>
            <w:r w:rsidR="00FB7D07">
              <w:rPr>
                <w:rFonts w:ascii="Calibri" w:hAnsi="Calibri" w:cs="Calibri"/>
                <w:color w:val="000000"/>
              </w:rPr>
              <w:t>.</w:t>
            </w:r>
            <w:r>
              <w:rPr>
                <w:rFonts w:ascii="Calibri" w:hAnsi="Calibri" w:cs="Calibri"/>
                <w:color w:val="000000"/>
              </w:rPr>
              <w:t>3</w:t>
            </w:r>
          </w:p>
        </w:tc>
        <w:tc>
          <w:tcPr>
            <w:tcW w:w="1594" w:type="dxa"/>
            <w:tcBorders>
              <w:top w:val="nil"/>
              <w:left w:val="nil"/>
              <w:bottom w:val="single" w:sz="8" w:space="0" w:color="auto"/>
              <w:right w:val="single" w:sz="8" w:space="0" w:color="auto"/>
            </w:tcBorders>
            <w:shd w:val="clear" w:color="auto" w:fill="auto"/>
            <w:vAlign w:val="center"/>
            <w:hideMark/>
          </w:tcPr>
          <w:p w14:paraId="6722DA69" w14:textId="18B67B2B"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404</w:t>
            </w:r>
          </w:p>
        </w:tc>
      </w:tr>
      <w:tr w:rsidR="00B36BFD" w:rsidRPr="000A0848" w14:paraId="192B5B63"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37F80FB" w14:textId="77777777" w:rsidR="00B36BFD" w:rsidRPr="000A0848" w:rsidRDefault="00B36BFD" w:rsidP="00B36BFD">
            <w:pPr>
              <w:spacing w:after="0" w:line="240" w:lineRule="auto"/>
              <w:jc w:val="center"/>
              <w:rPr>
                <w:rFonts w:ascii="Arial" w:eastAsia="Times New Roman" w:hAnsi="Arial" w:cs="Arial"/>
                <w:b/>
                <w:bCs/>
                <w:color w:val="000000"/>
                <w:sz w:val="20"/>
                <w:szCs w:val="20"/>
                <w:lang w:val="nb-NO" w:eastAsia="nb-NO"/>
              </w:rPr>
            </w:pPr>
            <w:r w:rsidRPr="000A0848">
              <w:rPr>
                <w:rFonts w:ascii="Arial" w:eastAsia="Times New Roman" w:hAnsi="Arial" w:cs="Arial"/>
                <w:b/>
                <w:bCs/>
                <w:color w:val="000000"/>
                <w:sz w:val="20"/>
                <w:szCs w:val="20"/>
                <w:lang w:val="nb-NO" w:eastAsia="nb-NO"/>
              </w:rPr>
              <w:t>Age in 2013</w:t>
            </w:r>
          </w:p>
        </w:tc>
        <w:tc>
          <w:tcPr>
            <w:tcW w:w="1930" w:type="dxa"/>
            <w:tcBorders>
              <w:top w:val="nil"/>
              <w:left w:val="nil"/>
              <w:bottom w:val="single" w:sz="8" w:space="0" w:color="auto"/>
              <w:right w:val="single" w:sz="8" w:space="0" w:color="auto"/>
            </w:tcBorders>
            <w:shd w:val="clear" w:color="auto" w:fill="auto"/>
            <w:vAlign w:val="center"/>
            <w:hideMark/>
          </w:tcPr>
          <w:p w14:paraId="1D83E245"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w:t>
            </w:r>
          </w:p>
        </w:tc>
        <w:tc>
          <w:tcPr>
            <w:tcW w:w="2031" w:type="dxa"/>
            <w:tcBorders>
              <w:top w:val="nil"/>
              <w:left w:val="nil"/>
              <w:bottom w:val="single" w:sz="8" w:space="0" w:color="auto"/>
              <w:right w:val="single" w:sz="8" w:space="0" w:color="auto"/>
            </w:tcBorders>
            <w:shd w:val="clear" w:color="auto" w:fill="auto"/>
            <w:vAlign w:val="center"/>
            <w:hideMark/>
          </w:tcPr>
          <w:p w14:paraId="678C36AC"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w:t>
            </w:r>
          </w:p>
        </w:tc>
        <w:tc>
          <w:tcPr>
            <w:tcW w:w="1698" w:type="dxa"/>
            <w:tcBorders>
              <w:top w:val="nil"/>
              <w:left w:val="nil"/>
              <w:bottom w:val="single" w:sz="8" w:space="0" w:color="auto"/>
              <w:right w:val="single" w:sz="8" w:space="0" w:color="auto"/>
            </w:tcBorders>
            <w:shd w:val="clear" w:color="auto" w:fill="auto"/>
            <w:vAlign w:val="center"/>
            <w:hideMark/>
          </w:tcPr>
          <w:p w14:paraId="091A5AE0" w14:textId="30EE4E58"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 </w:t>
            </w:r>
          </w:p>
        </w:tc>
        <w:tc>
          <w:tcPr>
            <w:tcW w:w="1594" w:type="dxa"/>
            <w:tcBorders>
              <w:top w:val="nil"/>
              <w:left w:val="nil"/>
              <w:bottom w:val="single" w:sz="8" w:space="0" w:color="auto"/>
              <w:right w:val="single" w:sz="8" w:space="0" w:color="auto"/>
            </w:tcBorders>
            <w:shd w:val="clear" w:color="auto" w:fill="auto"/>
            <w:vAlign w:val="center"/>
            <w:hideMark/>
          </w:tcPr>
          <w:p w14:paraId="531CF68D" w14:textId="5E23F44F"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 </w:t>
            </w:r>
          </w:p>
        </w:tc>
      </w:tr>
      <w:tr w:rsidR="00B36BFD" w:rsidRPr="000A0848" w14:paraId="463EFF99"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F5DA87A"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18-24 years</w:t>
            </w:r>
          </w:p>
        </w:tc>
        <w:tc>
          <w:tcPr>
            <w:tcW w:w="1930" w:type="dxa"/>
            <w:tcBorders>
              <w:top w:val="nil"/>
              <w:left w:val="nil"/>
              <w:bottom w:val="single" w:sz="8" w:space="0" w:color="auto"/>
              <w:right w:val="single" w:sz="8" w:space="0" w:color="auto"/>
            </w:tcBorders>
            <w:shd w:val="clear" w:color="auto" w:fill="auto"/>
            <w:vAlign w:val="center"/>
            <w:hideMark/>
          </w:tcPr>
          <w:p w14:paraId="37151D0C" w14:textId="7E0050DD"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11</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4</w:t>
            </w:r>
          </w:p>
        </w:tc>
        <w:tc>
          <w:tcPr>
            <w:tcW w:w="2031" w:type="dxa"/>
            <w:tcBorders>
              <w:top w:val="nil"/>
              <w:left w:val="nil"/>
              <w:bottom w:val="single" w:sz="8" w:space="0" w:color="auto"/>
              <w:right w:val="single" w:sz="8" w:space="0" w:color="auto"/>
            </w:tcBorders>
            <w:shd w:val="clear" w:color="auto" w:fill="auto"/>
            <w:vAlign w:val="center"/>
            <w:hideMark/>
          </w:tcPr>
          <w:p w14:paraId="40082F33"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106</w:t>
            </w:r>
          </w:p>
        </w:tc>
        <w:tc>
          <w:tcPr>
            <w:tcW w:w="1698" w:type="dxa"/>
            <w:tcBorders>
              <w:top w:val="nil"/>
              <w:left w:val="nil"/>
              <w:bottom w:val="single" w:sz="8" w:space="0" w:color="auto"/>
              <w:right w:val="single" w:sz="8" w:space="0" w:color="auto"/>
            </w:tcBorders>
            <w:shd w:val="clear" w:color="auto" w:fill="auto"/>
            <w:vAlign w:val="center"/>
            <w:hideMark/>
          </w:tcPr>
          <w:p w14:paraId="15078934" w14:textId="600559C4"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22</w:t>
            </w:r>
            <w:r w:rsidR="00FB7D07">
              <w:rPr>
                <w:rFonts w:ascii="Calibri" w:hAnsi="Calibri" w:cs="Calibri"/>
                <w:color w:val="000000"/>
              </w:rPr>
              <w:t>.</w:t>
            </w:r>
            <w:r>
              <w:rPr>
                <w:rFonts w:ascii="Calibri" w:hAnsi="Calibri" w:cs="Calibri"/>
                <w:color w:val="000000"/>
              </w:rPr>
              <w:t>5</w:t>
            </w:r>
          </w:p>
        </w:tc>
        <w:tc>
          <w:tcPr>
            <w:tcW w:w="1594" w:type="dxa"/>
            <w:tcBorders>
              <w:top w:val="nil"/>
              <w:left w:val="nil"/>
              <w:bottom w:val="single" w:sz="8" w:space="0" w:color="auto"/>
              <w:right w:val="single" w:sz="8" w:space="0" w:color="auto"/>
            </w:tcBorders>
            <w:shd w:val="clear" w:color="auto" w:fill="auto"/>
            <w:vAlign w:val="center"/>
            <w:hideMark/>
          </w:tcPr>
          <w:p w14:paraId="5D2742EA" w14:textId="632FE89E"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67</w:t>
            </w:r>
          </w:p>
        </w:tc>
      </w:tr>
      <w:tr w:rsidR="00B36BFD" w:rsidRPr="000A0848" w14:paraId="1D2D48FC"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9E05C55"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25-44 years</w:t>
            </w:r>
          </w:p>
        </w:tc>
        <w:tc>
          <w:tcPr>
            <w:tcW w:w="1930" w:type="dxa"/>
            <w:tcBorders>
              <w:top w:val="nil"/>
              <w:left w:val="nil"/>
              <w:bottom w:val="single" w:sz="8" w:space="0" w:color="auto"/>
              <w:right w:val="single" w:sz="8" w:space="0" w:color="auto"/>
            </w:tcBorders>
            <w:shd w:val="clear" w:color="auto" w:fill="auto"/>
            <w:vAlign w:val="center"/>
            <w:hideMark/>
          </w:tcPr>
          <w:p w14:paraId="2F431B39" w14:textId="3B661DF6"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8</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1</w:t>
            </w:r>
          </w:p>
        </w:tc>
        <w:tc>
          <w:tcPr>
            <w:tcW w:w="2031" w:type="dxa"/>
            <w:tcBorders>
              <w:top w:val="nil"/>
              <w:left w:val="nil"/>
              <w:bottom w:val="single" w:sz="8" w:space="0" w:color="auto"/>
              <w:right w:val="single" w:sz="8" w:space="0" w:color="auto"/>
            </w:tcBorders>
            <w:shd w:val="clear" w:color="auto" w:fill="auto"/>
            <w:vAlign w:val="center"/>
            <w:hideMark/>
          </w:tcPr>
          <w:p w14:paraId="3C781460"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323</w:t>
            </w:r>
          </w:p>
        </w:tc>
        <w:tc>
          <w:tcPr>
            <w:tcW w:w="1698" w:type="dxa"/>
            <w:tcBorders>
              <w:top w:val="nil"/>
              <w:left w:val="nil"/>
              <w:bottom w:val="single" w:sz="8" w:space="0" w:color="auto"/>
              <w:right w:val="single" w:sz="8" w:space="0" w:color="auto"/>
            </w:tcBorders>
            <w:shd w:val="clear" w:color="auto" w:fill="auto"/>
            <w:vAlign w:val="center"/>
            <w:hideMark/>
          </w:tcPr>
          <w:p w14:paraId="65B28954" w14:textId="4A95674E"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15</w:t>
            </w:r>
            <w:r w:rsidR="00FB7D07">
              <w:rPr>
                <w:rFonts w:ascii="Calibri" w:hAnsi="Calibri" w:cs="Calibri"/>
                <w:color w:val="000000"/>
              </w:rPr>
              <w:t>.</w:t>
            </w:r>
            <w:r>
              <w:rPr>
                <w:rFonts w:ascii="Calibri" w:hAnsi="Calibri" w:cs="Calibri"/>
                <w:color w:val="000000"/>
              </w:rPr>
              <w:t>4</w:t>
            </w:r>
          </w:p>
        </w:tc>
        <w:tc>
          <w:tcPr>
            <w:tcW w:w="1594" w:type="dxa"/>
            <w:tcBorders>
              <w:top w:val="nil"/>
              <w:left w:val="nil"/>
              <w:bottom w:val="single" w:sz="8" w:space="0" w:color="auto"/>
              <w:right w:val="single" w:sz="8" w:space="0" w:color="auto"/>
            </w:tcBorders>
            <w:shd w:val="clear" w:color="auto" w:fill="auto"/>
            <w:vAlign w:val="center"/>
            <w:hideMark/>
          </w:tcPr>
          <w:p w14:paraId="0D4B4F49" w14:textId="59805D31"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258</w:t>
            </w:r>
          </w:p>
        </w:tc>
      </w:tr>
      <w:tr w:rsidR="00B36BFD" w:rsidRPr="000A0848" w14:paraId="60DAFAAB" w14:textId="77777777" w:rsidTr="00A4412A">
        <w:trPr>
          <w:trHeight w:val="24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D55BE7D"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45-66 years</w:t>
            </w:r>
          </w:p>
        </w:tc>
        <w:tc>
          <w:tcPr>
            <w:tcW w:w="1930" w:type="dxa"/>
            <w:tcBorders>
              <w:top w:val="nil"/>
              <w:left w:val="nil"/>
              <w:bottom w:val="single" w:sz="8" w:space="0" w:color="auto"/>
              <w:right w:val="single" w:sz="8" w:space="0" w:color="auto"/>
            </w:tcBorders>
            <w:shd w:val="clear" w:color="auto" w:fill="auto"/>
            <w:vAlign w:val="center"/>
            <w:hideMark/>
          </w:tcPr>
          <w:p w14:paraId="0D79C48A" w14:textId="2EB90430"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5</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8</w:t>
            </w:r>
          </w:p>
        </w:tc>
        <w:tc>
          <w:tcPr>
            <w:tcW w:w="2031" w:type="dxa"/>
            <w:tcBorders>
              <w:top w:val="nil"/>
              <w:left w:val="nil"/>
              <w:bottom w:val="single" w:sz="8" w:space="0" w:color="auto"/>
              <w:right w:val="single" w:sz="8" w:space="0" w:color="auto"/>
            </w:tcBorders>
            <w:shd w:val="clear" w:color="auto" w:fill="auto"/>
            <w:vAlign w:val="center"/>
            <w:hideMark/>
          </w:tcPr>
          <w:p w14:paraId="137590D1"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483</w:t>
            </w:r>
          </w:p>
        </w:tc>
        <w:tc>
          <w:tcPr>
            <w:tcW w:w="1698" w:type="dxa"/>
            <w:tcBorders>
              <w:top w:val="nil"/>
              <w:left w:val="nil"/>
              <w:bottom w:val="single" w:sz="8" w:space="0" w:color="auto"/>
              <w:right w:val="single" w:sz="8" w:space="0" w:color="auto"/>
            </w:tcBorders>
            <w:shd w:val="clear" w:color="auto" w:fill="auto"/>
            <w:vAlign w:val="center"/>
            <w:hideMark/>
          </w:tcPr>
          <w:p w14:paraId="20415B9F" w14:textId="676EFE39"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20</w:t>
            </w:r>
            <w:r w:rsidR="00FB7D07">
              <w:rPr>
                <w:rFonts w:ascii="Calibri" w:hAnsi="Calibri" w:cs="Calibri"/>
                <w:color w:val="000000"/>
              </w:rPr>
              <w:t>.</w:t>
            </w:r>
            <w:r>
              <w:rPr>
                <w:rFonts w:ascii="Calibri" w:hAnsi="Calibri" w:cs="Calibri"/>
                <w:color w:val="000000"/>
              </w:rPr>
              <w:t>6</w:t>
            </w:r>
          </w:p>
        </w:tc>
        <w:tc>
          <w:tcPr>
            <w:tcW w:w="1594" w:type="dxa"/>
            <w:tcBorders>
              <w:top w:val="nil"/>
              <w:left w:val="nil"/>
              <w:bottom w:val="single" w:sz="8" w:space="0" w:color="auto"/>
              <w:right w:val="single" w:sz="8" w:space="0" w:color="auto"/>
            </w:tcBorders>
            <w:shd w:val="clear" w:color="auto" w:fill="auto"/>
            <w:vAlign w:val="center"/>
            <w:hideMark/>
          </w:tcPr>
          <w:p w14:paraId="0664B75C" w14:textId="35ECF243"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404</w:t>
            </w:r>
          </w:p>
        </w:tc>
      </w:tr>
      <w:tr w:rsidR="00B36BFD" w:rsidRPr="000A0848" w14:paraId="55644D50" w14:textId="77777777" w:rsidTr="00A4412A">
        <w:trPr>
          <w:trHeight w:val="19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BCF5F71"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67 years or older</w:t>
            </w:r>
          </w:p>
        </w:tc>
        <w:tc>
          <w:tcPr>
            <w:tcW w:w="1930" w:type="dxa"/>
            <w:tcBorders>
              <w:top w:val="nil"/>
              <w:left w:val="nil"/>
              <w:bottom w:val="single" w:sz="8" w:space="0" w:color="auto"/>
              <w:right w:val="single" w:sz="8" w:space="0" w:color="auto"/>
            </w:tcBorders>
            <w:shd w:val="clear" w:color="auto" w:fill="auto"/>
            <w:vAlign w:val="center"/>
            <w:hideMark/>
          </w:tcPr>
          <w:p w14:paraId="6D8D4C69" w14:textId="46F51FCD"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3</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8</w:t>
            </w:r>
          </w:p>
        </w:tc>
        <w:tc>
          <w:tcPr>
            <w:tcW w:w="2031" w:type="dxa"/>
            <w:tcBorders>
              <w:top w:val="nil"/>
              <w:left w:val="nil"/>
              <w:bottom w:val="single" w:sz="8" w:space="0" w:color="auto"/>
              <w:right w:val="single" w:sz="8" w:space="0" w:color="auto"/>
            </w:tcBorders>
            <w:shd w:val="clear" w:color="auto" w:fill="auto"/>
            <w:vAlign w:val="center"/>
            <w:hideMark/>
          </w:tcPr>
          <w:p w14:paraId="60B95A98"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182</w:t>
            </w:r>
          </w:p>
        </w:tc>
        <w:tc>
          <w:tcPr>
            <w:tcW w:w="1698" w:type="dxa"/>
            <w:tcBorders>
              <w:top w:val="nil"/>
              <w:left w:val="nil"/>
              <w:bottom w:val="single" w:sz="8" w:space="0" w:color="auto"/>
              <w:right w:val="single" w:sz="8" w:space="0" w:color="auto"/>
            </w:tcBorders>
            <w:shd w:val="clear" w:color="auto" w:fill="auto"/>
            <w:vAlign w:val="center"/>
            <w:hideMark/>
          </w:tcPr>
          <w:p w14:paraId="41D55C33" w14:textId="1AAFBBD9"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14</w:t>
            </w:r>
            <w:r w:rsidR="00FB7D07">
              <w:rPr>
                <w:rFonts w:ascii="Calibri" w:hAnsi="Calibri" w:cs="Calibri"/>
                <w:color w:val="000000"/>
              </w:rPr>
              <w:t>.</w:t>
            </w:r>
            <w:r>
              <w:rPr>
                <w:rFonts w:ascii="Calibri" w:hAnsi="Calibri" w:cs="Calibri"/>
                <w:color w:val="000000"/>
              </w:rPr>
              <w:t>2</w:t>
            </w:r>
          </w:p>
        </w:tc>
        <w:tc>
          <w:tcPr>
            <w:tcW w:w="1594" w:type="dxa"/>
            <w:tcBorders>
              <w:top w:val="nil"/>
              <w:left w:val="nil"/>
              <w:bottom w:val="single" w:sz="8" w:space="0" w:color="auto"/>
              <w:right w:val="single" w:sz="8" w:space="0" w:color="auto"/>
            </w:tcBorders>
            <w:shd w:val="clear" w:color="auto" w:fill="auto"/>
            <w:vAlign w:val="center"/>
            <w:hideMark/>
          </w:tcPr>
          <w:p w14:paraId="313EE858" w14:textId="1A4C1672"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139</w:t>
            </w:r>
          </w:p>
        </w:tc>
      </w:tr>
      <w:tr w:rsidR="00B36BFD" w:rsidRPr="000A0848" w14:paraId="20C52C32" w14:textId="77777777" w:rsidTr="00A4412A">
        <w:trPr>
          <w:trHeight w:val="31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3F6CBA2" w14:textId="7211D33E" w:rsidR="00B36BFD" w:rsidRPr="000A0848" w:rsidRDefault="00992BE6" w:rsidP="00B36BFD">
            <w:pPr>
              <w:spacing w:after="0" w:line="240" w:lineRule="auto"/>
              <w:jc w:val="center"/>
              <w:rPr>
                <w:rFonts w:ascii="Calibri" w:eastAsia="Times New Roman" w:hAnsi="Calibri" w:cs="Calibri"/>
                <w:b/>
                <w:bCs/>
                <w:color w:val="000000"/>
                <w:lang w:val="nb-NO" w:eastAsia="nb-NO"/>
              </w:rPr>
            </w:pPr>
            <w:r>
              <w:rPr>
                <w:rFonts w:ascii="Calibri" w:eastAsia="Times New Roman" w:hAnsi="Calibri" w:cs="Calibri"/>
                <w:b/>
                <w:bCs/>
                <w:color w:val="000000"/>
                <w:lang w:val="nb-NO" w:eastAsia="nb-NO"/>
              </w:rPr>
              <w:t>Education</w:t>
            </w:r>
          </w:p>
        </w:tc>
        <w:tc>
          <w:tcPr>
            <w:tcW w:w="1930" w:type="dxa"/>
            <w:tcBorders>
              <w:top w:val="nil"/>
              <w:left w:val="nil"/>
              <w:bottom w:val="single" w:sz="8" w:space="0" w:color="auto"/>
              <w:right w:val="single" w:sz="8" w:space="0" w:color="auto"/>
            </w:tcBorders>
            <w:shd w:val="clear" w:color="auto" w:fill="auto"/>
            <w:vAlign w:val="center"/>
            <w:hideMark/>
          </w:tcPr>
          <w:p w14:paraId="2DEEC9F6"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w:t>
            </w:r>
          </w:p>
        </w:tc>
        <w:tc>
          <w:tcPr>
            <w:tcW w:w="2031" w:type="dxa"/>
            <w:tcBorders>
              <w:top w:val="nil"/>
              <w:left w:val="nil"/>
              <w:bottom w:val="single" w:sz="8" w:space="0" w:color="auto"/>
              <w:right w:val="single" w:sz="8" w:space="0" w:color="auto"/>
            </w:tcBorders>
            <w:shd w:val="clear" w:color="auto" w:fill="auto"/>
            <w:vAlign w:val="center"/>
            <w:hideMark/>
          </w:tcPr>
          <w:p w14:paraId="3CC6C07A"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w:t>
            </w:r>
          </w:p>
        </w:tc>
        <w:tc>
          <w:tcPr>
            <w:tcW w:w="1698" w:type="dxa"/>
            <w:tcBorders>
              <w:top w:val="nil"/>
              <w:left w:val="nil"/>
              <w:bottom w:val="single" w:sz="8" w:space="0" w:color="auto"/>
              <w:right w:val="single" w:sz="8" w:space="0" w:color="auto"/>
            </w:tcBorders>
            <w:shd w:val="clear" w:color="auto" w:fill="auto"/>
            <w:vAlign w:val="center"/>
            <w:hideMark/>
          </w:tcPr>
          <w:p w14:paraId="2FD2E78E" w14:textId="1E3E5866"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 </w:t>
            </w:r>
          </w:p>
        </w:tc>
        <w:tc>
          <w:tcPr>
            <w:tcW w:w="1594" w:type="dxa"/>
            <w:tcBorders>
              <w:top w:val="nil"/>
              <w:left w:val="nil"/>
              <w:bottom w:val="single" w:sz="8" w:space="0" w:color="auto"/>
              <w:right w:val="single" w:sz="8" w:space="0" w:color="auto"/>
            </w:tcBorders>
            <w:shd w:val="clear" w:color="auto" w:fill="auto"/>
            <w:vAlign w:val="center"/>
            <w:hideMark/>
          </w:tcPr>
          <w:p w14:paraId="490A0741" w14:textId="0959DA30"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 </w:t>
            </w:r>
          </w:p>
        </w:tc>
      </w:tr>
      <w:tr w:rsidR="00B36BFD" w:rsidRPr="000A0848" w14:paraId="61E21999" w14:textId="77777777" w:rsidTr="00A4412A">
        <w:trPr>
          <w:trHeight w:val="27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73D3D00" w14:textId="6BAA14B4" w:rsidR="00B36BFD" w:rsidRPr="000A0848" w:rsidRDefault="00992BE6" w:rsidP="00B36BFD">
            <w:pPr>
              <w:spacing w:after="0" w:line="240" w:lineRule="auto"/>
              <w:jc w:val="center"/>
              <w:rPr>
                <w:rFonts w:ascii="Calibri" w:eastAsia="Times New Roman" w:hAnsi="Calibri" w:cs="Calibri"/>
                <w:color w:val="000000"/>
                <w:lang w:val="nb-NO" w:eastAsia="nb-NO"/>
              </w:rPr>
            </w:pPr>
            <w:r>
              <w:rPr>
                <w:rFonts w:ascii="Calibri" w:eastAsia="Times New Roman" w:hAnsi="Calibri" w:cs="Calibri"/>
                <w:color w:val="000000"/>
                <w:lang w:val="nb-NO" w:eastAsia="nb-NO"/>
              </w:rPr>
              <w:t>&lt;</w:t>
            </w:r>
            <w:r w:rsidR="00A4412A">
              <w:rPr>
                <w:rFonts w:ascii="Calibri" w:eastAsia="Times New Roman" w:hAnsi="Calibri" w:cs="Calibri"/>
                <w:color w:val="000000"/>
                <w:lang w:val="nb-NO" w:eastAsia="nb-NO"/>
              </w:rPr>
              <w:t>U</w:t>
            </w:r>
            <w:r w:rsidR="00B36BFD" w:rsidRPr="000A0848">
              <w:rPr>
                <w:rFonts w:ascii="Calibri" w:eastAsia="Times New Roman" w:hAnsi="Calibri" w:cs="Calibri"/>
                <w:color w:val="000000"/>
                <w:lang w:val="nb-NO" w:eastAsia="nb-NO"/>
              </w:rPr>
              <w:t xml:space="preserve">pper secondary </w:t>
            </w:r>
          </w:p>
        </w:tc>
        <w:tc>
          <w:tcPr>
            <w:tcW w:w="1930" w:type="dxa"/>
            <w:tcBorders>
              <w:top w:val="nil"/>
              <w:left w:val="nil"/>
              <w:bottom w:val="single" w:sz="8" w:space="0" w:color="auto"/>
              <w:right w:val="single" w:sz="8" w:space="0" w:color="auto"/>
            </w:tcBorders>
            <w:shd w:val="clear" w:color="auto" w:fill="auto"/>
            <w:vAlign w:val="center"/>
            <w:hideMark/>
          </w:tcPr>
          <w:p w14:paraId="135A03BE" w14:textId="19506BD9"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14</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7</w:t>
            </w:r>
          </w:p>
        </w:tc>
        <w:tc>
          <w:tcPr>
            <w:tcW w:w="2031" w:type="dxa"/>
            <w:tcBorders>
              <w:top w:val="nil"/>
              <w:left w:val="nil"/>
              <w:bottom w:val="single" w:sz="8" w:space="0" w:color="auto"/>
              <w:right w:val="single" w:sz="8" w:space="0" w:color="auto"/>
            </w:tcBorders>
            <w:shd w:val="clear" w:color="auto" w:fill="auto"/>
            <w:vAlign w:val="center"/>
            <w:hideMark/>
          </w:tcPr>
          <w:p w14:paraId="7F4E4239"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149</w:t>
            </w:r>
          </w:p>
        </w:tc>
        <w:tc>
          <w:tcPr>
            <w:tcW w:w="1698" w:type="dxa"/>
            <w:tcBorders>
              <w:top w:val="nil"/>
              <w:left w:val="nil"/>
              <w:bottom w:val="single" w:sz="8" w:space="0" w:color="auto"/>
              <w:right w:val="single" w:sz="8" w:space="0" w:color="auto"/>
            </w:tcBorders>
            <w:shd w:val="clear" w:color="auto" w:fill="auto"/>
            <w:vAlign w:val="center"/>
            <w:hideMark/>
          </w:tcPr>
          <w:p w14:paraId="784F795E" w14:textId="5BF2816E"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21</w:t>
            </w:r>
            <w:r w:rsidR="00FB7D07">
              <w:rPr>
                <w:rFonts w:ascii="Calibri" w:hAnsi="Calibri" w:cs="Calibri"/>
                <w:color w:val="000000"/>
              </w:rPr>
              <w:t>.</w:t>
            </w:r>
            <w:r>
              <w:rPr>
                <w:rFonts w:ascii="Calibri" w:hAnsi="Calibri" w:cs="Calibri"/>
                <w:color w:val="000000"/>
              </w:rPr>
              <w:t>7</w:t>
            </w:r>
          </w:p>
        </w:tc>
        <w:tc>
          <w:tcPr>
            <w:tcW w:w="1594" w:type="dxa"/>
            <w:tcBorders>
              <w:top w:val="nil"/>
              <w:left w:val="nil"/>
              <w:bottom w:val="single" w:sz="8" w:space="0" w:color="auto"/>
              <w:right w:val="single" w:sz="8" w:space="0" w:color="auto"/>
            </w:tcBorders>
            <w:shd w:val="clear" w:color="auto" w:fill="auto"/>
            <w:vAlign w:val="center"/>
            <w:hideMark/>
          </w:tcPr>
          <w:p w14:paraId="1BF0044F" w14:textId="3A28F128"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102</w:t>
            </w:r>
          </w:p>
        </w:tc>
      </w:tr>
      <w:tr w:rsidR="00B36BFD" w:rsidRPr="000A0848" w14:paraId="3A75232C" w14:textId="77777777" w:rsidTr="00A4412A">
        <w:trPr>
          <w:trHeight w:val="249"/>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9FCE6B0" w14:textId="3639FC9B"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xml:space="preserve">Upper secondary </w:t>
            </w:r>
          </w:p>
        </w:tc>
        <w:tc>
          <w:tcPr>
            <w:tcW w:w="1930" w:type="dxa"/>
            <w:tcBorders>
              <w:top w:val="nil"/>
              <w:left w:val="nil"/>
              <w:bottom w:val="single" w:sz="8" w:space="0" w:color="auto"/>
              <w:right w:val="single" w:sz="8" w:space="0" w:color="auto"/>
            </w:tcBorders>
            <w:shd w:val="clear" w:color="auto" w:fill="auto"/>
            <w:vAlign w:val="center"/>
            <w:hideMark/>
          </w:tcPr>
          <w:p w14:paraId="362ABB31" w14:textId="420D9044"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6</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5</w:t>
            </w:r>
          </w:p>
        </w:tc>
        <w:tc>
          <w:tcPr>
            <w:tcW w:w="2031" w:type="dxa"/>
            <w:tcBorders>
              <w:top w:val="nil"/>
              <w:left w:val="nil"/>
              <w:bottom w:val="single" w:sz="8" w:space="0" w:color="auto"/>
              <w:right w:val="single" w:sz="8" w:space="0" w:color="auto"/>
            </w:tcBorders>
            <w:shd w:val="clear" w:color="auto" w:fill="auto"/>
            <w:vAlign w:val="center"/>
            <w:hideMark/>
          </w:tcPr>
          <w:p w14:paraId="205C04B2"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453</w:t>
            </w:r>
          </w:p>
        </w:tc>
        <w:tc>
          <w:tcPr>
            <w:tcW w:w="1698" w:type="dxa"/>
            <w:tcBorders>
              <w:top w:val="nil"/>
              <w:left w:val="nil"/>
              <w:bottom w:val="single" w:sz="8" w:space="0" w:color="auto"/>
              <w:right w:val="single" w:sz="8" w:space="0" w:color="auto"/>
            </w:tcBorders>
            <w:shd w:val="clear" w:color="auto" w:fill="auto"/>
            <w:vAlign w:val="center"/>
            <w:hideMark/>
          </w:tcPr>
          <w:p w14:paraId="052CD57E" w14:textId="7A767AF7"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18</w:t>
            </w:r>
            <w:r w:rsidR="00FB7D07">
              <w:rPr>
                <w:rFonts w:ascii="Calibri" w:hAnsi="Calibri" w:cs="Calibri"/>
                <w:color w:val="000000"/>
              </w:rPr>
              <w:t>.</w:t>
            </w:r>
            <w:r>
              <w:rPr>
                <w:rFonts w:ascii="Calibri" w:hAnsi="Calibri" w:cs="Calibri"/>
                <w:color w:val="000000"/>
              </w:rPr>
              <w:t>1</w:t>
            </w:r>
          </w:p>
        </w:tc>
        <w:tc>
          <w:tcPr>
            <w:tcW w:w="1594" w:type="dxa"/>
            <w:tcBorders>
              <w:top w:val="nil"/>
              <w:left w:val="nil"/>
              <w:bottom w:val="single" w:sz="8" w:space="0" w:color="auto"/>
              <w:right w:val="single" w:sz="8" w:space="0" w:color="auto"/>
            </w:tcBorders>
            <w:shd w:val="clear" w:color="auto" w:fill="auto"/>
            <w:vAlign w:val="center"/>
            <w:hideMark/>
          </w:tcPr>
          <w:p w14:paraId="2406F86D" w14:textId="09104FC0"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352</w:t>
            </w:r>
          </w:p>
        </w:tc>
      </w:tr>
      <w:tr w:rsidR="00B36BFD" w:rsidRPr="000A0848" w14:paraId="5549974C" w14:textId="77777777" w:rsidTr="00A4412A">
        <w:trPr>
          <w:trHeight w:val="254"/>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AD323F4" w14:textId="699C979B"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 xml:space="preserve">Tertiary </w:t>
            </w:r>
          </w:p>
        </w:tc>
        <w:tc>
          <w:tcPr>
            <w:tcW w:w="1930" w:type="dxa"/>
            <w:tcBorders>
              <w:top w:val="nil"/>
              <w:left w:val="nil"/>
              <w:bottom w:val="single" w:sz="8" w:space="0" w:color="auto"/>
              <w:right w:val="single" w:sz="8" w:space="0" w:color="auto"/>
            </w:tcBorders>
            <w:shd w:val="clear" w:color="auto" w:fill="auto"/>
            <w:vAlign w:val="center"/>
            <w:hideMark/>
          </w:tcPr>
          <w:p w14:paraId="511720BB" w14:textId="0AB4D1E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4</w:t>
            </w:r>
            <w:r w:rsidR="00FB7D07">
              <w:rPr>
                <w:rFonts w:ascii="Calibri" w:eastAsia="Times New Roman" w:hAnsi="Calibri" w:cs="Calibri"/>
                <w:color w:val="000000"/>
                <w:lang w:val="nb-NO" w:eastAsia="nb-NO"/>
              </w:rPr>
              <w:t>.</w:t>
            </w:r>
            <w:r w:rsidRPr="000A0848">
              <w:rPr>
                <w:rFonts w:ascii="Calibri" w:eastAsia="Times New Roman" w:hAnsi="Calibri" w:cs="Calibri"/>
                <w:color w:val="000000"/>
                <w:lang w:val="nb-NO" w:eastAsia="nb-NO"/>
              </w:rPr>
              <w:t>4</w:t>
            </w:r>
          </w:p>
        </w:tc>
        <w:tc>
          <w:tcPr>
            <w:tcW w:w="2031" w:type="dxa"/>
            <w:tcBorders>
              <w:top w:val="nil"/>
              <w:left w:val="nil"/>
              <w:bottom w:val="single" w:sz="8" w:space="0" w:color="auto"/>
              <w:right w:val="single" w:sz="8" w:space="0" w:color="auto"/>
            </w:tcBorders>
            <w:shd w:val="clear" w:color="auto" w:fill="auto"/>
            <w:vAlign w:val="center"/>
            <w:hideMark/>
          </w:tcPr>
          <w:p w14:paraId="7F4F7EA5" w14:textId="77777777" w:rsidR="00B36BFD" w:rsidRPr="000A0848" w:rsidRDefault="00B36BFD" w:rsidP="00B36BFD">
            <w:pPr>
              <w:spacing w:after="0" w:line="240" w:lineRule="auto"/>
              <w:jc w:val="center"/>
              <w:rPr>
                <w:rFonts w:ascii="Calibri" w:eastAsia="Times New Roman" w:hAnsi="Calibri" w:cs="Calibri"/>
                <w:color w:val="000000"/>
                <w:lang w:val="nb-NO" w:eastAsia="nb-NO"/>
              </w:rPr>
            </w:pPr>
            <w:r w:rsidRPr="000A0848">
              <w:rPr>
                <w:rFonts w:ascii="Calibri" w:eastAsia="Times New Roman" w:hAnsi="Calibri" w:cs="Calibri"/>
                <w:color w:val="000000"/>
                <w:lang w:val="nb-NO" w:eastAsia="nb-NO"/>
              </w:rPr>
              <w:t>492</w:t>
            </w:r>
          </w:p>
        </w:tc>
        <w:tc>
          <w:tcPr>
            <w:tcW w:w="1698" w:type="dxa"/>
            <w:tcBorders>
              <w:top w:val="nil"/>
              <w:left w:val="nil"/>
              <w:bottom w:val="single" w:sz="8" w:space="0" w:color="auto"/>
              <w:right w:val="single" w:sz="8" w:space="0" w:color="auto"/>
            </w:tcBorders>
            <w:shd w:val="clear" w:color="auto" w:fill="auto"/>
            <w:vAlign w:val="center"/>
            <w:hideMark/>
          </w:tcPr>
          <w:p w14:paraId="27BA828B" w14:textId="42DCC7E5"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17</w:t>
            </w:r>
            <w:r w:rsidR="00FB7D07">
              <w:rPr>
                <w:rFonts w:ascii="Calibri" w:hAnsi="Calibri" w:cs="Calibri"/>
                <w:color w:val="000000"/>
              </w:rPr>
              <w:t>.</w:t>
            </w:r>
            <w:r>
              <w:rPr>
                <w:rFonts w:ascii="Calibri" w:hAnsi="Calibri" w:cs="Calibri"/>
                <w:color w:val="000000"/>
              </w:rPr>
              <w:t>1</w:t>
            </w:r>
          </w:p>
        </w:tc>
        <w:tc>
          <w:tcPr>
            <w:tcW w:w="1594" w:type="dxa"/>
            <w:tcBorders>
              <w:top w:val="nil"/>
              <w:left w:val="nil"/>
              <w:bottom w:val="single" w:sz="8" w:space="0" w:color="auto"/>
              <w:right w:val="single" w:sz="8" w:space="0" w:color="auto"/>
            </w:tcBorders>
            <w:shd w:val="clear" w:color="auto" w:fill="auto"/>
            <w:vAlign w:val="center"/>
            <w:hideMark/>
          </w:tcPr>
          <w:p w14:paraId="392ED90D" w14:textId="7AD7B41A" w:rsidR="00B36BFD" w:rsidRPr="000A0848" w:rsidRDefault="00B36BFD" w:rsidP="00B36BFD">
            <w:pPr>
              <w:spacing w:after="0" w:line="240" w:lineRule="auto"/>
              <w:jc w:val="center"/>
              <w:rPr>
                <w:rFonts w:ascii="Calibri" w:eastAsia="Times New Roman" w:hAnsi="Calibri" w:cs="Calibri"/>
                <w:color w:val="000000"/>
                <w:lang w:val="nb-NO" w:eastAsia="nb-NO"/>
              </w:rPr>
            </w:pPr>
            <w:r>
              <w:rPr>
                <w:rFonts w:ascii="Calibri" w:hAnsi="Calibri" w:cs="Calibri"/>
                <w:color w:val="000000"/>
              </w:rPr>
              <w:t>414</w:t>
            </w:r>
          </w:p>
        </w:tc>
      </w:tr>
    </w:tbl>
    <w:p w14:paraId="0EE4D616" w14:textId="3F917395" w:rsidR="00B75A1D" w:rsidRPr="00EC5F5A" w:rsidRDefault="00B75A1D" w:rsidP="00B75A1D">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00F30D81">
        <w:rPr>
          <w:rFonts w:ascii="Arial" w:hAnsi="Arial" w:cs="Arial"/>
          <w:sz w:val="20"/>
          <w:szCs w:val="20"/>
          <w:lang w:val="en-GB"/>
        </w:rPr>
        <w:t>Norwegian Survey on Living Conditions</w:t>
      </w:r>
      <w:r>
        <w:rPr>
          <w:rFonts w:ascii="Arial" w:hAnsi="Arial" w:cs="Arial"/>
          <w:sz w:val="20"/>
          <w:szCs w:val="20"/>
          <w:lang w:val="en-GB"/>
        </w:rPr>
        <w:t>, 2014 and 2017</w:t>
      </w:r>
    </w:p>
    <w:p w14:paraId="65FFD69E" w14:textId="1653F596" w:rsidR="00B15163" w:rsidRPr="00C70A50" w:rsidRDefault="00437EE7" w:rsidP="00B15163">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00B15163" w:rsidRPr="00C70A50">
        <w:rPr>
          <w:rFonts w:ascii="Arial" w:hAnsi="Arial" w:cs="Arial"/>
          <w:b/>
          <w:sz w:val="24"/>
          <w:szCs w:val="24"/>
          <w:lang w:val="en-GB"/>
        </w:rPr>
        <w:t>. Discussion</w:t>
      </w:r>
    </w:p>
    <w:p w14:paraId="356A5FE5" w14:textId="0309312E" w:rsidR="005E00D0" w:rsidRPr="00A4412A" w:rsidRDefault="00D01E96" w:rsidP="00A4412A">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We started the paper by formulating four hypotheses </w:t>
      </w:r>
      <w:r w:rsidR="00925DE9" w:rsidRPr="00A4412A">
        <w:rPr>
          <w:rFonts w:ascii="Arial" w:hAnsi="Arial" w:cs="Arial"/>
          <w:sz w:val="24"/>
          <w:szCs w:val="24"/>
          <w:lang w:val="en-GB"/>
        </w:rPr>
        <w:t>about</w:t>
      </w:r>
      <w:r w:rsidRPr="00A4412A">
        <w:rPr>
          <w:rFonts w:ascii="Arial" w:hAnsi="Arial" w:cs="Arial"/>
          <w:sz w:val="24"/>
          <w:szCs w:val="24"/>
          <w:lang w:val="en-GB"/>
        </w:rPr>
        <w:t xml:space="preserve"> </w:t>
      </w:r>
      <w:r w:rsidR="002F551A" w:rsidRPr="00A4412A">
        <w:rPr>
          <w:rFonts w:ascii="Arial" w:hAnsi="Arial" w:cs="Arial"/>
          <w:sz w:val="24"/>
          <w:szCs w:val="24"/>
          <w:lang w:val="en-GB"/>
        </w:rPr>
        <w:t xml:space="preserve">how time affects </w:t>
      </w:r>
      <w:r w:rsidR="00925DE9" w:rsidRPr="00A4412A">
        <w:rPr>
          <w:rFonts w:ascii="Arial" w:hAnsi="Arial" w:cs="Arial"/>
          <w:sz w:val="24"/>
          <w:szCs w:val="24"/>
          <w:lang w:val="en-GB"/>
        </w:rPr>
        <w:t>changes in survey</w:t>
      </w:r>
      <w:r w:rsidRPr="00A4412A">
        <w:rPr>
          <w:rFonts w:ascii="Arial" w:hAnsi="Arial" w:cs="Arial"/>
          <w:sz w:val="24"/>
          <w:szCs w:val="24"/>
          <w:lang w:val="en-GB"/>
        </w:rPr>
        <w:t xml:space="preserve"> responses. </w:t>
      </w:r>
      <w:r w:rsidR="005E00D0" w:rsidRPr="00A4412A">
        <w:rPr>
          <w:rFonts w:ascii="Arial" w:hAnsi="Arial" w:cs="Arial"/>
          <w:sz w:val="24"/>
          <w:szCs w:val="24"/>
          <w:lang w:val="en-GB"/>
        </w:rPr>
        <w:t xml:space="preserve">According to H1, </w:t>
      </w:r>
      <w:r w:rsidR="00925DE9" w:rsidRPr="00A4412A">
        <w:rPr>
          <w:rFonts w:ascii="Arial" w:hAnsi="Arial" w:cs="Arial"/>
          <w:sz w:val="24"/>
          <w:szCs w:val="24"/>
          <w:lang w:val="en-GB"/>
        </w:rPr>
        <w:t xml:space="preserve">the probability that </w:t>
      </w:r>
      <w:r w:rsidR="005E00D0" w:rsidRPr="00A4412A">
        <w:rPr>
          <w:rFonts w:ascii="Arial" w:hAnsi="Arial" w:cs="Arial"/>
          <w:sz w:val="24"/>
          <w:szCs w:val="24"/>
          <w:lang w:val="en-GB"/>
        </w:rPr>
        <w:t>respondents forget and give more socially acceptable answers</w:t>
      </w:r>
      <w:r w:rsidR="00925DE9" w:rsidRPr="00A4412A">
        <w:rPr>
          <w:rFonts w:ascii="Arial" w:hAnsi="Arial" w:cs="Arial"/>
          <w:sz w:val="24"/>
          <w:szCs w:val="24"/>
          <w:lang w:val="en-GB"/>
        </w:rPr>
        <w:t xml:space="preserve"> increases with time,</w:t>
      </w:r>
      <w:r w:rsidR="003879EE" w:rsidRPr="00A4412A">
        <w:rPr>
          <w:rFonts w:ascii="Arial" w:hAnsi="Arial" w:cs="Arial"/>
          <w:sz w:val="24"/>
          <w:szCs w:val="24"/>
          <w:lang w:val="en-GB"/>
        </w:rPr>
        <w:t xml:space="preserve"> therefore </w:t>
      </w:r>
      <w:r w:rsidR="00925DE9" w:rsidRPr="00A4412A">
        <w:rPr>
          <w:rFonts w:ascii="Arial" w:hAnsi="Arial" w:cs="Arial"/>
          <w:sz w:val="24"/>
          <w:szCs w:val="24"/>
          <w:lang w:val="en-GB"/>
        </w:rPr>
        <w:t>reported electoral participation would increase</w:t>
      </w:r>
      <w:r w:rsidR="005E00D0" w:rsidRPr="00A4412A">
        <w:rPr>
          <w:rFonts w:ascii="Arial" w:hAnsi="Arial" w:cs="Arial"/>
          <w:sz w:val="24"/>
          <w:szCs w:val="24"/>
          <w:lang w:val="en-GB"/>
        </w:rPr>
        <w:t xml:space="preserve">. </w:t>
      </w:r>
      <w:r w:rsidR="00925DE9" w:rsidRPr="00A4412A">
        <w:rPr>
          <w:rFonts w:ascii="Arial" w:hAnsi="Arial" w:cs="Arial"/>
          <w:sz w:val="24"/>
          <w:szCs w:val="24"/>
          <w:lang w:val="en-GB"/>
        </w:rPr>
        <w:t>However, o</w:t>
      </w:r>
      <w:r w:rsidR="005E00D0" w:rsidRPr="00A4412A">
        <w:rPr>
          <w:rFonts w:ascii="Arial" w:hAnsi="Arial" w:cs="Arial"/>
          <w:sz w:val="24"/>
          <w:szCs w:val="24"/>
          <w:lang w:val="en-GB"/>
        </w:rPr>
        <w:t>ur results do not support this, as there is little</w:t>
      </w:r>
      <w:r w:rsidRPr="00A4412A">
        <w:rPr>
          <w:rFonts w:ascii="Arial" w:hAnsi="Arial" w:cs="Arial"/>
          <w:sz w:val="24"/>
          <w:szCs w:val="24"/>
          <w:lang w:val="en-GB"/>
        </w:rPr>
        <w:t xml:space="preserve"> change </w:t>
      </w:r>
      <w:r w:rsidR="003879EE" w:rsidRPr="00A4412A">
        <w:rPr>
          <w:rFonts w:ascii="Arial" w:hAnsi="Arial" w:cs="Arial"/>
          <w:sz w:val="24"/>
          <w:szCs w:val="24"/>
          <w:lang w:val="en-GB"/>
        </w:rPr>
        <w:t xml:space="preserve">in the reported participation rate </w:t>
      </w:r>
      <w:r w:rsidRPr="00A4412A">
        <w:rPr>
          <w:rFonts w:ascii="Arial" w:hAnsi="Arial" w:cs="Arial"/>
          <w:sz w:val="24"/>
          <w:szCs w:val="24"/>
          <w:lang w:val="en-GB"/>
        </w:rPr>
        <w:t>between the surveys.</w:t>
      </w:r>
      <w:r w:rsidR="005E00D0" w:rsidRPr="00A4412A">
        <w:rPr>
          <w:rFonts w:ascii="Arial" w:hAnsi="Arial" w:cs="Arial"/>
          <w:sz w:val="24"/>
          <w:szCs w:val="24"/>
          <w:lang w:val="en-GB"/>
        </w:rPr>
        <w:t xml:space="preserve"> Neither the cross-sectional nor the panel analyses indicate that respondents give more socially desirable answers as time passes.</w:t>
      </w:r>
    </w:p>
    <w:p w14:paraId="5896E0E1" w14:textId="3A4A0929" w:rsidR="00D01E96" w:rsidRPr="00A4412A" w:rsidRDefault="008B1F1D" w:rsidP="00A4412A">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H2 suggested that </w:t>
      </w:r>
      <w:r w:rsidR="003879EE" w:rsidRPr="00A4412A">
        <w:rPr>
          <w:rFonts w:ascii="Arial" w:hAnsi="Arial" w:cs="Arial"/>
          <w:sz w:val="24"/>
          <w:szCs w:val="24"/>
          <w:lang w:val="en-GB"/>
        </w:rPr>
        <w:t xml:space="preserve">with time, </w:t>
      </w:r>
      <w:r w:rsidRPr="00A4412A">
        <w:rPr>
          <w:rFonts w:ascii="Arial" w:hAnsi="Arial" w:cs="Arial"/>
          <w:sz w:val="24"/>
          <w:szCs w:val="24"/>
          <w:lang w:val="en-GB"/>
        </w:rPr>
        <w:t>r</w:t>
      </w:r>
      <w:r w:rsidR="00D01E96" w:rsidRPr="00A4412A">
        <w:rPr>
          <w:rFonts w:ascii="Arial" w:hAnsi="Arial" w:cs="Arial"/>
          <w:sz w:val="24"/>
          <w:szCs w:val="24"/>
          <w:lang w:val="en-GB"/>
        </w:rPr>
        <w:t>espondents forget</w:t>
      </w:r>
      <w:r w:rsidR="003879EE" w:rsidRPr="00A4412A">
        <w:rPr>
          <w:rFonts w:ascii="Arial" w:hAnsi="Arial" w:cs="Arial"/>
          <w:sz w:val="24"/>
          <w:szCs w:val="24"/>
          <w:lang w:val="en-GB"/>
        </w:rPr>
        <w:t>,</w:t>
      </w:r>
      <w:r w:rsidR="00D01E96" w:rsidRPr="00A4412A">
        <w:rPr>
          <w:rFonts w:ascii="Arial" w:hAnsi="Arial" w:cs="Arial"/>
          <w:sz w:val="24"/>
          <w:szCs w:val="24"/>
          <w:lang w:val="en-GB"/>
        </w:rPr>
        <w:t xml:space="preserve"> </w:t>
      </w:r>
      <w:r w:rsidRPr="00A4412A">
        <w:rPr>
          <w:rFonts w:ascii="Arial" w:hAnsi="Arial" w:cs="Arial"/>
          <w:sz w:val="24"/>
          <w:szCs w:val="24"/>
          <w:lang w:val="en-GB"/>
        </w:rPr>
        <w:t>but</w:t>
      </w:r>
      <w:r w:rsidR="00D01E96" w:rsidRPr="00A4412A">
        <w:rPr>
          <w:rFonts w:ascii="Arial" w:hAnsi="Arial" w:cs="Arial"/>
          <w:sz w:val="24"/>
          <w:szCs w:val="24"/>
          <w:lang w:val="en-GB"/>
        </w:rPr>
        <w:t xml:space="preserve"> do not feel strong social desirability pressures</w:t>
      </w:r>
      <w:r w:rsidRPr="00A4412A">
        <w:rPr>
          <w:rFonts w:ascii="Arial" w:hAnsi="Arial" w:cs="Arial"/>
          <w:sz w:val="24"/>
          <w:szCs w:val="24"/>
          <w:lang w:val="en-GB"/>
        </w:rPr>
        <w:t xml:space="preserve">, so that </w:t>
      </w:r>
      <w:r w:rsidR="00D01E96" w:rsidRPr="00A4412A">
        <w:rPr>
          <w:rFonts w:ascii="Arial" w:hAnsi="Arial" w:cs="Arial"/>
          <w:sz w:val="24"/>
          <w:szCs w:val="24"/>
          <w:lang w:val="en-GB"/>
        </w:rPr>
        <w:t xml:space="preserve">the rates of </w:t>
      </w:r>
      <w:r w:rsidR="002F551A" w:rsidRPr="00A4412A">
        <w:rPr>
          <w:rFonts w:ascii="Arial" w:hAnsi="Arial" w:cs="Arial"/>
          <w:sz w:val="24"/>
          <w:szCs w:val="24"/>
          <w:lang w:val="en-GB"/>
        </w:rPr>
        <w:t>“</w:t>
      </w:r>
      <w:r w:rsidR="00D01E96" w:rsidRPr="00A4412A">
        <w:rPr>
          <w:rFonts w:ascii="Arial" w:hAnsi="Arial" w:cs="Arial"/>
          <w:sz w:val="24"/>
          <w:szCs w:val="24"/>
          <w:lang w:val="en-GB"/>
        </w:rPr>
        <w:t>do-not-know</w:t>
      </w:r>
      <w:r w:rsidR="002F551A" w:rsidRPr="00A4412A">
        <w:rPr>
          <w:rFonts w:ascii="Arial" w:hAnsi="Arial" w:cs="Arial"/>
          <w:sz w:val="24"/>
          <w:szCs w:val="24"/>
          <w:lang w:val="en-GB"/>
        </w:rPr>
        <w:t>”</w:t>
      </w:r>
      <w:r w:rsidR="00D01E96" w:rsidRPr="00A4412A">
        <w:rPr>
          <w:rFonts w:ascii="Arial" w:hAnsi="Arial" w:cs="Arial"/>
          <w:sz w:val="24"/>
          <w:szCs w:val="24"/>
          <w:lang w:val="en-GB"/>
        </w:rPr>
        <w:t xml:space="preserve"> answers increase.</w:t>
      </w:r>
      <w:r w:rsidRPr="00A4412A">
        <w:rPr>
          <w:rFonts w:ascii="Arial" w:hAnsi="Arial" w:cs="Arial"/>
          <w:sz w:val="24"/>
          <w:szCs w:val="24"/>
          <w:lang w:val="en-GB"/>
        </w:rPr>
        <w:t xml:space="preserve"> </w:t>
      </w:r>
      <w:r w:rsidR="003879EE" w:rsidRPr="00A4412A">
        <w:rPr>
          <w:rFonts w:ascii="Arial" w:hAnsi="Arial" w:cs="Arial"/>
          <w:sz w:val="24"/>
          <w:szCs w:val="24"/>
          <w:lang w:val="en-GB"/>
        </w:rPr>
        <w:t>As very few respondents change their answer to “don’t know”, there is</w:t>
      </w:r>
      <w:r w:rsidR="00D01E96" w:rsidRPr="00A4412A">
        <w:rPr>
          <w:rFonts w:ascii="Arial" w:hAnsi="Arial" w:cs="Arial"/>
          <w:sz w:val="24"/>
          <w:szCs w:val="24"/>
          <w:lang w:val="en-GB"/>
        </w:rPr>
        <w:t xml:space="preserve"> </w:t>
      </w:r>
      <w:r w:rsidRPr="00A4412A">
        <w:rPr>
          <w:rFonts w:ascii="Arial" w:hAnsi="Arial" w:cs="Arial"/>
          <w:sz w:val="24"/>
          <w:szCs w:val="24"/>
          <w:lang w:val="en-GB"/>
        </w:rPr>
        <w:t>no</w:t>
      </w:r>
      <w:r w:rsidR="00D01E96" w:rsidRPr="00A4412A">
        <w:rPr>
          <w:rFonts w:ascii="Arial" w:hAnsi="Arial" w:cs="Arial"/>
          <w:sz w:val="24"/>
          <w:szCs w:val="24"/>
          <w:lang w:val="en-GB"/>
        </w:rPr>
        <w:t xml:space="preserve"> support for this hypothesis. The relatively high percentage of respondents chang</w:t>
      </w:r>
      <w:r w:rsidR="00C71B52" w:rsidRPr="00A4412A">
        <w:rPr>
          <w:rFonts w:ascii="Arial" w:hAnsi="Arial" w:cs="Arial"/>
          <w:sz w:val="24"/>
          <w:szCs w:val="24"/>
          <w:lang w:val="en-GB"/>
        </w:rPr>
        <w:t xml:space="preserve">ing their answer about party choice, as well as the very </w:t>
      </w:r>
      <w:r w:rsidR="00D01E96" w:rsidRPr="00A4412A">
        <w:rPr>
          <w:rFonts w:ascii="Arial" w:hAnsi="Arial" w:cs="Arial"/>
          <w:sz w:val="24"/>
          <w:szCs w:val="24"/>
          <w:lang w:val="en-GB"/>
        </w:rPr>
        <w:t xml:space="preserve">low percentage who answers “don’t know” to </w:t>
      </w:r>
      <w:r w:rsidR="00C71B52" w:rsidRPr="00A4412A">
        <w:rPr>
          <w:rFonts w:ascii="Arial" w:hAnsi="Arial" w:cs="Arial"/>
          <w:sz w:val="24"/>
          <w:szCs w:val="24"/>
          <w:lang w:val="en-GB"/>
        </w:rPr>
        <w:t>both</w:t>
      </w:r>
      <w:r w:rsidR="00D01E96" w:rsidRPr="00A4412A">
        <w:rPr>
          <w:rFonts w:ascii="Arial" w:hAnsi="Arial" w:cs="Arial"/>
          <w:sz w:val="24"/>
          <w:szCs w:val="24"/>
          <w:lang w:val="en-GB"/>
        </w:rPr>
        <w:t xml:space="preserve"> questions</w:t>
      </w:r>
      <w:r w:rsidR="00C71B52" w:rsidRPr="00A4412A">
        <w:rPr>
          <w:rFonts w:ascii="Arial" w:hAnsi="Arial" w:cs="Arial"/>
          <w:sz w:val="24"/>
          <w:szCs w:val="24"/>
          <w:lang w:val="en-GB"/>
        </w:rPr>
        <w:t>,</w:t>
      </w:r>
      <w:r w:rsidR="00D01E96" w:rsidRPr="00A4412A">
        <w:rPr>
          <w:rFonts w:ascii="Arial" w:hAnsi="Arial" w:cs="Arial"/>
          <w:sz w:val="24"/>
          <w:szCs w:val="24"/>
          <w:lang w:val="en-GB"/>
        </w:rPr>
        <w:t xml:space="preserve"> </w:t>
      </w:r>
      <w:r w:rsidR="00C71B52" w:rsidRPr="00A4412A">
        <w:rPr>
          <w:rFonts w:ascii="Arial" w:hAnsi="Arial" w:cs="Arial"/>
          <w:sz w:val="24"/>
          <w:szCs w:val="24"/>
          <w:lang w:val="en-GB"/>
        </w:rPr>
        <w:t>clearly indicates</w:t>
      </w:r>
      <w:r w:rsidR="00D01E96" w:rsidRPr="00A4412A">
        <w:rPr>
          <w:rFonts w:ascii="Arial" w:hAnsi="Arial" w:cs="Arial"/>
          <w:sz w:val="24"/>
          <w:szCs w:val="24"/>
          <w:lang w:val="en-GB"/>
        </w:rPr>
        <w:t xml:space="preserve"> that </w:t>
      </w:r>
      <w:r w:rsidR="00C71B52" w:rsidRPr="00A4412A">
        <w:rPr>
          <w:rFonts w:ascii="Arial" w:hAnsi="Arial" w:cs="Arial"/>
          <w:sz w:val="24"/>
          <w:szCs w:val="24"/>
          <w:lang w:val="en-GB"/>
        </w:rPr>
        <w:t>respondents</w:t>
      </w:r>
      <w:r w:rsidR="00D01E96" w:rsidRPr="00A4412A">
        <w:rPr>
          <w:rFonts w:ascii="Arial" w:hAnsi="Arial" w:cs="Arial"/>
          <w:sz w:val="24"/>
          <w:szCs w:val="24"/>
          <w:lang w:val="en-GB"/>
        </w:rPr>
        <w:t xml:space="preserve"> try to give an answer even if they are unsure.</w:t>
      </w:r>
    </w:p>
    <w:p w14:paraId="2F3DEF7B" w14:textId="6B426BDA" w:rsidR="00D01E96" w:rsidRPr="00A4412A" w:rsidRDefault="00C71B52" w:rsidP="00A4412A">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According to </w:t>
      </w:r>
      <w:r w:rsidR="00823D94" w:rsidRPr="00A4412A">
        <w:rPr>
          <w:rFonts w:ascii="Arial" w:hAnsi="Arial" w:cs="Arial"/>
          <w:sz w:val="24"/>
          <w:szCs w:val="24"/>
          <w:lang w:val="en-GB"/>
        </w:rPr>
        <w:t>H3</w:t>
      </w:r>
      <w:r w:rsidRPr="00A4412A">
        <w:rPr>
          <w:rFonts w:ascii="Arial" w:hAnsi="Arial" w:cs="Arial"/>
          <w:sz w:val="24"/>
          <w:szCs w:val="24"/>
          <w:lang w:val="en-GB"/>
        </w:rPr>
        <w:t>,</w:t>
      </w:r>
      <w:r w:rsidR="00823D94" w:rsidRPr="00A4412A">
        <w:rPr>
          <w:rFonts w:ascii="Arial" w:hAnsi="Arial" w:cs="Arial"/>
          <w:sz w:val="24"/>
          <w:szCs w:val="24"/>
          <w:lang w:val="en-GB"/>
        </w:rPr>
        <w:t xml:space="preserve"> r</w:t>
      </w:r>
      <w:r w:rsidR="00D01E96" w:rsidRPr="00A4412A">
        <w:rPr>
          <w:rFonts w:ascii="Arial" w:hAnsi="Arial" w:cs="Arial"/>
          <w:sz w:val="24"/>
          <w:szCs w:val="24"/>
          <w:lang w:val="en-GB"/>
        </w:rPr>
        <w:t xml:space="preserve">espondents </w:t>
      </w:r>
      <w:r w:rsidR="00823D94" w:rsidRPr="00A4412A">
        <w:rPr>
          <w:rFonts w:ascii="Arial" w:hAnsi="Arial" w:cs="Arial"/>
          <w:sz w:val="24"/>
          <w:szCs w:val="24"/>
          <w:lang w:val="en-GB"/>
        </w:rPr>
        <w:t xml:space="preserve">would </w:t>
      </w:r>
      <w:r w:rsidR="00D01E96" w:rsidRPr="00A4412A">
        <w:rPr>
          <w:rFonts w:ascii="Arial" w:hAnsi="Arial" w:cs="Arial"/>
          <w:sz w:val="24"/>
          <w:szCs w:val="24"/>
          <w:lang w:val="en-GB"/>
        </w:rPr>
        <w:t>answer more honestly</w:t>
      </w:r>
      <w:r w:rsidRPr="00A4412A">
        <w:rPr>
          <w:rFonts w:ascii="Arial" w:hAnsi="Arial" w:cs="Arial"/>
          <w:sz w:val="24"/>
          <w:szCs w:val="24"/>
          <w:lang w:val="en-GB"/>
        </w:rPr>
        <w:t xml:space="preserve"> in the second survey</w:t>
      </w:r>
      <w:r w:rsidR="00D01E96" w:rsidRPr="00A4412A">
        <w:rPr>
          <w:rFonts w:ascii="Arial" w:hAnsi="Arial" w:cs="Arial"/>
          <w:sz w:val="24"/>
          <w:szCs w:val="24"/>
          <w:lang w:val="en-GB"/>
        </w:rPr>
        <w:t xml:space="preserve"> because they feel less social desirability pressure</w:t>
      </w:r>
      <w:r w:rsidRPr="00A4412A">
        <w:rPr>
          <w:rFonts w:ascii="Arial" w:hAnsi="Arial" w:cs="Arial"/>
          <w:sz w:val="24"/>
          <w:szCs w:val="24"/>
          <w:lang w:val="en-GB"/>
        </w:rPr>
        <w:t xml:space="preserve"> years after the event</w:t>
      </w:r>
      <w:r w:rsidR="00D01E96" w:rsidRPr="00A4412A">
        <w:rPr>
          <w:rFonts w:ascii="Arial" w:hAnsi="Arial" w:cs="Arial"/>
          <w:sz w:val="24"/>
          <w:szCs w:val="24"/>
          <w:lang w:val="en-GB"/>
        </w:rPr>
        <w:t xml:space="preserve">. Thus, the aggregate participation rate </w:t>
      </w:r>
      <w:r w:rsidR="008C75A5" w:rsidRPr="00A4412A">
        <w:rPr>
          <w:rFonts w:ascii="Arial" w:hAnsi="Arial" w:cs="Arial"/>
          <w:sz w:val="24"/>
          <w:szCs w:val="24"/>
          <w:lang w:val="en-GB"/>
        </w:rPr>
        <w:t xml:space="preserve">should be </w:t>
      </w:r>
      <w:r w:rsidR="00D01E96" w:rsidRPr="00A4412A">
        <w:rPr>
          <w:rFonts w:ascii="Arial" w:hAnsi="Arial" w:cs="Arial"/>
          <w:sz w:val="24"/>
          <w:szCs w:val="24"/>
          <w:lang w:val="en-GB"/>
        </w:rPr>
        <w:t xml:space="preserve">closer to the actual </w:t>
      </w:r>
      <w:r w:rsidRPr="00A4412A">
        <w:rPr>
          <w:rFonts w:ascii="Arial" w:hAnsi="Arial" w:cs="Arial"/>
          <w:sz w:val="24"/>
          <w:szCs w:val="24"/>
          <w:lang w:val="en-GB"/>
        </w:rPr>
        <w:t>turnout</w:t>
      </w:r>
      <w:r w:rsidR="00D01E96" w:rsidRPr="00A4412A">
        <w:rPr>
          <w:rFonts w:ascii="Arial" w:hAnsi="Arial" w:cs="Arial"/>
          <w:sz w:val="24"/>
          <w:szCs w:val="24"/>
          <w:lang w:val="en-GB"/>
        </w:rPr>
        <w:t xml:space="preserve"> and at the individual level more respondents </w:t>
      </w:r>
      <w:r w:rsidR="008C75A5" w:rsidRPr="00A4412A">
        <w:rPr>
          <w:rFonts w:ascii="Arial" w:hAnsi="Arial" w:cs="Arial"/>
          <w:sz w:val="24"/>
          <w:szCs w:val="24"/>
          <w:lang w:val="en-GB"/>
        </w:rPr>
        <w:t xml:space="preserve">would </w:t>
      </w:r>
      <w:r w:rsidR="00D01E96" w:rsidRPr="00A4412A">
        <w:rPr>
          <w:rFonts w:ascii="Arial" w:hAnsi="Arial" w:cs="Arial"/>
          <w:sz w:val="24"/>
          <w:szCs w:val="24"/>
          <w:lang w:val="en-GB"/>
        </w:rPr>
        <w:t>change their answer from yes to no than vice versa.</w:t>
      </w:r>
      <w:r w:rsidRPr="00A4412A">
        <w:rPr>
          <w:rFonts w:ascii="Arial" w:hAnsi="Arial" w:cs="Arial"/>
          <w:sz w:val="24"/>
          <w:szCs w:val="24"/>
          <w:lang w:val="en-GB"/>
        </w:rPr>
        <w:t xml:space="preserve"> </w:t>
      </w:r>
      <w:r w:rsidR="004C1E4E" w:rsidRPr="00A4412A">
        <w:rPr>
          <w:rFonts w:ascii="Arial" w:hAnsi="Arial" w:cs="Arial"/>
          <w:sz w:val="24"/>
          <w:szCs w:val="24"/>
          <w:lang w:val="en-GB"/>
        </w:rPr>
        <w:t xml:space="preserve">However, </w:t>
      </w:r>
      <w:r w:rsidRPr="00A4412A">
        <w:rPr>
          <w:rFonts w:ascii="Arial" w:hAnsi="Arial" w:cs="Arial"/>
          <w:sz w:val="24"/>
          <w:szCs w:val="24"/>
          <w:lang w:val="en-GB"/>
        </w:rPr>
        <w:t xml:space="preserve">the aggregate participation rate hardly changes, and </w:t>
      </w:r>
      <w:r w:rsidR="004C1E4E" w:rsidRPr="00A4412A">
        <w:rPr>
          <w:rFonts w:ascii="Arial" w:hAnsi="Arial" w:cs="Arial"/>
          <w:sz w:val="24"/>
          <w:szCs w:val="24"/>
          <w:lang w:val="en-GB"/>
        </w:rPr>
        <w:t>only</w:t>
      </w:r>
      <w:r w:rsidR="00BD47B5" w:rsidRPr="00A4412A">
        <w:rPr>
          <w:rFonts w:ascii="Arial" w:hAnsi="Arial" w:cs="Arial"/>
          <w:sz w:val="24"/>
          <w:szCs w:val="24"/>
          <w:lang w:val="en-GB"/>
        </w:rPr>
        <w:t xml:space="preserve"> a slightly larger</w:t>
      </w:r>
      <w:r w:rsidR="004C1E4E" w:rsidRPr="00A4412A">
        <w:rPr>
          <w:rFonts w:ascii="Arial" w:hAnsi="Arial" w:cs="Arial"/>
          <w:sz w:val="24"/>
          <w:szCs w:val="24"/>
          <w:lang w:val="en-GB"/>
        </w:rPr>
        <w:t xml:space="preserve"> number of respondents change their answer </w:t>
      </w:r>
      <w:r w:rsidR="00BD47B5" w:rsidRPr="00A4412A">
        <w:rPr>
          <w:rFonts w:ascii="Arial" w:hAnsi="Arial" w:cs="Arial"/>
          <w:sz w:val="24"/>
          <w:szCs w:val="24"/>
          <w:lang w:val="en-GB"/>
        </w:rPr>
        <w:t>from yes to no. Thus, there is little evidence that social desirability bias decreases with time.</w:t>
      </w:r>
    </w:p>
    <w:p w14:paraId="3A89E924" w14:textId="76DA10D0" w:rsidR="00D01E96" w:rsidRPr="00A4412A" w:rsidRDefault="00823D94" w:rsidP="00A4412A">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H4 </w:t>
      </w:r>
      <w:r w:rsidR="002F551A" w:rsidRPr="00A4412A">
        <w:rPr>
          <w:rFonts w:ascii="Arial" w:hAnsi="Arial" w:cs="Arial"/>
          <w:sz w:val="24"/>
          <w:szCs w:val="24"/>
          <w:lang w:val="en-GB"/>
        </w:rPr>
        <w:t>stated</w:t>
      </w:r>
      <w:r w:rsidR="00BD47B5" w:rsidRPr="00A4412A">
        <w:rPr>
          <w:rFonts w:ascii="Arial" w:hAnsi="Arial" w:cs="Arial"/>
          <w:sz w:val="24"/>
          <w:szCs w:val="24"/>
          <w:lang w:val="en-GB"/>
        </w:rPr>
        <w:t xml:space="preserve"> that r</w:t>
      </w:r>
      <w:r w:rsidR="00D01E96" w:rsidRPr="00A4412A">
        <w:rPr>
          <w:rFonts w:ascii="Arial" w:hAnsi="Arial" w:cs="Arial"/>
          <w:sz w:val="24"/>
          <w:szCs w:val="24"/>
          <w:lang w:val="en-GB"/>
        </w:rPr>
        <w:t xml:space="preserve">espondents </w:t>
      </w:r>
      <w:r w:rsidR="00BD47B5" w:rsidRPr="00A4412A">
        <w:rPr>
          <w:rFonts w:ascii="Arial" w:hAnsi="Arial" w:cs="Arial"/>
          <w:sz w:val="24"/>
          <w:szCs w:val="24"/>
          <w:lang w:val="en-GB"/>
        </w:rPr>
        <w:t xml:space="preserve">would both </w:t>
      </w:r>
      <w:r w:rsidR="00D01E96" w:rsidRPr="00A4412A">
        <w:rPr>
          <w:rFonts w:ascii="Arial" w:hAnsi="Arial" w:cs="Arial"/>
          <w:sz w:val="24"/>
          <w:szCs w:val="24"/>
          <w:lang w:val="en-GB"/>
        </w:rPr>
        <w:t>remember and answer truthfully at both time points</w:t>
      </w:r>
      <w:r w:rsidR="007151E5" w:rsidRPr="00A4412A">
        <w:rPr>
          <w:rFonts w:ascii="Arial" w:hAnsi="Arial" w:cs="Arial"/>
          <w:sz w:val="24"/>
          <w:szCs w:val="24"/>
          <w:lang w:val="en-GB"/>
        </w:rPr>
        <w:t>, and that over-reporting would only be caused by non-response bias</w:t>
      </w:r>
      <w:r w:rsidR="00D01E96" w:rsidRPr="00A4412A">
        <w:rPr>
          <w:rFonts w:ascii="Arial" w:hAnsi="Arial" w:cs="Arial"/>
          <w:sz w:val="24"/>
          <w:szCs w:val="24"/>
          <w:lang w:val="en-GB"/>
        </w:rPr>
        <w:t xml:space="preserve">. </w:t>
      </w:r>
      <w:r w:rsidR="007151E5" w:rsidRPr="00A4412A">
        <w:rPr>
          <w:rFonts w:ascii="Arial" w:hAnsi="Arial" w:cs="Arial"/>
          <w:sz w:val="24"/>
          <w:szCs w:val="24"/>
          <w:lang w:val="en-GB"/>
        </w:rPr>
        <w:t>Although</w:t>
      </w:r>
      <w:r w:rsidR="00D01E96" w:rsidRPr="00A4412A">
        <w:rPr>
          <w:rFonts w:ascii="Arial" w:hAnsi="Arial" w:cs="Arial"/>
          <w:sz w:val="24"/>
          <w:szCs w:val="24"/>
          <w:lang w:val="en-GB"/>
        </w:rPr>
        <w:t xml:space="preserve"> the small discrepancy in participation rates at the aggregate</w:t>
      </w:r>
      <w:r w:rsidR="00370D72" w:rsidRPr="00A4412A">
        <w:rPr>
          <w:rFonts w:ascii="Arial" w:hAnsi="Arial" w:cs="Arial"/>
          <w:sz w:val="24"/>
          <w:szCs w:val="24"/>
          <w:lang w:val="en-GB"/>
        </w:rPr>
        <w:t xml:space="preserve"> level</w:t>
      </w:r>
      <w:r w:rsidR="007151E5" w:rsidRPr="00A4412A">
        <w:rPr>
          <w:rFonts w:ascii="Arial" w:hAnsi="Arial" w:cs="Arial"/>
          <w:sz w:val="24"/>
          <w:szCs w:val="24"/>
          <w:lang w:val="en-GB"/>
        </w:rPr>
        <w:t xml:space="preserve"> is in line with this, </w:t>
      </w:r>
      <w:r w:rsidR="00370D72" w:rsidRPr="00A4412A">
        <w:rPr>
          <w:rFonts w:ascii="Arial" w:hAnsi="Arial" w:cs="Arial"/>
          <w:sz w:val="24"/>
          <w:szCs w:val="24"/>
          <w:lang w:val="en-GB"/>
        </w:rPr>
        <w:t>the</w:t>
      </w:r>
      <w:r w:rsidR="007151E5" w:rsidRPr="00A4412A">
        <w:rPr>
          <w:rFonts w:ascii="Arial" w:hAnsi="Arial" w:cs="Arial"/>
          <w:sz w:val="24"/>
          <w:szCs w:val="24"/>
          <w:lang w:val="en-GB"/>
        </w:rPr>
        <w:t xml:space="preserve"> observe</w:t>
      </w:r>
      <w:r w:rsidR="00370D72" w:rsidRPr="00A4412A">
        <w:rPr>
          <w:rFonts w:ascii="Arial" w:hAnsi="Arial" w:cs="Arial"/>
          <w:sz w:val="24"/>
          <w:szCs w:val="24"/>
          <w:lang w:val="en-GB"/>
        </w:rPr>
        <w:t>d</w:t>
      </w:r>
      <w:r w:rsidR="007151E5" w:rsidRPr="00A4412A">
        <w:rPr>
          <w:rFonts w:ascii="Arial" w:hAnsi="Arial" w:cs="Arial"/>
          <w:sz w:val="24"/>
          <w:szCs w:val="24"/>
          <w:lang w:val="en-GB"/>
        </w:rPr>
        <w:t xml:space="preserve"> changes in</w:t>
      </w:r>
      <w:r w:rsidR="00D01E96" w:rsidRPr="00A4412A">
        <w:rPr>
          <w:rFonts w:ascii="Arial" w:hAnsi="Arial" w:cs="Arial"/>
          <w:sz w:val="24"/>
          <w:szCs w:val="24"/>
          <w:lang w:val="en-GB"/>
        </w:rPr>
        <w:t xml:space="preserve"> individual</w:t>
      </w:r>
      <w:r w:rsidR="007151E5" w:rsidRPr="00A4412A">
        <w:rPr>
          <w:rFonts w:ascii="Arial" w:hAnsi="Arial" w:cs="Arial"/>
          <w:sz w:val="24"/>
          <w:szCs w:val="24"/>
          <w:lang w:val="en-GB"/>
        </w:rPr>
        <w:t>s’ responses sugges</w:t>
      </w:r>
      <w:r w:rsidR="00370D72" w:rsidRPr="00A4412A">
        <w:rPr>
          <w:rFonts w:ascii="Arial" w:hAnsi="Arial" w:cs="Arial"/>
          <w:sz w:val="24"/>
          <w:szCs w:val="24"/>
          <w:lang w:val="en-GB"/>
        </w:rPr>
        <w:t>t</w:t>
      </w:r>
      <w:r w:rsidR="007151E5" w:rsidRPr="00A4412A">
        <w:rPr>
          <w:rFonts w:ascii="Arial" w:hAnsi="Arial" w:cs="Arial"/>
          <w:sz w:val="24"/>
          <w:szCs w:val="24"/>
          <w:lang w:val="en-GB"/>
        </w:rPr>
        <w:t xml:space="preserve"> that many respondents </w:t>
      </w:r>
      <w:r w:rsidR="00FB4680" w:rsidRPr="00A4412A">
        <w:rPr>
          <w:rFonts w:ascii="Arial" w:hAnsi="Arial" w:cs="Arial"/>
          <w:sz w:val="24"/>
          <w:szCs w:val="24"/>
          <w:lang w:val="en-GB"/>
        </w:rPr>
        <w:t>forget yet</w:t>
      </w:r>
      <w:r w:rsidR="007151E5" w:rsidRPr="00A4412A">
        <w:rPr>
          <w:rFonts w:ascii="Arial" w:hAnsi="Arial" w:cs="Arial"/>
          <w:sz w:val="24"/>
          <w:szCs w:val="24"/>
          <w:lang w:val="en-GB"/>
        </w:rPr>
        <w:t xml:space="preserve"> are </w:t>
      </w:r>
      <w:r w:rsidR="00B65380" w:rsidRPr="00A4412A">
        <w:rPr>
          <w:rFonts w:ascii="Arial" w:hAnsi="Arial" w:cs="Arial"/>
          <w:sz w:val="24"/>
          <w:szCs w:val="24"/>
          <w:lang w:val="en-GB"/>
        </w:rPr>
        <w:t>eager</w:t>
      </w:r>
      <w:r w:rsidR="007151E5" w:rsidRPr="00A4412A">
        <w:rPr>
          <w:rFonts w:ascii="Arial" w:hAnsi="Arial" w:cs="Arial"/>
          <w:sz w:val="24"/>
          <w:szCs w:val="24"/>
          <w:lang w:val="en-GB"/>
        </w:rPr>
        <w:t xml:space="preserve"> to give a response anyway.</w:t>
      </w:r>
      <w:r w:rsidR="00D01E96" w:rsidRPr="00A4412A">
        <w:rPr>
          <w:rFonts w:ascii="Arial" w:hAnsi="Arial" w:cs="Arial"/>
          <w:sz w:val="24"/>
          <w:szCs w:val="24"/>
          <w:lang w:val="en-GB"/>
        </w:rPr>
        <w:t xml:space="preserve"> </w:t>
      </w:r>
      <w:r w:rsidR="007151E5" w:rsidRPr="00A4412A">
        <w:rPr>
          <w:rFonts w:ascii="Arial" w:hAnsi="Arial" w:cs="Arial"/>
          <w:sz w:val="24"/>
          <w:szCs w:val="24"/>
          <w:lang w:val="en-GB"/>
        </w:rPr>
        <w:t xml:space="preserve">Nevertheless, it is difficult from our results to estimate the relative impact of non-response bias and </w:t>
      </w:r>
      <w:r w:rsidR="00B65380" w:rsidRPr="00A4412A">
        <w:rPr>
          <w:rFonts w:ascii="Arial" w:hAnsi="Arial" w:cs="Arial"/>
          <w:sz w:val="24"/>
          <w:szCs w:val="24"/>
          <w:lang w:val="en-GB"/>
        </w:rPr>
        <w:t>recall</w:t>
      </w:r>
      <w:r w:rsidR="00FB4680" w:rsidRPr="00A4412A">
        <w:rPr>
          <w:rFonts w:ascii="Arial" w:hAnsi="Arial" w:cs="Arial"/>
          <w:sz w:val="24"/>
          <w:szCs w:val="24"/>
          <w:lang w:val="en-GB"/>
        </w:rPr>
        <w:t xml:space="preserve"> and social desirability bias. </w:t>
      </w:r>
    </w:p>
    <w:p w14:paraId="57C1CDE3" w14:textId="3F765620" w:rsidR="00D01E96" w:rsidRPr="00A4412A" w:rsidRDefault="00FB4680" w:rsidP="00A4412A">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At the individual level, answers to the question about electoral participation are more consistent than answers to the question about party choice, even though only those who answered consistently (yes) to the first question </w:t>
      </w:r>
      <w:r w:rsidR="002A4CB4" w:rsidRPr="00A4412A">
        <w:rPr>
          <w:rFonts w:ascii="Arial" w:hAnsi="Arial" w:cs="Arial"/>
          <w:sz w:val="24"/>
          <w:szCs w:val="24"/>
          <w:lang w:val="en-GB"/>
        </w:rPr>
        <w:t>were able to answer</w:t>
      </w:r>
      <w:r w:rsidRPr="00A4412A">
        <w:rPr>
          <w:rFonts w:ascii="Arial" w:hAnsi="Arial" w:cs="Arial"/>
          <w:sz w:val="24"/>
          <w:szCs w:val="24"/>
          <w:lang w:val="en-GB"/>
        </w:rPr>
        <w:t xml:space="preserve"> the second question twice. One explanation for this</w:t>
      </w:r>
      <w:r w:rsidR="00AF26DA" w:rsidRPr="00A4412A">
        <w:rPr>
          <w:rFonts w:ascii="Arial" w:hAnsi="Arial" w:cs="Arial"/>
          <w:sz w:val="24"/>
          <w:szCs w:val="24"/>
          <w:lang w:val="en-GB"/>
        </w:rPr>
        <w:t xml:space="preserve"> </w:t>
      </w:r>
      <w:r w:rsidR="00223549" w:rsidRPr="00A4412A">
        <w:rPr>
          <w:rFonts w:ascii="Arial" w:hAnsi="Arial" w:cs="Arial"/>
          <w:sz w:val="24"/>
          <w:szCs w:val="24"/>
          <w:lang w:val="en-GB"/>
        </w:rPr>
        <w:t>could</w:t>
      </w:r>
      <w:r w:rsidR="00AF26DA" w:rsidRPr="00A4412A">
        <w:rPr>
          <w:rFonts w:ascii="Arial" w:hAnsi="Arial" w:cs="Arial"/>
          <w:sz w:val="24"/>
          <w:szCs w:val="24"/>
          <w:lang w:val="en-GB"/>
        </w:rPr>
        <w:t xml:space="preserve"> be that </w:t>
      </w:r>
      <w:r w:rsidR="00D01E96" w:rsidRPr="00A4412A">
        <w:rPr>
          <w:rFonts w:ascii="Arial" w:hAnsi="Arial" w:cs="Arial"/>
          <w:sz w:val="24"/>
          <w:szCs w:val="24"/>
          <w:lang w:val="en-GB"/>
        </w:rPr>
        <w:t>it is eas</w:t>
      </w:r>
      <w:r w:rsidR="00AF26DA" w:rsidRPr="00A4412A">
        <w:rPr>
          <w:rFonts w:ascii="Arial" w:hAnsi="Arial" w:cs="Arial"/>
          <w:sz w:val="24"/>
          <w:szCs w:val="24"/>
          <w:lang w:val="en-GB"/>
        </w:rPr>
        <w:t>ier</w:t>
      </w:r>
      <w:r w:rsidR="00D01E96" w:rsidRPr="00A4412A">
        <w:rPr>
          <w:rFonts w:ascii="Arial" w:hAnsi="Arial" w:cs="Arial"/>
          <w:sz w:val="24"/>
          <w:szCs w:val="24"/>
          <w:lang w:val="en-GB"/>
        </w:rPr>
        <w:t xml:space="preserve"> to remember </w:t>
      </w:r>
      <w:r w:rsidR="00AF26DA" w:rsidRPr="00A4412A">
        <w:rPr>
          <w:rFonts w:ascii="Arial" w:hAnsi="Arial" w:cs="Arial"/>
          <w:sz w:val="24"/>
          <w:szCs w:val="24"/>
          <w:lang w:val="en-GB"/>
        </w:rPr>
        <w:t xml:space="preserve">whether </w:t>
      </w:r>
      <w:r w:rsidR="00D01E96" w:rsidRPr="00A4412A">
        <w:rPr>
          <w:rFonts w:ascii="Arial" w:hAnsi="Arial" w:cs="Arial"/>
          <w:sz w:val="24"/>
          <w:szCs w:val="24"/>
          <w:lang w:val="en-GB"/>
        </w:rPr>
        <w:t xml:space="preserve">you voted </w:t>
      </w:r>
      <w:r w:rsidR="00AF26DA" w:rsidRPr="00A4412A">
        <w:rPr>
          <w:rFonts w:ascii="Arial" w:hAnsi="Arial" w:cs="Arial"/>
          <w:sz w:val="24"/>
          <w:szCs w:val="24"/>
          <w:lang w:val="en-GB"/>
        </w:rPr>
        <w:t xml:space="preserve">than </w:t>
      </w:r>
      <w:r w:rsidR="00D01E96" w:rsidRPr="00A4412A">
        <w:rPr>
          <w:rFonts w:ascii="Arial" w:hAnsi="Arial" w:cs="Arial"/>
          <w:sz w:val="24"/>
          <w:szCs w:val="24"/>
          <w:lang w:val="en-GB"/>
        </w:rPr>
        <w:t>which part</w:t>
      </w:r>
      <w:r w:rsidR="00AF26DA" w:rsidRPr="00A4412A">
        <w:rPr>
          <w:rFonts w:ascii="Arial" w:hAnsi="Arial" w:cs="Arial"/>
          <w:sz w:val="24"/>
          <w:szCs w:val="24"/>
          <w:lang w:val="en-GB"/>
        </w:rPr>
        <w:t>y</w:t>
      </w:r>
      <w:r w:rsidR="00D01E96" w:rsidRPr="00A4412A">
        <w:rPr>
          <w:rFonts w:ascii="Arial" w:hAnsi="Arial" w:cs="Arial"/>
          <w:sz w:val="24"/>
          <w:szCs w:val="24"/>
          <w:lang w:val="en-GB"/>
        </w:rPr>
        <w:t xml:space="preserve"> you voted for. </w:t>
      </w:r>
      <w:r w:rsidR="00AF26DA" w:rsidRPr="00A4412A">
        <w:rPr>
          <w:rFonts w:ascii="Arial" w:hAnsi="Arial" w:cs="Arial"/>
          <w:sz w:val="24"/>
          <w:szCs w:val="24"/>
          <w:lang w:val="en-GB"/>
        </w:rPr>
        <w:t xml:space="preserve">Consequently, </w:t>
      </w:r>
      <w:r w:rsidR="00D01E96" w:rsidRPr="00A4412A">
        <w:rPr>
          <w:rFonts w:ascii="Arial" w:hAnsi="Arial" w:cs="Arial"/>
          <w:sz w:val="24"/>
          <w:szCs w:val="24"/>
          <w:lang w:val="en-GB"/>
        </w:rPr>
        <w:t>over</w:t>
      </w:r>
      <w:r w:rsidR="00AF26DA" w:rsidRPr="00A4412A">
        <w:rPr>
          <w:rFonts w:ascii="Arial" w:hAnsi="Arial" w:cs="Arial"/>
          <w:sz w:val="24"/>
          <w:szCs w:val="24"/>
          <w:lang w:val="en-GB"/>
        </w:rPr>
        <w:t>-</w:t>
      </w:r>
      <w:r w:rsidR="00D01E96" w:rsidRPr="00A4412A">
        <w:rPr>
          <w:rFonts w:ascii="Arial" w:hAnsi="Arial" w:cs="Arial"/>
          <w:sz w:val="24"/>
          <w:szCs w:val="24"/>
          <w:lang w:val="en-GB"/>
        </w:rPr>
        <w:t xml:space="preserve">reporting of electoral participation </w:t>
      </w:r>
      <w:r w:rsidR="00AF26DA" w:rsidRPr="00A4412A">
        <w:rPr>
          <w:rFonts w:ascii="Arial" w:hAnsi="Arial" w:cs="Arial"/>
          <w:sz w:val="24"/>
          <w:szCs w:val="24"/>
          <w:lang w:val="en-GB"/>
        </w:rPr>
        <w:t>could be caused solely by</w:t>
      </w:r>
      <w:r w:rsidR="00D01E96" w:rsidRPr="00A4412A">
        <w:rPr>
          <w:rFonts w:ascii="Arial" w:hAnsi="Arial" w:cs="Arial"/>
          <w:sz w:val="24"/>
          <w:szCs w:val="24"/>
          <w:lang w:val="en-GB"/>
        </w:rPr>
        <w:t xml:space="preserve"> non-response bias, </w:t>
      </w:r>
      <w:r w:rsidR="00A93849" w:rsidRPr="00A4412A">
        <w:rPr>
          <w:rFonts w:ascii="Arial" w:hAnsi="Arial" w:cs="Arial"/>
          <w:sz w:val="24"/>
          <w:szCs w:val="24"/>
          <w:lang w:val="en-GB"/>
        </w:rPr>
        <w:t xml:space="preserve">whereas answers to questions </w:t>
      </w:r>
      <w:r w:rsidR="00D01E96" w:rsidRPr="00A4412A">
        <w:rPr>
          <w:rFonts w:ascii="Arial" w:hAnsi="Arial" w:cs="Arial"/>
          <w:sz w:val="24"/>
          <w:szCs w:val="24"/>
          <w:lang w:val="en-GB"/>
        </w:rPr>
        <w:t xml:space="preserve">that are harder to remember are more influenced by </w:t>
      </w:r>
      <w:r w:rsidR="00223549" w:rsidRPr="00A4412A">
        <w:rPr>
          <w:rFonts w:ascii="Arial" w:hAnsi="Arial" w:cs="Arial"/>
          <w:sz w:val="24"/>
          <w:szCs w:val="24"/>
          <w:lang w:val="en-GB"/>
        </w:rPr>
        <w:t>respondents’ misreporting</w:t>
      </w:r>
      <w:r w:rsidR="00D01E96" w:rsidRPr="00A4412A">
        <w:rPr>
          <w:rFonts w:ascii="Arial" w:hAnsi="Arial" w:cs="Arial"/>
          <w:sz w:val="24"/>
          <w:szCs w:val="24"/>
          <w:lang w:val="en-GB"/>
        </w:rPr>
        <w:t xml:space="preserve">. </w:t>
      </w:r>
      <w:r w:rsidR="00A93849" w:rsidRPr="00A4412A">
        <w:rPr>
          <w:rFonts w:ascii="Arial" w:hAnsi="Arial" w:cs="Arial"/>
          <w:sz w:val="24"/>
          <w:szCs w:val="24"/>
          <w:lang w:val="en-GB"/>
        </w:rPr>
        <w:t xml:space="preserve">Non-response bias </w:t>
      </w:r>
      <w:r w:rsidR="00FB6206" w:rsidRPr="00A4412A">
        <w:rPr>
          <w:rFonts w:ascii="Arial" w:hAnsi="Arial" w:cs="Arial"/>
          <w:sz w:val="24"/>
          <w:szCs w:val="24"/>
          <w:lang w:val="en-GB"/>
        </w:rPr>
        <w:t>could</w:t>
      </w:r>
      <w:r w:rsidR="00D01E96" w:rsidRPr="00A4412A">
        <w:rPr>
          <w:rFonts w:ascii="Arial" w:hAnsi="Arial" w:cs="Arial"/>
          <w:sz w:val="24"/>
          <w:szCs w:val="24"/>
          <w:lang w:val="en-GB"/>
        </w:rPr>
        <w:t xml:space="preserve"> also explain the </w:t>
      </w:r>
      <w:r w:rsidR="00A93849" w:rsidRPr="00A4412A">
        <w:rPr>
          <w:rFonts w:ascii="Arial" w:hAnsi="Arial" w:cs="Arial"/>
          <w:sz w:val="24"/>
          <w:szCs w:val="24"/>
          <w:lang w:val="en-GB"/>
        </w:rPr>
        <w:t xml:space="preserve">particularly </w:t>
      </w:r>
      <w:r w:rsidR="00D01E96" w:rsidRPr="00A4412A">
        <w:rPr>
          <w:rFonts w:ascii="Arial" w:hAnsi="Arial" w:cs="Arial"/>
          <w:sz w:val="24"/>
          <w:szCs w:val="24"/>
          <w:lang w:val="en-GB"/>
        </w:rPr>
        <w:t xml:space="preserve">high voting rates </w:t>
      </w:r>
      <w:r w:rsidR="00A93849" w:rsidRPr="00A4412A">
        <w:rPr>
          <w:rFonts w:ascii="Arial" w:hAnsi="Arial" w:cs="Arial"/>
          <w:sz w:val="24"/>
          <w:szCs w:val="24"/>
          <w:lang w:val="en-GB"/>
        </w:rPr>
        <w:t xml:space="preserve">reported by </w:t>
      </w:r>
      <w:r w:rsidR="00D01E96" w:rsidRPr="00A4412A">
        <w:rPr>
          <w:rFonts w:ascii="Arial" w:hAnsi="Arial" w:cs="Arial"/>
          <w:sz w:val="24"/>
          <w:szCs w:val="24"/>
          <w:lang w:val="en-GB"/>
        </w:rPr>
        <w:t xml:space="preserve">respondents </w:t>
      </w:r>
      <w:r w:rsidR="00A93849" w:rsidRPr="00A4412A">
        <w:rPr>
          <w:rFonts w:ascii="Arial" w:hAnsi="Arial" w:cs="Arial"/>
          <w:sz w:val="24"/>
          <w:szCs w:val="24"/>
          <w:lang w:val="en-GB"/>
        </w:rPr>
        <w:t xml:space="preserve">with a low level of </w:t>
      </w:r>
      <w:r w:rsidR="00D01E96" w:rsidRPr="00A4412A">
        <w:rPr>
          <w:rFonts w:ascii="Arial" w:hAnsi="Arial" w:cs="Arial"/>
          <w:sz w:val="24"/>
          <w:szCs w:val="24"/>
          <w:lang w:val="en-GB"/>
        </w:rPr>
        <w:t>educat</w:t>
      </w:r>
      <w:r w:rsidR="00A93849" w:rsidRPr="00A4412A">
        <w:rPr>
          <w:rFonts w:ascii="Arial" w:hAnsi="Arial" w:cs="Arial"/>
          <w:sz w:val="24"/>
          <w:szCs w:val="24"/>
          <w:lang w:val="en-GB"/>
        </w:rPr>
        <w:t xml:space="preserve">ion, as this </w:t>
      </w:r>
      <w:r w:rsidR="00D01E96" w:rsidRPr="00A4412A">
        <w:rPr>
          <w:rFonts w:ascii="Arial" w:hAnsi="Arial" w:cs="Arial"/>
          <w:sz w:val="24"/>
          <w:szCs w:val="24"/>
          <w:lang w:val="en-GB"/>
        </w:rPr>
        <w:t xml:space="preserve">group </w:t>
      </w:r>
      <w:r w:rsidR="00A93849" w:rsidRPr="00A4412A">
        <w:rPr>
          <w:rFonts w:ascii="Arial" w:hAnsi="Arial" w:cs="Arial"/>
          <w:sz w:val="24"/>
          <w:szCs w:val="24"/>
          <w:lang w:val="en-GB"/>
        </w:rPr>
        <w:t xml:space="preserve">may </w:t>
      </w:r>
      <w:r w:rsidR="00D01E96" w:rsidRPr="00A4412A">
        <w:rPr>
          <w:rFonts w:ascii="Arial" w:hAnsi="Arial" w:cs="Arial"/>
          <w:sz w:val="24"/>
          <w:szCs w:val="24"/>
          <w:lang w:val="en-GB"/>
        </w:rPr>
        <w:t>be represented by its</w:t>
      </w:r>
      <w:r w:rsidR="00A93849" w:rsidRPr="00A4412A">
        <w:rPr>
          <w:rFonts w:ascii="Arial" w:hAnsi="Arial" w:cs="Arial"/>
          <w:sz w:val="24"/>
          <w:szCs w:val="24"/>
          <w:lang w:val="en-GB"/>
        </w:rPr>
        <w:t>’</w:t>
      </w:r>
      <w:r w:rsidR="00D01E96" w:rsidRPr="00A4412A">
        <w:rPr>
          <w:rFonts w:ascii="Arial" w:hAnsi="Arial" w:cs="Arial"/>
          <w:sz w:val="24"/>
          <w:szCs w:val="24"/>
          <w:lang w:val="en-GB"/>
        </w:rPr>
        <w:t xml:space="preserve"> most civic minded members. </w:t>
      </w:r>
    </w:p>
    <w:p w14:paraId="064D2F4C" w14:textId="606E74E8" w:rsidR="00A32A3E" w:rsidRPr="00705E03" w:rsidRDefault="00052FDB" w:rsidP="00A32A3E">
      <w:pPr>
        <w:spacing w:before="120" w:after="0" w:line="360" w:lineRule="auto"/>
        <w:jc w:val="both"/>
        <w:rPr>
          <w:rFonts w:ascii="Arial" w:hAnsi="Arial" w:cs="Arial"/>
          <w:sz w:val="24"/>
          <w:szCs w:val="24"/>
          <w:lang w:val="en-GB"/>
        </w:rPr>
      </w:pPr>
      <w:r w:rsidRPr="00A4412A">
        <w:rPr>
          <w:rFonts w:ascii="Arial" w:hAnsi="Arial" w:cs="Arial"/>
          <w:sz w:val="24"/>
          <w:szCs w:val="24"/>
          <w:lang w:val="en-GB"/>
        </w:rPr>
        <w:t xml:space="preserve">Although we find no evidence that social desirability bias is more prevalent </w:t>
      </w:r>
      <w:r w:rsidR="00A250FC" w:rsidRPr="00A4412A">
        <w:rPr>
          <w:rFonts w:ascii="Arial" w:hAnsi="Arial" w:cs="Arial"/>
          <w:sz w:val="24"/>
          <w:szCs w:val="24"/>
          <w:lang w:val="en-GB"/>
        </w:rPr>
        <w:t>years after the election than shortly after</w:t>
      </w:r>
      <w:r w:rsidRPr="00A4412A">
        <w:rPr>
          <w:rFonts w:ascii="Arial" w:hAnsi="Arial" w:cs="Arial"/>
          <w:sz w:val="24"/>
          <w:szCs w:val="24"/>
          <w:lang w:val="en-GB"/>
        </w:rPr>
        <w:t xml:space="preserve"> the </w:t>
      </w:r>
      <w:r w:rsidR="00A250FC" w:rsidRPr="00A4412A">
        <w:rPr>
          <w:rFonts w:ascii="Arial" w:hAnsi="Arial" w:cs="Arial"/>
          <w:sz w:val="24"/>
          <w:szCs w:val="24"/>
          <w:lang w:val="en-GB"/>
        </w:rPr>
        <w:t>event</w:t>
      </w:r>
      <w:r w:rsidRPr="00A4412A">
        <w:rPr>
          <w:rFonts w:ascii="Arial" w:hAnsi="Arial" w:cs="Arial"/>
          <w:sz w:val="24"/>
          <w:szCs w:val="24"/>
          <w:lang w:val="en-GB"/>
        </w:rPr>
        <w:t>, it is still possible that respondents give equally biased responses at both time-points.</w:t>
      </w:r>
      <w:r w:rsidR="00A250FC" w:rsidRPr="00A4412A">
        <w:rPr>
          <w:rFonts w:ascii="Arial" w:hAnsi="Arial" w:cs="Arial"/>
          <w:sz w:val="24"/>
          <w:szCs w:val="24"/>
          <w:lang w:val="en-GB"/>
        </w:rPr>
        <w:t xml:space="preserve"> The relatively large</w:t>
      </w:r>
      <w:r w:rsidR="008B1F1D" w:rsidRPr="00A4412A">
        <w:rPr>
          <w:rFonts w:ascii="Arial" w:hAnsi="Arial" w:cs="Arial"/>
          <w:sz w:val="24"/>
          <w:szCs w:val="24"/>
          <w:lang w:val="en-GB"/>
        </w:rPr>
        <w:t xml:space="preserve"> change in </w:t>
      </w:r>
      <w:r w:rsidR="00A250FC" w:rsidRPr="00A4412A">
        <w:rPr>
          <w:rFonts w:ascii="Arial" w:hAnsi="Arial" w:cs="Arial"/>
          <w:sz w:val="24"/>
          <w:szCs w:val="24"/>
          <w:lang w:val="en-GB"/>
        </w:rPr>
        <w:t xml:space="preserve">responses about </w:t>
      </w:r>
      <w:r w:rsidR="008B1F1D" w:rsidRPr="00A4412A">
        <w:rPr>
          <w:rFonts w:ascii="Arial" w:hAnsi="Arial" w:cs="Arial"/>
          <w:sz w:val="24"/>
          <w:szCs w:val="24"/>
          <w:lang w:val="en-GB"/>
        </w:rPr>
        <w:t>reported party choice</w:t>
      </w:r>
      <w:r w:rsidR="00A250FC" w:rsidRPr="00A4412A">
        <w:rPr>
          <w:rFonts w:ascii="Arial" w:hAnsi="Arial" w:cs="Arial"/>
          <w:sz w:val="24"/>
          <w:szCs w:val="24"/>
          <w:lang w:val="en-GB"/>
        </w:rPr>
        <w:t>, combined with the low percentage “do-not-know”-answers both years,</w:t>
      </w:r>
      <w:r w:rsidR="00631FC4" w:rsidRPr="00A4412A">
        <w:rPr>
          <w:rFonts w:ascii="Arial" w:hAnsi="Arial" w:cs="Arial"/>
          <w:sz w:val="24"/>
          <w:szCs w:val="24"/>
          <w:lang w:val="en-GB"/>
        </w:rPr>
        <w:t xml:space="preserve"> indicate </w:t>
      </w:r>
      <w:r w:rsidR="008B1F1D" w:rsidRPr="00A4412A">
        <w:rPr>
          <w:rFonts w:ascii="Arial" w:hAnsi="Arial" w:cs="Arial"/>
          <w:sz w:val="24"/>
          <w:szCs w:val="24"/>
          <w:lang w:val="en-GB"/>
        </w:rPr>
        <w:t>that respondents</w:t>
      </w:r>
      <w:r w:rsidR="005D7ACF" w:rsidRPr="00A4412A">
        <w:rPr>
          <w:rFonts w:ascii="Arial" w:hAnsi="Arial" w:cs="Arial"/>
          <w:sz w:val="24"/>
          <w:szCs w:val="24"/>
          <w:lang w:val="en-GB"/>
        </w:rPr>
        <w:t xml:space="preserve"> do forget and still</w:t>
      </w:r>
      <w:r w:rsidR="008B1F1D" w:rsidRPr="00A4412A">
        <w:rPr>
          <w:rFonts w:ascii="Arial" w:hAnsi="Arial" w:cs="Arial"/>
          <w:sz w:val="24"/>
          <w:szCs w:val="24"/>
          <w:lang w:val="en-GB"/>
        </w:rPr>
        <w:t xml:space="preserve"> try to give an answer. </w:t>
      </w:r>
      <w:r w:rsidR="00631FC4" w:rsidRPr="00A4412A">
        <w:rPr>
          <w:rFonts w:ascii="Arial" w:hAnsi="Arial" w:cs="Arial"/>
          <w:sz w:val="24"/>
          <w:szCs w:val="24"/>
          <w:lang w:val="en-GB"/>
        </w:rPr>
        <w:t>Thus, i</w:t>
      </w:r>
      <w:r w:rsidR="008B1F1D" w:rsidRPr="00A4412A">
        <w:rPr>
          <w:rFonts w:ascii="Arial" w:hAnsi="Arial" w:cs="Arial"/>
          <w:sz w:val="24"/>
          <w:szCs w:val="24"/>
          <w:lang w:val="en-GB"/>
        </w:rPr>
        <w:t xml:space="preserve">t </w:t>
      </w:r>
      <w:r w:rsidR="005D7ACF" w:rsidRPr="00A4412A">
        <w:rPr>
          <w:rFonts w:ascii="Arial" w:hAnsi="Arial" w:cs="Arial"/>
          <w:sz w:val="24"/>
          <w:szCs w:val="24"/>
          <w:lang w:val="en-GB"/>
        </w:rPr>
        <w:t>may be</w:t>
      </w:r>
      <w:r w:rsidR="008B1F1D" w:rsidRPr="00A4412A">
        <w:rPr>
          <w:rFonts w:ascii="Arial" w:hAnsi="Arial" w:cs="Arial"/>
          <w:sz w:val="24"/>
          <w:szCs w:val="24"/>
          <w:lang w:val="en-GB"/>
        </w:rPr>
        <w:t xml:space="preserve"> that respondents that are unsure whether they voted give the socially desirable response, and </w:t>
      </w:r>
      <w:r w:rsidR="00631FC4" w:rsidRPr="00A4412A">
        <w:rPr>
          <w:rFonts w:ascii="Arial" w:hAnsi="Arial" w:cs="Arial"/>
          <w:sz w:val="24"/>
          <w:szCs w:val="24"/>
          <w:lang w:val="en-GB"/>
        </w:rPr>
        <w:t xml:space="preserve">that </w:t>
      </w:r>
      <w:r w:rsidR="008B1F1D" w:rsidRPr="00A4412A">
        <w:rPr>
          <w:rFonts w:ascii="Arial" w:hAnsi="Arial" w:cs="Arial"/>
          <w:sz w:val="24"/>
          <w:szCs w:val="24"/>
          <w:lang w:val="en-GB"/>
        </w:rPr>
        <w:t>this contributes to the high reported voting rates.</w:t>
      </w:r>
    </w:p>
    <w:p w14:paraId="74662801" w14:textId="0BAE2DAD" w:rsidR="0062780F" w:rsidRDefault="00D01E96" w:rsidP="0062780F">
      <w:pPr>
        <w:spacing w:before="360" w:after="0" w:line="360" w:lineRule="auto"/>
        <w:jc w:val="both"/>
        <w:rPr>
          <w:rFonts w:ascii="Arial" w:hAnsi="Arial" w:cs="Arial"/>
          <w:b/>
          <w:sz w:val="24"/>
          <w:szCs w:val="24"/>
          <w:lang w:val="en-GB"/>
        </w:rPr>
      </w:pPr>
      <w:r>
        <w:rPr>
          <w:rFonts w:ascii="Arial" w:hAnsi="Arial" w:cs="Arial"/>
          <w:b/>
          <w:sz w:val="24"/>
          <w:szCs w:val="24"/>
          <w:lang w:val="en-GB"/>
        </w:rPr>
        <w:t>8</w:t>
      </w:r>
      <w:r w:rsidR="00F30C27" w:rsidRPr="00EC5F5A">
        <w:rPr>
          <w:rFonts w:ascii="Arial" w:hAnsi="Arial" w:cs="Arial"/>
          <w:b/>
          <w:sz w:val="24"/>
          <w:szCs w:val="24"/>
          <w:lang w:val="en-GB"/>
        </w:rPr>
        <w:t>. References</w:t>
      </w:r>
    </w:p>
    <w:p w14:paraId="211B9801" w14:textId="77777777" w:rsidR="003A4C04"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Abelson, R., Loftus, E., and Greenwald, A. (1992), Attempts to improve the accuracy of self-reports of voting, Questions about questions, p.p. 138-153.</w:t>
      </w:r>
    </w:p>
    <w:p w14:paraId="611A4F52" w14:textId="77777777" w:rsidR="003A4C04" w:rsidRDefault="003A4C04" w:rsidP="0062780F">
      <w:pPr>
        <w:pStyle w:val="NormalWeb"/>
        <w:spacing w:before="0" w:beforeAutospacing="0" w:after="0" w:afterAutospacing="0"/>
        <w:rPr>
          <w:rFonts w:ascii="Arial" w:hAnsi="Arial" w:cs="Arial"/>
          <w:lang w:val="en-US"/>
        </w:rPr>
      </w:pPr>
    </w:p>
    <w:p w14:paraId="180D249E" w14:textId="459E3314"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Belli, R., Traugott, M., &amp; Beckmann, M. (2001), What leads to voting overreports? Contrasts of overreporters to validated voters and admitted nonvoters in the American National Election Studies, Journal of Official Statistics, 17, 479-498.</w:t>
      </w:r>
    </w:p>
    <w:p w14:paraId="4B428129" w14:textId="77777777" w:rsidR="0062780F" w:rsidRDefault="0062780F" w:rsidP="0062780F">
      <w:pPr>
        <w:pStyle w:val="NormalWeb"/>
        <w:spacing w:before="120" w:beforeAutospacing="0" w:after="0" w:afterAutospacing="0"/>
        <w:rPr>
          <w:rFonts w:ascii="Arial" w:hAnsi="Arial" w:cs="Arial"/>
          <w:lang w:val="en-GB"/>
        </w:rPr>
      </w:pPr>
      <w:r>
        <w:rPr>
          <w:rFonts w:ascii="Arial" w:hAnsi="Arial" w:cs="Arial"/>
          <w:lang w:val="en-GB"/>
        </w:rPr>
        <w:t xml:space="preserve">Biemer P. and Lyberg L. (2003), Introduction to Survey Quality, J.Wiley, N.Y. </w:t>
      </w:r>
    </w:p>
    <w:p w14:paraId="5161F1D6" w14:textId="77777777" w:rsidR="0062780F" w:rsidRPr="0062780F" w:rsidRDefault="0062780F" w:rsidP="0062780F">
      <w:pPr>
        <w:pStyle w:val="NormalWeb"/>
        <w:spacing w:before="0" w:beforeAutospacing="0" w:after="0" w:afterAutospacing="0"/>
        <w:rPr>
          <w:rFonts w:ascii="Arial" w:hAnsi="Arial" w:cs="Arial"/>
          <w:sz w:val="20"/>
          <w:szCs w:val="20"/>
          <w:lang w:val="en-US"/>
        </w:rPr>
      </w:pPr>
      <w:r w:rsidRPr="0062780F">
        <w:rPr>
          <w:rFonts w:ascii="Arial" w:hAnsi="Arial" w:cs="Arial"/>
          <w:sz w:val="20"/>
          <w:szCs w:val="20"/>
          <w:lang w:val="en-US"/>
        </w:rPr>
        <w:t> </w:t>
      </w:r>
    </w:p>
    <w:p w14:paraId="2B4BE53B" w14:textId="4D6D3C07" w:rsidR="0062780F" w:rsidRDefault="0062780F" w:rsidP="0062780F">
      <w:pPr>
        <w:pStyle w:val="NormalWeb"/>
        <w:spacing w:before="0" w:beforeAutospacing="0" w:after="0" w:afterAutospacing="0"/>
        <w:rPr>
          <w:rFonts w:ascii="Arial" w:hAnsi="Arial" w:cs="Arial"/>
          <w:lang w:val="en-GB"/>
        </w:rPr>
      </w:pPr>
      <w:r>
        <w:rPr>
          <w:rFonts w:ascii="Arial" w:hAnsi="Arial" w:cs="Arial"/>
          <w:lang w:val="en-GB"/>
        </w:rPr>
        <w:t xml:space="preserve">Blais, A., Gidengil, E., and Nevitte, N. (2004), Where does turnout decline come from?, European journal of political research, 43, pp. 221-236. </w:t>
      </w:r>
    </w:p>
    <w:p w14:paraId="19A5D217" w14:textId="77777777" w:rsidR="0062780F" w:rsidRDefault="0062780F" w:rsidP="0062780F">
      <w:pPr>
        <w:pStyle w:val="NormalWeb"/>
        <w:spacing w:before="0" w:beforeAutospacing="0" w:after="0" w:afterAutospacing="0"/>
        <w:rPr>
          <w:rFonts w:ascii="Arial" w:hAnsi="Arial" w:cs="Arial"/>
          <w:lang w:val="en-GB"/>
        </w:rPr>
      </w:pPr>
      <w:r>
        <w:rPr>
          <w:rFonts w:ascii="Arial" w:hAnsi="Arial" w:cs="Arial"/>
          <w:lang w:val="en-GB"/>
        </w:rPr>
        <w:t> </w:t>
      </w:r>
    </w:p>
    <w:p w14:paraId="0979850A" w14:textId="77777777" w:rsidR="0062780F" w:rsidRDefault="0062780F" w:rsidP="0062780F">
      <w:pPr>
        <w:pStyle w:val="NormalWeb"/>
        <w:spacing w:before="0" w:beforeAutospacing="0" w:after="0" w:afterAutospacing="0"/>
        <w:rPr>
          <w:rFonts w:ascii="Arial" w:hAnsi="Arial" w:cs="Arial"/>
          <w:lang w:val="en-GB"/>
        </w:rPr>
      </w:pPr>
      <w:r>
        <w:rPr>
          <w:rFonts w:ascii="Arial" w:hAnsi="Arial" w:cs="Arial"/>
          <w:lang w:val="en-GB"/>
        </w:rPr>
        <w:t>Holbrook, A. and Krosnick, J. (2010), Social desirability bias in voter turnout reports: Tests using the item count technique, Public Opinion Quarterly, 74, pp. 37-67.</w:t>
      </w:r>
    </w:p>
    <w:p w14:paraId="15F18B74" w14:textId="77777777" w:rsidR="0062780F" w:rsidRDefault="0062780F" w:rsidP="0062780F">
      <w:pPr>
        <w:pStyle w:val="NormalWeb"/>
        <w:spacing w:before="0" w:beforeAutospacing="0" w:after="0" w:afterAutospacing="0"/>
        <w:rPr>
          <w:rFonts w:ascii="Arial" w:hAnsi="Arial" w:cs="Arial"/>
          <w:lang w:val="en-GB"/>
        </w:rPr>
      </w:pPr>
      <w:r>
        <w:rPr>
          <w:rFonts w:ascii="Arial" w:hAnsi="Arial" w:cs="Arial"/>
          <w:lang w:val="en-GB"/>
        </w:rPr>
        <w:t> </w:t>
      </w:r>
    </w:p>
    <w:p w14:paraId="6E7FAB2B" w14:textId="77777777" w:rsidR="0062780F" w:rsidRDefault="0062780F" w:rsidP="0062780F">
      <w:pPr>
        <w:pStyle w:val="NormalWeb"/>
        <w:spacing w:before="0" w:beforeAutospacing="0" w:after="0" w:afterAutospacing="0"/>
        <w:rPr>
          <w:rFonts w:ascii="Arial" w:hAnsi="Arial" w:cs="Arial"/>
          <w:lang w:val="en-GB"/>
        </w:rPr>
      </w:pPr>
      <w:r>
        <w:rPr>
          <w:rFonts w:ascii="Arial" w:hAnsi="Arial" w:cs="Arial"/>
          <w:lang w:val="en-GB"/>
        </w:rPr>
        <w:t>Kjellson, G., Clarke. P., and Gerdtham U. (2014), Forgetting to remember or remembering to forget: A study of the recall period length in health care survey questions, Journal of Health Economics, 35, pp. 34-46.</w:t>
      </w:r>
    </w:p>
    <w:p w14:paraId="32D67C25" w14:textId="77777777" w:rsidR="0062780F" w:rsidRPr="0062780F" w:rsidRDefault="0062780F" w:rsidP="0062780F">
      <w:pPr>
        <w:pStyle w:val="NormalWeb"/>
        <w:spacing w:before="0" w:beforeAutospacing="0" w:after="0" w:afterAutospacing="0"/>
        <w:rPr>
          <w:rFonts w:ascii="Calibri" w:hAnsi="Calibri" w:cs="Calibri"/>
          <w:sz w:val="22"/>
          <w:szCs w:val="22"/>
          <w:lang w:val="en-US"/>
        </w:rPr>
      </w:pPr>
      <w:r w:rsidRPr="0062780F">
        <w:rPr>
          <w:rFonts w:ascii="Calibri" w:hAnsi="Calibri" w:cs="Calibri"/>
          <w:sz w:val="22"/>
          <w:szCs w:val="22"/>
          <w:lang w:val="en-US"/>
        </w:rPr>
        <w:t> </w:t>
      </w:r>
    </w:p>
    <w:p w14:paraId="69656417" w14:textId="77777777"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Krumpal, I. (2013), Determinants of social desirability bias in sensitive surveys: a literature review, Quality &amp; Quantity, 47, pp. 2025-2047.</w:t>
      </w:r>
    </w:p>
    <w:p w14:paraId="71BDBF96" w14:textId="77777777"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 </w:t>
      </w:r>
    </w:p>
    <w:p w14:paraId="176BD9A7" w14:textId="77777777"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Selb, P., and Munzert, S. (2013), Voter overrepresentation, vote misreporting, and turnout bias in postelection surveys, Electoral Studies, 32, pp. 186-196.</w:t>
      </w:r>
    </w:p>
    <w:p w14:paraId="1F898E66" w14:textId="77777777"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 </w:t>
      </w:r>
    </w:p>
    <w:p w14:paraId="7B289167" w14:textId="77777777" w:rsidR="0062780F" w:rsidRPr="0062780F" w:rsidRDefault="0062780F" w:rsidP="0062780F">
      <w:pPr>
        <w:pStyle w:val="NormalWeb"/>
        <w:spacing w:before="0" w:beforeAutospacing="0" w:after="0" w:afterAutospacing="0"/>
        <w:rPr>
          <w:rFonts w:ascii="Arial" w:hAnsi="Arial" w:cs="Arial"/>
          <w:lang w:val="en-US"/>
        </w:rPr>
      </w:pPr>
      <w:r w:rsidRPr="0062780F">
        <w:rPr>
          <w:rFonts w:ascii="Arial" w:hAnsi="Arial" w:cs="Arial"/>
          <w:lang w:val="en-US"/>
        </w:rPr>
        <w:t>Tarrant, M., Manfredo, M., Bayley, P., and Hess, R. (1993), Effects of recall bias and nonresponse bias on self-report estimates of angling participation, North American Journal of Fisheries Management, 13, p.p. 217-222.</w:t>
      </w:r>
    </w:p>
    <w:p w14:paraId="5E5F1F04" w14:textId="77777777" w:rsidR="0062780F" w:rsidRDefault="0062780F" w:rsidP="0062780F">
      <w:pPr>
        <w:pStyle w:val="NormalWeb"/>
        <w:spacing w:before="0" w:beforeAutospacing="0" w:after="0" w:afterAutospacing="0"/>
        <w:rPr>
          <w:rFonts w:ascii="Arial" w:hAnsi="Arial" w:cs="Arial"/>
          <w:lang w:val="en-US"/>
        </w:rPr>
      </w:pPr>
      <w:r>
        <w:rPr>
          <w:rFonts w:ascii="Arial" w:hAnsi="Arial" w:cs="Arial"/>
          <w:lang w:val="en-US"/>
        </w:rPr>
        <w:t> </w:t>
      </w:r>
    </w:p>
    <w:p w14:paraId="283022E6" w14:textId="2CE3DBC8" w:rsidR="004740F1" w:rsidRPr="00EC5F5A" w:rsidRDefault="0062780F" w:rsidP="00230C0A">
      <w:pPr>
        <w:pStyle w:val="NormalWeb"/>
        <w:spacing w:before="0" w:beforeAutospacing="0" w:after="0" w:afterAutospacing="0"/>
        <w:rPr>
          <w:rFonts w:ascii="Arial" w:hAnsi="Arial" w:cs="Arial"/>
          <w:lang w:val="en-GB"/>
        </w:rPr>
      </w:pPr>
      <w:r w:rsidRPr="0062780F">
        <w:rPr>
          <w:rFonts w:ascii="Arial" w:hAnsi="Arial" w:cs="Arial"/>
          <w:lang w:val="en-US"/>
        </w:rPr>
        <w:t xml:space="preserve">Tourangeau, R., Rips, L., and Rasinski, K. (2000). The psychology of survey response. </w:t>
      </w:r>
      <w:r>
        <w:rPr>
          <w:rFonts w:ascii="Arial" w:hAnsi="Arial" w:cs="Arial"/>
        </w:rPr>
        <w:t>Cambridge University Press.</w:t>
      </w:r>
    </w:p>
    <w:sectPr w:rsidR="004740F1" w:rsidRPr="00EC5F5A"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B483" w14:textId="77777777" w:rsidR="003879EE" w:rsidRDefault="003879EE" w:rsidP="00E82B25">
      <w:pPr>
        <w:spacing w:after="0" w:line="240" w:lineRule="auto"/>
      </w:pPr>
      <w:r>
        <w:separator/>
      </w:r>
    </w:p>
  </w:endnote>
  <w:endnote w:type="continuationSeparator" w:id="0">
    <w:p w14:paraId="1EE26791" w14:textId="77777777" w:rsidR="003879EE" w:rsidRDefault="003879E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3D0C6930" w14:textId="77777777" w:rsidR="003879EE" w:rsidRPr="009378F5" w:rsidRDefault="003879EE"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A55776">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728BF" w14:textId="77777777" w:rsidR="003879EE" w:rsidRDefault="003879EE" w:rsidP="00E82B25">
      <w:pPr>
        <w:spacing w:after="0" w:line="240" w:lineRule="auto"/>
      </w:pPr>
      <w:r>
        <w:separator/>
      </w:r>
    </w:p>
  </w:footnote>
  <w:footnote w:type="continuationSeparator" w:id="0">
    <w:p w14:paraId="3F51DC95" w14:textId="77777777" w:rsidR="003879EE" w:rsidRDefault="003879EE" w:rsidP="00E82B25">
      <w:pPr>
        <w:spacing w:after="0" w:line="240" w:lineRule="auto"/>
      </w:pPr>
      <w:r>
        <w:continuationSeparator/>
      </w:r>
    </w:p>
  </w:footnote>
  <w:footnote w:id="1">
    <w:p w14:paraId="4B336107" w14:textId="3CD18F8D" w:rsidR="003879EE" w:rsidRPr="00A618D7" w:rsidRDefault="003879EE">
      <w:pPr>
        <w:pStyle w:val="Fotnotetekst"/>
      </w:pPr>
      <w:r>
        <w:rPr>
          <w:rStyle w:val="Fotnotereferanse"/>
        </w:rPr>
        <w:footnoteRef/>
      </w:r>
      <w:r>
        <w:t xml:space="preserve"> Sex, age-group, family size and education level are used in the calculation of the weights.</w:t>
      </w:r>
    </w:p>
  </w:footnote>
  <w:footnote w:id="2">
    <w:p w14:paraId="3647E003" w14:textId="5274988E" w:rsidR="003879EE" w:rsidRPr="00705E03" w:rsidRDefault="003879EE">
      <w:pPr>
        <w:pStyle w:val="Fotnotetekst"/>
        <w:rPr>
          <w:lang w:val="en-GB"/>
        </w:rPr>
      </w:pPr>
      <w:r>
        <w:rPr>
          <w:rStyle w:val="Fotnotereferanse"/>
        </w:rPr>
        <w:footnoteRef/>
      </w:r>
      <w:r>
        <w:t xml:space="preserve"> </w:t>
      </w:r>
      <w:r w:rsidRPr="00705E03">
        <w:rPr>
          <w:lang w:val="en-GB"/>
        </w:rPr>
        <w:t>Do not know a</w:t>
      </w:r>
      <w:r>
        <w:rPr>
          <w:lang w:val="en-GB"/>
        </w:rPr>
        <w:t>nd do not want to answer are excluded.</w:t>
      </w:r>
    </w:p>
  </w:footnote>
  <w:footnote w:id="3">
    <w:p w14:paraId="485AED66" w14:textId="23CEA872" w:rsidR="003879EE" w:rsidRPr="00093853" w:rsidRDefault="003879EE">
      <w:pPr>
        <w:pStyle w:val="Fotnotetekst"/>
        <w:rPr>
          <w:lang w:val="en-US"/>
        </w:rPr>
      </w:pPr>
      <w:r>
        <w:rPr>
          <w:rStyle w:val="Fotnotereferanse"/>
        </w:rPr>
        <w:footnoteRef/>
      </w:r>
      <w:r>
        <w:t xml:space="preserve"> In both survey years the s</w:t>
      </w:r>
      <w:r>
        <w:rPr>
          <w:lang w:val="en-US"/>
        </w:rPr>
        <w:t>elf-reported electoral participation was slightly higher</w:t>
      </w:r>
      <w:r w:rsidRPr="00093853">
        <w:rPr>
          <w:lang w:val="en-US"/>
        </w:rPr>
        <w:t xml:space="preserve"> </w:t>
      </w:r>
      <w:r>
        <w:rPr>
          <w:lang w:val="en-US"/>
        </w:rPr>
        <w:t>among the panel-respondents than for the cross-sectional samples. This means that over-reporting is even higher for the panel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8B50" w14:textId="77777777" w:rsidR="003879EE" w:rsidRDefault="00230C0A">
    <w:pPr>
      <w:pStyle w:val="Topptekst"/>
    </w:pPr>
    <w:r>
      <w:rPr>
        <w:noProof/>
        <w:lang w:eastAsia="pl-PL"/>
      </w:rPr>
      <w:pict w14:anchorId="5AF00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1FDB" w14:textId="77777777" w:rsidR="003879EE" w:rsidRDefault="00230C0A">
    <w:pPr>
      <w:pStyle w:val="Topptekst"/>
    </w:pPr>
    <w:r>
      <w:rPr>
        <w:noProof/>
        <w:lang w:eastAsia="pl-PL"/>
      </w:rPr>
      <w:pict w14:anchorId="46296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C132" w14:textId="77777777" w:rsidR="003879EE" w:rsidRDefault="00230C0A">
    <w:pPr>
      <w:pStyle w:val="Topptekst"/>
    </w:pPr>
    <w:r>
      <w:rPr>
        <w:noProof/>
        <w:lang w:eastAsia="pl-PL"/>
      </w:rPr>
      <w:pict w14:anchorId="3DED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74366"/>
    <w:multiLevelType w:val="hybridMultilevel"/>
    <w:tmpl w:val="2F8A2E6A"/>
    <w:lvl w:ilvl="0" w:tplc="9E908AEE">
      <w:start w:val="5"/>
      <w:numFmt w:val="bullet"/>
      <w:lvlText w:val="&gt;"/>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4716BB"/>
    <w:multiLevelType w:val="hybridMultilevel"/>
    <w:tmpl w:val="9CE21550"/>
    <w:lvl w:ilvl="0" w:tplc="D4E4A6C0">
      <w:start w:val="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CC43CA"/>
    <w:multiLevelType w:val="hybridMultilevel"/>
    <w:tmpl w:val="2FAC450E"/>
    <w:lvl w:ilvl="0" w:tplc="DDCA3A20">
      <w:start w:val="2"/>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775C30"/>
    <w:multiLevelType w:val="hybridMultilevel"/>
    <w:tmpl w:val="ECAE70B0"/>
    <w:lvl w:ilvl="0" w:tplc="9F70174A">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85E6F75"/>
    <w:multiLevelType w:val="hybridMultilevel"/>
    <w:tmpl w:val="646E43CC"/>
    <w:lvl w:ilvl="0" w:tplc="AD6A5DBC">
      <w:start w:val="5"/>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C"/>
    <w:rsid w:val="00000BCA"/>
    <w:rsid w:val="00012E9B"/>
    <w:rsid w:val="000160F4"/>
    <w:rsid w:val="00026CD3"/>
    <w:rsid w:val="00047858"/>
    <w:rsid w:val="00047C24"/>
    <w:rsid w:val="0005095E"/>
    <w:rsid w:val="00052FDB"/>
    <w:rsid w:val="000651C1"/>
    <w:rsid w:val="00070925"/>
    <w:rsid w:val="00074981"/>
    <w:rsid w:val="0007704A"/>
    <w:rsid w:val="00093853"/>
    <w:rsid w:val="000957CC"/>
    <w:rsid w:val="000A0848"/>
    <w:rsid w:val="000B538A"/>
    <w:rsid w:val="000C6472"/>
    <w:rsid w:val="000C7005"/>
    <w:rsid w:val="000D2593"/>
    <w:rsid w:val="000D278E"/>
    <w:rsid w:val="000D3240"/>
    <w:rsid w:val="000D705A"/>
    <w:rsid w:val="000F337F"/>
    <w:rsid w:val="00104E6C"/>
    <w:rsid w:val="001108AE"/>
    <w:rsid w:val="001144AF"/>
    <w:rsid w:val="00116A2D"/>
    <w:rsid w:val="00123095"/>
    <w:rsid w:val="00133E07"/>
    <w:rsid w:val="00142A8D"/>
    <w:rsid w:val="001459A9"/>
    <w:rsid w:val="0015057A"/>
    <w:rsid w:val="00157DAD"/>
    <w:rsid w:val="00160406"/>
    <w:rsid w:val="001633C3"/>
    <w:rsid w:val="0016743D"/>
    <w:rsid w:val="00173955"/>
    <w:rsid w:val="001755BD"/>
    <w:rsid w:val="00182357"/>
    <w:rsid w:val="001B45D7"/>
    <w:rsid w:val="001C6B17"/>
    <w:rsid w:val="001D090A"/>
    <w:rsid w:val="001D3832"/>
    <w:rsid w:val="001E43DC"/>
    <w:rsid w:val="001E7CA0"/>
    <w:rsid w:val="001F1294"/>
    <w:rsid w:val="002074D7"/>
    <w:rsid w:val="00213FE9"/>
    <w:rsid w:val="00221F17"/>
    <w:rsid w:val="00223549"/>
    <w:rsid w:val="00230C0A"/>
    <w:rsid w:val="00234927"/>
    <w:rsid w:val="0023623C"/>
    <w:rsid w:val="00242296"/>
    <w:rsid w:val="0024229A"/>
    <w:rsid w:val="00242620"/>
    <w:rsid w:val="0024350A"/>
    <w:rsid w:val="002436B7"/>
    <w:rsid w:val="00253C6B"/>
    <w:rsid w:val="002568FA"/>
    <w:rsid w:val="00276E7D"/>
    <w:rsid w:val="0028150C"/>
    <w:rsid w:val="00282B53"/>
    <w:rsid w:val="00282DF1"/>
    <w:rsid w:val="002848C0"/>
    <w:rsid w:val="0028524A"/>
    <w:rsid w:val="00293580"/>
    <w:rsid w:val="0029424D"/>
    <w:rsid w:val="0029530D"/>
    <w:rsid w:val="002A4CB4"/>
    <w:rsid w:val="002B6D33"/>
    <w:rsid w:val="002D3160"/>
    <w:rsid w:val="002E0056"/>
    <w:rsid w:val="002F551A"/>
    <w:rsid w:val="0030589D"/>
    <w:rsid w:val="00307AF7"/>
    <w:rsid w:val="00327C2F"/>
    <w:rsid w:val="00336E21"/>
    <w:rsid w:val="00343092"/>
    <w:rsid w:val="00346DFC"/>
    <w:rsid w:val="0035694D"/>
    <w:rsid w:val="00362815"/>
    <w:rsid w:val="00370D72"/>
    <w:rsid w:val="003879EE"/>
    <w:rsid w:val="00391BF4"/>
    <w:rsid w:val="003958E9"/>
    <w:rsid w:val="003A1D16"/>
    <w:rsid w:val="003A4C04"/>
    <w:rsid w:val="003A5B76"/>
    <w:rsid w:val="003B5FA4"/>
    <w:rsid w:val="003E6448"/>
    <w:rsid w:val="00400C28"/>
    <w:rsid w:val="00402638"/>
    <w:rsid w:val="004150F5"/>
    <w:rsid w:val="0042209E"/>
    <w:rsid w:val="00437EE7"/>
    <w:rsid w:val="004416D9"/>
    <w:rsid w:val="00443788"/>
    <w:rsid w:val="00450687"/>
    <w:rsid w:val="00462814"/>
    <w:rsid w:val="00466C77"/>
    <w:rsid w:val="00472406"/>
    <w:rsid w:val="004740F1"/>
    <w:rsid w:val="00487649"/>
    <w:rsid w:val="00487864"/>
    <w:rsid w:val="00491999"/>
    <w:rsid w:val="00493026"/>
    <w:rsid w:val="004A12A7"/>
    <w:rsid w:val="004A1A99"/>
    <w:rsid w:val="004A3FA0"/>
    <w:rsid w:val="004A518E"/>
    <w:rsid w:val="004B3245"/>
    <w:rsid w:val="004B39C1"/>
    <w:rsid w:val="004B6729"/>
    <w:rsid w:val="004C09F4"/>
    <w:rsid w:val="004C1E4E"/>
    <w:rsid w:val="004C5048"/>
    <w:rsid w:val="004D45DC"/>
    <w:rsid w:val="004E3A40"/>
    <w:rsid w:val="004F04B4"/>
    <w:rsid w:val="004F0AD5"/>
    <w:rsid w:val="00504128"/>
    <w:rsid w:val="005215E8"/>
    <w:rsid w:val="00523B33"/>
    <w:rsid w:val="00527CB4"/>
    <w:rsid w:val="00530FD6"/>
    <w:rsid w:val="00543D59"/>
    <w:rsid w:val="005464BC"/>
    <w:rsid w:val="00567E1D"/>
    <w:rsid w:val="0057481B"/>
    <w:rsid w:val="00576A1E"/>
    <w:rsid w:val="005812C5"/>
    <w:rsid w:val="005814C6"/>
    <w:rsid w:val="005853EF"/>
    <w:rsid w:val="00590E3B"/>
    <w:rsid w:val="005920AF"/>
    <w:rsid w:val="00597462"/>
    <w:rsid w:val="005A1D06"/>
    <w:rsid w:val="005A1F57"/>
    <w:rsid w:val="005B0FE6"/>
    <w:rsid w:val="005B2BA3"/>
    <w:rsid w:val="005B2DC0"/>
    <w:rsid w:val="005B3EA7"/>
    <w:rsid w:val="005B6971"/>
    <w:rsid w:val="005C26E6"/>
    <w:rsid w:val="005D7ACF"/>
    <w:rsid w:val="005D7B08"/>
    <w:rsid w:val="005E00D0"/>
    <w:rsid w:val="005E2264"/>
    <w:rsid w:val="006052BF"/>
    <w:rsid w:val="00624DCE"/>
    <w:rsid w:val="0062780F"/>
    <w:rsid w:val="00631FC4"/>
    <w:rsid w:val="00652CBE"/>
    <w:rsid w:val="00653D6C"/>
    <w:rsid w:val="00666540"/>
    <w:rsid w:val="00667788"/>
    <w:rsid w:val="00671E81"/>
    <w:rsid w:val="00673285"/>
    <w:rsid w:val="006734ED"/>
    <w:rsid w:val="00684379"/>
    <w:rsid w:val="00687399"/>
    <w:rsid w:val="0069009D"/>
    <w:rsid w:val="00697934"/>
    <w:rsid w:val="006A2DD9"/>
    <w:rsid w:val="006B0B64"/>
    <w:rsid w:val="006B5A4A"/>
    <w:rsid w:val="006B70CE"/>
    <w:rsid w:val="006C3C62"/>
    <w:rsid w:val="006C5879"/>
    <w:rsid w:val="006D1EEB"/>
    <w:rsid w:val="006E7D4B"/>
    <w:rsid w:val="007004CD"/>
    <w:rsid w:val="00705E03"/>
    <w:rsid w:val="0071289C"/>
    <w:rsid w:val="007151E5"/>
    <w:rsid w:val="007312CF"/>
    <w:rsid w:val="00740EFC"/>
    <w:rsid w:val="0074524E"/>
    <w:rsid w:val="00766DC3"/>
    <w:rsid w:val="007730C4"/>
    <w:rsid w:val="00776653"/>
    <w:rsid w:val="00776C97"/>
    <w:rsid w:val="007868C8"/>
    <w:rsid w:val="00793038"/>
    <w:rsid w:val="007A15D9"/>
    <w:rsid w:val="007A6EAE"/>
    <w:rsid w:val="007A77CD"/>
    <w:rsid w:val="007B78BA"/>
    <w:rsid w:val="007D3430"/>
    <w:rsid w:val="007D6E6A"/>
    <w:rsid w:val="007E13F7"/>
    <w:rsid w:val="007E6D8C"/>
    <w:rsid w:val="007F0591"/>
    <w:rsid w:val="007F4EEC"/>
    <w:rsid w:val="00806413"/>
    <w:rsid w:val="00817A1F"/>
    <w:rsid w:val="008211D6"/>
    <w:rsid w:val="0082373C"/>
    <w:rsid w:val="00823D94"/>
    <w:rsid w:val="0084063A"/>
    <w:rsid w:val="00842D0C"/>
    <w:rsid w:val="00851354"/>
    <w:rsid w:val="00854A12"/>
    <w:rsid w:val="008638AC"/>
    <w:rsid w:val="00867886"/>
    <w:rsid w:val="00867B2C"/>
    <w:rsid w:val="00867E0A"/>
    <w:rsid w:val="00873330"/>
    <w:rsid w:val="00877B31"/>
    <w:rsid w:val="00883326"/>
    <w:rsid w:val="008870D4"/>
    <w:rsid w:val="008A71D2"/>
    <w:rsid w:val="008B0935"/>
    <w:rsid w:val="008B16A1"/>
    <w:rsid w:val="008B1F1D"/>
    <w:rsid w:val="008C635C"/>
    <w:rsid w:val="008C75A5"/>
    <w:rsid w:val="008D56E1"/>
    <w:rsid w:val="008D6094"/>
    <w:rsid w:val="008E21DD"/>
    <w:rsid w:val="008E3D3D"/>
    <w:rsid w:val="00902A7F"/>
    <w:rsid w:val="009037A5"/>
    <w:rsid w:val="009064E4"/>
    <w:rsid w:val="00907833"/>
    <w:rsid w:val="00912AD5"/>
    <w:rsid w:val="00913A73"/>
    <w:rsid w:val="009236F1"/>
    <w:rsid w:val="00925DE9"/>
    <w:rsid w:val="009304AD"/>
    <w:rsid w:val="00932CCA"/>
    <w:rsid w:val="0093548F"/>
    <w:rsid w:val="009378F5"/>
    <w:rsid w:val="00941DF2"/>
    <w:rsid w:val="00964BF8"/>
    <w:rsid w:val="00973B8D"/>
    <w:rsid w:val="00985CFC"/>
    <w:rsid w:val="00986EE0"/>
    <w:rsid w:val="0099141B"/>
    <w:rsid w:val="00992BE6"/>
    <w:rsid w:val="009B2DBC"/>
    <w:rsid w:val="009B2E38"/>
    <w:rsid w:val="009B4D84"/>
    <w:rsid w:val="009C651C"/>
    <w:rsid w:val="009D3335"/>
    <w:rsid w:val="009E01BA"/>
    <w:rsid w:val="00A1567E"/>
    <w:rsid w:val="00A17333"/>
    <w:rsid w:val="00A23816"/>
    <w:rsid w:val="00A250FC"/>
    <w:rsid w:val="00A309A4"/>
    <w:rsid w:val="00A32A3E"/>
    <w:rsid w:val="00A43004"/>
    <w:rsid w:val="00A4412A"/>
    <w:rsid w:val="00A454B6"/>
    <w:rsid w:val="00A531F2"/>
    <w:rsid w:val="00A55776"/>
    <w:rsid w:val="00A6013E"/>
    <w:rsid w:val="00A616C1"/>
    <w:rsid w:val="00A618D7"/>
    <w:rsid w:val="00A7076A"/>
    <w:rsid w:val="00A93849"/>
    <w:rsid w:val="00A9685B"/>
    <w:rsid w:val="00AA54CB"/>
    <w:rsid w:val="00AA673A"/>
    <w:rsid w:val="00AB734B"/>
    <w:rsid w:val="00AC7981"/>
    <w:rsid w:val="00AD1423"/>
    <w:rsid w:val="00AD4AEE"/>
    <w:rsid w:val="00AD54DD"/>
    <w:rsid w:val="00AE544D"/>
    <w:rsid w:val="00AF26DA"/>
    <w:rsid w:val="00AF3A97"/>
    <w:rsid w:val="00B026A2"/>
    <w:rsid w:val="00B1020D"/>
    <w:rsid w:val="00B14826"/>
    <w:rsid w:val="00B15163"/>
    <w:rsid w:val="00B20091"/>
    <w:rsid w:val="00B273E7"/>
    <w:rsid w:val="00B36BFD"/>
    <w:rsid w:val="00B47197"/>
    <w:rsid w:val="00B65380"/>
    <w:rsid w:val="00B72169"/>
    <w:rsid w:val="00B74218"/>
    <w:rsid w:val="00B75A1D"/>
    <w:rsid w:val="00B77A7F"/>
    <w:rsid w:val="00B80742"/>
    <w:rsid w:val="00B830D9"/>
    <w:rsid w:val="00B86FC7"/>
    <w:rsid w:val="00B912C3"/>
    <w:rsid w:val="00B917C8"/>
    <w:rsid w:val="00BA1BC0"/>
    <w:rsid w:val="00BB19AC"/>
    <w:rsid w:val="00BB5DFE"/>
    <w:rsid w:val="00BC26CE"/>
    <w:rsid w:val="00BC569B"/>
    <w:rsid w:val="00BD3B0B"/>
    <w:rsid w:val="00BD47B5"/>
    <w:rsid w:val="00BF6DBC"/>
    <w:rsid w:val="00C16E8E"/>
    <w:rsid w:val="00C261EA"/>
    <w:rsid w:val="00C32332"/>
    <w:rsid w:val="00C40213"/>
    <w:rsid w:val="00C444A7"/>
    <w:rsid w:val="00C472B8"/>
    <w:rsid w:val="00C50149"/>
    <w:rsid w:val="00C55909"/>
    <w:rsid w:val="00C64CD9"/>
    <w:rsid w:val="00C70A50"/>
    <w:rsid w:val="00C71B52"/>
    <w:rsid w:val="00C726EA"/>
    <w:rsid w:val="00C74A1D"/>
    <w:rsid w:val="00C75A8B"/>
    <w:rsid w:val="00C80000"/>
    <w:rsid w:val="00C80C16"/>
    <w:rsid w:val="00C828A9"/>
    <w:rsid w:val="00C84A70"/>
    <w:rsid w:val="00CA2AAA"/>
    <w:rsid w:val="00CA33FB"/>
    <w:rsid w:val="00CA51A2"/>
    <w:rsid w:val="00CA64FA"/>
    <w:rsid w:val="00CB2B44"/>
    <w:rsid w:val="00CB4074"/>
    <w:rsid w:val="00CC1C1D"/>
    <w:rsid w:val="00CC4960"/>
    <w:rsid w:val="00CC5D96"/>
    <w:rsid w:val="00CC7117"/>
    <w:rsid w:val="00CF08CE"/>
    <w:rsid w:val="00CF33AD"/>
    <w:rsid w:val="00CF4DF4"/>
    <w:rsid w:val="00CF656A"/>
    <w:rsid w:val="00D01E96"/>
    <w:rsid w:val="00D0258C"/>
    <w:rsid w:val="00D0270E"/>
    <w:rsid w:val="00D147CA"/>
    <w:rsid w:val="00D20550"/>
    <w:rsid w:val="00D2573D"/>
    <w:rsid w:val="00D257BD"/>
    <w:rsid w:val="00D3638C"/>
    <w:rsid w:val="00D370E3"/>
    <w:rsid w:val="00D441A6"/>
    <w:rsid w:val="00D45A86"/>
    <w:rsid w:val="00D477D2"/>
    <w:rsid w:val="00D51CCF"/>
    <w:rsid w:val="00D52194"/>
    <w:rsid w:val="00D57657"/>
    <w:rsid w:val="00D631AF"/>
    <w:rsid w:val="00D65C24"/>
    <w:rsid w:val="00D8259B"/>
    <w:rsid w:val="00D83A99"/>
    <w:rsid w:val="00D85EBE"/>
    <w:rsid w:val="00D8712E"/>
    <w:rsid w:val="00D90DD0"/>
    <w:rsid w:val="00DA010B"/>
    <w:rsid w:val="00DA74F6"/>
    <w:rsid w:val="00DD4526"/>
    <w:rsid w:val="00DD4977"/>
    <w:rsid w:val="00DE01B4"/>
    <w:rsid w:val="00DF27A8"/>
    <w:rsid w:val="00DF6E67"/>
    <w:rsid w:val="00E122A0"/>
    <w:rsid w:val="00E14636"/>
    <w:rsid w:val="00E176BE"/>
    <w:rsid w:val="00E2006C"/>
    <w:rsid w:val="00E21673"/>
    <w:rsid w:val="00E2354C"/>
    <w:rsid w:val="00E261EB"/>
    <w:rsid w:val="00E34701"/>
    <w:rsid w:val="00E44E03"/>
    <w:rsid w:val="00E47C30"/>
    <w:rsid w:val="00E53CAE"/>
    <w:rsid w:val="00E57BF3"/>
    <w:rsid w:val="00E62F2C"/>
    <w:rsid w:val="00E66BF9"/>
    <w:rsid w:val="00E7228E"/>
    <w:rsid w:val="00E77A91"/>
    <w:rsid w:val="00E800F7"/>
    <w:rsid w:val="00E82B25"/>
    <w:rsid w:val="00E87154"/>
    <w:rsid w:val="00E92831"/>
    <w:rsid w:val="00E9313B"/>
    <w:rsid w:val="00E96F21"/>
    <w:rsid w:val="00EA232E"/>
    <w:rsid w:val="00EB7A63"/>
    <w:rsid w:val="00EB7CA2"/>
    <w:rsid w:val="00EB7ED7"/>
    <w:rsid w:val="00EC13B4"/>
    <w:rsid w:val="00EC5F5A"/>
    <w:rsid w:val="00EE1583"/>
    <w:rsid w:val="00EE4A70"/>
    <w:rsid w:val="00F01E5A"/>
    <w:rsid w:val="00F14FBA"/>
    <w:rsid w:val="00F30C27"/>
    <w:rsid w:val="00F30D81"/>
    <w:rsid w:val="00F45DDD"/>
    <w:rsid w:val="00F47C86"/>
    <w:rsid w:val="00F51570"/>
    <w:rsid w:val="00F52EED"/>
    <w:rsid w:val="00F53309"/>
    <w:rsid w:val="00F566D6"/>
    <w:rsid w:val="00F56AB5"/>
    <w:rsid w:val="00F63A4D"/>
    <w:rsid w:val="00F6736A"/>
    <w:rsid w:val="00F72370"/>
    <w:rsid w:val="00F73203"/>
    <w:rsid w:val="00F74EA2"/>
    <w:rsid w:val="00F77BD2"/>
    <w:rsid w:val="00F80B11"/>
    <w:rsid w:val="00F84FDE"/>
    <w:rsid w:val="00F90E14"/>
    <w:rsid w:val="00F935BC"/>
    <w:rsid w:val="00FB4680"/>
    <w:rsid w:val="00FB6206"/>
    <w:rsid w:val="00FB7D07"/>
    <w:rsid w:val="00FC6244"/>
    <w:rsid w:val="00FD3F56"/>
    <w:rsid w:val="00FE20E0"/>
    <w:rsid w:val="00FE2504"/>
    <w:rsid w:val="00FE369C"/>
    <w:rsid w:val="00FE4963"/>
    <w:rsid w:val="00FE7C7D"/>
    <w:rsid w:val="00FF3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95CF63B"/>
  <w15:docId w15:val="{028E9C77-A3B9-4BD6-9E00-83D57231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D2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eavsnitt">
    <w:name w:val="List Paragraph"/>
    <w:basedOn w:val="Normal"/>
    <w:uiPriority w:val="34"/>
    <w:qFormat/>
    <w:rsid w:val="00A32A3E"/>
    <w:pPr>
      <w:ind w:left="720"/>
      <w:contextualSpacing/>
    </w:pPr>
  </w:style>
  <w:style w:type="character" w:customStyle="1" w:styleId="Overskrift2Tegn">
    <w:name w:val="Overskrift 2 Tegn"/>
    <w:basedOn w:val="Standardskriftforavsnitt"/>
    <w:link w:val="Overskrift2"/>
    <w:uiPriority w:val="9"/>
    <w:rsid w:val="000D278E"/>
    <w:rPr>
      <w:rFonts w:asciiTheme="majorHAnsi" w:eastAsiaTheme="majorEastAsia" w:hAnsiTheme="majorHAnsi" w:cstheme="majorBidi"/>
      <w:color w:val="2E74B5" w:themeColor="accent1" w:themeShade="BF"/>
      <w:sz w:val="26"/>
      <w:szCs w:val="26"/>
    </w:rPr>
  </w:style>
  <w:style w:type="paragraph" w:styleId="Revisjon">
    <w:name w:val="Revision"/>
    <w:hidden/>
    <w:uiPriority w:val="99"/>
    <w:semiHidden/>
    <w:rsid w:val="007B78BA"/>
    <w:pPr>
      <w:spacing w:after="0" w:line="240" w:lineRule="auto"/>
    </w:pPr>
  </w:style>
  <w:style w:type="character" w:customStyle="1" w:styleId="Ulstomtale1">
    <w:name w:val="Uløst omtale1"/>
    <w:basedOn w:val="Standardskriftforavsnitt"/>
    <w:uiPriority w:val="99"/>
    <w:semiHidden/>
    <w:unhideWhenUsed/>
    <w:rsid w:val="000C7005"/>
    <w:rPr>
      <w:color w:val="808080"/>
      <w:shd w:val="clear" w:color="auto" w:fill="E6E6E6"/>
    </w:rPr>
  </w:style>
  <w:style w:type="character" w:styleId="Fulgthyperkobling">
    <w:name w:val="FollowedHyperlink"/>
    <w:basedOn w:val="Standardskriftforavsnitt"/>
    <w:uiPriority w:val="99"/>
    <w:semiHidden/>
    <w:unhideWhenUsed/>
    <w:rsid w:val="0024229A"/>
    <w:rPr>
      <w:color w:val="954F72" w:themeColor="followedHyperlink"/>
      <w:u w:val="single"/>
    </w:rPr>
  </w:style>
  <w:style w:type="paragraph" w:styleId="NormalWeb">
    <w:name w:val="Normal (Web)"/>
    <w:basedOn w:val="Normal"/>
    <w:uiPriority w:val="99"/>
    <w:unhideWhenUsed/>
    <w:rsid w:val="0062780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636">
      <w:bodyDiv w:val="1"/>
      <w:marLeft w:val="0"/>
      <w:marRight w:val="0"/>
      <w:marTop w:val="0"/>
      <w:marBottom w:val="0"/>
      <w:divBdr>
        <w:top w:val="none" w:sz="0" w:space="0" w:color="auto"/>
        <w:left w:val="none" w:sz="0" w:space="0" w:color="auto"/>
        <w:bottom w:val="none" w:sz="0" w:space="0" w:color="auto"/>
        <w:right w:val="none" w:sz="0" w:space="0" w:color="auto"/>
      </w:divBdr>
      <w:divsChild>
        <w:div w:id="1126505564">
          <w:marLeft w:val="0"/>
          <w:marRight w:val="0"/>
          <w:marTop w:val="0"/>
          <w:marBottom w:val="0"/>
          <w:divBdr>
            <w:top w:val="none" w:sz="0" w:space="0" w:color="auto"/>
            <w:left w:val="none" w:sz="0" w:space="0" w:color="auto"/>
            <w:bottom w:val="none" w:sz="0" w:space="0" w:color="auto"/>
            <w:right w:val="none" w:sz="0" w:space="0" w:color="auto"/>
          </w:divBdr>
        </w:div>
      </w:divsChild>
    </w:div>
    <w:div w:id="177162552">
      <w:bodyDiv w:val="1"/>
      <w:marLeft w:val="0"/>
      <w:marRight w:val="0"/>
      <w:marTop w:val="0"/>
      <w:marBottom w:val="0"/>
      <w:divBdr>
        <w:top w:val="none" w:sz="0" w:space="0" w:color="auto"/>
        <w:left w:val="none" w:sz="0" w:space="0" w:color="auto"/>
        <w:bottom w:val="none" w:sz="0" w:space="0" w:color="auto"/>
        <w:right w:val="none" w:sz="0" w:space="0" w:color="auto"/>
      </w:divBdr>
    </w:div>
    <w:div w:id="54703582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48724281">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36419517">
      <w:bodyDiv w:val="1"/>
      <w:marLeft w:val="0"/>
      <w:marRight w:val="0"/>
      <w:marTop w:val="0"/>
      <w:marBottom w:val="0"/>
      <w:divBdr>
        <w:top w:val="none" w:sz="0" w:space="0" w:color="auto"/>
        <w:left w:val="none" w:sz="0" w:space="0" w:color="auto"/>
        <w:bottom w:val="none" w:sz="0" w:space="0" w:color="auto"/>
        <w:right w:val="none" w:sz="0" w:space="0" w:color="auto"/>
      </w:divBdr>
    </w:div>
    <w:div w:id="1399521871">
      <w:bodyDiv w:val="1"/>
      <w:marLeft w:val="0"/>
      <w:marRight w:val="0"/>
      <w:marTop w:val="0"/>
      <w:marBottom w:val="0"/>
      <w:divBdr>
        <w:top w:val="none" w:sz="0" w:space="0" w:color="auto"/>
        <w:left w:val="none" w:sz="0" w:space="0" w:color="auto"/>
        <w:bottom w:val="none" w:sz="0" w:space="0" w:color="auto"/>
        <w:right w:val="none" w:sz="0" w:space="0" w:color="auto"/>
      </w:divBdr>
    </w:div>
    <w:div w:id="1400177266">
      <w:bodyDiv w:val="1"/>
      <w:marLeft w:val="0"/>
      <w:marRight w:val="0"/>
      <w:marTop w:val="0"/>
      <w:marBottom w:val="0"/>
      <w:divBdr>
        <w:top w:val="none" w:sz="0" w:space="0" w:color="auto"/>
        <w:left w:val="none" w:sz="0" w:space="0" w:color="auto"/>
        <w:bottom w:val="none" w:sz="0" w:space="0" w:color="auto"/>
        <w:right w:val="none" w:sz="0" w:space="0" w:color="auto"/>
      </w:divBdr>
    </w:div>
    <w:div w:id="1510217650">
      <w:bodyDiv w:val="1"/>
      <w:marLeft w:val="0"/>
      <w:marRight w:val="0"/>
      <w:marTop w:val="0"/>
      <w:marBottom w:val="0"/>
      <w:divBdr>
        <w:top w:val="none" w:sz="0" w:space="0" w:color="auto"/>
        <w:left w:val="none" w:sz="0" w:space="0" w:color="auto"/>
        <w:bottom w:val="none" w:sz="0" w:space="0" w:color="auto"/>
        <w:right w:val="none" w:sz="0" w:space="0" w:color="auto"/>
      </w:divBdr>
    </w:div>
    <w:div w:id="1641033764">
      <w:bodyDiv w:val="1"/>
      <w:marLeft w:val="0"/>
      <w:marRight w:val="0"/>
      <w:marTop w:val="0"/>
      <w:marBottom w:val="0"/>
      <w:divBdr>
        <w:top w:val="none" w:sz="0" w:space="0" w:color="auto"/>
        <w:left w:val="none" w:sz="0" w:space="0" w:color="auto"/>
        <w:bottom w:val="none" w:sz="0" w:space="0" w:color="auto"/>
        <w:right w:val="none" w:sz="0" w:space="0" w:color="auto"/>
      </w:divBdr>
    </w:div>
    <w:div w:id="1829056733">
      <w:bodyDiv w:val="1"/>
      <w:marLeft w:val="0"/>
      <w:marRight w:val="0"/>
      <w:marTop w:val="0"/>
      <w:marBottom w:val="0"/>
      <w:divBdr>
        <w:top w:val="none" w:sz="0" w:space="0" w:color="auto"/>
        <w:left w:val="none" w:sz="0" w:space="0" w:color="auto"/>
        <w:bottom w:val="none" w:sz="0" w:space="0" w:color="auto"/>
        <w:right w:val="none" w:sz="0" w:space="0" w:color="auto"/>
      </w:divBdr>
    </w:div>
    <w:div w:id="1858811956">
      <w:bodyDiv w:val="1"/>
      <w:marLeft w:val="0"/>
      <w:marRight w:val="0"/>
      <w:marTop w:val="0"/>
      <w:marBottom w:val="0"/>
      <w:divBdr>
        <w:top w:val="none" w:sz="0" w:space="0" w:color="auto"/>
        <w:left w:val="none" w:sz="0" w:space="0" w:color="auto"/>
        <w:bottom w:val="none" w:sz="0" w:space="0" w:color="auto"/>
        <w:right w:val="none" w:sz="0" w:space="0" w:color="auto"/>
      </w:divBdr>
    </w:div>
    <w:div w:id="211736639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404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02FC-38D0-42D9-A32F-E647B6C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3530</Words>
  <Characters>18709</Characters>
  <Application>Microsoft Office Word</Application>
  <DocSecurity>0</DocSecurity>
  <Lines>155</Lines>
  <Paragraphs>44</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With, Mari Lande</cp:lastModifiedBy>
  <cp:revision>21</cp:revision>
  <cp:lastPrinted>2018-02-22T12:09:00Z</cp:lastPrinted>
  <dcterms:created xsi:type="dcterms:W3CDTF">2018-05-18T13:05:00Z</dcterms:created>
  <dcterms:modified xsi:type="dcterms:W3CDTF">2018-05-18T13:33:00Z</dcterms:modified>
</cp:coreProperties>
</file>