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626E1" w14:textId="78E5B684" w:rsidR="004A1A99" w:rsidRPr="00AA1036" w:rsidRDefault="0058617A" w:rsidP="00D0270E">
      <w:pPr>
        <w:spacing w:before="480" w:after="480"/>
        <w:jc w:val="center"/>
        <w:rPr>
          <w:rFonts w:cs="Arial"/>
          <w:b/>
          <w:sz w:val="48"/>
          <w:szCs w:val="48"/>
          <w:lang w:val="en-GB"/>
        </w:rPr>
      </w:pPr>
      <w:bookmarkStart w:id="0" w:name="_GoBack"/>
      <w:bookmarkEnd w:id="0"/>
      <w:r w:rsidRPr="00A21915">
        <w:rPr>
          <w:lang w:val="en-GB"/>
        </w:rPr>
        <w:t xml:space="preserve"> </w:t>
      </w:r>
      <w:r w:rsidRPr="00A21915">
        <w:rPr>
          <w:rFonts w:cs="Arial"/>
          <w:b/>
          <w:sz w:val="48"/>
          <w:szCs w:val="48"/>
          <w:lang w:val="en-GB"/>
        </w:rPr>
        <w:t xml:space="preserve">Understanding the effect of the global </w:t>
      </w:r>
      <w:r w:rsidRPr="00AA1036">
        <w:rPr>
          <w:rFonts w:cs="Arial"/>
          <w:b/>
          <w:sz w:val="48"/>
          <w:szCs w:val="48"/>
          <w:lang w:val="en-GB"/>
        </w:rPr>
        <w:t xml:space="preserve">economy on the </w:t>
      </w:r>
      <w:r w:rsidR="000D1C06" w:rsidRPr="00AA1036">
        <w:rPr>
          <w:rFonts w:cs="Arial"/>
          <w:b/>
          <w:sz w:val="48"/>
          <w:szCs w:val="48"/>
          <w:lang w:val="en-GB"/>
        </w:rPr>
        <w:t>b</w:t>
      </w:r>
      <w:r w:rsidR="00FE7F31" w:rsidRPr="00AA1036">
        <w:rPr>
          <w:rFonts w:cs="Arial"/>
          <w:b/>
          <w:sz w:val="48"/>
          <w:szCs w:val="48"/>
          <w:lang w:val="en-GB"/>
        </w:rPr>
        <w:t>alance of payments</w:t>
      </w:r>
    </w:p>
    <w:p w14:paraId="2B2E48CD" w14:textId="24635364" w:rsidR="00D0270E" w:rsidRPr="00FA020C" w:rsidRDefault="0058617A" w:rsidP="00C726EA">
      <w:pPr>
        <w:rPr>
          <w:rFonts w:cs="Arial"/>
          <w:szCs w:val="24"/>
          <w:lang w:val="en-GB"/>
        </w:rPr>
      </w:pPr>
      <w:r w:rsidRPr="00AA1036">
        <w:rPr>
          <w:rFonts w:cs="Arial"/>
          <w:szCs w:val="24"/>
          <w:lang w:val="en-GB"/>
        </w:rPr>
        <w:t>Caroline Bo</w:t>
      </w:r>
      <w:r w:rsidR="000D705A" w:rsidRPr="00AA1036">
        <w:rPr>
          <w:rFonts w:cs="Arial"/>
          <w:szCs w:val="24"/>
          <w:lang w:val="en-GB"/>
        </w:rPr>
        <w:t xml:space="preserve">, </w:t>
      </w:r>
      <w:r w:rsidRPr="00AA1036">
        <w:rPr>
          <w:rFonts w:cs="Arial"/>
          <w:szCs w:val="24"/>
          <w:lang w:val="en-GB"/>
        </w:rPr>
        <w:t>Statistics Denmark</w:t>
      </w:r>
      <w:r w:rsidR="000D705A" w:rsidRPr="00AA1036">
        <w:rPr>
          <w:rFonts w:cs="Arial"/>
          <w:szCs w:val="24"/>
          <w:lang w:val="en-GB"/>
        </w:rPr>
        <w:t xml:space="preserve">, </w:t>
      </w:r>
      <w:r w:rsidR="00F3763E" w:rsidRPr="00AA1036">
        <w:rPr>
          <w:rFonts w:cs="Arial"/>
          <w:szCs w:val="24"/>
          <w:lang w:val="en-GB"/>
        </w:rPr>
        <w:t>c</w:t>
      </w:r>
      <w:r w:rsidR="00F3763E" w:rsidRPr="00FA020C">
        <w:rPr>
          <w:rFonts w:cs="Arial"/>
          <w:szCs w:val="24"/>
          <w:lang w:val="en-GB"/>
        </w:rPr>
        <w:t>bo</w:t>
      </w:r>
      <w:r w:rsidRPr="00FA020C">
        <w:rPr>
          <w:rFonts w:cs="Arial"/>
          <w:szCs w:val="24"/>
          <w:lang w:val="en-GB"/>
        </w:rPr>
        <w:t>@dst.dk</w:t>
      </w:r>
    </w:p>
    <w:p w14:paraId="29ABA9C1" w14:textId="1182FB86" w:rsidR="000D705A" w:rsidRPr="00FA020C" w:rsidRDefault="0058617A" w:rsidP="00C726EA">
      <w:pPr>
        <w:rPr>
          <w:rFonts w:cs="Arial"/>
          <w:szCs w:val="24"/>
          <w:lang w:val="en-GB"/>
        </w:rPr>
      </w:pPr>
      <w:r w:rsidRPr="00FA020C">
        <w:rPr>
          <w:rFonts w:cs="Arial"/>
          <w:szCs w:val="24"/>
          <w:lang w:val="en-GB"/>
        </w:rPr>
        <w:t>Anette Morgils Hertz</w:t>
      </w:r>
      <w:r w:rsidR="000D705A" w:rsidRPr="00FA020C">
        <w:rPr>
          <w:rFonts w:cs="Arial"/>
          <w:szCs w:val="24"/>
          <w:lang w:val="en-GB"/>
        </w:rPr>
        <w:t xml:space="preserve">, </w:t>
      </w:r>
      <w:r w:rsidRPr="00FA020C">
        <w:rPr>
          <w:rFonts w:cs="Arial"/>
          <w:szCs w:val="24"/>
          <w:lang w:val="en-GB"/>
        </w:rPr>
        <w:t>Statistics Denmark</w:t>
      </w:r>
      <w:r w:rsidR="000D705A" w:rsidRPr="00FA020C">
        <w:rPr>
          <w:rFonts w:cs="Arial"/>
          <w:szCs w:val="24"/>
          <w:lang w:val="en-GB"/>
        </w:rPr>
        <w:t xml:space="preserve">, </w:t>
      </w:r>
      <w:r w:rsidR="00F3763E" w:rsidRPr="00FA020C">
        <w:rPr>
          <w:rFonts w:cs="Arial"/>
          <w:szCs w:val="24"/>
          <w:lang w:val="en-GB"/>
        </w:rPr>
        <w:t>ahz</w:t>
      </w:r>
      <w:r w:rsidR="005C74E0" w:rsidRPr="00FA020C">
        <w:rPr>
          <w:rFonts w:cs="Arial"/>
          <w:szCs w:val="24"/>
          <w:lang w:val="en-GB"/>
        </w:rPr>
        <w:t>@dst.dk</w:t>
      </w:r>
    </w:p>
    <w:p w14:paraId="351D7BDA" w14:textId="77777777" w:rsidR="000D705A" w:rsidRPr="00FA020C" w:rsidRDefault="000D705A" w:rsidP="00C726EA">
      <w:pPr>
        <w:spacing w:before="240"/>
        <w:rPr>
          <w:rFonts w:cs="Arial"/>
          <w:b/>
          <w:sz w:val="20"/>
          <w:szCs w:val="20"/>
          <w:lang w:val="en-GB"/>
        </w:rPr>
      </w:pPr>
      <w:r w:rsidRPr="00FA020C">
        <w:rPr>
          <w:rFonts w:cs="Arial"/>
          <w:b/>
          <w:sz w:val="20"/>
          <w:szCs w:val="20"/>
          <w:lang w:val="en-GB"/>
        </w:rPr>
        <w:t>Abstract</w:t>
      </w:r>
    </w:p>
    <w:p w14:paraId="4725225A" w14:textId="1838D8D6" w:rsidR="0058617A" w:rsidRPr="00FA020C" w:rsidRDefault="0058617A" w:rsidP="00FA020C">
      <w:pPr>
        <w:pStyle w:val="Nagwek2"/>
        <w:spacing w:before="0" w:line="240" w:lineRule="auto"/>
        <w:rPr>
          <w:i/>
        </w:rPr>
      </w:pPr>
      <w:r w:rsidRPr="00FA020C">
        <w:rPr>
          <w:i/>
        </w:rPr>
        <w:t xml:space="preserve">Increasing our focus on large </w:t>
      </w:r>
      <w:r w:rsidR="00836A82">
        <w:rPr>
          <w:i/>
        </w:rPr>
        <w:t>companie</w:t>
      </w:r>
      <w:r w:rsidR="00836A82" w:rsidRPr="00FA020C">
        <w:rPr>
          <w:i/>
        </w:rPr>
        <w:t xml:space="preserve">s’ </w:t>
      </w:r>
      <w:r w:rsidRPr="00FA020C">
        <w:rPr>
          <w:i/>
        </w:rPr>
        <w:t>production setups has been of great importance to heighten the quality of measuring global activities affecting the Danish economy. Two global production setups</w:t>
      </w:r>
      <w:r w:rsidR="005C74E0" w:rsidRPr="00FA020C">
        <w:rPr>
          <w:i/>
        </w:rPr>
        <w:t xml:space="preserve"> – merchanting and processing – </w:t>
      </w:r>
      <w:r w:rsidRPr="00FA020C">
        <w:rPr>
          <w:i/>
        </w:rPr>
        <w:t xml:space="preserve">are central. During 2014 when the BPM6 was being implemented, we found that there was significant underreporting of these types of activities. Hence, we were not catching the full scale of global activities by Danish </w:t>
      </w:r>
      <w:r w:rsidR="00836A82">
        <w:rPr>
          <w:i/>
        </w:rPr>
        <w:t>companie</w:t>
      </w:r>
      <w:r w:rsidRPr="00FA020C">
        <w:rPr>
          <w:i/>
        </w:rPr>
        <w:t xml:space="preserve">s affecting the Danish economy. We decided to start validating data on the largest cases, i.e. the Danish </w:t>
      </w:r>
      <w:r w:rsidR="00836A82">
        <w:rPr>
          <w:i/>
        </w:rPr>
        <w:t>companie</w:t>
      </w:r>
      <w:r w:rsidRPr="00FA020C">
        <w:rPr>
          <w:i/>
        </w:rPr>
        <w:t xml:space="preserve">s, expected to have most global production. By validating data on the largest companies on an ongoing basis, we now believe to have a trustworthy indication of how our large </w:t>
      </w:r>
      <w:r w:rsidR="00836A82">
        <w:rPr>
          <w:i/>
        </w:rPr>
        <w:t>companie</w:t>
      </w:r>
      <w:r w:rsidR="009E0831">
        <w:rPr>
          <w:i/>
        </w:rPr>
        <w:t>s</w:t>
      </w:r>
      <w:r w:rsidRPr="00FA020C">
        <w:rPr>
          <w:i/>
        </w:rPr>
        <w:t xml:space="preserve"> affect our </w:t>
      </w:r>
      <w:r w:rsidR="000D1C06" w:rsidRPr="00FA020C">
        <w:rPr>
          <w:i/>
        </w:rPr>
        <w:t>balance of payments</w:t>
      </w:r>
      <w:r w:rsidRPr="00FA020C">
        <w:rPr>
          <w:i/>
        </w:rPr>
        <w:t>. In this paper we will describe how we came to validate merchanting and processing data in a validation across statistical domains as well as include a description of the practical approach to this work.</w:t>
      </w:r>
    </w:p>
    <w:p w14:paraId="00426EBF" w14:textId="4126DE40" w:rsidR="00C726EA" w:rsidRPr="00FA020C" w:rsidRDefault="00C726EA" w:rsidP="00C726EA">
      <w:pPr>
        <w:spacing w:before="240"/>
        <w:rPr>
          <w:rFonts w:cs="Arial"/>
          <w:sz w:val="20"/>
          <w:szCs w:val="20"/>
          <w:lang w:val="en-GB"/>
        </w:rPr>
      </w:pPr>
      <w:r w:rsidRPr="00FA020C">
        <w:rPr>
          <w:rFonts w:cs="Arial"/>
          <w:b/>
          <w:sz w:val="20"/>
          <w:szCs w:val="20"/>
          <w:lang w:val="en-GB"/>
        </w:rPr>
        <w:t xml:space="preserve">Keywords: </w:t>
      </w:r>
      <w:r w:rsidR="00FE7F31" w:rsidRPr="00FA020C">
        <w:rPr>
          <w:rFonts w:cs="Arial"/>
          <w:sz w:val="20"/>
          <w:szCs w:val="20"/>
          <w:lang w:val="en-GB"/>
        </w:rPr>
        <w:t>economic globalisation</w:t>
      </w:r>
      <w:r w:rsidRPr="00FA020C">
        <w:rPr>
          <w:rFonts w:cs="Arial"/>
          <w:sz w:val="20"/>
          <w:szCs w:val="20"/>
          <w:lang w:val="en-GB"/>
        </w:rPr>
        <w:t xml:space="preserve">, </w:t>
      </w:r>
      <w:r w:rsidR="00490875">
        <w:rPr>
          <w:rFonts w:cs="Arial"/>
          <w:sz w:val="20"/>
          <w:szCs w:val="20"/>
          <w:lang w:val="en-GB"/>
        </w:rPr>
        <w:t xml:space="preserve">Danish </w:t>
      </w:r>
      <w:r w:rsidR="00FE7F31" w:rsidRPr="00FA020C">
        <w:rPr>
          <w:rFonts w:cs="Arial"/>
          <w:sz w:val="20"/>
          <w:szCs w:val="20"/>
          <w:lang w:val="en-GB"/>
        </w:rPr>
        <w:t>balance of payments</w:t>
      </w:r>
      <w:r w:rsidRPr="00FA020C">
        <w:rPr>
          <w:rFonts w:cs="Arial"/>
          <w:sz w:val="20"/>
          <w:szCs w:val="20"/>
          <w:lang w:val="en-GB"/>
        </w:rPr>
        <w:t xml:space="preserve">, </w:t>
      </w:r>
      <w:r w:rsidR="00B75959" w:rsidRPr="00FA020C">
        <w:rPr>
          <w:rFonts w:cs="Arial"/>
          <w:sz w:val="20"/>
          <w:szCs w:val="20"/>
          <w:lang w:val="en-GB"/>
        </w:rPr>
        <w:t>indicators of global production</w:t>
      </w:r>
    </w:p>
    <w:p w14:paraId="11D4B903" w14:textId="77777777" w:rsidR="00AF4A54" w:rsidRPr="00FA020C" w:rsidRDefault="00AF4A54">
      <w:pPr>
        <w:rPr>
          <w:rFonts w:cs="Arial"/>
          <w:b/>
          <w:szCs w:val="24"/>
          <w:lang w:val="en-GB"/>
        </w:rPr>
      </w:pPr>
      <w:r w:rsidRPr="00FA020C">
        <w:rPr>
          <w:rFonts w:cs="Arial"/>
          <w:b/>
          <w:szCs w:val="24"/>
          <w:lang w:val="en-GB"/>
        </w:rPr>
        <w:br w:type="page"/>
      </w:r>
    </w:p>
    <w:p w14:paraId="0F9F5800" w14:textId="4161084F" w:rsidR="005C74E0" w:rsidRPr="00FA020C" w:rsidRDefault="00756B66" w:rsidP="00FA020C">
      <w:pPr>
        <w:pStyle w:val="Nagwek1"/>
      </w:pPr>
      <w:r w:rsidRPr="00FA020C">
        <w:lastRenderedPageBreak/>
        <w:t xml:space="preserve">1. </w:t>
      </w:r>
      <w:r w:rsidR="005C74E0" w:rsidRPr="00FA020C">
        <w:t>Introduction</w:t>
      </w:r>
    </w:p>
    <w:p w14:paraId="6F21342E" w14:textId="57E34575" w:rsidR="000962C1" w:rsidRPr="00FA020C" w:rsidRDefault="000962C1" w:rsidP="00FA020C">
      <w:pPr>
        <w:rPr>
          <w:lang w:val="en-GB" w:eastAsia="zh-CN"/>
        </w:rPr>
      </w:pPr>
      <w:r w:rsidRPr="00FA020C">
        <w:rPr>
          <w:lang w:val="en-GB" w:eastAsia="zh-CN"/>
        </w:rPr>
        <w:t xml:space="preserve">In September 2014, </w:t>
      </w:r>
      <w:r w:rsidR="00D12C39" w:rsidRPr="00FA020C">
        <w:rPr>
          <w:lang w:val="en-GB" w:eastAsia="zh-CN"/>
        </w:rPr>
        <w:t xml:space="preserve">the </w:t>
      </w:r>
      <w:r w:rsidR="00FE7F31" w:rsidRPr="00FA020C">
        <w:rPr>
          <w:lang w:val="en-GB" w:eastAsia="zh-CN"/>
        </w:rPr>
        <w:t xml:space="preserve">balance of </w:t>
      </w:r>
      <w:r w:rsidR="000D1C06" w:rsidRPr="00FA020C">
        <w:rPr>
          <w:lang w:val="en-GB" w:eastAsia="zh-CN"/>
        </w:rPr>
        <w:t>payments</w:t>
      </w:r>
      <w:r w:rsidR="005A7041" w:rsidRPr="00FA020C">
        <w:rPr>
          <w:lang w:val="en-GB" w:eastAsia="zh-CN"/>
        </w:rPr>
        <w:t xml:space="preserve"> was compiled according to new international guidelines</w:t>
      </w:r>
      <w:r w:rsidRPr="00FA020C">
        <w:rPr>
          <w:lang w:val="en-GB" w:eastAsia="zh-CN"/>
        </w:rPr>
        <w:t xml:space="preserve">, </w:t>
      </w:r>
      <w:r w:rsidR="005A7041" w:rsidRPr="00FA020C">
        <w:rPr>
          <w:lang w:val="en-GB" w:eastAsia="zh-CN"/>
        </w:rPr>
        <w:t>as</w:t>
      </w:r>
      <w:r w:rsidRPr="00FA020C">
        <w:rPr>
          <w:lang w:val="en-GB" w:eastAsia="zh-CN"/>
        </w:rPr>
        <w:t xml:space="preserve"> the new </w:t>
      </w:r>
      <w:r w:rsidR="000D1C06" w:rsidRPr="00FA020C">
        <w:rPr>
          <w:lang w:val="en-GB" w:eastAsia="zh-CN"/>
        </w:rPr>
        <w:t>Balance of Payment</w:t>
      </w:r>
      <w:r w:rsidR="00FE7F31" w:rsidRPr="00FA020C">
        <w:rPr>
          <w:lang w:val="en-GB" w:eastAsia="zh-CN"/>
        </w:rPr>
        <w:t>s</w:t>
      </w:r>
      <w:r w:rsidRPr="00FA020C">
        <w:rPr>
          <w:lang w:val="en-GB" w:eastAsia="zh-CN"/>
        </w:rPr>
        <w:t xml:space="preserve"> Manual and International Investment Position Manual 6th edition, (BPM6)</w:t>
      </w:r>
      <w:r w:rsidR="005A7041" w:rsidRPr="00FA020C">
        <w:rPr>
          <w:lang w:val="en-GB" w:eastAsia="zh-CN"/>
        </w:rPr>
        <w:t xml:space="preserve"> was implemented</w:t>
      </w:r>
      <w:r w:rsidRPr="00FA020C">
        <w:rPr>
          <w:lang w:val="en-GB" w:eastAsia="zh-CN"/>
        </w:rPr>
        <w:t xml:space="preserve">. </w:t>
      </w:r>
      <w:r w:rsidR="00D9794A" w:rsidRPr="00FA020C">
        <w:rPr>
          <w:lang w:val="en-GB" w:eastAsia="zh-CN"/>
        </w:rPr>
        <w:t>With that</w:t>
      </w:r>
      <w:r w:rsidR="001B235C">
        <w:rPr>
          <w:lang w:val="en-GB" w:eastAsia="zh-CN"/>
        </w:rPr>
        <w:t>,</w:t>
      </w:r>
      <w:r w:rsidR="00D9794A" w:rsidRPr="00FA020C">
        <w:rPr>
          <w:lang w:val="en-GB" w:eastAsia="zh-CN"/>
        </w:rPr>
        <w:t xml:space="preserve"> f</w:t>
      </w:r>
      <w:r w:rsidR="005A7041" w:rsidRPr="00FA020C">
        <w:rPr>
          <w:lang w:val="en-GB" w:eastAsia="zh-CN"/>
        </w:rPr>
        <w:t>ocus on economic globalis</w:t>
      </w:r>
      <w:r w:rsidRPr="00FA020C">
        <w:rPr>
          <w:lang w:val="en-GB" w:eastAsia="zh-CN"/>
        </w:rPr>
        <w:t>ation</w:t>
      </w:r>
      <w:r w:rsidR="00EC1B99" w:rsidRPr="00FA020C">
        <w:rPr>
          <w:lang w:val="en-GB" w:eastAsia="zh-CN"/>
        </w:rPr>
        <w:t xml:space="preserve"> was increased</w:t>
      </w:r>
      <w:r w:rsidRPr="00FA020C">
        <w:rPr>
          <w:lang w:val="en-GB" w:eastAsia="zh-CN"/>
        </w:rPr>
        <w:t xml:space="preserve">. </w:t>
      </w:r>
      <w:r w:rsidR="00411F34" w:rsidRPr="00FA020C">
        <w:rPr>
          <w:lang w:val="en-GB" w:eastAsia="zh-CN"/>
        </w:rPr>
        <w:t>As a consequence, more data on globalisation activities was to be reported</w:t>
      </w:r>
      <w:r w:rsidRPr="00FA020C">
        <w:rPr>
          <w:lang w:val="en-GB" w:eastAsia="zh-CN"/>
        </w:rPr>
        <w:t xml:space="preserve">, including information on processing activities abroad. </w:t>
      </w:r>
      <w:r w:rsidR="0028671C">
        <w:rPr>
          <w:lang w:val="en-GB" w:eastAsia="zh-CN"/>
        </w:rPr>
        <w:t>The additional data made it possible to do</w:t>
      </w:r>
      <w:r w:rsidRPr="00FA020C">
        <w:rPr>
          <w:lang w:val="en-GB" w:eastAsia="zh-CN"/>
        </w:rPr>
        <w:t xml:space="preserve"> a more direct comp</w:t>
      </w:r>
      <w:r w:rsidR="00411F34" w:rsidRPr="00FA020C">
        <w:rPr>
          <w:lang w:val="en-GB" w:eastAsia="zh-CN"/>
        </w:rPr>
        <w:t>arison of data across statistical domains</w:t>
      </w:r>
      <w:r w:rsidRPr="00FA020C">
        <w:rPr>
          <w:lang w:val="en-GB" w:eastAsia="zh-CN"/>
        </w:rPr>
        <w:t xml:space="preserve">. </w:t>
      </w:r>
      <w:r w:rsidR="00D9794A" w:rsidRPr="00FA020C">
        <w:rPr>
          <w:lang w:val="en-GB" w:eastAsia="zh-CN"/>
        </w:rPr>
        <w:t>With the implementation of</w:t>
      </w:r>
      <w:r w:rsidR="00411F34" w:rsidRPr="00FA020C">
        <w:rPr>
          <w:lang w:val="en-GB" w:eastAsia="zh-CN"/>
        </w:rPr>
        <w:t xml:space="preserve"> BPM6</w:t>
      </w:r>
      <w:r w:rsidR="001B235C">
        <w:rPr>
          <w:lang w:val="en-GB" w:eastAsia="zh-CN"/>
        </w:rPr>
        <w:t>,</w:t>
      </w:r>
      <w:r w:rsidR="00411F34" w:rsidRPr="00FA020C">
        <w:rPr>
          <w:lang w:val="en-GB" w:eastAsia="zh-CN"/>
        </w:rPr>
        <w:t xml:space="preserve"> </w:t>
      </w:r>
      <w:r w:rsidRPr="00FA020C">
        <w:rPr>
          <w:lang w:val="en-GB" w:eastAsia="zh-CN"/>
        </w:rPr>
        <w:t>National Accounts detect</w:t>
      </w:r>
      <w:r w:rsidR="00411F34" w:rsidRPr="00FA020C">
        <w:rPr>
          <w:lang w:val="en-GB" w:eastAsia="zh-CN"/>
        </w:rPr>
        <w:t>ed inconsistencies between</w:t>
      </w:r>
      <w:r w:rsidRPr="00FA020C">
        <w:rPr>
          <w:lang w:val="en-GB" w:eastAsia="zh-CN"/>
        </w:rPr>
        <w:t xml:space="preserve"> statistics</w:t>
      </w:r>
      <w:r w:rsidR="00411F34" w:rsidRPr="00FA020C">
        <w:rPr>
          <w:lang w:val="en-GB" w:eastAsia="zh-CN"/>
        </w:rPr>
        <w:t xml:space="preserve"> </w:t>
      </w:r>
      <w:r w:rsidR="00C754E3" w:rsidRPr="00FA020C">
        <w:rPr>
          <w:lang w:val="en-GB" w:eastAsia="zh-CN"/>
        </w:rPr>
        <w:t>on how globalisation activities were recorded</w:t>
      </w:r>
      <w:r w:rsidR="00411F34" w:rsidRPr="00FA020C">
        <w:rPr>
          <w:lang w:val="en-GB" w:eastAsia="zh-CN"/>
        </w:rPr>
        <w:t>,</w:t>
      </w:r>
      <w:r w:rsidRPr="00FA020C">
        <w:rPr>
          <w:lang w:val="en-GB" w:eastAsia="zh-CN"/>
        </w:rPr>
        <w:t xml:space="preserve"> and </w:t>
      </w:r>
      <w:r w:rsidR="00411F34" w:rsidRPr="00FA020C">
        <w:rPr>
          <w:lang w:val="en-GB" w:eastAsia="zh-CN"/>
        </w:rPr>
        <w:t xml:space="preserve">concluded </w:t>
      </w:r>
      <w:r w:rsidR="00C754E3" w:rsidRPr="00FA020C">
        <w:rPr>
          <w:lang w:val="en-GB" w:eastAsia="zh-CN"/>
        </w:rPr>
        <w:t xml:space="preserve">that </w:t>
      </w:r>
      <w:r w:rsidR="00411F34" w:rsidRPr="00FA020C">
        <w:rPr>
          <w:lang w:val="en-GB" w:eastAsia="zh-CN"/>
        </w:rPr>
        <w:t xml:space="preserve">there was </w:t>
      </w:r>
      <w:r w:rsidRPr="00FA020C">
        <w:rPr>
          <w:lang w:val="en-GB" w:eastAsia="zh-CN"/>
        </w:rPr>
        <w:t xml:space="preserve">a need for further </w:t>
      </w:r>
      <w:r w:rsidR="00D12C39" w:rsidRPr="00FA020C">
        <w:rPr>
          <w:lang w:val="en-GB" w:eastAsia="zh-CN"/>
        </w:rPr>
        <w:t>analysis of</w:t>
      </w:r>
      <w:r w:rsidR="00411F34" w:rsidRPr="00FA020C">
        <w:rPr>
          <w:lang w:val="en-GB" w:eastAsia="zh-CN"/>
        </w:rPr>
        <w:t xml:space="preserve"> how </w:t>
      </w:r>
      <w:r w:rsidR="00C754E3" w:rsidRPr="00FA020C">
        <w:rPr>
          <w:lang w:val="en-GB" w:eastAsia="zh-CN"/>
        </w:rPr>
        <w:t>these</w:t>
      </w:r>
      <w:r w:rsidRPr="00FA020C">
        <w:rPr>
          <w:lang w:val="en-GB" w:eastAsia="zh-CN"/>
        </w:rPr>
        <w:t xml:space="preserve"> activities </w:t>
      </w:r>
      <w:r w:rsidR="00D12C39" w:rsidRPr="00FA020C">
        <w:rPr>
          <w:lang w:val="en-GB" w:eastAsia="zh-CN"/>
        </w:rPr>
        <w:t>are reported to Statistics Denmark</w:t>
      </w:r>
      <w:r w:rsidR="00233F99" w:rsidRPr="00FA020C">
        <w:rPr>
          <w:lang w:val="en-GB" w:eastAsia="zh-CN"/>
        </w:rPr>
        <w:t>. Consequently</w:t>
      </w:r>
      <w:r w:rsidRPr="00FA020C">
        <w:rPr>
          <w:lang w:val="en-GB" w:eastAsia="zh-CN"/>
        </w:rPr>
        <w:t xml:space="preserve">, </w:t>
      </w:r>
      <w:r w:rsidR="003D6387" w:rsidRPr="00FA020C">
        <w:rPr>
          <w:lang w:val="en-GB" w:eastAsia="zh-CN"/>
        </w:rPr>
        <w:t xml:space="preserve">in 2015 </w:t>
      </w:r>
      <w:r w:rsidRPr="00FA020C">
        <w:rPr>
          <w:lang w:val="en-GB" w:eastAsia="zh-CN"/>
        </w:rPr>
        <w:t xml:space="preserve">Statistics </w:t>
      </w:r>
      <w:r w:rsidR="003D6387" w:rsidRPr="00FA020C">
        <w:rPr>
          <w:lang w:val="en-GB" w:eastAsia="zh-CN"/>
        </w:rPr>
        <w:t xml:space="preserve">Denmark </w:t>
      </w:r>
      <w:r w:rsidRPr="00FA020C">
        <w:rPr>
          <w:lang w:val="en-GB" w:eastAsia="zh-CN"/>
        </w:rPr>
        <w:t xml:space="preserve">conducted a </w:t>
      </w:r>
      <w:r w:rsidR="003D6387" w:rsidRPr="00FA020C">
        <w:rPr>
          <w:lang w:val="en-GB" w:eastAsia="zh-CN"/>
        </w:rPr>
        <w:t xml:space="preserve">comprehensive analysis </w:t>
      </w:r>
      <w:r w:rsidRPr="00FA020C">
        <w:rPr>
          <w:lang w:val="en-GB" w:eastAsia="zh-CN"/>
        </w:rPr>
        <w:t xml:space="preserve">of </w:t>
      </w:r>
      <w:r w:rsidR="003D6387" w:rsidRPr="00FA020C">
        <w:rPr>
          <w:lang w:val="en-GB" w:eastAsia="zh-CN"/>
        </w:rPr>
        <w:t xml:space="preserve">data </w:t>
      </w:r>
      <w:r w:rsidR="00427A0A" w:rsidRPr="00FA020C">
        <w:rPr>
          <w:lang w:val="en-GB" w:eastAsia="zh-CN"/>
        </w:rPr>
        <w:t>reported</w:t>
      </w:r>
      <w:r w:rsidR="003D6387" w:rsidRPr="00FA020C">
        <w:rPr>
          <w:lang w:val="en-GB" w:eastAsia="zh-CN"/>
        </w:rPr>
        <w:t xml:space="preserve"> by some of the largest Danish </w:t>
      </w:r>
      <w:r w:rsidR="001B6E06">
        <w:rPr>
          <w:lang w:val="en-GB" w:eastAsia="zh-CN"/>
        </w:rPr>
        <w:t>companies</w:t>
      </w:r>
      <w:r w:rsidRPr="00FA020C">
        <w:rPr>
          <w:lang w:val="en-GB" w:eastAsia="zh-CN"/>
        </w:rPr>
        <w:t>.</w:t>
      </w:r>
    </w:p>
    <w:p w14:paraId="1731C0B6" w14:textId="170B254E" w:rsidR="00233F99" w:rsidRPr="00A21915" w:rsidRDefault="00233F99" w:rsidP="00FA020C">
      <w:pPr>
        <w:rPr>
          <w:lang w:val="en-GB" w:eastAsia="zh-CN"/>
        </w:rPr>
      </w:pPr>
      <w:r w:rsidRPr="00FA020C">
        <w:rPr>
          <w:lang w:val="en-GB" w:eastAsia="zh-CN"/>
        </w:rPr>
        <w:t xml:space="preserve">One of the key elements of the </w:t>
      </w:r>
      <w:r w:rsidR="00427A0A" w:rsidRPr="00FA020C">
        <w:rPr>
          <w:lang w:val="en-GB" w:eastAsia="zh-CN"/>
        </w:rPr>
        <w:t xml:space="preserve">analysis </w:t>
      </w:r>
      <w:r w:rsidRPr="00FA020C">
        <w:rPr>
          <w:lang w:val="en-GB" w:eastAsia="zh-CN"/>
        </w:rPr>
        <w:t>was to account for the companies' total operating revenue. By compiling a number of variables from different statistics, it was attempted to d</w:t>
      </w:r>
      <w:r w:rsidR="008C10AF" w:rsidRPr="00FA020C">
        <w:rPr>
          <w:lang w:val="en-GB" w:eastAsia="zh-CN"/>
        </w:rPr>
        <w:t>ecompose the companies’</w:t>
      </w:r>
      <w:r w:rsidRPr="00FA020C">
        <w:rPr>
          <w:lang w:val="en-GB" w:eastAsia="zh-CN"/>
        </w:rPr>
        <w:t xml:space="preserve"> total revenue in domestic and foreign sales. </w:t>
      </w:r>
      <w:r w:rsidR="00427A0A" w:rsidRPr="00FA020C">
        <w:rPr>
          <w:lang w:val="en-GB" w:eastAsia="zh-CN"/>
        </w:rPr>
        <w:t xml:space="preserve">The analysis showed </w:t>
      </w:r>
      <w:r w:rsidR="00C754E3" w:rsidRPr="00FA020C">
        <w:rPr>
          <w:lang w:val="en-GB" w:eastAsia="zh-CN"/>
        </w:rPr>
        <w:t>underreporting of</w:t>
      </w:r>
      <w:r w:rsidR="00427A0A" w:rsidRPr="00FA020C">
        <w:rPr>
          <w:lang w:val="en-GB" w:eastAsia="zh-CN"/>
        </w:rPr>
        <w:t xml:space="preserve"> globalisation</w:t>
      </w:r>
      <w:r w:rsidRPr="00FA020C">
        <w:rPr>
          <w:lang w:val="en-GB" w:eastAsia="zh-CN"/>
        </w:rPr>
        <w:t xml:space="preserve"> activities</w:t>
      </w:r>
      <w:r w:rsidR="00C754E3" w:rsidRPr="00FA020C">
        <w:rPr>
          <w:lang w:val="en-GB" w:eastAsia="zh-CN"/>
        </w:rPr>
        <w:t xml:space="preserve">. </w:t>
      </w:r>
      <w:r w:rsidR="00B94009">
        <w:rPr>
          <w:lang w:val="en-GB" w:eastAsia="zh-CN"/>
        </w:rPr>
        <w:t>It mainly concerned</w:t>
      </w:r>
      <w:r w:rsidR="00C754E3" w:rsidRPr="00FA020C">
        <w:rPr>
          <w:lang w:val="en-GB" w:eastAsia="zh-CN"/>
        </w:rPr>
        <w:t xml:space="preserve"> </w:t>
      </w:r>
      <w:r w:rsidR="00427A0A" w:rsidRPr="00FA020C">
        <w:rPr>
          <w:lang w:val="en-GB" w:eastAsia="zh-CN"/>
        </w:rPr>
        <w:t>goods that do</w:t>
      </w:r>
      <w:r w:rsidRPr="00FA020C">
        <w:rPr>
          <w:lang w:val="en-GB" w:eastAsia="zh-CN"/>
        </w:rPr>
        <w:t xml:space="preserve"> not cross the Danish border</w:t>
      </w:r>
      <w:r w:rsidR="00427A0A" w:rsidRPr="00FA020C">
        <w:rPr>
          <w:lang w:val="en-GB" w:eastAsia="zh-CN"/>
        </w:rPr>
        <w:t xml:space="preserve">, which are part of the goods account of the </w:t>
      </w:r>
      <w:r w:rsidR="00FE7F31" w:rsidRPr="00FA020C">
        <w:rPr>
          <w:lang w:val="en-GB" w:eastAsia="zh-CN"/>
        </w:rPr>
        <w:t>balance of payments</w:t>
      </w:r>
      <w:r w:rsidRPr="00FA020C">
        <w:rPr>
          <w:lang w:val="en-GB" w:eastAsia="zh-CN"/>
        </w:rPr>
        <w:t xml:space="preserve">. </w:t>
      </w:r>
      <w:r w:rsidR="001C461B" w:rsidRPr="00FA020C">
        <w:rPr>
          <w:lang w:val="en-GB" w:eastAsia="zh-CN"/>
        </w:rPr>
        <w:t xml:space="preserve">Also, </w:t>
      </w:r>
      <w:r w:rsidRPr="00FA020C">
        <w:rPr>
          <w:lang w:val="en-GB" w:eastAsia="zh-CN"/>
        </w:rPr>
        <w:t>processing services and trade in intellectual property rights were under</w:t>
      </w:r>
      <w:r w:rsidR="002F45A6" w:rsidRPr="00FA020C">
        <w:rPr>
          <w:lang w:val="en-GB" w:eastAsia="zh-CN"/>
        </w:rPr>
        <w:t>reported</w:t>
      </w:r>
      <w:r w:rsidRPr="00FA020C">
        <w:rPr>
          <w:lang w:val="en-GB" w:eastAsia="zh-CN"/>
        </w:rPr>
        <w:t xml:space="preserve">. As a consequence, the </w:t>
      </w:r>
      <w:r w:rsidR="00FE7F31" w:rsidRPr="00FA020C">
        <w:rPr>
          <w:lang w:val="en-GB" w:eastAsia="zh-CN"/>
        </w:rPr>
        <w:t xml:space="preserve">balance of </w:t>
      </w:r>
      <w:r w:rsidR="000D1C06" w:rsidRPr="00FA020C">
        <w:rPr>
          <w:lang w:val="en-GB" w:eastAsia="zh-CN"/>
        </w:rPr>
        <w:t>payments</w:t>
      </w:r>
      <w:r w:rsidRPr="00FA020C">
        <w:rPr>
          <w:lang w:val="en-GB" w:eastAsia="zh-CN"/>
        </w:rPr>
        <w:t xml:space="preserve"> was revised in October 2016, which meant an upward adjustment</w:t>
      </w:r>
      <w:r w:rsidRPr="00A21915">
        <w:rPr>
          <w:lang w:val="en-GB" w:eastAsia="zh-CN"/>
        </w:rPr>
        <w:t xml:space="preserve"> for the period 2005 to 2015</w:t>
      </w:r>
      <w:r w:rsidR="006834A3">
        <w:rPr>
          <w:lang w:val="en-GB" w:eastAsia="zh-CN"/>
        </w:rPr>
        <w:t>, cf. Figure 1.</w:t>
      </w:r>
    </w:p>
    <w:p w14:paraId="0E04622F" w14:textId="6DC48AA8" w:rsidR="00580480" w:rsidRPr="00FA020C" w:rsidRDefault="006834A3" w:rsidP="00FA020C">
      <w:pPr>
        <w:pStyle w:val="Legenda"/>
        <w:keepNext/>
        <w:spacing w:before="0"/>
        <w:rPr>
          <w:rFonts w:cs="Arial"/>
          <w:b/>
          <w:i w:val="0"/>
          <w:color w:val="auto"/>
          <w:sz w:val="20"/>
          <w:szCs w:val="20"/>
          <w:lang w:val="en-GB"/>
        </w:rPr>
      </w:pPr>
      <w:r>
        <w:rPr>
          <w:rFonts w:cs="Arial"/>
          <w:b/>
          <w:i w:val="0"/>
          <w:color w:val="auto"/>
          <w:sz w:val="20"/>
          <w:szCs w:val="20"/>
          <w:lang w:val="en-GB"/>
        </w:rPr>
        <w:lastRenderedPageBreak/>
        <w:t xml:space="preserve">Figure 1. </w:t>
      </w:r>
      <w:r w:rsidRPr="006834A3">
        <w:rPr>
          <w:rFonts w:cs="Arial"/>
          <w:b/>
          <w:i w:val="0"/>
          <w:color w:val="auto"/>
          <w:sz w:val="20"/>
          <w:szCs w:val="20"/>
          <w:lang w:val="en-GB"/>
        </w:rPr>
        <w:t>T</w:t>
      </w:r>
      <w:r>
        <w:rPr>
          <w:rFonts w:cs="Arial"/>
          <w:b/>
          <w:i w:val="0"/>
          <w:color w:val="auto"/>
          <w:sz w:val="20"/>
          <w:szCs w:val="20"/>
          <w:lang w:val="en-GB"/>
        </w:rPr>
        <w:t>he current account</w:t>
      </w:r>
      <w:r w:rsidR="00356702">
        <w:rPr>
          <w:rFonts w:cs="Arial"/>
          <w:b/>
          <w:i w:val="0"/>
          <w:color w:val="auto"/>
          <w:sz w:val="20"/>
          <w:szCs w:val="20"/>
          <w:lang w:val="en-GB"/>
        </w:rPr>
        <w:t xml:space="preserve"> balance</w:t>
      </w:r>
      <w:r>
        <w:rPr>
          <w:rFonts w:cs="Arial"/>
          <w:b/>
          <w:i w:val="0"/>
          <w:color w:val="auto"/>
          <w:sz w:val="20"/>
          <w:szCs w:val="20"/>
          <w:lang w:val="en-GB"/>
        </w:rPr>
        <w:t xml:space="preserve"> befo</w:t>
      </w:r>
      <w:r w:rsidRPr="006834A3">
        <w:rPr>
          <w:rFonts w:cs="Arial"/>
          <w:b/>
          <w:i w:val="0"/>
          <w:color w:val="auto"/>
          <w:sz w:val="20"/>
          <w:szCs w:val="20"/>
          <w:lang w:val="en-GB"/>
        </w:rPr>
        <w:t>r</w:t>
      </w:r>
      <w:r>
        <w:rPr>
          <w:rFonts w:cs="Arial"/>
          <w:b/>
          <w:i w:val="0"/>
          <w:color w:val="auto"/>
          <w:sz w:val="20"/>
          <w:szCs w:val="20"/>
          <w:lang w:val="en-GB"/>
        </w:rPr>
        <w:t xml:space="preserve">e and </w:t>
      </w:r>
      <w:r w:rsidRPr="006834A3">
        <w:rPr>
          <w:rFonts w:cs="Arial"/>
          <w:b/>
          <w:i w:val="0"/>
          <w:color w:val="auto"/>
          <w:sz w:val="20"/>
          <w:szCs w:val="20"/>
          <w:lang w:val="en-GB"/>
        </w:rPr>
        <w:t xml:space="preserve">after </w:t>
      </w:r>
      <w:r w:rsidR="00326AAB">
        <w:rPr>
          <w:rFonts w:cs="Arial"/>
          <w:b/>
          <w:i w:val="0"/>
          <w:color w:val="auto"/>
          <w:sz w:val="20"/>
          <w:szCs w:val="20"/>
          <w:lang w:val="en-GB"/>
        </w:rPr>
        <w:t>the revision</w:t>
      </w:r>
      <w:r w:rsidRPr="006834A3" w:rsidDel="006834A3">
        <w:rPr>
          <w:rFonts w:cs="Arial"/>
          <w:b/>
          <w:i w:val="0"/>
          <w:color w:val="auto"/>
          <w:sz w:val="20"/>
          <w:szCs w:val="20"/>
          <w:lang w:val="en-GB"/>
        </w:rPr>
        <w:t xml:space="preserve"> </w:t>
      </w:r>
    </w:p>
    <w:p w14:paraId="593751F4" w14:textId="6BE82B26" w:rsidR="00580480" w:rsidRDefault="00EE080A" w:rsidP="00580480">
      <w:pPr>
        <w:rPr>
          <w:lang w:val="en-GB"/>
        </w:rPr>
      </w:pPr>
      <w:r w:rsidRPr="00EE080A">
        <w:rPr>
          <w:noProof/>
          <w:lang w:eastAsia="pl-PL"/>
        </w:rPr>
        <w:drawing>
          <wp:inline distT="0" distB="0" distL="0" distR="0" wp14:anchorId="40470620" wp14:editId="2A94772D">
            <wp:extent cx="5760720" cy="3218886"/>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218886"/>
                    </a:xfrm>
                    <a:prstGeom prst="rect">
                      <a:avLst/>
                    </a:prstGeom>
                  </pic:spPr>
                </pic:pic>
              </a:graphicData>
            </a:graphic>
          </wp:inline>
        </w:drawing>
      </w:r>
    </w:p>
    <w:p w14:paraId="221988B9" w14:textId="7FF53384" w:rsidR="006834A3" w:rsidRPr="00FA020C" w:rsidRDefault="006834A3" w:rsidP="00FA020C">
      <w:pPr>
        <w:rPr>
          <w:rFonts w:cs="Arial"/>
          <w:sz w:val="20"/>
          <w:szCs w:val="20"/>
          <w:lang w:val="en-GB"/>
        </w:rPr>
      </w:pPr>
      <w:r w:rsidRPr="00EC5F5A">
        <w:rPr>
          <w:rFonts w:cs="Arial"/>
          <w:sz w:val="20"/>
          <w:szCs w:val="20"/>
          <w:lang w:val="en-GB"/>
        </w:rPr>
        <w:t>Source:</w:t>
      </w:r>
      <w:r w:rsidR="00EE080A">
        <w:rPr>
          <w:rFonts w:cs="Arial"/>
          <w:sz w:val="20"/>
          <w:szCs w:val="20"/>
          <w:lang w:val="en-GB"/>
        </w:rPr>
        <w:t xml:space="preserve"> </w:t>
      </w:r>
      <w:r w:rsidR="00356702">
        <w:rPr>
          <w:rFonts w:cs="Arial"/>
          <w:sz w:val="20"/>
          <w:szCs w:val="20"/>
          <w:lang w:val="en-GB"/>
        </w:rPr>
        <w:t>Thomsen and Winther (2016)</w:t>
      </w:r>
    </w:p>
    <w:p w14:paraId="54145413" w14:textId="44EC90CA" w:rsidR="00AA178D" w:rsidRPr="00A21915" w:rsidRDefault="001F312F" w:rsidP="00FA020C">
      <w:pPr>
        <w:rPr>
          <w:lang w:val="en-GB"/>
        </w:rPr>
      </w:pPr>
      <w:r w:rsidRPr="00A21915">
        <w:rPr>
          <w:lang w:val="en-GB"/>
        </w:rPr>
        <w:t xml:space="preserve">The analysis </w:t>
      </w:r>
      <w:r w:rsidR="001C461B" w:rsidRPr="00A21915">
        <w:rPr>
          <w:lang w:val="en-GB"/>
        </w:rPr>
        <w:t>taught us</w:t>
      </w:r>
      <w:r w:rsidRPr="00A21915">
        <w:rPr>
          <w:lang w:val="en-GB"/>
        </w:rPr>
        <w:t xml:space="preserve"> that multinational companies </w:t>
      </w:r>
      <w:r w:rsidR="001C461B" w:rsidRPr="00A21915">
        <w:rPr>
          <w:lang w:val="en-GB"/>
        </w:rPr>
        <w:t>tend</w:t>
      </w:r>
      <w:r w:rsidRPr="00A21915">
        <w:rPr>
          <w:lang w:val="en-GB"/>
        </w:rPr>
        <w:t xml:space="preserve"> </w:t>
      </w:r>
      <w:r w:rsidR="001C461B" w:rsidRPr="00A21915">
        <w:rPr>
          <w:lang w:val="en-GB"/>
        </w:rPr>
        <w:t xml:space="preserve">not </w:t>
      </w:r>
      <w:r w:rsidRPr="00A21915">
        <w:rPr>
          <w:lang w:val="en-GB"/>
        </w:rPr>
        <w:t xml:space="preserve">to include all their foreign activities when reporting to Statistics Denmark. Intra-group trade is often disregarded. </w:t>
      </w:r>
      <w:r w:rsidR="001C461B" w:rsidRPr="00A21915">
        <w:rPr>
          <w:lang w:val="en-GB"/>
        </w:rPr>
        <w:t>Moreover</w:t>
      </w:r>
      <w:r w:rsidRPr="00A21915">
        <w:rPr>
          <w:lang w:val="en-GB"/>
        </w:rPr>
        <w:t xml:space="preserve">, multinational companies </w:t>
      </w:r>
      <w:r w:rsidR="001C461B">
        <w:rPr>
          <w:lang w:val="en-GB"/>
        </w:rPr>
        <w:t>typically</w:t>
      </w:r>
      <w:r w:rsidRPr="00A21915">
        <w:rPr>
          <w:lang w:val="en-GB"/>
        </w:rPr>
        <w:t xml:space="preserve"> find it difficult to distinguish between ‘own goods’ and ‘</w:t>
      </w:r>
      <w:r w:rsidR="00DC1ABF">
        <w:rPr>
          <w:lang w:val="en-GB"/>
        </w:rPr>
        <w:t xml:space="preserve">commercial </w:t>
      </w:r>
      <w:r w:rsidRPr="00A21915">
        <w:rPr>
          <w:lang w:val="en-GB"/>
        </w:rPr>
        <w:t>commodities</w:t>
      </w:r>
      <w:r w:rsidR="00DC1ABF">
        <w:rPr>
          <w:lang w:val="en-GB"/>
        </w:rPr>
        <w:t xml:space="preserve"> for resale</w:t>
      </w:r>
      <w:r w:rsidRPr="00A21915">
        <w:rPr>
          <w:lang w:val="en-GB"/>
        </w:rPr>
        <w:t xml:space="preserve">’ as required by the statistics. Viewed from the corporate (group) point of view, all goods produced by subsidiaries are </w:t>
      </w:r>
      <w:r w:rsidR="00E03B6C" w:rsidRPr="00A21915">
        <w:rPr>
          <w:lang w:val="en-GB"/>
        </w:rPr>
        <w:t xml:space="preserve">typically </w:t>
      </w:r>
      <w:r w:rsidRPr="00A21915">
        <w:rPr>
          <w:lang w:val="en-GB"/>
        </w:rPr>
        <w:t>regarded as ‘own goods’. Statistically, goods purchased and resold without further processing are ‘</w:t>
      </w:r>
      <w:r w:rsidR="00DC1ABF">
        <w:rPr>
          <w:lang w:val="en-GB"/>
        </w:rPr>
        <w:t xml:space="preserve">commercial </w:t>
      </w:r>
      <w:r w:rsidR="00DC1ABF" w:rsidRPr="00A21915">
        <w:rPr>
          <w:lang w:val="en-GB"/>
        </w:rPr>
        <w:t>commodities</w:t>
      </w:r>
      <w:r w:rsidR="00DC1ABF">
        <w:rPr>
          <w:lang w:val="en-GB"/>
        </w:rPr>
        <w:t xml:space="preserve"> for resale</w:t>
      </w:r>
      <w:r w:rsidR="001C461B" w:rsidRPr="00A21915">
        <w:rPr>
          <w:lang w:val="en-GB"/>
        </w:rPr>
        <w:t>’. Thus</w:t>
      </w:r>
      <w:r w:rsidRPr="00A21915">
        <w:rPr>
          <w:lang w:val="en-GB"/>
        </w:rPr>
        <w:t xml:space="preserve">, the analysis made clear that </w:t>
      </w:r>
      <w:r w:rsidR="00AA178D" w:rsidRPr="00A21915">
        <w:rPr>
          <w:lang w:val="en-GB"/>
        </w:rPr>
        <w:t>actions had</w:t>
      </w:r>
      <w:r w:rsidR="00726FF0" w:rsidRPr="00A21915">
        <w:rPr>
          <w:lang w:val="en-GB"/>
        </w:rPr>
        <w:t xml:space="preserve"> to be taken to</w:t>
      </w:r>
      <w:r w:rsidRPr="00A21915">
        <w:rPr>
          <w:lang w:val="en-GB"/>
        </w:rPr>
        <w:t xml:space="preserve"> ensure quality of </w:t>
      </w:r>
      <w:r w:rsidR="000D5735" w:rsidRPr="00A21915">
        <w:rPr>
          <w:lang w:val="en-GB"/>
        </w:rPr>
        <w:t xml:space="preserve">the </w:t>
      </w:r>
      <w:r w:rsidRPr="00A21915">
        <w:rPr>
          <w:lang w:val="en-GB"/>
        </w:rPr>
        <w:t>indicators that measure economic globalisation.</w:t>
      </w:r>
      <w:r w:rsidR="001C461B" w:rsidRPr="00A21915">
        <w:rPr>
          <w:lang w:val="en-GB"/>
        </w:rPr>
        <w:t xml:space="preserve"> </w:t>
      </w:r>
      <w:r w:rsidR="001C461B">
        <w:rPr>
          <w:lang w:val="en-GB"/>
        </w:rPr>
        <w:t>Also, s</w:t>
      </w:r>
      <w:r w:rsidRPr="00A21915">
        <w:rPr>
          <w:lang w:val="en-GB"/>
        </w:rPr>
        <w:t>ince the largest companies make up the lion’s share of the activity focus has to be put here.</w:t>
      </w:r>
      <w:r w:rsidR="00116ACE" w:rsidRPr="00A21915">
        <w:rPr>
          <w:lang w:val="en-GB"/>
        </w:rPr>
        <w:t xml:space="preserve"> </w:t>
      </w:r>
    </w:p>
    <w:p w14:paraId="65D748C8" w14:textId="5A4B70A2" w:rsidR="000A2CCD" w:rsidRPr="00A21915" w:rsidRDefault="00B94009" w:rsidP="00FA020C">
      <w:pPr>
        <w:rPr>
          <w:lang w:val="en-GB"/>
        </w:rPr>
      </w:pPr>
      <w:r w:rsidRPr="00A21915">
        <w:rPr>
          <w:lang w:val="en-GB"/>
        </w:rPr>
        <w:t>T</w:t>
      </w:r>
      <w:r>
        <w:rPr>
          <w:lang w:val="en-GB"/>
        </w:rPr>
        <w:t>hus</w:t>
      </w:r>
      <w:r w:rsidR="001C461B">
        <w:rPr>
          <w:lang w:val="en-GB"/>
        </w:rPr>
        <w:t>, t</w:t>
      </w:r>
      <w:r w:rsidR="000A2CCD" w:rsidRPr="00A21915">
        <w:rPr>
          <w:lang w:val="en-GB"/>
        </w:rPr>
        <w:t xml:space="preserve">o make sure that data reported by the companies is adequate </w:t>
      </w:r>
      <w:r>
        <w:rPr>
          <w:lang w:val="en-GB"/>
        </w:rPr>
        <w:t>we need to make some changes</w:t>
      </w:r>
      <w:r w:rsidR="000A2CCD" w:rsidRPr="00A21915">
        <w:rPr>
          <w:lang w:val="en-GB"/>
        </w:rPr>
        <w:t xml:space="preserve">. </w:t>
      </w:r>
      <w:r w:rsidR="001F3B7E" w:rsidRPr="00A21915">
        <w:rPr>
          <w:lang w:val="en-GB"/>
        </w:rPr>
        <w:t>First</w:t>
      </w:r>
      <w:r w:rsidR="00116ACE" w:rsidRPr="00A21915">
        <w:rPr>
          <w:lang w:val="en-GB"/>
        </w:rPr>
        <w:t xml:space="preserve">, </w:t>
      </w:r>
      <w:r w:rsidR="001F3B7E" w:rsidRPr="00D86E2C">
        <w:rPr>
          <w:lang w:val="en-GB"/>
        </w:rPr>
        <w:t xml:space="preserve">we need to change our production processes </w:t>
      </w:r>
      <w:r w:rsidR="001F3B7E">
        <w:rPr>
          <w:lang w:val="en-GB"/>
        </w:rPr>
        <w:t>at</w:t>
      </w:r>
      <w:r w:rsidR="001F3B7E" w:rsidRPr="00D86E2C">
        <w:rPr>
          <w:lang w:val="en-GB"/>
        </w:rPr>
        <w:t xml:space="preserve"> Statistics Denmark. The analysis showed that we need to analyse data for the largest companies in depth more systematically, which includes looking at data across statistical domains. By doing that we may be able to detect flaws and misunderstandings in reported data that otherwise may look correct when looking at it isolated within one statistics.</w:t>
      </w:r>
      <w:r w:rsidR="00E50CDB" w:rsidRPr="00A21915">
        <w:rPr>
          <w:lang w:val="en-GB"/>
        </w:rPr>
        <w:t xml:space="preserve"> </w:t>
      </w:r>
    </w:p>
    <w:p w14:paraId="6E5EAC17" w14:textId="51B1EB20" w:rsidR="001F3B7E" w:rsidRDefault="00116ACE" w:rsidP="00FA020C">
      <w:pPr>
        <w:rPr>
          <w:lang w:val="en-GB"/>
        </w:rPr>
      </w:pPr>
      <w:r w:rsidRPr="00A21915">
        <w:rPr>
          <w:lang w:val="en-GB"/>
        </w:rPr>
        <w:lastRenderedPageBreak/>
        <w:t xml:space="preserve">Secondly, </w:t>
      </w:r>
      <w:r w:rsidR="001F3B7E" w:rsidRPr="00D86E2C">
        <w:rPr>
          <w:lang w:val="en-GB"/>
        </w:rPr>
        <w:t xml:space="preserve">we have to improve our communication with the companies. We need to make sure that they understand what they have to provide data on and thus be clearer on what the statistical concepts cover. Also, we need to clarify how certain variables and concepts are related to each other. Hence, a more direct contact with the companies is needed to understand their business models so we are able to guide them when reporting to us – this includes getting a better understanding of how business variables are related to statistical variables.  </w:t>
      </w:r>
    </w:p>
    <w:p w14:paraId="45F10ED2" w14:textId="696C5593" w:rsidR="00AA1036" w:rsidRPr="00A21915" w:rsidRDefault="0045437A" w:rsidP="00FA020C">
      <w:pPr>
        <w:rPr>
          <w:lang w:val="en-GB"/>
        </w:rPr>
      </w:pPr>
      <w:r>
        <w:rPr>
          <w:lang w:val="en-GB"/>
        </w:rPr>
        <w:t>T</w:t>
      </w:r>
      <w:r w:rsidRPr="00D86E2C">
        <w:rPr>
          <w:lang w:val="en-GB"/>
        </w:rPr>
        <w:t xml:space="preserve">o ensure </w:t>
      </w:r>
      <w:r>
        <w:rPr>
          <w:lang w:val="en-GB"/>
        </w:rPr>
        <w:t xml:space="preserve">the </w:t>
      </w:r>
      <w:r w:rsidRPr="00D86E2C">
        <w:rPr>
          <w:lang w:val="en-GB"/>
        </w:rPr>
        <w:t xml:space="preserve">quality of the </w:t>
      </w:r>
      <w:r w:rsidR="00FE7F31">
        <w:rPr>
          <w:lang w:val="en-GB"/>
        </w:rPr>
        <w:t xml:space="preserve">balance of </w:t>
      </w:r>
      <w:r w:rsidR="000D1C06">
        <w:rPr>
          <w:lang w:val="en-GB"/>
        </w:rPr>
        <w:t>payments</w:t>
      </w:r>
      <w:r>
        <w:rPr>
          <w:lang w:val="en-GB"/>
        </w:rPr>
        <w:t xml:space="preserve"> we have initiated</w:t>
      </w:r>
      <w:r w:rsidR="001F3B7E">
        <w:rPr>
          <w:lang w:val="en-GB"/>
        </w:rPr>
        <w:t xml:space="preserve"> several measures </w:t>
      </w:r>
      <w:r>
        <w:rPr>
          <w:lang w:val="en-GB"/>
        </w:rPr>
        <w:t>at External Economy at Statistics Denmark</w:t>
      </w:r>
      <w:r w:rsidR="001F3B7E">
        <w:rPr>
          <w:lang w:val="en-GB"/>
        </w:rPr>
        <w:t xml:space="preserve">. </w:t>
      </w:r>
      <w:r w:rsidR="00590CFA">
        <w:rPr>
          <w:lang w:val="en-GB"/>
        </w:rPr>
        <w:t>It</w:t>
      </w:r>
      <w:r>
        <w:rPr>
          <w:lang w:val="en-GB"/>
        </w:rPr>
        <w:t xml:space="preserve"> entails changes to our validation process</w:t>
      </w:r>
      <w:r w:rsidR="00590CFA">
        <w:rPr>
          <w:lang w:val="en-GB"/>
        </w:rPr>
        <w:t>es</w:t>
      </w:r>
      <w:r>
        <w:rPr>
          <w:lang w:val="en-GB"/>
        </w:rPr>
        <w:t xml:space="preserve">, our organisational structure as well as our collaboration with other statistical domains. </w:t>
      </w:r>
      <w:r w:rsidR="001F3B7E">
        <w:rPr>
          <w:lang w:val="en-GB"/>
        </w:rPr>
        <w:t>M</w:t>
      </w:r>
      <w:r w:rsidR="003C61E0" w:rsidRPr="00A21915">
        <w:rPr>
          <w:lang w:val="en-GB"/>
        </w:rPr>
        <w:t xml:space="preserve">ore focus </w:t>
      </w:r>
      <w:r w:rsidR="001F3B7E">
        <w:rPr>
          <w:lang w:val="en-GB"/>
        </w:rPr>
        <w:t>is</w:t>
      </w:r>
      <w:r w:rsidR="003C61E0" w:rsidRPr="00A21915">
        <w:rPr>
          <w:lang w:val="en-GB"/>
        </w:rPr>
        <w:t xml:space="preserve"> put on the</w:t>
      </w:r>
      <w:r w:rsidR="001F3B7E">
        <w:rPr>
          <w:lang w:val="en-GB"/>
        </w:rPr>
        <w:t xml:space="preserve"> largest companies and their reporting of global production activities – especially merchanting and processing activities. </w:t>
      </w:r>
    </w:p>
    <w:p w14:paraId="0A91BA16" w14:textId="6E7CE747" w:rsidR="005C74E0" w:rsidRPr="00A21915" w:rsidRDefault="005C74E0" w:rsidP="00FA020C">
      <w:pPr>
        <w:pStyle w:val="Nagwek1"/>
      </w:pPr>
      <w:r w:rsidRPr="00A21915">
        <w:t xml:space="preserve">2. </w:t>
      </w:r>
      <w:r w:rsidR="004B354F" w:rsidRPr="00A21915">
        <w:t>Understanding our indicators of global production</w:t>
      </w:r>
      <w:r w:rsidR="002B2DF1">
        <w:rPr>
          <w:rStyle w:val="Odwoanieprzypisudolnego"/>
          <w:b w:val="0"/>
        </w:rPr>
        <w:footnoteReference w:id="1"/>
      </w:r>
    </w:p>
    <w:p w14:paraId="139CA028" w14:textId="3674CE77" w:rsidR="00353930" w:rsidRPr="00A21915" w:rsidRDefault="00080212" w:rsidP="00FA020C">
      <w:pPr>
        <w:rPr>
          <w:lang w:val="en-GB"/>
        </w:rPr>
      </w:pPr>
      <w:r w:rsidRPr="00A21915">
        <w:rPr>
          <w:lang w:val="en-GB"/>
        </w:rPr>
        <w:t xml:space="preserve">Around a sixth of Danish </w:t>
      </w:r>
      <w:r w:rsidR="00DC1ABF">
        <w:rPr>
          <w:lang w:val="en-GB"/>
        </w:rPr>
        <w:t xml:space="preserve">goods </w:t>
      </w:r>
      <w:r w:rsidRPr="00A21915">
        <w:rPr>
          <w:lang w:val="en-GB"/>
        </w:rPr>
        <w:t>export</w:t>
      </w:r>
      <w:r w:rsidR="00B94009">
        <w:rPr>
          <w:lang w:val="en-GB"/>
        </w:rPr>
        <w:t>s</w:t>
      </w:r>
      <w:r w:rsidRPr="00A21915">
        <w:rPr>
          <w:lang w:val="en-GB"/>
        </w:rPr>
        <w:t xml:space="preserve"> take place outside Danish </w:t>
      </w:r>
      <w:r w:rsidR="00B94009">
        <w:rPr>
          <w:lang w:val="en-GB"/>
        </w:rPr>
        <w:t>border</w:t>
      </w:r>
      <w:r w:rsidRPr="00A21915">
        <w:rPr>
          <w:lang w:val="en-GB"/>
        </w:rPr>
        <w:t xml:space="preserve">s. This export should by definition be included in the </w:t>
      </w:r>
      <w:r w:rsidR="000D1C06">
        <w:rPr>
          <w:lang w:val="en-GB"/>
        </w:rPr>
        <w:t>balance of payments</w:t>
      </w:r>
      <w:r w:rsidRPr="00A21915">
        <w:rPr>
          <w:lang w:val="en-GB"/>
        </w:rPr>
        <w:t xml:space="preserve">. </w:t>
      </w:r>
      <w:r w:rsidR="00BE2DB6" w:rsidRPr="00A21915">
        <w:rPr>
          <w:lang w:val="en-GB"/>
        </w:rPr>
        <w:t>Danish export</w:t>
      </w:r>
      <w:r w:rsidR="00B17026">
        <w:rPr>
          <w:lang w:val="en-GB"/>
        </w:rPr>
        <w:t>s</w:t>
      </w:r>
      <w:r w:rsidR="00BE2DB6" w:rsidRPr="00A21915">
        <w:rPr>
          <w:lang w:val="en-GB"/>
        </w:rPr>
        <w:t xml:space="preserve"> outside Danish </w:t>
      </w:r>
      <w:r w:rsidR="00B94009">
        <w:rPr>
          <w:lang w:val="en-GB"/>
        </w:rPr>
        <w:t>border</w:t>
      </w:r>
      <w:r w:rsidR="00B17026">
        <w:rPr>
          <w:lang w:val="en-GB"/>
        </w:rPr>
        <w:t>s</w:t>
      </w:r>
      <w:r w:rsidR="00BE2DB6" w:rsidRPr="00A21915">
        <w:rPr>
          <w:lang w:val="en-GB"/>
        </w:rPr>
        <w:t xml:space="preserve"> can take two forms – </w:t>
      </w:r>
      <w:r w:rsidR="00BE2DB6" w:rsidRPr="00353F18">
        <w:rPr>
          <w:i/>
          <w:lang w:val="en-GB"/>
        </w:rPr>
        <w:t>Merchanting</w:t>
      </w:r>
      <w:r w:rsidR="00DC1ABF">
        <w:rPr>
          <w:lang w:val="en-GB"/>
        </w:rPr>
        <w:t xml:space="preserve"> which covers commercial </w:t>
      </w:r>
      <w:r w:rsidR="00DC1ABF" w:rsidRPr="00A21915">
        <w:rPr>
          <w:lang w:val="en-GB"/>
        </w:rPr>
        <w:t>commodities</w:t>
      </w:r>
      <w:r w:rsidR="00DC1ABF">
        <w:rPr>
          <w:lang w:val="en-GB"/>
        </w:rPr>
        <w:t xml:space="preserve"> for resale</w:t>
      </w:r>
      <w:r w:rsidR="00BE2DB6" w:rsidRPr="00A21915">
        <w:rPr>
          <w:lang w:val="en-GB"/>
        </w:rPr>
        <w:t xml:space="preserve"> or </w:t>
      </w:r>
      <w:r w:rsidR="00BE2DB6" w:rsidRPr="00353F18">
        <w:rPr>
          <w:i/>
          <w:lang w:val="en-GB"/>
        </w:rPr>
        <w:t>Processing</w:t>
      </w:r>
      <w:r w:rsidR="00DC1ABF">
        <w:rPr>
          <w:lang w:val="en-GB"/>
        </w:rPr>
        <w:t xml:space="preserve"> which covers goods sold abroad after processing abroad</w:t>
      </w:r>
      <w:r w:rsidR="00BE2DB6" w:rsidRPr="00A21915">
        <w:rPr>
          <w:lang w:val="en-GB"/>
        </w:rPr>
        <w:t>.</w:t>
      </w:r>
    </w:p>
    <w:p w14:paraId="7AB8E0EA" w14:textId="3F3C6E96" w:rsidR="004B354F" w:rsidRPr="00A21915" w:rsidRDefault="004B354F" w:rsidP="00FA020C">
      <w:pPr>
        <w:rPr>
          <w:rFonts w:cs="Arial"/>
          <w:szCs w:val="24"/>
          <w:lang w:val="en-GB"/>
        </w:rPr>
      </w:pPr>
      <w:r w:rsidRPr="00A21915">
        <w:rPr>
          <w:rFonts w:cs="Arial"/>
          <w:i/>
          <w:szCs w:val="24"/>
          <w:lang w:val="en-GB"/>
        </w:rPr>
        <w:t>Merchanting</w:t>
      </w:r>
      <w:r w:rsidRPr="00A21915">
        <w:rPr>
          <w:rFonts w:cs="Arial"/>
          <w:szCs w:val="24"/>
          <w:lang w:val="en-GB"/>
        </w:rPr>
        <w:t xml:space="preserve"> is a common practice in the international organisation of production carried out by multinational corporations. The example in Figure </w:t>
      </w:r>
      <w:r w:rsidR="006834A3">
        <w:rPr>
          <w:rFonts w:cs="Arial"/>
          <w:szCs w:val="24"/>
          <w:lang w:val="en-GB"/>
        </w:rPr>
        <w:t>2</w:t>
      </w:r>
      <w:r w:rsidRPr="00A21915">
        <w:rPr>
          <w:rFonts w:cs="Arial"/>
          <w:szCs w:val="24"/>
          <w:lang w:val="en-GB"/>
        </w:rPr>
        <w:t xml:space="preserve"> demonstrates a Danish parent company purchasing products from their Chinese foreign affiliate. The products are sold unaltered to an American customer, and subsequently sent directly from China to the US, never crossing Da</w:t>
      </w:r>
      <w:r w:rsidRPr="00A21915">
        <w:rPr>
          <w:rFonts w:cs="Arial"/>
          <w:szCs w:val="24"/>
          <w:lang w:val="en-GB"/>
        </w:rPr>
        <w:softHyphen/>
        <w:t xml:space="preserve">nish borders. The profit earned by the Danish parent company (the selling price received in America minus the acquisition price paid for the goods in China) is included in Denmark’s </w:t>
      </w:r>
      <w:r w:rsidR="00FE7F31">
        <w:rPr>
          <w:rFonts w:cs="Arial"/>
          <w:szCs w:val="24"/>
          <w:lang w:val="en-GB"/>
        </w:rPr>
        <w:t xml:space="preserve">balance of </w:t>
      </w:r>
      <w:r w:rsidR="000D1C06">
        <w:rPr>
          <w:rFonts w:cs="Arial"/>
          <w:szCs w:val="24"/>
          <w:lang w:val="en-GB"/>
        </w:rPr>
        <w:t>payments</w:t>
      </w:r>
      <w:r w:rsidRPr="00A21915">
        <w:rPr>
          <w:rFonts w:cs="Arial"/>
          <w:szCs w:val="24"/>
          <w:lang w:val="en-GB"/>
        </w:rPr>
        <w:t>, recorded as merchanting products exported to the US.</w:t>
      </w:r>
    </w:p>
    <w:p w14:paraId="21996EAA" w14:textId="0C6B4730" w:rsidR="004B354F" w:rsidRPr="00A21915" w:rsidRDefault="004B354F" w:rsidP="00FA020C">
      <w:pPr>
        <w:pStyle w:val="Tabeloverskrift"/>
        <w:tabs>
          <w:tab w:val="left" w:pos="993"/>
          <w:tab w:val="left" w:pos="4253"/>
        </w:tabs>
        <w:spacing w:before="0" w:after="200" w:line="240" w:lineRule="auto"/>
        <w:rPr>
          <w:rFonts w:ascii="Arial" w:eastAsiaTheme="minorHAnsi" w:hAnsi="Arial" w:cs="Arial"/>
          <w:iCs/>
          <w:sz w:val="20"/>
          <w:lang w:val="en-GB" w:eastAsia="en-US"/>
        </w:rPr>
      </w:pPr>
      <w:r w:rsidRPr="00A21915">
        <w:rPr>
          <w:rFonts w:ascii="Arial" w:eastAsiaTheme="minorHAnsi" w:hAnsi="Arial" w:cs="Arial"/>
          <w:iCs/>
          <w:sz w:val="20"/>
          <w:lang w:val="en-GB" w:eastAsia="en-US"/>
        </w:rPr>
        <w:lastRenderedPageBreak/>
        <w:t xml:space="preserve">Figure </w:t>
      </w:r>
      <w:r w:rsidR="006834A3">
        <w:rPr>
          <w:rFonts w:ascii="Arial" w:eastAsiaTheme="minorHAnsi" w:hAnsi="Arial" w:cs="Arial"/>
          <w:iCs/>
          <w:sz w:val="20"/>
          <w:lang w:val="en-GB" w:eastAsia="en-US"/>
        </w:rPr>
        <w:t>2</w:t>
      </w:r>
      <w:r w:rsidR="00353930" w:rsidRPr="00A21915">
        <w:rPr>
          <w:rFonts w:ascii="Arial" w:eastAsiaTheme="minorHAnsi" w:hAnsi="Arial" w:cs="Arial"/>
          <w:iCs/>
          <w:sz w:val="20"/>
          <w:lang w:val="en-GB" w:eastAsia="en-US"/>
        </w:rPr>
        <w:t>.</w:t>
      </w:r>
      <w:r w:rsidRPr="00A21915">
        <w:rPr>
          <w:rFonts w:ascii="Arial" w:eastAsiaTheme="minorHAnsi" w:hAnsi="Arial" w:cs="Arial"/>
          <w:iCs/>
          <w:sz w:val="20"/>
          <w:lang w:val="en-GB" w:eastAsia="en-US"/>
        </w:rPr>
        <w:tab/>
        <w:t>Merchanting – ‘goods for resale’</w:t>
      </w:r>
    </w:p>
    <w:p w14:paraId="16373AC4" w14:textId="77777777" w:rsidR="004B354F" w:rsidRPr="00A21915" w:rsidRDefault="004B354F" w:rsidP="004B354F">
      <w:pPr>
        <w:pBdr>
          <w:top w:val="single" w:sz="6" w:space="1" w:color="0091D4"/>
          <w:bottom w:val="single" w:sz="6" w:space="1" w:color="0091D4"/>
        </w:pBdr>
        <w:rPr>
          <w:noProof/>
          <w:lang w:val="en-GB"/>
        </w:rPr>
      </w:pPr>
      <w:r w:rsidRPr="00A21915">
        <w:rPr>
          <w:noProof/>
          <w:lang w:eastAsia="pl-PL"/>
        </w:rPr>
        <w:drawing>
          <wp:inline distT="0" distB="0" distL="0" distR="0" wp14:anchorId="365299DE" wp14:editId="19E5AC39">
            <wp:extent cx="5399999" cy="2903906"/>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eksport_UK_Merchanting - -handelsvarer-_blå.png"/>
                    <pic:cNvPicPr/>
                  </pic:nvPicPr>
                  <pic:blipFill>
                    <a:blip r:embed="rId9">
                      <a:extLst>
                        <a:ext uri="{28A0092B-C50C-407E-A947-70E740481C1C}">
                          <a14:useLocalDpi xmlns:a14="http://schemas.microsoft.com/office/drawing/2010/main" val="0"/>
                        </a:ext>
                      </a:extLst>
                    </a:blip>
                    <a:stretch>
                      <a:fillRect/>
                    </a:stretch>
                  </pic:blipFill>
                  <pic:spPr>
                    <a:xfrm>
                      <a:off x="0" y="0"/>
                      <a:ext cx="5399999" cy="2903906"/>
                    </a:xfrm>
                    <a:prstGeom prst="rect">
                      <a:avLst/>
                    </a:prstGeom>
                  </pic:spPr>
                </pic:pic>
              </a:graphicData>
            </a:graphic>
          </wp:inline>
        </w:drawing>
      </w:r>
    </w:p>
    <w:p w14:paraId="453978A7" w14:textId="04689821" w:rsidR="006834A3" w:rsidRPr="00EC1906" w:rsidRDefault="006834A3" w:rsidP="006834A3">
      <w:pPr>
        <w:rPr>
          <w:rFonts w:cs="Arial"/>
          <w:sz w:val="20"/>
          <w:szCs w:val="20"/>
          <w:lang w:val="en-GB"/>
        </w:rPr>
      </w:pPr>
      <w:r w:rsidRPr="00EC5F5A">
        <w:rPr>
          <w:rFonts w:cs="Arial"/>
          <w:sz w:val="20"/>
          <w:szCs w:val="20"/>
          <w:lang w:val="en-GB"/>
        </w:rPr>
        <w:t>Source:</w:t>
      </w:r>
      <w:r w:rsidR="00DC1ABF">
        <w:rPr>
          <w:rFonts w:cs="Arial"/>
          <w:sz w:val="20"/>
          <w:szCs w:val="20"/>
          <w:lang w:val="en-GB"/>
        </w:rPr>
        <w:t xml:space="preserve"> </w:t>
      </w:r>
      <w:r w:rsidR="00EE080A">
        <w:rPr>
          <w:rFonts w:cs="Arial"/>
          <w:sz w:val="20"/>
          <w:szCs w:val="20"/>
          <w:lang w:val="en-GB"/>
        </w:rPr>
        <w:t>Bo et al. (2018</w:t>
      </w:r>
      <w:r w:rsidR="00EE080A" w:rsidRPr="00EE080A">
        <w:rPr>
          <w:rFonts w:cs="Arial"/>
          <w:sz w:val="20"/>
          <w:szCs w:val="20"/>
          <w:lang w:val="en-GB"/>
        </w:rPr>
        <w:t>)</w:t>
      </w:r>
    </w:p>
    <w:p w14:paraId="3ED62B71" w14:textId="52D04B34" w:rsidR="00353930" w:rsidRPr="00A21915" w:rsidRDefault="00353930" w:rsidP="00FA020C">
      <w:pPr>
        <w:rPr>
          <w:szCs w:val="24"/>
          <w:lang w:val="en-GB"/>
        </w:rPr>
      </w:pPr>
      <w:r w:rsidRPr="00A21915">
        <w:rPr>
          <w:i/>
          <w:szCs w:val="24"/>
          <w:lang w:val="en-GB"/>
        </w:rPr>
        <w:t>Processing</w:t>
      </w:r>
      <w:r w:rsidRPr="00A21915">
        <w:rPr>
          <w:szCs w:val="24"/>
          <w:lang w:val="en-GB"/>
        </w:rPr>
        <w:t xml:space="preserve"> is a</w:t>
      </w:r>
      <w:r w:rsidR="004B354F" w:rsidRPr="00A21915">
        <w:rPr>
          <w:szCs w:val="24"/>
          <w:lang w:val="en-GB"/>
        </w:rPr>
        <w:t xml:space="preserve">nother way by which </w:t>
      </w:r>
      <w:r w:rsidRPr="00A21915">
        <w:rPr>
          <w:szCs w:val="24"/>
          <w:lang w:val="en-GB"/>
        </w:rPr>
        <w:t>multinational corporations organise their production. It</w:t>
      </w:r>
      <w:r w:rsidR="004B354F" w:rsidRPr="00A21915">
        <w:rPr>
          <w:szCs w:val="24"/>
          <w:lang w:val="en-GB"/>
        </w:rPr>
        <w:t xml:space="preserve"> is when Danish businesses let companies abroad manage the manufacturing process of goods that the Danish businesses</w:t>
      </w:r>
      <w:r w:rsidRPr="00A21915">
        <w:rPr>
          <w:szCs w:val="24"/>
          <w:lang w:val="en-GB"/>
        </w:rPr>
        <w:t xml:space="preserve"> deliver (and own)</w:t>
      </w:r>
      <w:r w:rsidR="004B354F" w:rsidRPr="00A21915">
        <w:rPr>
          <w:szCs w:val="24"/>
          <w:lang w:val="en-GB"/>
        </w:rPr>
        <w:t>. Relating this to the previous example, if the Danish parent company chooses not to purchase the processed goods from their Chinese subsidiary (as shown in Fi</w:t>
      </w:r>
      <w:r w:rsidR="004B354F" w:rsidRPr="00A21915">
        <w:rPr>
          <w:szCs w:val="24"/>
          <w:lang w:val="en-GB"/>
        </w:rPr>
        <w:softHyphen/>
        <w:t xml:space="preserve">gure </w:t>
      </w:r>
      <w:r w:rsidR="006834A3">
        <w:rPr>
          <w:szCs w:val="24"/>
          <w:lang w:val="en-GB"/>
        </w:rPr>
        <w:t>2</w:t>
      </w:r>
      <w:r w:rsidR="004B354F" w:rsidRPr="00A21915">
        <w:rPr>
          <w:szCs w:val="24"/>
          <w:lang w:val="en-GB"/>
        </w:rPr>
        <w:t>), but instead chooses to enter a contractual agreement with their subsidiary concerning the processing of goods owned by the Danish company, this would be recorded as a purchase of processing services. Consequently, the same flow of goods will appear differently in statisti</w:t>
      </w:r>
      <w:r w:rsidR="004B354F" w:rsidRPr="00A21915">
        <w:rPr>
          <w:szCs w:val="24"/>
          <w:lang w:val="en-GB"/>
        </w:rPr>
        <w:softHyphen/>
        <w:t>cal records, depending on who owns the goods at the time they are processed.</w:t>
      </w:r>
    </w:p>
    <w:p w14:paraId="394D608C" w14:textId="1BE1EEBF" w:rsidR="004B354F" w:rsidRPr="00A21915" w:rsidRDefault="00080212" w:rsidP="00FA020C">
      <w:pPr>
        <w:rPr>
          <w:szCs w:val="24"/>
          <w:lang w:val="en-GB"/>
        </w:rPr>
      </w:pPr>
      <w:r w:rsidRPr="00A21915">
        <w:rPr>
          <w:szCs w:val="24"/>
          <w:lang w:val="en-GB"/>
        </w:rPr>
        <w:t xml:space="preserve">The example in Figure </w:t>
      </w:r>
      <w:r w:rsidR="006834A3">
        <w:rPr>
          <w:szCs w:val="24"/>
          <w:lang w:val="en-GB"/>
        </w:rPr>
        <w:t>3</w:t>
      </w:r>
      <w:r w:rsidR="004B354F" w:rsidRPr="00A21915">
        <w:rPr>
          <w:szCs w:val="24"/>
          <w:lang w:val="en-GB"/>
        </w:rPr>
        <w:t xml:space="preserve"> shows a processing set-up in which a Danish business owns the pro</w:t>
      </w:r>
      <w:r w:rsidR="004B354F" w:rsidRPr="00A21915">
        <w:rPr>
          <w:szCs w:val="24"/>
          <w:lang w:val="en-GB"/>
        </w:rPr>
        <w:softHyphen/>
        <w:t>ducts throughout a large part of the global value chain. In this example, the Danish parent com</w:t>
      </w:r>
      <w:r w:rsidR="004B354F" w:rsidRPr="00A21915">
        <w:rPr>
          <w:szCs w:val="24"/>
          <w:lang w:val="en-GB"/>
        </w:rPr>
        <w:softHyphen/>
        <w:t>pany purchases goods in both Denmark and Vietnam to be produced in China. The parent company pays the Chinese subsidiary for the aforementioned processing services. As such, the parent company owns the goods throughout the entire production process and sells them first as finished goods to the American customer.</w:t>
      </w:r>
    </w:p>
    <w:p w14:paraId="687DB42C" w14:textId="4590DB98" w:rsidR="004B354F" w:rsidRPr="00A21915" w:rsidRDefault="004B354F" w:rsidP="00FA020C">
      <w:pPr>
        <w:pStyle w:val="Tabeloverskrift"/>
        <w:tabs>
          <w:tab w:val="left" w:pos="993"/>
          <w:tab w:val="left" w:pos="4253"/>
        </w:tabs>
        <w:spacing w:before="0" w:after="200" w:line="240" w:lineRule="auto"/>
        <w:rPr>
          <w:rFonts w:ascii="Arial" w:eastAsiaTheme="minorHAnsi" w:hAnsi="Arial" w:cs="Arial"/>
          <w:iCs/>
          <w:sz w:val="20"/>
          <w:lang w:val="en-GB" w:eastAsia="en-US"/>
        </w:rPr>
      </w:pPr>
      <w:r w:rsidRPr="00A21915">
        <w:rPr>
          <w:rFonts w:ascii="Arial" w:eastAsiaTheme="minorHAnsi" w:hAnsi="Arial" w:cs="Arial"/>
          <w:iCs/>
          <w:sz w:val="20"/>
          <w:lang w:val="en-GB" w:eastAsia="en-US"/>
        </w:rPr>
        <w:lastRenderedPageBreak/>
        <w:t xml:space="preserve">Figure </w:t>
      </w:r>
      <w:r w:rsidR="006834A3">
        <w:rPr>
          <w:rFonts w:ascii="Arial" w:eastAsiaTheme="minorHAnsi" w:hAnsi="Arial" w:cs="Arial"/>
          <w:iCs/>
          <w:sz w:val="20"/>
          <w:lang w:val="en-GB" w:eastAsia="en-US"/>
        </w:rPr>
        <w:t>3</w:t>
      </w:r>
      <w:r w:rsidR="00353930" w:rsidRPr="00A21915">
        <w:rPr>
          <w:rFonts w:ascii="Arial" w:eastAsiaTheme="minorHAnsi" w:hAnsi="Arial" w:cs="Arial"/>
          <w:iCs/>
          <w:sz w:val="20"/>
          <w:lang w:val="en-GB" w:eastAsia="en-US"/>
        </w:rPr>
        <w:t>.</w:t>
      </w:r>
      <w:r w:rsidRPr="00A21915">
        <w:rPr>
          <w:rFonts w:ascii="Arial" w:eastAsiaTheme="minorHAnsi" w:hAnsi="Arial" w:cs="Arial"/>
          <w:iCs/>
          <w:sz w:val="20"/>
          <w:lang w:val="en-GB" w:eastAsia="en-US"/>
        </w:rPr>
        <w:tab/>
        <w:t>Processing</w:t>
      </w:r>
    </w:p>
    <w:p w14:paraId="3975E99B" w14:textId="77777777" w:rsidR="00741CD4" w:rsidRPr="00A21915" w:rsidRDefault="004B354F" w:rsidP="004B354F">
      <w:pPr>
        <w:pBdr>
          <w:top w:val="single" w:sz="6" w:space="1" w:color="0091D4"/>
          <w:bottom w:val="single" w:sz="6" w:space="1" w:color="0091D4"/>
        </w:pBdr>
        <w:rPr>
          <w:rFonts w:cs="Arial"/>
          <w:szCs w:val="24"/>
          <w:lang w:val="en-GB"/>
        </w:rPr>
      </w:pPr>
      <w:r w:rsidRPr="00A21915">
        <w:rPr>
          <w:rFonts w:cs="Arial"/>
          <w:noProof/>
          <w:szCs w:val="24"/>
          <w:lang w:eastAsia="pl-PL"/>
        </w:rPr>
        <w:drawing>
          <wp:inline distT="0" distB="0" distL="0" distR="0" wp14:anchorId="1B0CCC18" wp14:editId="54FE6FD6">
            <wp:extent cx="5399986" cy="2903898"/>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eksport_UK_Forarbejdning_blå.png"/>
                    <pic:cNvPicPr/>
                  </pic:nvPicPr>
                  <pic:blipFill>
                    <a:blip r:embed="rId10">
                      <a:extLst>
                        <a:ext uri="{28A0092B-C50C-407E-A947-70E740481C1C}">
                          <a14:useLocalDpi xmlns:a14="http://schemas.microsoft.com/office/drawing/2010/main" val="0"/>
                        </a:ext>
                      </a:extLst>
                    </a:blip>
                    <a:stretch>
                      <a:fillRect/>
                    </a:stretch>
                  </pic:blipFill>
                  <pic:spPr>
                    <a:xfrm>
                      <a:off x="0" y="0"/>
                      <a:ext cx="5399986" cy="2903898"/>
                    </a:xfrm>
                    <a:prstGeom prst="rect">
                      <a:avLst/>
                    </a:prstGeom>
                  </pic:spPr>
                </pic:pic>
              </a:graphicData>
            </a:graphic>
          </wp:inline>
        </w:drawing>
      </w:r>
    </w:p>
    <w:p w14:paraId="29E30A7A" w14:textId="42CBFF16" w:rsidR="006834A3" w:rsidRPr="00EC1906" w:rsidRDefault="006834A3" w:rsidP="006834A3">
      <w:pPr>
        <w:rPr>
          <w:rFonts w:cs="Arial"/>
          <w:sz w:val="20"/>
          <w:szCs w:val="20"/>
          <w:lang w:val="en-GB"/>
        </w:rPr>
      </w:pPr>
      <w:r w:rsidRPr="00EC5F5A">
        <w:rPr>
          <w:rFonts w:cs="Arial"/>
          <w:sz w:val="20"/>
          <w:szCs w:val="20"/>
          <w:lang w:val="en-GB"/>
        </w:rPr>
        <w:t>Source:</w:t>
      </w:r>
      <w:r w:rsidR="00EE080A">
        <w:rPr>
          <w:rFonts w:cs="Arial"/>
          <w:sz w:val="20"/>
          <w:szCs w:val="20"/>
          <w:lang w:val="en-GB"/>
        </w:rPr>
        <w:t xml:space="preserve"> Bo et al. (2018</w:t>
      </w:r>
      <w:r w:rsidR="00EE080A" w:rsidRPr="00EE080A">
        <w:rPr>
          <w:rFonts w:cs="Arial"/>
          <w:sz w:val="20"/>
          <w:szCs w:val="20"/>
          <w:lang w:val="en-GB"/>
        </w:rPr>
        <w:t>)</w:t>
      </w:r>
    </w:p>
    <w:p w14:paraId="01EA22D2" w14:textId="3793D211" w:rsidR="00AA1036" w:rsidRPr="00A21915" w:rsidRDefault="004B354F" w:rsidP="00FA020C">
      <w:pPr>
        <w:rPr>
          <w:lang w:val="en-GB"/>
        </w:rPr>
      </w:pPr>
      <w:r w:rsidRPr="00A21915">
        <w:rPr>
          <w:lang w:val="en-GB"/>
        </w:rPr>
        <w:t>The payment for processing in the given example is recorded in the statistics for international trade in services as an import of a processing service. This service category covers both payroll and any supplementary purchasing of raw materials undertaken by the foreign business in rela</w:t>
      </w:r>
      <w:r w:rsidRPr="00A21915">
        <w:rPr>
          <w:lang w:val="en-GB"/>
        </w:rPr>
        <w:softHyphen/>
        <w:t xml:space="preserve">tion to the further processing of the Danish goods. The goods purchased by the Danish parent company in Denmark and sent to China are recorded in the statistics for international trade in goods as exports. However, as Danish ownership remains constant and no change to a non-resident occurs, this movement of goods will not be classified as an export in the </w:t>
      </w:r>
      <w:r w:rsidR="00FE7F31">
        <w:rPr>
          <w:lang w:val="en-GB"/>
        </w:rPr>
        <w:t xml:space="preserve">balance of </w:t>
      </w:r>
      <w:r w:rsidR="000D1C06">
        <w:rPr>
          <w:lang w:val="en-GB"/>
        </w:rPr>
        <w:t>payments</w:t>
      </w:r>
      <w:r w:rsidRPr="00A21915">
        <w:rPr>
          <w:lang w:val="en-GB"/>
        </w:rPr>
        <w:t xml:space="preserve">. On the contrary, the goods purchased in Vietnam are not recorded in the statistics for international trade in goods as exports, but are included in the </w:t>
      </w:r>
      <w:r w:rsidR="00FE7F31">
        <w:rPr>
          <w:lang w:val="en-GB"/>
        </w:rPr>
        <w:t xml:space="preserve">balance of </w:t>
      </w:r>
      <w:r w:rsidR="000D1C06">
        <w:rPr>
          <w:lang w:val="en-GB"/>
        </w:rPr>
        <w:t>payments</w:t>
      </w:r>
      <w:r w:rsidRPr="00A21915">
        <w:rPr>
          <w:lang w:val="en-GB"/>
        </w:rPr>
        <w:t xml:space="preserve"> as im</w:t>
      </w:r>
      <w:r w:rsidRPr="00A21915">
        <w:rPr>
          <w:lang w:val="en-GB"/>
        </w:rPr>
        <w:softHyphen/>
        <w:t xml:space="preserve">ported goods, due to the change from Vietnamese to Danish ownership. After processing, the products are sold to the US having never crossed Danish borders. The sale of goods abroad after being processed abroad is recorded as an export in the </w:t>
      </w:r>
      <w:r w:rsidR="00FE7F31">
        <w:rPr>
          <w:lang w:val="en-GB"/>
        </w:rPr>
        <w:t xml:space="preserve">balance of </w:t>
      </w:r>
      <w:r w:rsidR="000D1C06">
        <w:rPr>
          <w:lang w:val="en-GB"/>
        </w:rPr>
        <w:t>payments</w:t>
      </w:r>
      <w:r w:rsidRPr="00A21915">
        <w:rPr>
          <w:lang w:val="en-GB"/>
        </w:rPr>
        <w:t>: it is statisti</w:t>
      </w:r>
      <w:r w:rsidRPr="00A21915">
        <w:rPr>
          <w:lang w:val="en-GB"/>
        </w:rPr>
        <w:softHyphen/>
        <w:t>cally irrelevant whether the goods are processed by a subsidiary or a third party.</w:t>
      </w:r>
    </w:p>
    <w:p w14:paraId="3450BE3F" w14:textId="3773D40F" w:rsidR="005C74E0" w:rsidRPr="00A21915" w:rsidRDefault="002B2DF1" w:rsidP="00FA020C">
      <w:pPr>
        <w:pStyle w:val="Nagwek1"/>
      </w:pPr>
      <w:r>
        <w:t>3</w:t>
      </w:r>
      <w:r w:rsidR="005C74E0" w:rsidRPr="00A21915">
        <w:t>. Validation</w:t>
      </w:r>
    </w:p>
    <w:p w14:paraId="1858F5FE" w14:textId="57E6FFE8" w:rsidR="00AA1036" w:rsidRPr="00A21915" w:rsidRDefault="00353930" w:rsidP="00FA020C">
      <w:pPr>
        <w:rPr>
          <w:lang w:val="en-GB"/>
        </w:rPr>
      </w:pPr>
      <w:r w:rsidRPr="00A21915">
        <w:rPr>
          <w:lang w:val="en-GB"/>
        </w:rPr>
        <w:t xml:space="preserve">In order to ensure good quality of </w:t>
      </w:r>
      <w:r w:rsidR="00B17026">
        <w:rPr>
          <w:lang w:val="en-GB"/>
        </w:rPr>
        <w:t>the aforementioned</w:t>
      </w:r>
      <w:r w:rsidRPr="00A21915">
        <w:rPr>
          <w:lang w:val="en-GB"/>
        </w:rPr>
        <w:t xml:space="preserve"> indicators of global production</w:t>
      </w:r>
      <w:r w:rsidR="00B17026">
        <w:rPr>
          <w:lang w:val="en-GB"/>
        </w:rPr>
        <w:t xml:space="preserve"> – merchanting and processing – </w:t>
      </w:r>
      <w:r w:rsidR="00D94A30" w:rsidRPr="00A21915">
        <w:rPr>
          <w:lang w:val="en-GB"/>
        </w:rPr>
        <w:t xml:space="preserve">we have developed several consistency checks </w:t>
      </w:r>
      <w:r w:rsidR="00D94A30" w:rsidRPr="00A21915">
        <w:rPr>
          <w:lang w:val="en-GB"/>
        </w:rPr>
        <w:lastRenderedPageBreak/>
        <w:t>across statistical domains. Not only do we believe to have reached better quality on the indicators</w:t>
      </w:r>
      <w:r w:rsidR="0013349C">
        <w:rPr>
          <w:lang w:val="en-GB"/>
        </w:rPr>
        <w:t>,</w:t>
      </w:r>
      <w:r w:rsidR="00D94A30" w:rsidRPr="00A21915">
        <w:rPr>
          <w:lang w:val="en-GB"/>
        </w:rPr>
        <w:t xml:space="preserve"> these checks also ensure consistency between the involved statistics. </w:t>
      </w:r>
    </w:p>
    <w:p w14:paraId="3161D2D5" w14:textId="719B229B" w:rsidR="0061543C" w:rsidRDefault="002B2DF1" w:rsidP="00FA020C">
      <w:pPr>
        <w:pStyle w:val="Podtytu"/>
      </w:pPr>
      <w:r>
        <w:t>3</w:t>
      </w:r>
      <w:r w:rsidR="00741CD4" w:rsidRPr="00A21915">
        <w:t>.1. Involved statistics</w:t>
      </w:r>
    </w:p>
    <w:p w14:paraId="7AFBEC86" w14:textId="40319CAC" w:rsidR="00B25B76" w:rsidRPr="00353F18" w:rsidRDefault="00B25B76" w:rsidP="00353F18">
      <w:pPr>
        <w:rPr>
          <w:lang w:val="en-GB"/>
        </w:rPr>
      </w:pPr>
      <w:r>
        <w:rPr>
          <w:lang w:val="en-GB"/>
        </w:rPr>
        <w:t>The following statistics are included in the consistency checks:</w:t>
      </w:r>
    </w:p>
    <w:p w14:paraId="10E1FFC9" w14:textId="77777777" w:rsidR="0061543C" w:rsidRPr="00A21915" w:rsidRDefault="0061543C" w:rsidP="00A21915">
      <w:pPr>
        <w:pStyle w:val="Akapitzlist"/>
        <w:numPr>
          <w:ilvl w:val="0"/>
          <w:numId w:val="2"/>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International Trade in Goods Statistics</w:t>
      </w:r>
      <w:r w:rsidR="0024015A" w:rsidRPr="00A21915">
        <w:rPr>
          <w:rFonts w:ascii="Arial" w:eastAsiaTheme="minorHAnsi" w:hAnsi="Arial" w:cs="Arial"/>
          <w:szCs w:val="24"/>
          <w:lang w:eastAsia="en-US"/>
        </w:rPr>
        <w:t xml:space="preserve"> (ITGS)</w:t>
      </w:r>
    </w:p>
    <w:p w14:paraId="491E83A8" w14:textId="77777777" w:rsidR="0061543C" w:rsidRPr="00A21915" w:rsidRDefault="0061543C" w:rsidP="00A21915">
      <w:pPr>
        <w:pStyle w:val="Akapitzlist"/>
        <w:numPr>
          <w:ilvl w:val="1"/>
          <w:numId w:val="3"/>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Flows of goods to/from processing</w:t>
      </w:r>
    </w:p>
    <w:p w14:paraId="32ADA25E" w14:textId="77777777" w:rsidR="0061543C" w:rsidRPr="00A21915" w:rsidRDefault="0061543C" w:rsidP="00A21915">
      <w:pPr>
        <w:pStyle w:val="Akapitzlist"/>
        <w:numPr>
          <w:ilvl w:val="1"/>
          <w:numId w:val="3"/>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Total imports and exports (with change of ownership)</w:t>
      </w:r>
    </w:p>
    <w:p w14:paraId="4A3ABDEC" w14:textId="4F99C19A" w:rsidR="0061543C" w:rsidRPr="00A21915" w:rsidRDefault="0061543C" w:rsidP="00A21915">
      <w:pPr>
        <w:pStyle w:val="Akapitzlist"/>
        <w:numPr>
          <w:ilvl w:val="0"/>
          <w:numId w:val="2"/>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 xml:space="preserve">International trade in services survey and </w:t>
      </w:r>
      <w:r w:rsidR="00FE7F31">
        <w:rPr>
          <w:rFonts w:ascii="Arial" w:eastAsiaTheme="minorHAnsi" w:hAnsi="Arial" w:cs="Arial"/>
          <w:szCs w:val="24"/>
          <w:lang w:eastAsia="en-US"/>
        </w:rPr>
        <w:t xml:space="preserve">balance of </w:t>
      </w:r>
      <w:r w:rsidR="000D1C06">
        <w:rPr>
          <w:rFonts w:ascii="Arial" w:eastAsiaTheme="minorHAnsi" w:hAnsi="Arial" w:cs="Arial"/>
          <w:szCs w:val="24"/>
          <w:lang w:eastAsia="en-US"/>
        </w:rPr>
        <w:t>payments</w:t>
      </w:r>
      <w:r w:rsidRPr="00A21915">
        <w:rPr>
          <w:rFonts w:ascii="Arial" w:eastAsiaTheme="minorHAnsi" w:hAnsi="Arial" w:cs="Arial"/>
          <w:szCs w:val="24"/>
          <w:lang w:eastAsia="en-US"/>
        </w:rPr>
        <w:t xml:space="preserve"> </w:t>
      </w:r>
      <w:r w:rsidR="0024015A" w:rsidRPr="00A21915">
        <w:rPr>
          <w:rFonts w:ascii="Arial" w:eastAsiaTheme="minorHAnsi" w:hAnsi="Arial" w:cs="Arial"/>
          <w:szCs w:val="24"/>
          <w:lang w:eastAsia="en-US"/>
        </w:rPr>
        <w:t xml:space="preserve"> (ITSS)</w:t>
      </w:r>
    </w:p>
    <w:p w14:paraId="4A94F567" w14:textId="77777777" w:rsidR="0061543C" w:rsidRPr="00A21915" w:rsidRDefault="0061543C" w:rsidP="00A21915">
      <w:pPr>
        <w:pStyle w:val="Akapitzlist"/>
        <w:numPr>
          <w:ilvl w:val="1"/>
          <w:numId w:val="4"/>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Manufacturing services</w:t>
      </w:r>
    </w:p>
    <w:p w14:paraId="4F97551F" w14:textId="77777777" w:rsidR="0061543C" w:rsidRPr="00A21915" w:rsidRDefault="0061543C" w:rsidP="00A21915">
      <w:pPr>
        <w:pStyle w:val="Akapitzlist"/>
        <w:numPr>
          <w:ilvl w:val="1"/>
          <w:numId w:val="4"/>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Materials bought abroad intended for processing abroad</w:t>
      </w:r>
    </w:p>
    <w:p w14:paraId="7BA964E5" w14:textId="77777777" w:rsidR="0061543C" w:rsidRPr="00A21915" w:rsidRDefault="0061543C" w:rsidP="00A21915">
      <w:pPr>
        <w:pStyle w:val="Akapitzlist"/>
        <w:numPr>
          <w:ilvl w:val="1"/>
          <w:numId w:val="4"/>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Goods sold abroad after processing abroad</w:t>
      </w:r>
    </w:p>
    <w:p w14:paraId="2C908ED8" w14:textId="77777777" w:rsidR="0061543C" w:rsidRPr="00A21915" w:rsidRDefault="0061543C" w:rsidP="00A21915">
      <w:pPr>
        <w:pStyle w:val="Akapitzlist"/>
        <w:numPr>
          <w:ilvl w:val="1"/>
          <w:numId w:val="4"/>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Merchanting, gross flows</w:t>
      </w:r>
    </w:p>
    <w:p w14:paraId="40C4AC71" w14:textId="77777777" w:rsidR="0061543C" w:rsidRPr="00A21915" w:rsidRDefault="0061543C" w:rsidP="00A21915">
      <w:pPr>
        <w:pStyle w:val="Akapitzlist"/>
        <w:numPr>
          <w:ilvl w:val="1"/>
          <w:numId w:val="4"/>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Total imports and exports</w:t>
      </w:r>
    </w:p>
    <w:p w14:paraId="541838D3" w14:textId="77777777" w:rsidR="0061543C" w:rsidRPr="00A21915" w:rsidRDefault="0061543C" w:rsidP="00A21915">
      <w:pPr>
        <w:pStyle w:val="Akapitzlist"/>
        <w:numPr>
          <w:ilvl w:val="0"/>
          <w:numId w:val="2"/>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Business accounts (SBS)</w:t>
      </w:r>
    </w:p>
    <w:p w14:paraId="4048E552" w14:textId="77777777" w:rsidR="0061543C" w:rsidRPr="00A21915" w:rsidRDefault="0061543C" w:rsidP="00A21915">
      <w:pPr>
        <w:pStyle w:val="Akapitzlist"/>
        <w:numPr>
          <w:ilvl w:val="1"/>
          <w:numId w:val="5"/>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 xml:space="preserve">Total turnover </w:t>
      </w:r>
    </w:p>
    <w:p w14:paraId="47925F7E" w14:textId="77777777" w:rsidR="0061543C" w:rsidRPr="00A21915" w:rsidRDefault="0061543C" w:rsidP="00A21915">
      <w:pPr>
        <w:pStyle w:val="Akapitzlist"/>
        <w:numPr>
          <w:ilvl w:val="1"/>
          <w:numId w:val="5"/>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Turnover own goods</w:t>
      </w:r>
    </w:p>
    <w:p w14:paraId="55664368" w14:textId="77777777" w:rsidR="0061543C" w:rsidRPr="00A21915" w:rsidRDefault="0061543C" w:rsidP="00A21915">
      <w:pPr>
        <w:pStyle w:val="Akapitzlist"/>
        <w:numPr>
          <w:ilvl w:val="0"/>
          <w:numId w:val="2"/>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Manufacturers' sales (PRODCOM)</w:t>
      </w:r>
    </w:p>
    <w:p w14:paraId="4F34D66E" w14:textId="77777777" w:rsidR="0061543C" w:rsidRPr="00A21915" w:rsidRDefault="0061543C" w:rsidP="00A21915">
      <w:pPr>
        <w:pStyle w:val="Akapitzlist"/>
        <w:numPr>
          <w:ilvl w:val="1"/>
          <w:numId w:val="6"/>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Total turnover</w:t>
      </w:r>
    </w:p>
    <w:p w14:paraId="39131826" w14:textId="77777777" w:rsidR="0061543C" w:rsidRPr="00A21915" w:rsidRDefault="0061543C" w:rsidP="00A21915">
      <w:pPr>
        <w:pStyle w:val="Akapitzlist"/>
        <w:numPr>
          <w:ilvl w:val="1"/>
          <w:numId w:val="6"/>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Sales of own goods</w:t>
      </w:r>
    </w:p>
    <w:p w14:paraId="2C9229A5" w14:textId="77777777" w:rsidR="0061543C" w:rsidRPr="00A21915" w:rsidRDefault="0061543C" w:rsidP="00A21915">
      <w:pPr>
        <w:pStyle w:val="Akapitzlist"/>
        <w:numPr>
          <w:ilvl w:val="1"/>
          <w:numId w:val="6"/>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Commercial goods (resale) turnover</w:t>
      </w:r>
    </w:p>
    <w:p w14:paraId="7E546F7C" w14:textId="77777777" w:rsidR="0061543C" w:rsidRPr="00A21915" w:rsidRDefault="0061543C" w:rsidP="00A21915">
      <w:pPr>
        <w:pStyle w:val="Akapitzlist"/>
        <w:numPr>
          <w:ilvl w:val="0"/>
          <w:numId w:val="2"/>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Industrial turnover (STS)</w:t>
      </w:r>
    </w:p>
    <w:p w14:paraId="0845F25E" w14:textId="77777777" w:rsidR="0061543C" w:rsidRPr="00A21915" w:rsidRDefault="0061543C" w:rsidP="00A21915">
      <w:pPr>
        <w:pStyle w:val="Akapitzlist"/>
        <w:numPr>
          <w:ilvl w:val="1"/>
          <w:numId w:val="7"/>
        </w:numPr>
        <w:tabs>
          <w:tab w:val="clear" w:pos="850"/>
          <w:tab w:val="clear" w:pos="1191"/>
          <w:tab w:val="clear" w:pos="1531"/>
        </w:tabs>
        <w:spacing w:line="360" w:lineRule="auto"/>
        <w:ind w:hanging="357"/>
        <w:jc w:val="left"/>
        <w:rPr>
          <w:rFonts w:ascii="Arial" w:eastAsiaTheme="minorHAnsi" w:hAnsi="Arial" w:cs="Arial"/>
          <w:szCs w:val="24"/>
          <w:lang w:eastAsia="en-US"/>
        </w:rPr>
      </w:pPr>
      <w:r w:rsidRPr="00A21915">
        <w:rPr>
          <w:rFonts w:ascii="Arial" w:eastAsiaTheme="minorHAnsi" w:hAnsi="Arial" w:cs="Arial"/>
          <w:szCs w:val="24"/>
          <w:lang w:eastAsia="en-US"/>
        </w:rPr>
        <w:t>Export turnover (own goods)</w:t>
      </w:r>
    </w:p>
    <w:p w14:paraId="2016BE1B" w14:textId="678B885F" w:rsidR="0024015A" w:rsidRPr="00FA020C" w:rsidRDefault="0061543C" w:rsidP="00FA020C">
      <w:pPr>
        <w:pStyle w:val="Akapitzlist"/>
        <w:numPr>
          <w:ilvl w:val="1"/>
          <w:numId w:val="7"/>
        </w:numPr>
        <w:tabs>
          <w:tab w:val="clear" w:pos="850"/>
          <w:tab w:val="clear" w:pos="1191"/>
          <w:tab w:val="clear" w:pos="1531"/>
        </w:tabs>
        <w:spacing w:line="360" w:lineRule="auto"/>
        <w:ind w:hanging="357"/>
        <w:jc w:val="left"/>
      </w:pPr>
      <w:r w:rsidRPr="00A21915">
        <w:rPr>
          <w:rFonts w:ascii="Arial" w:eastAsiaTheme="minorHAnsi" w:hAnsi="Arial" w:cs="Arial"/>
          <w:szCs w:val="24"/>
          <w:lang w:eastAsia="en-US"/>
        </w:rPr>
        <w:t>Domestic turnover (own goods</w:t>
      </w:r>
      <w:r w:rsidR="0024015A" w:rsidRPr="00A21915">
        <w:rPr>
          <w:rFonts w:ascii="Arial" w:eastAsiaTheme="minorHAnsi" w:hAnsi="Arial" w:cs="Arial"/>
          <w:szCs w:val="24"/>
          <w:lang w:eastAsia="en-US"/>
        </w:rPr>
        <w:t>)</w:t>
      </w:r>
    </w:p>
    <w:p w14:paraId="2387E428" w14:textId="3BAEE237" w:rsidR="004906F2" w:rsidRDefault="002B2DF1" w:rsidP="00FA020C">
      <w:pPr>
        <w:pStyle w:val="Podtytu"/>
      </w:pPr>
      <w:r>
        <w:t>3</w:t>
      </w:r>
      <w:r w:rsidR="00741CD4" w:rsidRPr="00A21915">
        <w:t xml:space="preserve">.2. </w:t>
      </w:r>
      <w:r w:rsidR="00B9335D" w:rsidRPr="00A21915">
        <w:t>Consistency c</w:t>
      </w:r>
      <w:r w:rsidR="00741CD4" w:rsidRPr="00A21915">
        <w:t xml:space="preserve">heck 1 </w:t>
      </w:r>
    </w:p>
    <w:p w14:paraId="4A544175" w14:textId="775C577F" w:rsidR="00B25B76" w:rsidRPr="00353F18" w:rsidRDefault="00E13BFE" w:rsidP="00353F18">
      <w:pPr>
        <w:rPr>
          <w:lang w:val="en-GB"/>
        </w:rPr>
      </w:pPr>
      <w:r>
        <w:rPr>
          <w:lang w:val="en-GB"/>
        </w:rPr>
        <w:t>In c</w:t>
      </w:r>
      <w:r w:rsidR="00596116">
        <w:rPr>
          <w:lang w:val="en-GB"/>
        </w:rPr>
        <w:t>heck 1</w:t>
      </w:r>
      <w:r>
        <w:rPr>
          <w:lang w:val="en-GB"/>
        </w:rPr>
        <w:t>,</w:t>
      </w:r>
      <w:r w:rsidR="00596116">
        <w:rPr>
          <w:lang w:val="en-GB"/>
        </w:rPr>
        <w:t xml:space="preserve"> </w:t>
      </w:r>
      <w:r w:rsidRPr="00E13BFE">
        <w:rPr>
          <w:lang w:val="en-GB"/>
        </w:rPr>
        <w:t xml:space="preserve">total revenue </w:t>
      </w:r>
      <w:r>
        <w:rPr>
          <w:lang w:val="en-GB"/>
        </w:rPr>
        <w:t xml:space="preserve">is </w:t>
      </w:r>
      <w:r w:rsidRPr="00E13BFE">
        <w:rPr>
          <w:lang w:val="en-GB"/>
        </w:rPr>
        <w:t>decompose</w:t>
      </w:r>
      <w:r>
        <w:rPr>
          <w:lang w:val="en-GB"/>
        </w:rPr>
        <w:t>d</w:t>
      </w:r>
      <w:r w:rsidRPr="00E13BFE">
        <w:rPr>
          <w:lang w:val="en-GB"/>
        </w:rPr>
        <w:t xml:space="preserve"> in domestic and foreign sales</w:t>
      </w:r>
      <w:r w:rsidR="00596116">
        <w:rPr>
          <w:lang w:val="en-GB"/>
        </w:rPr>
        <w:t>.</w:t>
      </w:r>
    </w:p>
    <w:p w14:paraId="2F489DE9" w14:textId="77777777" w:rsidR="005B6095" w:rsidRPr="00A21915" w:rsidRDefault="005B6095" w:rsidP="00CC1C1D">
      <w:pPr>
        <w:spacing w:before="360"/>
        <w:rPr>
          <w:rFonts w:cs="Arial"/>
          <w:szCs w:val="24"/>
          <w:lang w:val="en-GB"/>
        </w:rPr>
      </w:pPr>
      <w:r w:rsidRPr="00A21915">
        <w:rPr>
          <w:rFonts w:cs="Arial"/>
          <w:noProof/>
          <w:szCs w:val="24"/>
          <w:lang w:eastAsia="pl-PL"/>
        </w:rPr>
        <w:drawing>
          <wp:inline distT="0" distB="0" distL="0" distR="0" wp14:anchorId="40154AA5" wp14:editId="7A4809FF">
            <wp:extent cx="6049925" cy="1169582"/>
            <wp:effectExtent l="0" t="0" r="825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FDEC326" w14:textId="3F293B69" w:rsidR="00F3559E" w:rsidRPr="00A21915" w:rsidRDefault="00F3559E" w:rsidP="00FA020C">
      <w:pPr>
        <w:rPr>
          <w:lang w:val="en-GB"/>
        </w:rPr>
      </w:pPr>
      <w:r w:rsidRPr="00A21915">
        <w:rPr>
          <w:lang w:val="en-GB"/>
        </w:rPr>
        <w:lastRenderedPageBreak/>
        <w:t xml:space="preserve">The total turnover consists of the combined sale of goods and services domestically as well as </w:t>
      </w:r>
      <w:r w:rsidR="00596116">
        <w:rPr>
          <w:lang w:val="en-GB"/>
        </w:rPr>
        <w:t>abroad</w:t>
      </w:r>
      <w:r w:rsidRPr="00A21915">
        <w:rPr>
          <w:lang w:val="en-GB"/>
        </w:rPr>
        <w:t xml:space="preserve">. </w:t>
      </w:r>
    </w:p>
    <w:p w14:paraId="7FC51325" w14:textId="6488A349" w:rsidR="00596116" w:rsidRDefault="009101E5" w:rsidP="00FA020C">
      <w:pPr>
        <w:rPr>
          <w:lang w:val="en-GB"/>
        </w:rPr>
      </w:pPr>
      <w:r>
        <w:rPr>
          <w:lang w:val="en-GB"/>
        </w:rPr>
        <w:t>D</w:t>
      </w:r>
      <w:r w:rsidRPr="00A21915">
        <w:rPr>
          <w:lang w:val="en-GB"/>
        </w:rPr>
        <w:t>iscrepancies</w:t>
      </w:r>
      <w:r>
        <w:rPr>
          <w:lang w:val="en-GB"/>
        </w:rPr>
        <w:t xml:space="preserve"> found in t</w:t>
      </w:r>
      <w:r w:rsidR="005B6095" w:rsidRPr="00A21915">
        <w:rPr>
          <w:lang w:val="en-GB"/>
        </w:rPr>
        <w:t>his check</w:t>
      </w:r>
      <w:r>
        <w:rPr>
          <w:lang w:val="en-GB"/>
        </w:rPr>
        <w:t xml:space="preserve"> is </w:t>
      </w:r>
      <w:r w:rsidR="005B6095" w:rsidRPr="00A21915">
        <w:rPr>
          <w:lang w:val="en-GB"/>
        </w:rPr>
        <w:t xml:space="preserve">most often </w:t>
      </w:r>
      <w:r>
        <w:rPr>
          <w:lang w:val="en-GB"/>
        </w:rPr>
        <w:t xml:space="preserve">due to wrong reporting of </w:t>
      </w:r>
      <w:r w:rsidR="005B6095" w:rsidRPr="00A21915">
        <w:rPr>
          <w:lang w:val="en-GB"/>
        </w:rPr>
        <w:t xml:space="preserve">merchanting sales and/or goods sold abroad after processing. </w:t>
      </w:r>
      <w:r w:rsidR="00D03F34" w:rsidRPr="00A21915">
        <w:rPr>
          <w:lang w:val="en-GB"/>
        </w:rPr>
        <w:t xml:space="preserve">There is a general underreporting of Danish owned goods that do not cross the Danish </w:t>
      </w:r>
      <w:r w:rsidR="00596116" w:rsidRPr="00A21915">
        <w:rPr>
          <w:lang w:val="en-GB"/>
        </w:rPr>
        <w:t>border</w:t>
      </w:r>
      <w:r w:rsidR="001A0F1D">
        <w:rPr>
          <w:lang w:val="en-GB"/>
        </w:rPr>
        <w:t xml:space="preserve">. It is especially common for </w:t>
      </w:r>
      <w:r w:rsidR="00741CD4" w:rsidRPr="00A21915">
        <w:rPr>
          <w:lang w:val="en-GB"/>
        </w:rPr>
        <w:t xml:space="preserve">Danish </w:t>
      </w:r>
      <w:r w:rsidR="00D03F34" w:rsidRPr="00A21915">
        <w:rPr>
          <w:lang w:val="en-GB"/>
        </w:rPr>
        <w:t>multinationals</w:t>
      </w:r>
      <w:r w:rsidR="001A0F1D">
        <w:rPr>
          <w:lang w:val="en-GB"/>
        </w:rPr>
        <w:t xml:space="preserve"> </w:t>
      </w:r>
      <w:r w:rsidR="00D03F34" w:rsidRPr="00A21915">
        <w:rPr>
          <w:lang w:val="en-GB"/>
        </w:rPr>
        <w:t>as inter-</w:t>
      </w:r>
      <w:r w:rsidR="00836A82">
        <w:rPr>
          <w:lang w:val="en-GB"/>
        </w:rPr>
        <w:t>group</w:t>
      </w:r>
      <w:r w:rsidR="00596116">
        <w:rPr>
          <w:lang w:val="en-GB"/>
        </w:rPr>
        <w:t xml:space="preserve"> </w:t>
      </w:r>
      <w:r w:rsidR="00D03F34" w:rsidRPr="00A21915">
        <w:rPr>
          <w:lang w:val="en-GB"/>
        </w:rPr>
        <w:t xml:space="preserve">transactions are poorly reported. </w:t>
      </w:r>
    </w:p>
    <w:p w14:paraId="79A3E070" w14:textId="6E74E931" w:rsidR="00596116" w:rsidRPr="0013349C" w:rsidRDefault="00596116" w:rsidP="0013349C">
      <w:pPr>
        <w:pStyle w:val="Nagwek1"/>
        <w:rPr>
          <w:b w:val="0"/>
          <w:i/>
        </w:rPr>
      </w:pPr>
      <w:r w:rsidRPr="0013349C">
        <w:rPr>
          <w:b w:val="0"/>
          <w:i/>
        </w:rPr>
        <w:t xml:space="preserve">3.3. Consistency check 2 </w:t>
      </w:r>
    </w:p>
    <w:p w14:paraId="0D16AF03" w14:textId="7D9AD18D" w:rsidR="00596116" w:rsidRPr="001A0F1D" w:rsidRDefault="00A92F37" w:rsidP="00353F18">
      <w:r w:rsidRPr="00A21915">
        <w:rPr>
          <w:noProof/>
          <w:lang w:eastAsia="pl-PL"/>
        </w:rPr>
        <mc:AlternateContent>
          <mc:Choice Requires="wpg">
            <w:drawing>
              <wp:anchor distT="0" distB="0" distL="114300" distR="114300" simplePos="0" relativeHeight="251658240" behindDoc="0" locked="0" layoutInCell="1" allowOverlap="1" wp14:anchorId="373EC34C" wp14:editId="4B608FFE">
                <wp:simplePos x="0" y="0"/>
                <wp:positionH relativeFrom="column">
                  <wp:align>center</wp:align>
                </wp:positionH>
                <wp:positionV relativeFrom="paragraph">
                  <wp:posOffset>568960</wp:posOffset>
                </wp:positionV>
                <wp:extent cx="3093720" cy="1127125"/>
                <wp:effectExtent l="0" t="0" r="11430" b="15875"/>
                <wp:wrapTopAndBottom/>
                <wp:docPr id="4" name="Gruppe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94074" cy="1127589"/>
                          <a:chOff x="0" y="0"/>
                          <a:chExt cx="3615164" cy="1318248"/>
                        </a:xfrm>
                      </wpg:grpSpPr>
                      <wps:wsp>
                        <wps:cNvPr id="5" name="Kombinationstegning 5"/>
                        <wps:cNvSpPr/>
                        <wps:spPr>
                          <a:xfrm>
                            <a:off x="0" y="0"/>
                            <a:ext cx="1318248" cy="1318248"/>
                          </a:xfrm>
                          <a:custGeom>
                            <a:avLst/>
                            <a:gdLst>
                              <a:gd name="connsiteX0" fmla="*/ 0 w 1318248"/>
                              <a:gd name="connsiteY0" fmla="*/ 659124 h 1318248"/>
                              <a:gd name="connsiteX1" fmla="*/ 659124 w 1318248"/>
                              <a:gd name="connsiteY1" fmla="*/ 0 h 1318248"/>
                              <a:gd name="connsiteX2" fmla="*/ 1318248 w 1318248"/>
                              <a:gd name="connsiteY2" fmla="*/ 659124 h 1318248"/>
                              <a:gd name="connsiteX3" fmla="*/ 659124 w 1318248"/>
                              <a:gd name="connsiteY3" fmla="*/ 1318248 h 1318248"/>
                              <a:gd name="connsiteX4" fmla="*/ 0 w 1318248"/>
                              <a:gd name="connsiteY4" fmla="*/ 659124 h 13182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8248" h="1318248">
                                <a:moveTo>
                                  <a:pt x="0" y="659124"/>
                                </a:moveTo>
                                <a:cubicBezTo>
                                  <a:pt x="0" y="295100"/>
                                  <a:pt x="295100" y="0"/>
                                  <a:pt x="659124" y="0"/>
                                </a:cubicBezTo>
                                <a:cubicBezTo>
                                  <a:pt x="1023148" y="0"/>
                                  <a:pt x="1318248" y="295100"/>
                                  <a:pt x="1318248" y="659124"/>
                                </a:cubicBezTo>
                                <a:cubicBezTo>
                                  <a:pt x="1318248" y="1023148"/>
                                  <a:pt x="1023148" y="1318248"/>
                                  <a:pt x="659124" y="1318248"/>
                                </a:cubicBezTo>
                                <a:cubicBezTo>
                                  <a:pt x="295100" y="1318248"/>
                                  <a:pt x="0" y="1023148"/>
                                  <a:pt x="0" y="659124"/>
                                </a:cubicBez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8F16BE4" w14:textId="77777777" w:rsidR="00BD14BF" w:rsidRDefault="00BD14BF" w:rsidP="00BD14BF">
                              <w:pPr>
                                <w:pStyle w:val="NormalnyWeb"/>
                                <w:spacing w:before="0" w:beforeAutospacing="0" w:after="84" w:afterAutospacing="0" w:line="216" w:lineRule="auto"/>
                                <w:jc w:val="center"/>
                              </w:pPr>
                              <w:r>
                                <w:rPr>
                                  <w:rFonts w:asciiTheme="minorHAnsi" w:hAnsi="Calibri" w:cstheme="minorBidi"/>
                                  <w:color w:val="FFFFFF" w:themeColor="light1"/>
                                  <w:kern w:val="24"/>
                                  <w:sz w:val="20"/>
                                  <w:szCs w:val="20"/>
                                  <w:lang w:val="en-GB"/>
                                </w:rPr>
                                <w:t>Commercial (resale) turnover (PRODCOM)</w:t>
                              </w:r>
                            </w:p>
                          </w:txbxContent>
                        </wps:txbx>
                        <wps:bodyPr spcFirstLastPara="0" vert="horz" wrap="square" lIns="205753" tIns="205753" rIns="205753" bIns="205753" numCol="1" spcCol="1270" anchor="ctr" anchorCtr="0">
                          <a:noAutofit/>
                        </wps:bodyPr>
                      </wps:wsp>
                      <wps:wsp>
                        <wps:cNvPr id="8" name="Kombinationstegning 8"/>
                        <wps:cNvSpPr/>
                        <wps:spPr>
                          <a:xfrm>
                            <a:off x="1425290" y="276832"/>
                            <a:ext cx="764584" cy="764584"/>
                          </a:xfrm>
                          <a:custGeom>
                            <a:avLst/>
                            <a:gdLst>
                              <a:gd name="connsiteX0" fmla="*/ 101346 w 764584"/>
                              <a:gd name="connsiteY0" fmla="*/ 157504 h 764584"/>
                              <a:gd name="connsiteX1" fmla="*/ 663238 w 764584"/>
                              <a:gd name="connsiteY1" fmla="*/ 157504 h 764584"/>
                              <a:gd name="connsiteX2" fmla="*/ 663238 w 764584"/>
                              <a:gd name="connsiteY2" fmla="*/ 337334 h 764584"/>
                              <a:gd name="connsiteX3" fmla="*/ 101346 w 764584"/>
                              <a:gd name="connsiteY3" fmla="*/ 337334 h 764584"/>
                              <a:gd name="connsiteX4" fmla="*/ 101346 w 764584"/>
                              <a:gd name="connsiteY4" fmla="*/ 157504 h 764584"/>
                              <a:gd name="connsiteX5" fmla="*/ 101346 w 764584"/>
                              <a:gd name="connsiteY5" fmla="*/ 427250 h 764584"/>
                              <a:gd name="connsiteX6" fmla="*/ 663238 w 764584"/>
                              <a:gd name="connsiteY6" fmla="*/ 427250 h 764584"/>
                              <a:gd name="connsiteX7" fmla="*/ 663238 w 764584"/>
                              <a:gd name="connsiteY7" fmla="*/ 607080 h 764584"/>
                              <a:gd name="connsiteX8" fmla="*/ 101346 w 764584"/>
                              <a:gd name="connsiteY8" fmla="*/ 607080 h 764584"/>
                              <a:gd name="connsiteX9" fmla="*/ 101346 w 764584"/>
                              <a:gd name="connsiteY9" fmla="*/ 427250 h 7645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64584" h="764584">
                                <a:moveTo>
                                  <a:pt x="101346" y="157504"/>
                                </a:moveTo>
                                <a:lnTo>
                                  <a:pt x="663238" y="157504"/>
                                </a:lnTo>
                                <a:lnTo>
                                  <a:pt x="663238" y="337334"/>
                                </a:lnTo>
                                <a:lnTo>
                                  <a:pt x="101346" y="337334"/>
                                </a:lnTo>
                                <a:lnTo>
                                  <a:pt x="101346" y="157504"/>
                                </a:lnTo>
                                <a:close/>
                                <a:moveTo>
                                  <a:pt x="101346" y="427250"/>
                                </a:moveTo>
                                <a:lnTo>
                                  <a:pt x="663238" y="427250"/>
                                </a:lnTo>
                                <a:lnTo>
                                  <a:pt x="663238" y="607080"/>
                                </a:lnTo>
                                <a:lnTo>
                                  <a:pt x="101346" y="607080"/>
                                </a:lnTo>
                                <a:lnTo>
                                  <a:pt x="101346" y="427250"/>
                                </a:lnTo>
                                <a:close/>
                              </a:path>
                            </a:pathLst>
                          </a:cu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spcFirstLastPara="0" vert="horz" wrap="square" lIns="101346" tIns="157504" rIns="101346" bIns="157504" numCol="1" spcCol="1270" anchor="ctr" anchorCtr="0">
                          <a:noAutofit/>
                        </wps:bodyPr>
                      </wps:wsp>
                      <wps:wsp>
                        <wps:cNvPr id="10" name="Kombinationstegning 10"/>
                        <wps:cNvSpPr/>
                        <wps:spPr>
                          <a:xfrm>
                            <a:off x="2296916" y="0"/>
                            <a:ext cx="1318248" cy="1318248"/>
                          </a:xfrm>
                          <a:custGeom>
                            <a:avLst/>
                            <a:gdLst>
                              <a:gd name="connsiteX0" fmla="*/ 0 w 1318248"/>
                              <a:gd name="connsiteY0" fmla="*/ 659124 h 1318248"/>
                              <a:gd name="connsiteX1" fmla="*/ 659124 w 1318248"/>
                              <a:gd name="connsiteY1" fmla="*/ 0 h 1318248"/>
                              <a:gd name="connsiteX2" fmla="*/ 1318248 w 1318248"/>
                              <a:gd name="connsiteY2" fmla="*/ 659124 h 1318248"/>
                              <a:gd name="connsiteX3" fmla="*/ 659124 w 1318248"/>
                              <a:gd name="connsiteY3" fmla="*/ 1318248 h 1318248"/>
                              <a:gd name="connsiteX4" fmla="*/ 0 w 1318248"/>
                              <a:gd name="connsiteY4" fmla="*/ 659124 h 13182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8248" h="1318248">
                                <a:moveTo>
                                  <a:pt x="0" y="659124"/>
                                </a:moveTo>
                                <a:cubicBezTo>
                                  <a:pt x="0" y="295100"/>
                                  <a:pt x="295100" y="0"/>
                                  <a:pt x="659124" y="0"/>
                                </a:cubicBezTo>
                                <a:cubicBezTo>
                                  <a:pt x="1023148" y="0"/>
                                  <a:pt x="1318248" y="295100"/>
                                  <a:pt x="1318248" y="659124"/>
                                </a:cubicBezTo>
                                <a:cubicBezTo>
                                  <a:pt x="1318248" y="1023148"/>
                                  <a:pt x="1023148" y="1318248"/>
                                  <a:pt x="659124" y="1318248"/>
                                </a:cubicBezTo>
                                <a:cubicBezTo>
                                  <a:pt x="295100" y="1318248"/>
                                  <a:pt x="0" y="1023148"/>
                                  <a:pt x="0" y="659124"/>
                                </a:cubicBez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DF9F64C" w14:textId="77777777" w:rsidR="00BD14BF" w:rsidRDefault="00BD14BF" w:rsidP="00BD14BF">
                              <w:pPr>
                                <w:pStyle w:val="NormalnyWeb"/>
                                <w:spacing w:before="0" w:beforeAutospacing="0" w:after="84" w:afterAutospacing="0" w:line="216" w:lineRule="auto"/>
                                <w:jc w:val="center"/>
                              </w:pPr>
                              <w:r>
                                <w:rPr>
                                  <w:rFonts w:asciiTheme="minorHAnsi" w:hAnsi="Calibri" w:cstheme="minorBidi"/>
                                  <w:color w:val="FFFFFF" w:themeColor="light1"/>
                                  <w:kern w:val="24"/>
                                  <w:sz w:val="20"/>
                                  <w:szCs w:val="20"/>
                                  <w:lang w:val="en-GB"/>
                                </w:rPr>
                                <w:t>Merchanting exports (gross) (ITSS)</w:t>
                              </w:r>
                            </w:p>
                          </w:txbxContent>
                        </wps:txbx>
                        <wps:bodyPr spcFirstLastPara="0" vert="horz" wrap="square" lIns="205753" tIns="205753" rIns="205753" bIns="205753"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73EC34C" id="Gruppe 14" o:spid="_x0000_s1026" style="position:absolute;left:0;text-align:left;margin-left:0;margin-top:44.8pt;width:243.6pt;height:88.75pt;z-index:251658240;mso-position-horizontal:center;mso-width-relative:margin;mso-height-relative:margin" coordsize="36151,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">
                <o:lock v:ext="edit" aspectratio="t"/>
                <v:shape id="Kombinationstegning 5" o:spid="_x0000_s1027" style="position:absolute;width:13182;height:13182;visibility:visible;mso-wrap-style:square;v-text-anchor:middle" coordsize="1318248,1318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yWsMA&#10;AADaAAAADwAAAGRycy9kb3ducmV2LnhtbESPT2sCMRTE7wW/Q3iCt5qtqMjWKFqwlPbiX+zxsXlm&#10;t25elk1012/fCILHYWZ+w0znrS3FlWpfOFbw1k9AEGdOF2wU7Her1wkIH5A1lo5JwY08zGedlymm&#10;2jW8oes2GBEh7FNUkIdQpVL6LCeLvu8q4uidXG0xRFkbqWtsItyWcpAkY2mx4LiQY0UfOWXn7cUq&#10;4J8Lfk5Wenk4/v6djBk03+vhQqlet128gwjUhmf40f7SCkZwvxJv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9yWsMAAADaAAAADwAAAAAAAAAAAAAAAACYAgAAZHJzL2Rv&#10;d25yZXYueG1sUEsFBgAAAAAEAAQA9QAAAIgDAAAAAA==&#10;" adj="-11796480,,5400" path="m,659124c,295100,295100,,659124,v364024,,659124,295100,659124,659124c1318248,1023148,1023148,1318248,659124,1318248,295100,1318248,,1023148,,659124xe" fillcolor="#5b9bd5 [3204]" strokecolor="white [3201]" strokeweight="1pt">
                  <v:stroke joinstyle="miter"/>
                  <v:formulas/>
                  <v:path arrowok="t" o:connecttype="custom" o:connectlocs="0,659124;659124,0;1318248,659124;659124,1318248;0,659124" o:connectangles="0,0,0,0,0" textboxrect="0,0,1318248,1318248"/>
                  <v:textbox inset="5.71536mm,5.71536mm,5.71536mm,5.71536mm">
                    <w:txbxContent>
                      <w:p w14:paraId="68F16BE4" w14:textId="77777777" w:rsidR="00BD14BF" w:rsidRDefault="00BD14BF" w:rsidP="00BD14BF">
                        <w:pPr>
                          <w:pStyle w:val="NormalnyWeb"/>
                          <w:spacing w:before="0" w:beforeAutospacing="0" w:after="84" w:afterAutospacing="0" w:line="216" w:lineRule="auto"/>
                          <w:jc w:val="center"/>
                        </w:pPr>
                        <w:r>
                          <w:rPr>
                            <w:rFonts w:asciiTheme="minorHAnsi" w:hAnsi="Calibri" w:cstheme="minorBidi"/>
                            <w:color w:val="FFFFFF" w:themeColor="light1"/>
                            <w:kern w:val="24"/>
                            <w:sz w:val="20"/>
                            <w:szCs w:val="20"/>
                            <w:lang w:val="en-GB"/>
                          </w:rPr>
                          <w:t>Commercial (resale) turnover (PRODCOM)</w:t>
                        </w:r>
                      </w:p>
                    </w:txbxContent>
                  </v:textbox>
                </v:shape>
                <v:shape id="Kombinationstegning 8" o:spid="_x0000_s1028" style="position:absolute;left:14252;top:2768;width:7646;height:7646;visibility:visible;mso-wrap-style:square;v-text-anchor:middle" coordsize="764584,76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bOcAA&#10;AADaAAAADwAAAGRycy9kb3ducmV2LnhtbERPz2vCMBS+D/Y/hDfYbabzILYaxY0puyhaxfOjeTbF&#10;5qUkUbv99eYgePz4fk/nvW3FlXxoHCv4HGQgiCunG64VHPbLjzGIEJE1to5JwR8FmM9eX6ZYaHfj&#10;HV3LWIsUwqFABSbGrpAyVIYshoHriBN3ct5iTNDXUnu8pXDbymGWjaTFhlODwY6+DVXn8mIVrNam&#10;GX1t8vYYtuVh/VP/57nfK/X+1i8mICL18Sl+uH+1grQ1XUk3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4bOcAAAADaAAAADwAAAAAAAAAAAAAAAACYAgAAZHJzL2Rvd25y&#10;ZXYueG1sUEsFBgAAAAAEAAQA9QAAAIUDAAAAAA==&#10;" path="m101346,157504r561892,l663238,337334r-561892,l101346,157504xm101346,427250r561892,l663238,607080r-561892,l101346,427250xe" fillcolor="#9cc2e5 [1940]" stroked="f">
                  <v:path arrowok="t" o:connecttype="custom" o:connectlocs="101346,157504;663238,157504;663238,337334;101346,337334;101346,157504;101346,427250;663238,427250;663238,607080;101346,607080;101346,427250" o:connectangles="0,0,0,0,0,0,0,0,0,0"/>
                </v:shape>
                <v:shape id="Kombinationstegning 10" o:spid="_x0000_s1029" style="position:absolute;left:22969;width:13182;height:13182;visibility:visible;mso-wrap-style:square;v-text-anchor:middle" coordsize="1318248,1318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HB8UA&#10;AADbAAAADwAAAGRycy9kb3ducmV2LnhtbESPQWvCQBCF74L/YRmhN90oRSR1FStYil5abWmPQ3bc&#10;pM3Ohuxq4r/vHAreZnhv3vtmue59ra7UxiqwgekkA0VcBFuxM/Bx2o0XoGJCtlgHJgM3irBeDQdL&#10;zG3o+J2ux+SUhHDM0UCZUpNrHYuSPMZJaIhFO4fWY5K1ddq22Em4r/Usy+baY8XSUGJD25KK3+PF&#10;G+DDBV8WO/v8+fX9c3Zu1u3fHjfGPIz6zROoRH26m/+vX63gC7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AcHxQAAANsAAAAPAAAAAAAAAAAAAAAAAJgCAABkcnMv&#10;ZG93bnJldi54bWxQSwUGAAAAAAQABAD1AAAAigMAAAAA&#10;" adj="-11796480,,5400" path="m,659124c,295100,295100,,659124,v364024,,659124,295100,659124,659124c1318248,1023148,1023148,1318248,659124,1318248,295100,1318248,,1023148,,659124xe" fillcolor="#5b9bd5 [3204]" strokecolor="white [3201]" strokeweight="1pt">
                  <v:stroke joinstyle="miter"/>
                  <v:formulas/>
                  <v:path arrowok="t" o:connecttype="custom" o:connectlocs="0,659124;659124,0;1318248,659124;659124,1318248;0,659124" o:connectangles="0,0,0,0,0" textboxrect="0,0,1318248,1318248"/>
                  <v:textbox inset="5.71536mm,5.71536mm,5.71536mm,5.71536mm">
                    <w:txbxContent>
                      <w:p w14:paraId="6DF9F64C" w14:textId="77777777" w:rsidR="00BD14BF" w:rsidRDefault="00BD14BF" w:rsidP="00BD14BF">
                        <w:pPr>
                          <w:pStyle w:val="NormalnyWeb"/>
                          <w:spacing w:before="0" w:beforeAutospacing="0" w:after="84" w:afterAutospacing="0" w:line="216" w:lineRule="auto"/>
                          <w:jc w:val="center"/>
                        </w:pPr>
                        <w:r>
                          <w:rPr>
                            <w:rFonts w:asciiTheme="minorHAnsi" w:hAnsi="Calibri" w:cstheme="minorBidi"/>
                            <w:color w:val="FFFFFF" w:themeColor="light1"/>
                            <w:kern w:val="24"/>
                            <w:sz w:val="20"/>
                            <w:szCs w:val="20"/>
                            <w:lang w:val="en-GB"/>
                          </w:rPr>
                          <w:t>Merchanting exports (gross) (ITSS)</w:t>
                        </w:r>
                      </w:p>
                    </w:txbxContent>
                  </v:textbox>
                </v:shape>
                <w10:wrap type="topAndBottom"/>
              </v:group>
            </w:pict>
          </mc:Fallback>
        </mc:AlternateContent>
      </w:r>
      <w:r w:rsidR="00596116">
        <w:t xml:space="preserve">Check 2 examines whether </w:t>
      </w:r>
      <w:r w:rsidR="00ED3177">
        <w:t>there is consistency in</w:t>
      </w:r>
      <w:r w:rsidR="00596116">
        <w:t xml:space="preserve"> </w:t>
      </w:r>
      <w:r w:rsidR="00ED3177">
        <w:t>reported</w:t>
      </w:r>
      <w:r w:rsidR="0013349C">
        <w:t xml:space="preserve"> data on</w:t>
      </w:r>
      <w:r w:rsidR="00ED3177">
        <w:t xml:space="preserve"> </w:t>
      </w:r>
      <w:r w:rsidR="00ED3177" w:rsidRPr="001A0F1D">
        <w:t>goods for resale</w:t>
      </w:r>
      <w:r w:rsidR="00ED3177">
        <w:t>.</w:t>
      </w:r>
      <w:r w:rsidR="00ED3177" w:rsidRPr="001A0F1D" w:rsidDel="00596116">
        <w:t xml:space="preserve"> </w:t>
      </w:r>
    </w:p>
    <w:p w14:paraId="783C0775" w14:textId="68ED2206" w:rsidR="00E97A45" w:rsidRPr="00A21915" w:rsidRDefault="0044130E" w:rsidP="00FA020C">
      <w:pPr>
        <w:spacing w:before="360"/>
        <w:rPr>
          <w:lang w:val="en-GB"/>
        </w:rPr>
      </w:pPr>
      <w:r w:rsidRPr="00A21915">
        <w:rPr>
          <w:lang w:val="en-GB"/>
        </w:rPr>
        <w:t xml:space="preserve">This consistency check is an indicator of size, as well as a check to ensure consistency between statistics. </w:t>
      </w:r>
      <w:r w:rsidR="00D03F34" w:rsidRPr="00A21915">
        <w:rPr>
          <w:lang w:val="en-GB"/>
        </w:rPr>
        <w:t xml:space="preserve">When </w:t>
      </w:r>
      <w:r w:rsidRPr="00A21915">
        <w:rPr>
          <w:lang w:val="en-GB"/>
        </w:rPr>
        <w:t xml:space="preserve">it is confirmed that a Danish </w:t>
      </w:r>
      <w:r w:rsidR="001A0F1D">
        <w:rPr>
          <w:lang w:val="en-GB"/>
        </w:rPr>
        <w:t>company</w:t>
      </w:r>
      <w:r w:rsidR="001A0F1D" w:rsidRPr="00A21915">
        <w:rPr>
          <w:lang w:val="en-GB"/>
        </w:rPr>
        <w:t xml:space="preserve"> </w:t>
      </w:r>
      <w:r w:rsidRPr="00A21915">
        <w:rPr>
          <w:lang w:val="en-GB"/>
        </w:rPr>
        <w:t xml:space="preserve">has merchanting </w:t>
      </w:r>
      <w:r w:rsidR="001A0F1D">
        <w:rPr>
          <w:lang w:val="en-GB"/>
        </w:rPr>
        <w:t xml:space="preserve">activities </w:t>
      </w:r>
      <w:r w:rsidRPr="00A21915">
        <w:rPr>
          <w:lang w:val="en-GB"/>
        </w:rPr>
        <w:t xml:space="preserve">we would expect them to report it as commercial (resale) turnover for the statistics Industrial turnover. Since the commercial (resale) turnover also includes domestic resale, the merchanting sale should not exceed the reported figures for commercial (resale) turnover.   </w:t>
      </w:r>
      <w:r w:rsidR="00D03F34" w:rsidRPr="00A21915">
        <w:rPr>
          <w:lang w:val="en-GB"/>
        </w:rPr>
        <w:t xml:space="preserve">  </w:t>
      </w:r>
    </w:p>
    <w:p w14:paraId="12CDEC90" w14:textId="517BE270" w:rsidR="008F0F23" w:rsidRDefault="002B2DF1" w:rsidP="00FA020C">
      <w:pPr>
        <w:pStyle w:val="Podtytu"/>
      </w:pPr>
      <w:r>
        <w:t>3</w:t>
      </w:r>
      <w:r w:rsidR="00741CD4" w:rsidRPr="00A21915">
        <w:t xml:space="preserve">.4. </w:t>
      </w:r>
      <w:r w:rsidR="008F0F23" w:rsidRPr="00A21915">
        <w:t xml:space="preserve">Consistency check 3 </w:t>
      </w:r>
    </w:p>
    <w:p w14:paraId="3DC87057" w14:textId="5202214C" w:rsidR="005079BE" w:rsidRPr="00353F18" w:rsidRDefault="005079BE" w:rsidP="00353F18">
      <w:pPr>
        <w:rPr>
          <w:lang w:val="en-GB"/>
        </w:rPr>
      </w:pPr>
      <w:r>
        <w:rPr>
          <w:lang w:val="en-GB"/>
        </w:rPr>
        <w:t xml:space="preserve">Check 3 examines whether </w:t>
      </w:r>
      <w:r w:rsidR="00883ECE">
        <w:rPr>
          <w:lang w:val="en-GB"/>
        </w:rPr>
        <w:t xml:space="preserve">there is consistency in reported </w:t>
      </w:r>
      <w:r w:rsidR="0013349C">
        <w:rPr>
          <w:lang w:val="en-GB"/>
        </w:rPr>
        <w:t xml:space="preserve">data on </w:t>
      </w:r>
      <w:r w:rsidR="00883ECE">
        <w:rPr>
          <w:lang w:val="en-GB"/>
        </w:rPr>
        <w:t>sale of own goods</w:t>
      </w:r>
      <w:r>
        <w:rPr>
          <w:lang w:val="en-GB"/>
        </w:rPr>
        <w:t>.</w:t>
      </w:r>
    </w:p>
    <w:p w14:paraId="00F9024B" w14:textId="77777777" w:rsidR="008F0F23" w:rsidRPr="00A21915" w:rsidRDefault="008F0F23" w:rsidP="00CC1C1D">
      <w:pPr>
        <w:spacing w:before="360"/>
        <w:rPr>
          <w:rFonts w:cs="Arial"/>
          <w:szCs w:val="24"/>
          <w:lang w:val="en-GB"/>
        </w:rPr>
      </w:pPr>
      <w:r w:rsidRPr="00A21915">
        <w:rPr>
          <w:noProof/>
          <w:lang w:eastAsia="pl-PL"/>
        </w:rPr>
        <w:drawing>
          <wp:anchor distT="0" distB="0" distL="114300" distR="114300" simplePos="0" relativeHeight="251659264" behindDoc="0" locked="0" layoutInCell="1" allowOverlap="1" wp14:anchorId="296C6A42" wp14:editId="4FFDB80C">
            <wp:simplePos x="895350" y="7772400"/>
            <wp:positionH relativeFrom="column">
              <wp:align>center</wp:align>
            </wp:positionH>
            <wp:positionV relativeFrom="paragraph">
              <wp:posOffset>230505</wp:posOffset>
            </wp:positionV>
            <wp:extent cx="5411470" cy="1116330"/>
            <wp:effectExtent l="0" t="0" r="17780" b="7620"/>
            <wp:wrapTopAndBottom/>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370C91A4" w14:textId="602007CB" w:rsidR="00E97A45" w:rsidRPr="00FA020C" w:rsidRDefault="008F0F23" w:rsidP="00FA020C">
      <w:r w:rsidRPr="00FA020C">
        <w:lastRenderedPageBreak/>
        <w:t xml:space="preserve">If the Danish </w:t>
      </w:r>
      <w:r w:rsidR="001A0F1D">
        <w:t>company</w:t>
      </w:r>
      <w:r w:rsidR="001A0F1D" w:rsidRPr="00FA020C">
        <w:t xml:space="preserve"> </w:t>
      </w:r>
      <w:r w:rsidRPr="00FA020C">
        <w:t xml:space="preserve">is within the industrial </w:t>
      </w:r>
      <w:r w:rsidR="001A0F1D">
        <w:t xml:space="preserve">sector, reported </w:t>
      </w:r>
      <w:r w:rsidRPr="00FA020C">
        <w:t xml:space="preserve">sale of own goods should be the sum of regular exports </w:t>
      </w:r>
      <w:r w:rsidR="001A0F1D">
        <w:t>crossing</w:t>
      </w:r>
      <w:r w:rsidR="001A0F1D" w:rsidRPr="00FA020C">
        <w:t xml:space="preserve"> </w:t>
      </w:r>
      <w:r w:rsidRPr="00FA020C">
        <w:t xml:space="preserve">the Danish </w:t>
      </w:r>
      <w:r w:rsidR="00B94009">
        <w:t>border</w:t>
      </w:r>
      <w:r w:rsidRPr="00FA020C">
        <w:t>, as well as goods sold abroad after processing abroad and domestic turnover. Hence</w:t>
      </w:r>
      <w:r w:rsidR="001A0F1D">
        <w:t>,</w:t>
      </w:r>
      <w:r w:rsidRPr="00FA020C">
        <w:t xml:space="preserve"> this</w:t>
      </w:r>
      <w:r w:rsidRPr="00A21915">
        <w:rPr>
          <w:rFonts w:cs="Arial"/>
          <w:szCs w:val="24"/>
          <w:lang w:val="en-GB"/>
        </w:rPr>
        <w:t xml:space="preserve"> </w:t>
      </w:r>
      <w:r w:rsidRPr="00FA020C">
        <w:t xml:space="preserve">consistency check helps identify the level of goods sold abroad after processing abroad, as well as ensures consistency between the involved statistics.  </w:t>
      </w:r>
    </w:p>
    <w:p w14:paraId="195A62AA" w14:textId="739A216B" w:rsidR="008F0F23" w:rsidRPr="00A21915" w:rsidRDefault="002B2DF1" w:rsidP="00FA020C">
      <w:pPr>
        <w:pStyle w:val="Podtytu"/>
      </w:pPr>
      <w:r>
        <w:t>3</w:t>
      </w:r>
      <w:r w:rsidR="00741CD4" w:rsidRPr="00A21915">
        <w:t>.5. Practical approach</w:t>
      </w:r>
    </w:p>
    <w:p w14:paraId="27E6E502" w14:textId="746914C4" w:rsidR="00AA1036" w:rsidRDefault="00741CD4" w:rsidP="00FA020C">
      <w:r w:rsidRPr="00A21915">
        <w:rPr>
          <w:lang w:val="en-GB"/>
        </w:rPr>
        <w:t xml:space="preserve">In the office of External economy at Statistics Denmark we have identified 15 Danish </w:t>
      </w:r>
      <w:r w:rsidR="00836A82">
        <w:rPr>
          <w:lang w:val="en-GB"/>
        </w:rPr>
        <w:t>company groups</w:t>
      </w:r>
      <w:r w:rsidR="00836A82" w:rsidRPr="00A21915">
        <w:rPr>
          <w:lang w:val="en-GB"/>
        </w:rPr>
        <w:t xml:space="preserve"> </w:t>
      </w:r>
      <w:r w:rsidRPr="00A21915">
        <w:rPr>
          <w:lang w:val="en-GB"/>
        </w:rPr>
        <w:t xml:space="preserve">that we deem critical to the quality of the </w:t>
      </w:r>
      <w:r w:rsidR="000D1C06">
        <w:rPr>
          <w:lang w:val="en-GB"/>
        </w:rPr>
        <w:t>balance of payments</w:t>
      </w:r>
      <w:r w:rsidRPr="00A21915">
        <w:rPr>
          <w:lang w:val="en-GB"/>
        </w:rPr>
        <w:t xml:space="preserve">. </w:t>
      </w:r>
      <w:r w:rsidR="00B84E09" w:rsidRPr="00A21915">
        <w:rPr>
          <w:lang w:val="en-GB"/>
        </w:rPr>
        <w:t xml:space="preserve">We have created a team of key account </w:t>
      </w:r>
      <w:r w:rsidR="00A21915" w:rsidRPr="00A21915">
        <w:rPr>
          <w:lang w:val="en-GB"/>
        </w:rPr>
        <w:t>managers that</w:t>
      </w:r>
      <w:r w:rsidR="00B84E09" w:rsidRPr="00A21915">
        <w:rPr>
          <w:lang w:val="en-GB"/>
        </w:rPr>
        <w:t xml:space="preserve"> are responsible for these </w:t>
      </w:r>
      <w:r w:rsidR="009E0831">
        <w:rPr>
          <w:lang w:val="en-GB"/>
        </w:rPr>
        <w:t>company groups</w:t>
      </w:r>
      <w:r w:rsidR="00B84E09" w:rsidRPr="00A21915">
        <w:rPr>
          <w:lang w:val="en-GB"/>
        </w:rPr>
        <w:t xml:space="preserve">. </w:t>
      </w:r>
      <w:r w:rsidRPr="00A21915">
        <w:rPr>
          <w:lang w:val="en-GB"/>
        </w:rPr>
        <w:t xml:space="preserve">Hence, </w:t>
      </w:r>
      <w:r w:rsidR="00B84E09" w:rsidRPr="00A21915">
        <w:rPr>
          <w:lang w:val="en-GB"/>
        </w:rPr>
        <w:t xml:space="preserve">the key account managers </w:t>
      </w:r>
      <w:r w:rsidRPr="00A21915">
        <w:rPr>
          <w:lang w:val="en-GB"/>
        </w:rPr>
        <w:t xml:space="preserve">perform the before mentioned checks on </w:t>
      </w:r>
      <w:r w:rsidR="001A0F1D">
        <w:rPr>
          <w:lang w:val="en-GB"/>
        </w:rPr>
        <w:t xml:space="preserve">data reported by </w:t>
      </w:r>
      <w:r w:rsidRPr="00A21915">
        <w:rPr>
          <w:lang w:val="en-GB"/>
        </w:rPr>
        <w:t xml:space="preserve">these </w:t>
      </w:r>
      <w:r w:rsidR="009E0831">
        <w:rPr>
          <w:lang w:val="en-GB"/>
        </w:rPr>
        <w:t>companies</w:t>
      </w:r>
      <w:r w:rsidRPr="00A21915">
        <w:rPr>
          <w:lang w:val="en-GB"/>
        </w:rPr>
        <w:t xml:space="preserve">. </w:t>
      </w:r>
      <w:r w:rsidR="001A0F1D">
        <w:rPr>
          <w:lang w:val="en-GB"/>
        </w:rPr>
        <w:t>Moreover, they</w:t>
      </w:r>
      <w:r w:rsidRPr="00A21915">
        <w:rPr>
          <w:lang w:val="en-GB"/>
        </w:rPr>
        <w:t xml:space="preserve"> </w:t>
      </w:r>
      <w:r w:rsidR="001A0F1D">
        <w:rPr>
          <w:lang w:val="en-GB"/>
        </w:rPr>
        <w:t>are in</w:t>
      </w:r>
      <w:r w:rsidRPr="00A21915">
        <w:rPr>
          <w:lang w:val="en-GB"/>
        </w:rPr>
        <w:t xml:space="preserve"> close</w:t>
      </w:r>
      <w:r w:rsidR="00B84E09" w:rsidRPr="00A21915">
        <w:rPr>
          <w:lang w:val="en-GB"/>
        </w:rPr>
        <w:t xml:space="preserve"> contact with </w:t>
      </w:r>
      <w:r w:rsidR="001A0F1D">
        <w:rPr>
          <w:lang w:val="en-GB"/>
        </w:rPr>
        <w:t>the companies</w:t>
      </w:r>
      <w:r w:rsidR="00B84E09" w:rsidRPr="00A21915">
        <w:rPr>
          <w:lang w:val="en-GB"/>
        </w:rPr>
        <w:t xml:space="preserve">; </w:t>
      </w:r>
      <w:r w:rsidR="001A0F1D" w:rsidRPr="00A21915">
        <w:rPr>
          <w:lang w:val="en-GB"/>
        </w:rPr>
        <w:t>s</w:t>
      </w:r>
      <w:r w:rsidR="001A0F1D">
        <w:rPr>
          <w:lang w:val="en-GB"/>
        </w:rPr>
        <w:t>o</w:t>
      </w:r>
      <w:r w:rsidR="001A0F1D" w:rsidRPr="00A21915">
        <w:rPr>
          <w:lang w:val="en-GB"/>
        </w:rPr>
        <w:t xml:space="preserve"> </w:t>
      </w:r>
      <w:r w:rsidR="00B84E09" w:rsidRPr="00A21915">
        <w:rPr>
          <w:lang w:val="en-GB"/>
        </w:rPr>
        <w:t>that we</w:t>
      </w:r>
      <w:r w:rsidRPr="00A21915">
        <w:rPr>
          <w:lang w:val="en-GB"/>
        </w:rPr>
        <w:t xml:space="preserve"> are informed </w:t>
      </w:r>
      <w:r w:rsidR="001A0F1D">
        <w:rPr>
          <w:lang w:val="en-GB"/>
        </w:rPr>
        <w:t>in case</w:t>
      </w:r>
      <w:r w:rsidR="001A0F1D" w:rsidRPr="00A21915">
        <w:rPr>
          <w:lang w:val="en-GB"/>
        </w:rPr>
        <w:t xml:space="preserve"> </w:t>
      </w:r>
      <w:r w:rsidRPr="00A21915">
        <w:rPr>
          <w:lang w:val="en-GB"/>
        </w:rPr>
        <w:t>their production setup change</w:t>
      </w:r>
      <w:r w:rsidR="001A0F1D">
        <w:rPr>
          <w:lang w:val="en-GB"/>
        </w:rPr>
        <w:t>s</w:t>
      </w:r>
      <w:r w:rsidRPr="00A21915">
        <w:rPr>
          <w:lang w:val="en-GB"/>
        </w:rPr>
        <w:t xml:space="preserve">. On top of the consistency checks </w:t>
      </w:r>
      <w:r w:rsidR="00B84E09" w:rsidRPr="00A21915">
        <w:rPr>
          <w:lang w:val="en-GB"/>
        </w:rPr>
        <w:t xml:space="preserve">we keep a close eye on </w:t>
      </w:r>
      <w:r w:rsidR="00E97A9E" w:rsidRPr="00A21915">
        <w:rPr>
          <w:lang w:val="en-GB"/>
        </w:rPr>
        <w:t>th</w:t>
      </w:r>
      <w:r w:rsidR="00E97A9E">
        <w:rPr>
          <w:lang w:val="en-GB"/>
        </w:rPr>
        <w:t>e companies’</w:t>
      </w:r>
      <w:r w:rsidR="00E97A9E" w:rsidRPr="00A21915">
        <w:rPr>
          <w:lang w:val="en-GB"/>
        </w:rPr>
        <w:t xml:space="preserve"> </w:t>
      </w:r>
      <w:r w:rsidR="00B84E09" w:rsidRPr="00A21915">
        <w:rPr>
          <w:lang w:val="en-GB"/>
        </w:rPr>
        <w:t xml:space="preserve">monthly reports to the two statistics International trade in goods and International trade in services, especially the parts where there are definitional differences between the </w:t>
      </w:r>
      <w:r w:rsidR="000D1C06">
        <w:rPr>
          <w:lang w:val="en-GB"/>
        </w:rPr>
        <w:t>balance of payments</w:t>
      </w:r>
      <w:r w:rsidR="00B84E09" w:rsidRPr="00A21915">
        <w:rPr>
          <w:lang w:val="en-GB"/>
        </w:rPr>
        <w:t xml:space="preserve"> manual and the manuals for the individual statistics.  </w:t>
      </w:r>
    </w:p>
    <w:p w14:paraId="412B811A" w14:textId="717836E4" w:rsidR="0013210D" w:rsidRPr="00FA020C" w:rsidRDefault="002B2DF1" w:rsidP="00FA020C">
      <w:pPr>
        <w:pStyle w:val="Nagwek1"/>
      </w:pPr>
      <w:r w:rsidRPr="00FA020C">
        <w:t>4</w:t>
      </w:r>
      <w:r w:rsidR="000D1C06" w:rsidRPr="00FA020C">
        <w:t xml:space="preserve">. Additional measures </w:t>
      </w:r>
    </w:p>
    <w:p w14:paraId="0E7C5E23" w14:textId="27223E16" w:rsidR="00364F48" w:rsidRDefault="0013210D" w:rsidP="00FA020C">
      <w:pPr>
        <w:rPr>
          <w:lang w:val="en-GB"/>
        </w:rPr>
      </w:pPr>
      <w:r w:rsidRPr="00A21915">
        <w:rPr>
          <w:lang w:val="en-GB"/>
        </w:rPr>
        <w:t xml:space="preserve">We keep looking for ways to increase the quality of the </w:t>
      </w:r>
      <w:r w:rsidR="000D1C06">
        <w:rPr>
          <w:lang w:val="en-GB"/>
        </w:rPr>
        <w:t>balance of payments</w:t>
      </w:r>
      <w:r w:rsidRPr="00A21915">
        <w:rPr>
          <w:lang w:val="en-GB"/>
        </w:rPr>
        <w:t xml:space="preserve">. The </w:t>
      </w:r>
      <w:r w:rsidR="000D1C06">
        <w:rPr>
          <w:lang w:val="en-GB"/>
        </w:rPr>
        <w:t>balance of payments</w:t>
      </w:r>
      <w:r w:rsidRPr="00A21915">
        <w:rPr>
          <w:lang w:val="en-GB"/>
        </w:rPr>
        <w:t xml:space="preserve"> consists of the current account, the capital account and the financial account. </w:t>
      </w:r>
      <w:r w:rsidR="00F3763E">
        <w:rPr>
          <w:lang w:val="en-GB"/>
        </w:rPr>
        <w:t>T</w:t>
      </w:r>
      <w:r w:rsidRPr="00A21915">
        <w:rPr>
          <w:lang w:val="en-GB"/>
        </w:rPr>
        <w:t xml:space="preserve">he </w:t>
      </w:r>
      <w:r w:rsidR="00F3763E" w:rsidRPr="00F3763E">
        <w:rPr>
          <w:lang w:val="en-GB"/>
        </w:rPr>
        <w:t xml:space="preserve">central bank of Denmark </w:t>
      </w:r>
      <w:r w:rsidRPr="00A21915">
        <w:rPr>
          <w:lang w:val="en-GB"/>
        </w:rPr>
        <w:t xml:space="preserve">is </w:t>
      </w:r>
      <w:r w:rsidRPr="00EC4C8D">
        <w:rPr>
          <w:lang w:val="en-GB"/>
        </w:rPr>
        <w:t xml:space="preserve">responsible for </w:t>
      </w:r>
      <w:r w:rsidR="00D62C83">
        <w:rPr>
          <w:lang w:val="en-GB"/>
        </w:rPr>
        <w:t>the income part of the current account, as well as</w:t>
      </w:r>
      <w:r w:rsidR="00D62C83" w:rsidRPr="00EC4C8D">
        <w:rPr>
          <w:lang w:val="en-GB"/>
        </w:rPr>
        <w:t xml:space="preserve"> </w:t>
      </w:r>
      <w:r w:rsidR="00D62C83">
        <w:rPr>
          <w:lang w:val="en-GB"/>
        </w:rPr>
        <w:t>the capital account, and the financial account</w:t>
      </w:r>
      <w:r w:rsidRPr="00EC4C8D">
        <w:rPr>
          <w:lang w:val="en-GB"/>
        </w:rPr>
        <w:t xml:space="preserve">. When it comes to the large Danish </w:t>
      </w:r>
      <w:r w:rsidR="009E0831">
        <w:rPr>
          <w:lang w:val="en-GB"/>
        </w:rPr>
        <w:t>companie</w:t>
      </w:r>
      <w:r w:rsidR="009E0831" w:rsidRPr="00EC4C8D">
        <w:rPr>
          <w:lang w:val="en-GB"/>
        </w:rPr>
        <w:t xml:space="preserve">s </w:t>
      </w:r>
      <w:r w:rsidRPr="00EC4C8D">
        <w:rPr>
          <w:lang w:val="en-GB"/>
        </w:rPr>
        <w:t xml:space="preserve">the value added for the subsidiaries could </w:t>
      </w:r>
      <w:r w:rsidR="003E071B" w:rsidRPr="00EC4C8D">
        <w:rPr>
          <w:lang w:val="en-GB"/>
        </w:rPr>
        <w:t>theoretically</w:t>
      </w:r>
      <w:r w:rsidRPr="00EC4C8D">
        <w:rPr>
          <w:lang w:val="en-GB"/>
        </w:rPr>
        <w:t xml:space="preserve"> be reported to both the </w:t>
      </w:r>
      <w:r w:rsidR="00F3763E">
        <w:rPr>
          <w:lang w:val="en-GB"/>
        </w:rPr>
        <w:t>central bank</w:t>
      </w:r>
      <w:r w:rsidRPr="00EC4C8D">
        <w:rPr>
          <w:lang w:val="en-GB"/>
        </w:rPr>
        <w:t xml:space="preserve"> and Statistics Denmark. </w:t>
      </w:r>
      <w:r w:rsidR="003E071B" w:rsidRPr="00EC4C8D">
        <w:rPr>
          <w:lang w:val="en-GB"/>
        </w:rPr>
        <w:t>Against this background,</w:t>
      </w:r>
      <w:r w:rsidRPr="00EC4C8D">
        <w:rPr>
          <w:lang w:val="en-GB"/>
        </w:rPr>
        <w:t xml:space="preserve"> we </w:t>
      </w:r>
      <w:r w:rsidR="003E071B" w:rsidRPr="00EC4C8D">
        <w:rPr>
          <w:lang w:val="en-GB"/>
        </w:rPr>
        <w:t>are now working closer</w:t>
      </w:r>
      <w:r w:rsidRPr="00EC4C8D">
        <w:rPr>
          <w:lang w:val="en-GB"/>
        </w:rPr>
        <w:t xml:space="preserve"> with the </w:t>
      </w:r>
      <w:r w:rsidR="00F3763E">
        <w:rPr>
          <w:lang w:val="en-GB"/>
        </w:rPr>
        <w:t>central bank</w:t>
      </w:r>
      <w:r w:rsidRPr="00EC4C8D">
        <w:rPr>
          <w:lang w:val="en-GB"/>
        </w:rPr>
        <w:t xml:space="preserve"> </w:t>
      </w:r>
      <w:r w:rsidR="003E071B" w:rsidRPr="00EC4C8D">
        <w:rPr>
          <w:lang w:val="en-GB"/>
        </w:rPr>
        <w:t xml:space="preserve">than previously </w:t>
      </w:r>
      <w:r w:rsidRPr="00EC4C8D">
        <w:rPr>
          <w:lang w:val="en-GB"/>
        </w:rPr>
        <w:t xml:space="preserve">to </w:t>
      </w:r>
      <w:r w:rsidR="003E071B" w:rsidRPr="00EC4C8D">
        <w:rPr>
          <w:lang w:val="en-GB"/>
        </w:rPr>
        <w:t xml:space="preserve">make sure that </w:t>
      </w:r>
      <w:r w:rsidRPr="00EC4C8D">
        <w:rPr>
          <w:lang w:val="en-GB"/>
        </w:rPr>
        <w:t xml:space="preserve">the large Danish </w:t>
      </w:r>
      <w:r w:rsidR="009E0831">
        <w:rPr>
          <w:lang w:val="en-GB"/>
        </w:rPr>
        <w:t>companie</w:t>
      </w:r>
      <w:r w:rsidR="009E0831" w:rsidRPr="00EC4C8D">
        <w:rPr>
          <w:lang w:val="en-GB"/>
        </w:rPr>
        <w:t xml:space="preserve">s </w:t>
      </w:r>
      <w:r w:rsidRPr="00EC4C8D">
        <w:rPr>
          <w:lang w:val="en-GB"/>
        </w:rPr>
        <w:t xml:space="preserve">report consistently. </w:t>
      </w:r>
    </w:p>
    <w:p w14:paraId="102FD5DF" w14:textId="2A8D71FE" w:rsidR="002C5F69" w:rsidRPr="00213792" w:rsidRDefault="003E071B" w:rsidP="00FA020C">
      <w:pPr>
        <w:rPr>
          <w:lang w:val="en-US"/>
        </w:rPr>
      </w:pPr>
      <w:r w:rsidRPr="00213792">
        <w:rPr>
          <w:lang w:val="en-GB"/>
        </w:rPr>
        <w:t>In addition, Statistics Denmark has</w:t>
      </w:r>
      <w:r w:rsidR="007561B1" w:rsidRPr="00213792">
        <w:rPr>
          <w:lang w:val="en-GB"/>
        </w:rPr>
        <w:t xml:space="preserve"> by 2018</w:t>
      </w:r>
      <w:r w:rsidRPr="00213792">
        <w:rPr>
          <w:lang w:val="en-GB"/>
        </w:rPr>
        <w:t xml:space="preserve"> established a large cases unit at house level</w:t>
      </w:r>
      <w:r w:rsidR="0063446A">
        <w:rPr>
          <w:lang w:val="en-GB"/>
        </w:rPr>
        <w:t>. The unit will</w:t>
      </w:r>
      <w:r w:rsidR="00D41822" w:rsidRPr="00213792">
        <w:rPr>
          <w:lang w:val="en-GB"/>
        </w:rPr>
        <w:t xml:space="preserve"> </w:t>
      </w:r>
      <w:r w:rsidR="002B5D0A">
        <w:rPr>
          <w:lang w:val="en-GB"/>
        </w:rPr>
        <w:t>among other things function as a point of entry to Statistics Denmark for the</w:t>
      </w:r>
      <w:r w:rsidR="00D41822" w:rsidRPr="00213792">
        <w:rPr>
          <w:lang w:val="en-GB"/>
        </w:rPr>
        <w:t xml:space="preserve"> largest Danish </w:t>
      </w:r>
      <w:r w:rsidR="009E0831">
        <w:rPr>
          <w:lang w:val="en-GB"/>
        </w:rPr>
        <w:t>companie</w:t>
      </w:r>
      <w:r w:rsidR="009E0831" w:rsidRPr="00213792">
        <w:rPr>
          <w:lang w:val="en-GB"/>
        </w:rPr>
        <w:t>s</w:t>
      </w:r>
      <w:r w:rsidR="00D41822" w:rsidRPr="00213792">
        <w:rPr>
          <w:lang w:val="en-GB"/>
        </w:rPr>
        <w:t xml:space="preserve">. </w:t>
      </w:r>
      <w:r w:rsidR="007561B1" w:rsidRPr="00213792">
        <w:rPr>
          <w:lang w:val="en-GB"/>
        </w:rPr>
        <w:t>External Economy work</w:t>
      </w:r>
      <w:r w:rsidR="00364F48">
        <w:rPr>
          <w:lang w:val="en-GB"/>
        </w:rPr>
        <w:t>s</w:t>
      </w:r>
      <w:r w:rsidR="007561B1" w:rsidRPr="00213792">
        <w:rPr>
          <w:lang w:val="en-GB"/>
        </w:rPr>
        <w:t xml:space="preserve"> closely with this unit and provides specialist knowledge within the field of foreign trade. The unit will have close contact with the </w:t>
      </w:r>
      <w:r w:rsidR="009E0831">
        <w:rPr>
          <w:lang w:val="en-GB"/>
        </w:rPr>
        <w:t>companie</w:t>
      </w:r>
      <w:r w:rsidR="009E0831" w:rsidRPr="00213792">
        <w:rPr>
          <w:lang w:val="en-GB"/>
        </w:rPr>
        <w:t xml:space="preserve">s </w:t>
      </w:r>
      <w:r w:rsidR="007561B1" w:rsidRPr="00213792">
        <w:rPr>
          <w:lang w:val="en-GB"/>
        </w:rPr>
        <w:t xml:space="preserve">and will seek to </w:t>
      </w:r>
      <w:r w:rsidR="00EC4C8D" w:rsidRPr="00213792">
        <w:rPr>
          <w:lang w:val="en-GB"/>
        </w:rPr>
        <w:t>m</w:t>
      </w:r>
      <w:r w:rsidR="00EC4C8D">
        <w:rPr>
          <w:lang w:val="en-GB"/>
        </w:rPr>
        <w:t xml:space="preserve">ake sure that the </w:t>
      </w:r>
      <w:r w:rsidR="009E0831">
        <w:rPr>
          <w:lang w:val="en-GB"/>
        </w:rPr>
        <w:t>companies</w:t>
      </w:r>
      <w:r w:rsidR="009E0831" w:rsidRPr="00213792">
        <w:rPr>
          <w:lang w:val="en-GB"/>
        </w:rPr>
        <w:t xml:space="preserve"> </w:t>
      </w:r>
      <w:r w:rsidR="00EC4C8D" w:rsidRPr="00213792">
        <w:rPr>
          <w:lang w:val="en-GB"/>
        </w:rPr>
        <w:t xml:space="preserve">report consistently to Statistics Denmark across statistical domains. </w:t>
      </w:r>
    </w:p>
    <w:p w14:paraId="2BB1B6B6" w14:textId="7D986335" w:rsidR="005C74E0" w:rsidRPr="00213792" w:rsidRDefault="002B2DF1" w:rsidP="00FA020C">
      <w:pPr>
        <w:pStyle w:val="Nagwek1"/>
      </w:pPr>
      <w:r>
        <w:lastRenderedPageBreak/>
        <w:t>5</w:t>
      </w:r>
      <w:r w:rsidR="005C74E0" w:rsidRPr="00213792">
        <w:t>. Conclusion</w:t>
      </w:r>
    </w:p>
    <w:p w14:paraId="7C6AD7C0" w14:textId="6F638437" w:rsidR="001B6E06" w:rsidRPr="00FA020C" w:rsidRDefault="00B03ADD" w:rsidP="00DE1030">
      <w:pPr>
        <w:rPr>
          <w:lang w:val="en-GB"/>
        </w:rPr>
      </w:pPr>
      <w:r w:rsidRPr="00A21915">
        <w:rPr>
          <w:lang w:val="en-GB"/>
        </w:rPr>
        <w:t xml:space="preserve">By implementing consistency checks across statistical domains we have increased the quality of the two indicators measuring </w:t>
      </w:r>
      <w:r w:rsidR="00CE64DF">
        <w:rPr>
          <w:lang w:val="en-GB"/>
        </w:rPr>
        <w:t>international activities undertaken by Danish companies</w:t>
      </w:r>
      <w:r w:rsidRPr="00A21915">
        <w:rPr>
          <w:lang w:val="en-GB"/>
        </w:rPr>
        <w:t xml:space="preserve"> – merchanting and processing. </w:t>
      </w:r>
      <w:r w:rsidR="00CE64DF">
        <w:rPr>
          <w:lang w:val="en-GB"/>
        </w:rPr>
        <w:t>We are now able</w:t>
      </w:r>
      <w:r w:rsidRPr="00A21915">
        <w:rPr>
          <w:lang w:val="en-GB"/>
        </w:rPr>
        <w:t xml:space="preserve"> to </w:t>
      </w:r>
      <w:r w:rsidR="00CE64DF">
        <w:rPr>
          <w:lang w:val="en-GB"/>
        </w:rPr>
        <w:t xml:space="preserve">better </w:t>
      </w:r>
      <w:r w:rsidRPr="00A21915">
        <w:rPr>
          <w:lang w:val="en-GB"/>
        </w:rPr>
        <w:t>control for underreporting</w:t>
      </w:r>
      <w:r w:rsidR="00CE64DF">
        <w:rPr>
          <w:lang w:val="en-GB"/>
        </w:rPr>
        <w:t>. Also, we are</w:t>
      </w:r>
      <w:r w:rsidRPr="00A21915">
        <w:rPr>
          <w:lang w:val="en-GB"/>
        </w:rPr>
        <w:t xml:space="preserve"> </w:t>
      </w:r>
      <w:r w:rsidR="00CE64DF">
        <w:rPr>
          <w:lang w:val="en-GB"/>
        </w:rPr>
        <w:t xml:space="preserve">able to </w:t>
      </w:r>
      <w:r w:rsidRPr="00A21915">
        <w:rPr>
          <w:lang w:val="en-GB"/>
        </w:rPr>
        <w:t xml:space="preserve">offer </w:t>
      </w:r>
      <w:r w:rsidR="00CE64DF">
        <w:rPr>
          <w:lang w:val="en-GB"/>
        </w:rPr>
        <w:t xml:space="preserve">a </w:t>
      </w:r>
      <w:r w:rsidRPr="00A21915">
        <w:rPr>
          <w:lang w:val="en-GB"/>
        </w:rPr>
        <w:t>closer contact</w:t>
      </w:r>
      <w:r w:rsidR="00CE64DF">
        <w:rPr>
          <w:lang w:val="en-GB"/>
        </w:rPr>
        <w:t xml:space="preserve"> with Statistics Denmark </w:t>
      </w:r>
      <w:r w:rsidR="002C6FA0" w:rsidRPr="00A21915">
        <w:rPr>
          <w:lang w:val="en-GB"/>
        </w:rPr>
        <w:t>via the key account managers</w:t>
      </w:r>
      <w:r w:rsidR="00CE64DF">
        <w:rPr>
          <w:lang w:val="en-GB"/>
        </w:rPr>
        <w:t>. Thereby helping c</w:t>
      </w:r>
      <w:r w:rsidR="00CE64DF" w:rsidRPr="001B6E06">
        <w:rPr>
          <w:lang w:val="en-GB"/>
        </w:rPr>
        <w:t xml:space="preserve">ompanies understand what data we are looking for </w:t>
      </w:r>
      <w:r w:rsidR="00CE64DF">
        <w:rPr>
          <w:lang w:val="en-GB"/>
        </w:rPr>
        <w:t>and</w:t>
      </w:r>
      <w:r w:rsidR="00CE64DF" w:rsidRPr="001B6E06">
        <w:rPr>
          <w:lang w:val="en-GB"/>
        </w:rPr>
        <w:t xml:space="preserve"> why we are looking </w:t>
      </w:r>
      <w:r w:rsidR="00CE64DF">
        <w:rPr>
          <w:lang w:val="en-GB"/>
        </w:rPr>
        <w:t xml:space="preserve">for </w:t>
      </w:r>
      <w:r w:rsidR="00CE64DF" w:rsidRPr="001B6E06">
        <w:rPr>
          <w:lang w:val="en-GB"/>
        </w:rPr>
        <w:t>it</w:t>
      </w:r>
      <w:r w:rsidR="00CE64DF">
        <w:rPr>
          <w:lang w:val="en-GB"/>
        </w:rPr>
        <w:t xml:space="preserve"> – including helping them distinguish between merchanting and p</w:t>
      </w:r>
      <w:r w:rsidR="00CE64DF" w:rsidRPr="001B6E06">
        <w:rPr>
          <w:lang w:val="en-GB"/>
        </w:rPr>
        <w:t>rocessing</w:t>
      </w:r>
      <w:r w:rsidR="00CE64DF">
        <w:rPr>
          <w:lang w:val="en-GB"/>
        </w:rPr>
        <w:t xml:space="preserve">. </w:t>
      </w:r>
      <w:r w:rsidR="00DE1030">
        <w:rPr>
          <w:lang w:val="en-GB"/>
        </w:rPr>
        <w:t>With the implementation of these initiatives</w:t>
      </w:r>
      <w:r w:rsidR="00CE64DF">
        <w:rPr>
          <w:lang w:val="en-GB"/>
        </w:rPr>
        <w:t>,</w:t>
      </w:r>
      <w:r w:rsidR="002C6FA0" w:rsidRPr="00A21915">
        <w:rPr>
          <w:lang w:val="en-GB"/>
        </w:rPr>
        <w:t xml:space="preserve"> changes in </w:t>
      </w:r>
      <w:r w:rsidR="00CE64DF">
        <w:rPr>
          <w:lang w:val="en-GB"/>
        </w:rPr>
        <w:t>the companies’</w:t>
      </w:r>
      <w:r w:rsidR="00CE64DF" w:rsidRPr="00A21915">
        <w:rPr>
          <w:lang w:val="en-GB"/>
        </w:rPr>
        <w:t xml:space="preserve"> </w:t>
      </w:r>
      <w:r w:rsidR="002C6FA0" w:rsidRPr="00A21915">
        <w:rPr>
          <w:lang w:val="en-GB"/>
        </w:rPr>
        <w:t>production setup</w:t>
      </w:r>
      <w:r w:rsidR="00CE64DF">
        <w:rPr>
          <w:lang w:val="en-GB"/>
        </w:rPr>
        <w:t>s</w:t>
      </w:r>
      <w:r w:rsidR="002C6FA0" w:rsidRPr="00A21915">
        <w:rPr>
          <w:lang w:val="en-GB"/>
        </w:rPr>
        <w:t xml:space="preserve"> should be caught faster. </w:t>
      </w:r>
      <w:r w:rsidR="00DE1030">
        <w:rPr>
          <w:lang w:val="en-GB"/>
        </w:rPr>
        <w:t>As a result</w:t>
      </w:r>
      <w:r w:rsidR="002C6FA0" w:rsidRPr="00A21915">
        <w:rPr>
          <w:lang w:val="en-GB"/>
        </w:rPr>
        <w:t xml:space="preserve">, we believe we have a </w:t>
      </w:r>
      <w:r w:rsidR="00DE1030">
        <w:rPr>
          <w:lang w:val="en-GB"/>
        </w:rPr>
        <w:t>better</w:t>
      </w:r>
      <w:r w:rsidR="00DE1030" w:rsidRPr="00A21915">
        <w:rPr>
          <w:lang w:val="en-GB"/>
        </w:rPr>
        <w:t xml:space="preserve"> </w:t>
      </w:r>
      <w:r w:rsidR="002C6FA0" w:rsidRPr="00A21915">
        <w:rPr>
          <w:lang w:val="en-GB"/>
        </w:rPr>
        <w:t xml:space="preserve">indication of how much our large </w:t>
      </w:r>
      <w:r w:rsidR="009E0831">
        <w:rPr>
          <w:lang w:val="en-GB"/>
        </w:rPr>
        <w:t>companie</w:t>
      </w:r>
      <w:r w:rsidR="009E0831" w:rsidRPr="00A21915">
        <w:rPr>
          <w:lang w:val="en-GB"/>
        </w:rPr>
        <w:t xml:space="preserve">s </w:t>
      </w:r>
      <w:r w:rsidR="002C6FA0" w:rsidRPr="00A21915">
        <w:rPr>
          <w:lang w:val="en-GB"/>
        </w:rPr>
        <w:t xml:space="preserve">affect the Danish </w:t>
      </w:r>
      <w:r w:rsidR="000D1C06">
        <w:rPr>
          <w:lang w:val="en-GB"/>
        </w:rPr>
        <w:t>balance of payments</w:t>
      </w:r>
      <w:r w:rsidR="002C6FA0" w:rsidRPr="00A21915">
        <w:rPr>
          <w:lang w:val="en-GB"/>
        </w:rPr>
        <w:t xml:space="preserve">. </w:t>
      </w:r>
    </w:p>
    <w:p w14:paraId="14E9ECDA" w14:textId="7DE59E17" w:rsidR="00F30C27" w:rsidRPr="00FA020C" w:rsidRDefault="002B2DF1" w:rsidP="00FA020C">
      <w:pPr>
        <w:pStyle w:val="Nagwek1"/>
      </w:pPr>
      <w:r w:rsidRPr="00FA020C">
        <w:t>6</w:t>
      </w:r>
      <w:r w:rsidR="00F30C27" w:rsidRPr="00FA020C">
        <w:t>. References</w:t>
      </w:r>
    </w:p>
    <w:p w14:paraId="249EAF79" w14:textId="6EEC576F" w:rsidR="004740F1" w:rsidRDefault="00686EA3" w:rsidP="00FA020C">
      <w:pPr>
        <w:rPr>
          <w:rFonts w:cs="Arial"/>
          <w:szCs w:val="24"/>
          <w:lang w:val="en-GB"/>
        </w:rPr>
      </w:pPr>
      <w:r w:rsidRPr="00686EA3">
        <w:rPr>
          <w:rFonts w:cs="Arial"/>
          <w:szCs w:val="24"/>
          <w:lang w:val="en-GB"/>
        </w:rPr>
        <w:t>Bo, C., Burman, S., Winther, C. and Rørmose Jensen, P. (2018)</w:t>
      </w:r>
      <w:r w:rsidR="005A1F57" w:rsidRPr="00A21915">
        <w:rPr>
          <w:rFonts w:cs="Arial"/>
          <w:szCs w:val="24"/>
          <w:lang w:val="en-GB"/>
        </w:rPr>
        <w:t xml:space="preserve">, </w:t>
      </w:r>
      <w:r w:rsidR="00382100" w:rsidRPr="00382100">
        <w:rPr>
          <w:rFonts w:cs="Arial"/>
          <w:szCs w:val="24"/>
          <w:lang w:val="en-GB"/>
        </w:rPr>
        <w:t>How big are Danish exports and who are our main trading partners?</w:t>
      </w:r>
      <w:r w:rsidR="005A1F57" w:rsidRPr="00A21915">
        <w:rPr>
          <w:rFonts w:cs="Arial"/>
          <w:szCs w:val="24"/>
          <w:lang w:val="en-GB"/>
        </w:rPr>
        <w:t xml:space="preserve">, </w:t>
      </w:r>
      <w:r w:rsidR="00382100">
        <w:rPr>
          <w:rFonts w:cs="Arial"/>
          <w:szCs w:val="24"/>
          <w:lang w:val="en-GB"/>
        </w:rPr>
        <w:t xml:space="preserve">Statistics Denmark, </w:t>
      </w:r>
      <w:r w:rsidR="00382100" w:rsidRPr="00FA020C">
        <w:rPr>
          <w:rFonts w:cs="Arial"/>
          <w:i/>
          <w:szCs w:val="24"/>
          <w:lang w:val="en-GB"/>
        </w:rPr>
        <w:t>DST Analysis</w:t>
      </w:r>
      <w:r w:rsidR="00382100">
        <w:rPr>
          <w:rFonts w:cs="Arial"/>
          <w:szCs w:val="24"/>
          <w:lang w:val="en-GB"/>
        </w:rPr>
        <w:t>, No. 4</w:t>
      </w:r>
      <w:r w:rsidR="00382100" w:rsidRPr="00382100">
        <w:rPr>
          <w:rFonts w:cs="Arial"/>
          <w:szCs w:val="24"/>
          <w:lang w:val="en-GB"/>
        </w:rPr>
        <w:t xml:space="preserve">, </w:t>
      </w:r>
      <w:r w:rsidR="00382100">
        <w:rPr>
          <w:rFonts w:cs="Arial"/>
          <w:szCs w:val="24"/>
          <w:lang w:val="en-GB"/>
        </w:rPr>
        <w:t>March</w:t>
      </w:r>
      <w:r w:rsidR="00382100" w:rsidRPr="00382100">
        <w:rPr>
          <w:rFonts w:cs="Arial"/>
          <w:szCs w:val="24"/>
          <w:lang w:val="en-GB"/>
        </w:rPr>
        <w:t>.</w:t>
      </w:r>
      <w:r w:rsidR="005A1F57" w:rsidRPr="00A21915">
        <w:rPr>
          <w:rFonts w:cs="Arial"/>
          <w:szCs w:val="24"/>
          <w:lang w:val="en-GB"/>
        </w:rPr>
        <w:t xml:space="preserve"> </w:t>
      </w:r>
    </w:p>
    <w:p w14:paraId="1E629F58" w14:textId="795DE613" w:rsidR="00356702" w:rsidRPr="00356702" w:rsidRDefault="00356702" w:rsidP="00356702">
      <w:pPr>
        <w:shd w:val="clear" w:color="auto" w:fill="FFFFFF"/>
        <w:rPr>
          <w:rFonts w:eastAsia="Times New Roman" w:cs="Arial"/>
          <w:szCs w:val="24"/>
          <w:lang w:val="en-US" w:eastAsia="da-DK"/>
        </w:rPr>
      </w:pPr>
      <w:r>
        <w:rPr>
          <w:rFonts w:cs="Arial"/>
          <w:szCs w:val="24"/>
          <w:lang w:val="en-GB"/>
        </w:rPr>
        <w:t xml:space="preserve">Thomsen, A. and Winther, C. (2016), Implementation of the new guidelines </w:t>
      </w:r>
      <w:r w:rsidRPr="00356702">
        <w:rPr>
          <w:rFonts w:cs="Arial"/>
          <w:szCs w:val="24"/>
          <w:lang w:val="en-GB"/>
        </w:rPr>
        <w:t>conce</w:t>
      </w:r>
      <w:r>
        <w:rPr>
          <w:rFonts w:cs="Arial"/>
          <w:szCs w:val="24"/>
          <w:lang w:val="en-GB"/>
        </w:rPr>
        <w:t xml:space="preserve">rning processing activities in Denmark – </w:t>
      </w:r>
      <w:r w:rsidRPr="00356702">
        <w:rPr>
          <w:rFonts w:cs="Arial"/>
          <w:szCs w:val="24"/>
          <w:lang w:val="en-GB"/>
        </w:rPr>
        <w:t>consistency problems detected</w:t>
      </w:r>
      <w:r>
        <w:rPr>
          <w:rFonts w:cs="Arial"/>
          <w:szCs w:val="24"/>
          <w:lang w:val="en-GB"/>
        </w:rPr>
        <w:t xml:space="preserve">, Statistics Denmark, </w:t>
      </w:r>
      <w:r w:rsidRPr="00356702">
        <w:rPr>
          <w:rFonts w:eastAsia="Times New Roman" w:cs="Arial"/>
          <w:szCs w:val="24"/>
          <w:lang w:val="en-US" w:eastAsia="da-DK"/>
        </w:rPr>
        <w:t>Meeting of the Group of Experts on National Accounts, Geneva, 1</w:t>
      </w:r>
      <w:r>
        <w:rPr>
          <w:rFonts w:eastAsia="Times New Roman" w:cs="Arial"/>
          <w:szCs w:val="24"/>
          <w:lang w:val="en-US" w:eastAsia="da-DK"/>
        </w:rPr>
        <w:t>7</w:t>
      </w:r>
      <w:r w:rsidRPr="00356702">
        <w:rPr>
          <w:rFonts w:eastAsia="Times New Roman" w:cs="Arial"/>
          <w:szCs w:val="24"/>
          <w:lang w:val="en-US" w:eastAsia="da-DK"/>
        </w:rPr>
        <w:t xml:space="preserve"> - 20 May 2016</w:t>
      </w:r>
      <w:r>
        <w:rPr>
          <w:rFonts w:eastAsia="Times New Roman" w:cs="Arial"/>
          <w:szCs w:val="24"/>
          <w:lang w:val="en-US" w:eastAsia="da-DK"/>
        </w:rPr>
        <w:t>.</w:t>
      </w:r>
    </w:p>
    <w:p w14:paraId="67640FF4" w14:textId="7950ECB2" w:rsidR="00356702" w:rsidRPr="00EC5F5A" w:rsidRDefault="00356702" w:rsidP="00356702">
      <w:pPr>
        <w:rPr>
          <w:rFonts w:cs="Arial"/>
          <w:szCs w:val="24"/>
          <w:lang w:val="en-GB"/>
        </w:rPr>
      </w:pPr>
      <w:r>
        <w:rPr>
          <w:rFonts w:cs="Arial"/>
          <w:szCs w:val="24"/>
          <w:lang w:val="en-GB"/>
        </w:rPr>
        <w:t xml:space="preserve"> </w:t>
      </w:r>
    </w:p>
    <w:sectPr w:rsidR="00356702" w:rsidRPr="00EC5F5A" w:rsidSect="0023623C">
      <w:headerReference w:type="even" r:id="rId21"/>
      <w:headerReference w:type="default" r:id="rId22"/>
      <w:footerReference w:type="default" r:id="rId23"/>
      <w:headerReference w:type="first" r:id="rId2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8B10C" w14:textId="77777777" w:rsidR="00534D3A" w:rsidRDefault="00534D3A" w:rsidP="00E82B25">
      <w:pPr>
        <w:spacing w:line="240" w:lineRule="auto"/>
      </w:pPr>
      <w:r>
        <w:separator/>
      </w:r>
    </w:p>
  </w:endnote>
  <w:endnote w:type="continuationSeparator" w:id="0">
    <w:p w14:paraId="6D6A6007" w14:textId="77777777" w:rsidR="00534D3A" w:rsidRDefault="00534D3A" w:rsidP="00E8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cs="Arial"/>
        <w:szCs w:val="24"/>
      </w:rPr>
    </w:sdtEndPr>
    <w:sdtContent>
      <w:p w14:paraId="5A3FECEF" w14:textId="77777777" w:rsidR="002B6565" w:rsidRPr="009378F5" w:rsidRDefault="002B6565" w:rsidP="0035694D">
        <w:pPr>
          <w:pStyle w:val="Stopka"/>
          <w:jc w:val="right"/>
          <w:rPr>
            <w:rFonts w:cs="Arial"/>
            <w:szCs w:val="24"/>
          </w:rPr>
        </w:pPr>
        <w:r w:rsidRPr="009378F5">
          <w:rPr>
            <w:rFonts w:cs="Arial"/>
            <w:szCs w:val="24"/>
          </w:rPr>
          <w:fldChar w:fldCharType="begin"/>
        </w:r>
        <w:r w:rsidRPr="009378F5">
          <w:rPr>
            <w:rFonts w:cs="Arial"/>
            <w:szCs w:val="24"/>
          </w:rPr>
          <w:instrText>PAGE   \* MERGEFORMAT</w:instrText>
        </w:r>
        <w:r w:rsidRPr="009378F5">
          <w:rPr>
            <w:rFonts w:cs="Arial"/>
            <w:szCs w:val="24"/>
          </w:rPr>
          <w:fldChar w:fldCharType="separate"/>
        </w:r>
        <w:r w:rsidR="00D75B44">
          <w:rPr>
            <w:rFonts w:cs="Arial"/>
            <w:noProof/>
            <w:szCs w:val="24"/>
          </w:rPr>
          <w:t>2</w:t>
        </w:r>
        <w:r w:rsidRPr="009378F5">
          <w:rPr>
            <w:rFonts w:cs="Arial"/>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B9811" w14:textId="77777777" w:rsidR="00534D3A" w:rsidRDefault="00534D3A" w:rsidP="00E82B25">
      <w:pPr>
        <w:spacing w:line="240" w:lineRule="auto"/>
      </w:pPr>
      <w:r>
        <w:separator/>
      </w:r>
    </w:p>
  </w:footnote>
  <w:footnote w:type="continuationSeparator" w:id="0">
    <w:p w14:paraId="3B2BB005" w14:textId="77777777" w:rsidR="00534D3A" w:rsidRDefault="00534D3A" w:rsidP="00E82B25">
      <w:pPr>
        <w:spacing w:line="240" w:lineRule="auto"/>
      </w:pPr>
      <w:r>
        <w:continuationSeparator/>
      </w:r>
    </w:p>
  </w:footnote>
  <w:footnote w:id="1">
    <w:p w14:paraId="48C19297" w14:textId="387582B1" w:rsidR="002B2DF1" w:rsidRPr="00FA020C" w:rsidRDefault="002B2DF1">
      <w:pPr>
        <w:pStyle w:val="Tekstprzypisudolnego"/>
        <w:rPr>
          <w:rFonts w:cs="Arial"/>
          <w:lang w:val="en-US"/>
        </w:rPr>
      </w:pPr>
      <w:r>
        <w:rPr>
          <w:rStyle w:val="Odwoanieprzypisudolnego"/>
        </w:rPr>
        <w:footnoteRef/>
      </w:r>
      <w:r>
        <w:t xml:space="preserve"> </w:t>
      </w:r>
      <w:r w:rsidRPr="00FA020C">
        <w:rPr>
          <w:rFonts w:cs="Arial"/>
          <w:lang w:val="en-US"/>
        </w:rPr>
        <w:t xml:space="preserve">This section is based on the analysis </w:t>
      </w:r>
      <w:r w:rsidR="007226A6" w:rsidRPr="00FA020C">
        <w:rPr>
          <w:rFonts w:cs="Arial"/>
          <w:i/>
          <w:lang w:val="en-US"/>
        </w:rPr>
        <w:t>How big are Danish exports and who are our main trading partners?</w:t>
      </w:r>
      <w:r w:rsidR="00BD14BF">
        <w:rPr>
          <w:rFonts w:cs="Arial"/>
          <w:i/>
          <w:lang w:val="en-US"/>
        </w:rPr>
        <w:t xml:space="preserve"> </w:t>
      </w:r>
      <w:r w:rsidR="007226A6" w:rsidRPr="00FA020C">
        <w:rPr>
          <w:rFonts w:cs="Arial"/>
          <w:lang w:val="en-US"/>
        </w:rPr>
        <w:t xml:space="preserve">published </w:t>
      </w:r>
      <w:r w:rsidRPr="00FA020C">
        <w:rPr>
          <w:rFonts w:cs="Arial"/>
          <w:lang w:val="en-US"/>
        </w:rPr>
        <w:t>by Statistics Denmark</w:t>
      </w:r>
      <w:r w:rsidR="007226A6">
        <w:rPr>
          <w:rFonts w:cs="Arial"/>
          <w:lang w:val="en-US"/>
        </w:rPr>
        <w:t xml:space="preserve"> in March 2018</w:t>
      </w:r>
      <w:r w:rsidRPr="00FA020C">
        <w:rPr>
          <w:rFonts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47EF" w14:textId="77777777" w:rsidR="002B6565" w:rsidRDefault="00534D3A">
    <w:pPr>
      <w:pStyle w:val="Nagwek"/>
    </w:pPr>
    <w:r>
      <w:rPr>
        <w:noProof/>
        <w:lang w:eastAsia="pl-PL"/>
      </w:rPr>
      <w:pict w14:anchorId="29918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10B6" w14:textId="77777777" w:rsidR="002B6565" w:rsidRDefault="00534D3A">
    <w:pPr>
      <w:pStyle w:val="Nagwek"/>
    </w:pPr>
    <w:r>
      <w:rPr>
        <w:noProof/>
        <w:lang w:eastAsia="pl-PL"/>
      </w:rPr>
      <w:pict w14:anchorId="4E379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left:0;text-align:left;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D26AD" w14:textId="77777777" w:rsidR="002B6565" w:rsidRDefault="00534D3A">
    <w:pPr>
      <w:pStyle w:val="Nagwek"/>
    </w:pPr>
    <w:r>
      <w:rPr>
        <w:noProof/>
        <w:lang w:eastAsia="pl-PL"/>
      </w:rPr>
      <w:pict w14:anchorId="46A96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030"/>
    <w:multiLevelType w:val="hybridMultilevel"/>
    <w:tmpl w:val="79E4AE2A"/>
    <w:lvl w:ilvl="0" w:tplc="FC98DA8C">
      <w:start w:val="1"/>
      <w:numFmt w:val="bullet"/>
      <w:lvlText w:val=""/>
      <w:lvlJc w:val="left"/>
      <w:pPr>
        <w:ind w:left="720" w:hanging="360"/>
      </w:pPr>
      <w:rPr>
        <w:rFonts w:ascii="Symbol" w:hAnsi="Symbol" w:hint="default"/>
      </w:rPr>
    </w:lvl>
    <w:lvl w:ilvl="1" w:tplc="0406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2348D"/>
    <w:multiLevelType w:val="hybridMultilevel"/>
    <w:tmpl w:val="9D74D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8498A"/>
    <w:multiLevelType w:val="hybridMultilevel"/>
    <w:tmpl w:val="E24C3ACE"/>
    <w:lvl w:ilvl="0" w:tplc="08090001">
      <w:start w:val="1"/>
      <w:numFmt w:val="bullet"/>
      <w:lvlText w:val=""/>
      <w:lvlJc w:val="left"/>
      <w:pPr>
        <w:ind w:left="720" w:hanging="360"/>
      </w:pPr>
      <w:rPr>
        <w:rFonts w:ascii="Symbol" w:hAnsi="Symbol" w:hint="default"/>
      </w:rPr>
    </w:lvl>
    <w:lvl w:ilvl="1" w:tplc="0406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74FC7"/>
    <w:multiLevelType w:val="hybridMultilevel"/>
    <w:tmpl w:val="BB7032AE"/>
    <w:lvl w:ilvl="0" w:tplc="08090001">
      <w:start w:val="1"/>
      <w:numFmt w:val="bullet"/>
      <w:lvlText w:val=""/>
      <w:lvlJc w:val="left"/>
      <w:pPr>
        <w:ind w:left="720" w:hanging="360"/>
      </w:pPr>
      <w:rPr>
        <w:rFonts w:ascii="Symbol" w:hAnsi="Symbol" w:hint="default"/>
      </w:rPr>
    </w:lvl>
    <w:lvl w:ilvl="1" w:tplc="0406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C516C"/>
    <w:multiLevelType w:val="hybridMultilevel"/>
    <w:tmpl w:val="D1C6199E"/>
    <w:lvl w:ilvl="0" w:tplc="08090001">
      <w:start w:val="1"/>
      <w:numFmt w:val="bullet"/>
      <w:lvlText w:val=""/>
      <w:lvlJc w:val="left"/>
      <w:pPr>
        <w:ind w:left="720" w:hanging="360"/>
      </w:pPr>
      <w:rPr>
        <w:rFonts w:ascii="Symbol" w:hAnsi="Symbol" w:hint="default"/>
      </w:rPr>
    </w:lvl>
    <w:lvl w:ilvl="1" w:tplc="0406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25740"/>
    <w:multiLevelType w:val="hybridMultilevel"/>
    <w:tmpl w:val="EA380304"/>
    <w:lvl w:ilvl="0" w:tplc="FC98DA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96C32"/>
    <w:multiLevelType w:val="hybridMultilevel"/>
    <w:tmpl w:val="1ACE96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1350A6"/>
    <w:multiLevelType w:val="hybridMultilevel"/>
    <w:tmpl w:val="A964C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D3C4886"/>
    <w:multiLevelType w:val="hybridMultilevel"/>
    <w:tmpl w:val="E01A085E"/>
    <w:lvl w:ilvl="0" w:tplc="08090001">
      <w:start w:val="1"/>
      <w:numFmt w:val="bullet"/>
      <w:lvlText w:val=""/>
      <w:lvlJc w:val="left"/>
      <w:pPr>
        <w:ind w:left="720" w:hanging="360"/>
      </w:pPr>
      <w:rPr>
        <w:rFonts w:ascii="Symbol" w:hAnsi="Symbol" w:hint="default"/>
      </w:rPr>
    </w:lvl>
    <w:lvl w:ilvl="1" w:tplc="0406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0"/>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348F4"/>
    <w:rsid w:val="00047C24"/>
    <w:rsid w:val="00070925"/>
    <w:rsid w:val="0007704A"/>
    <w:rsid w:val="00080212"/>
    <w:rsid w:val="0008703D"/>
    <w:rsid w:val="000957CC"/>
    <w:rsid w:val="000962C1"/>
    <w:rsid w:val="000A2CCD"/>
    <w:rsid w:val="000C6468"/>
    <w:rsid w:val="000C6472"/>
    <w:rsid w:val="000D1C06"/>
    <w:rsid w:val="000D1F36"/>
    <w:rsid w:val="000D5735"/>
    <w:rsid w:val="000D705A"/>
    <w:rsid w:val="000F337F"/>
    <w:rsid w:val="00107FD3"/>
    <w:rsid w:val="00116ACE"/>
    <w:rsid w:val="0013210D"/>
    <w:rsid w:val="0013349C"/>
    <w:rsid w:val="00133E07"/>
    <w:rsid w:val="00142A8D"/>
    <w:rsid w:val="00145FAD"/>
    <w:rsid w:val="00157DAD"/>
    <w:rsid w:val="00160406"/>
    <w:rsid w:val="001615A6"/>
    <w:rsid w:val="0016743D"/>
    <w:rsid w:val="00182357"/>
    <w:rsid w:val="001A0F1D"/>
    <w:rsid w:val="001B235C"/>
    <w:rsid w:val="001B6E06"/>
    <w:rsid w:val="001C0FB4"/>
    <w:rsid w:val="001C461B"/>
    <w:rsid w:val="001E1F52"/>
    <w:rsid w:val="001E43DC"/>
    <w:rsid w:val="001E5F46"/>
    <w:rsid w:val="001F312F"/>
    <w:rsid w:val="001F3B7E"/>
    <w:rsid w:val="00203B81"/>
    <w:rsid w:val="002136A7"/>
    <w:rsid w:val="00213792"/>
    <w:rsid w:val="002143EA"/>
    <w:rsid w:val="00221F17"/>
    <w:rsid w:val="00233F99"/>
    <w:rsid w:val="00234927"/>
    <w:rsid w:val="0023623C"/>
    <w:rsid w:val="0024015A"/>
    <w:rsid w:val="00242620"/>
    <w:rsid w:val="002517D3"/>
    <w:rsid w:val="0025572A"/>
    <w:rsid w:val="00260CC7"/>
    <w:rsid w:val="00266AE5"/>
    <w:rsid w:val="00275F31"/>
    <w:rsid w:val="0028150C"/>
    <w:rsid w:val="0028184C"/>
    <w:rsid w:val="00282B53"/>
    <w:rsid w:val="0028671C"/>
    <w:rsid w:val="00293580"/>
    <w:rsid w:val="002939F1"/>
    <w:rsid w:val="00294F8F"/>
    <w:rsid w:val="002B2DF1"/>
    <w:rsid w:val="002B5D0A"/>
    <w:rsid w:val="002B6565"/>
    <w:rsid w:val="002B6D33"/>
    <w:rsid w:val="002C252B"/>
    <w:rsid w:val="002C5F69"/>
    <w:rsid w:val="002C6FA0"/>
    <w:rsid w:val="002F45A6"/>
    <w:rsid w:val="00326AAB"/>
    <w:rsid w:val="00336E21"/>
    <w:rsid w:val="00353930"/>
    <w:rsid w:val="00353F18"/>
    <w:rsid w:val="00356702"/>
    <w:rsid w:val="0035694D"/>
    <w:rsid w:val="00362815"/>
    <w:rsid w:val="00364F48"/>
    <w:rsid w:val="00377912"/>
    <w:rsid w:val="00382100"/>
    <w:rsid w:val="003A0D42"/>
    <w:rsid w:val="003A1D16"/>
    <w:rsid w:val="003C61E0"/>
    <w:rsid w:val="003D6387"/>
    <w:rsid w:val="003E071B"/>
    <w:rsid w:val="00411F34"/>
    <w:rsid w:val="004150F5"/>
    <w:rsid w:val="00427A0A"/>
    <w:rsid w:val="0044130E"/>
    <w:rsid w:val="0045219B"/>
    <w:rsid w:val="0045437A"/>
    <w:rsid w:val="004740F1"/>
    <w:rsid w:val="00484858"/>
    <w:rsid w:val="004906F2"/>
    <w:rsid w:val="00490875"/>
    <w:rsid w:val="00493026"/>
    <w:rsid w:val="004A12A7"/>
    <w:rsid w:val="004A1A99"/>
    <w:rsid w:val="004B354F"/>
    <w:rsid w:val="004B39C1"/>
    <w:rsid w:val="004B4474"/>
    <w:rsid w:val="004B6729"/>
    <w:rsid w:val="004C5048"/>
    <w:rsid w:val="004D4166"/>
    <w:rsid w:val="004F04B4"/>
    <w:rsid w:val="00505154"/>
    <w:rsid w:val="005079BE"/>
    <w:rsid w:val="005215E8"/>
    <w:rsid w:val="005224CA"/>
    <w:rsid w:val="00530FD6"/>
    <w:rsid w:val="00534D3A"/>
    <w:rsid w:val="00576228"/>
    <w:rsid w:val="00580480"/>
    <w:rsid w:val="005812C5"/>
    <w:rsid w:val="0058617A"/>
    <w:rsid w:val="00590CFA"/>
    <w:rsid w:val="00596116"/>
    <w:rsid w:val="005A1F57"/>
    <w:rsid w:val="005A7041"/>
    <w:rsid w:val="005B6095"/>
    <w:rsid w:val="005B6971"/>
    <w:rsid w:val="005C5AAB"/>
    <w:rsid w:val="005C74E0"/>
    <w:rsid w:val="006052BF"/>
    <w:rsid w:val="0061543C"/>
    <w:rsid w:val="0063446A"/>
    <w:rsid w:val="0064056E"/>
    <w:rsid w:val="00653D6C"/>
    <w:rsid w:val="00667788"/>
    <w:rsid w:val="006834A3"/>
    <w:rsid w:val="00686EA3"/>
    <w:rsid w:val="0069009D"/>
    <w:rsid w:val="0069430B"/>
    <w:rsid w:val="00697934"/>
    <w:rsid w:val="006B5A4A"/>
    <w:rsid w:val="006B6693"/>
    <w:rsid w:val="006C5879"/>
    <w:rsid w:val="006C699A"/>
    <w:rsid w:val="006D4598"/>
    <w:rsid w:val="007226A6"/>
    <w:rsid w:val="00726FF0"/>
    <w:rsid w:val="00741CD4"/>
    <w:rsid w:val="007561B1"/>
    <w:rsid w:val="00756B66"/>
    <w:rsid w:val="00763FC1"/>
    <w:rsid w:val="007730C4"/>
    <w:rsid w:val="00776C97"/>
    <w:rsid w:val="00793547"/>
    <w:rsid w:val="007E6D8C"/>
    <w:rsid w:val="007F7F70"/>
    <w:rsid w:val="00805C26"/>
    <w:rsid w:val="00822361"/>
    <w:rsid w:val="0082373C"/>
    <w:rsid w:val="00830708"/>
    <w:rsid w:val="00833715"/>
    <w:rsid w:val="00834E25"/>
    <w:rsid w:val="00836A82"/>
    <w:rsid w:val="00866358"/>
    <w:rsid w:val="00867B2C"/>
    <w:rsid w:val="00873330"/>
    <w:rsid w:val="00883326"/>
    <w:rsid w:val="00883ECE"/>
    <w:rsid w:val="008A3344"/>
    <w:rsid w:val="008A5D00"/>
    <w:rsid w:val="008A71D2"/>
    <w:rsid w:val="008B0935"/>
    <w:rsid w:val="008B28D1"/>
    <w:rsid w:val="008C10AF"/>
    <w:rsid w:val="008D56E1"/>
    <w:rsid w:val="008D6094"/>
    <w:rsid w:val="008F0F23"/>
    <w:rsid w:val="008F772D"/>
    <w:rsid w:val="00902A7F"/>
    <w:rsid w:val="009101E5"/>
    <w:rsid w:val="009378F5"/>
    <w:rsid w:val="00973B8D"/>
    <w:rsid w:val="00982F6F"/>
    <w:rsid w:val="009861BC"/>
    <w:rsid w:val="009C46B1"/>
    <w:rsid w:val="009E0831"/>
    <w:rsid w:val="009F547F"/>
    <w:rsid w:val="00A01146"/>
    <w:rsid w:val="00A21915"/>
    <w:rsid w:val="00A23816"/>
    <w:rsid w:val="00A24A6E"/>
    <w:rsid w:val="00A30890"/>
    <w:rsid w:val="00A454B6"/>
    <w:rsid w:val="00A531F2"/>
    <w:rsid w:val="00A6013E"/>
    <w:rsid w:val="00A917DD"/>
    <w:rsid w:val="00A92F37"/>
    <w:rsid w:val="00AA1036"/>
    <w:rsid w:val="00AA178D"/>
    <w:rsid w:val="00AC456A"/>
    <w:rsid w:val="00AD1423"/>
    <w:rsid w:val="00AD4AEE"/>
    <w:rsid w:val="00AF4A54"/>
    <w:rsid w:val="00B03ADD"/>
    <w:rsid w:val="00B17026"/>
    <w:rsid w:val="00B25B76"/>
    <w:rsid w:val="00B27A67"/>
    <w:rsid w:val="00B47197"/>
    <w:rsid w:val="00B72169"/>
    <w:rsid w:val="00B74218"/>
    <w:rsid w:val="00B75959"/>
    <w:rsid w:val="00B77A7F"/>
    <w:rsid w:val="00B84E09"/>
    <w:rsid w:val="00B86FC7"/>
    <w:rsid w:val="00B912C3"/>
    <w:rsid w:val="00B9335D"/>
    <w:rsid w:val="00B93E86"/>
    <w:rsid w:val="00B94009"/>
    <w:rsid w:val="00BB19AC"/>
    <w:rsid w:val="00BB19D2"/>
    <w:rsid w:val="00BC26CE"/>
    <w:rsid w:val="00BD14BF"/>
    <w:rsid w:val="00BE2DB6"/>
    <w:rsid w:val="00BF6DBC"/>
    <w:rsid w:val="00C0144C"/>
    <w:rsid w:val="00C16E8E"/>
    <w:rsid w:val="00C22220"/>
    <w:rsid w:val="00C261EA"/>
    <w:rsid w:val="00C40213"/>
    <w:rsid w:val="00C444A7"/>
    <w:rsid w:val="00C55909"/>
    <w:rsid w:val="00C726EA"/>
    <w:rsid w:val="00C74A1D"/>
    <w:rsid w:val="00C754E3"/>
    <w:rsid w:val="00CB0A0F"/>
    <w:rsid w:val="00CB2B44"/>
    <w:rsid w:val="00CB4074"/>
    <w:rsid w:val="00CC1C1D"/>
    <w:rsid w:val="00CE2A59"/>
    <w:rsid w:val="00CE39D5"/>
    <w:rsid w:val="00CE64DF"/>
    <w:rsid w:val="00CF33AD"/>
    <w:rsid w:val="00CF656A"/>
    <w:rsid w:val="00D0258C"/>
    <w:rsid w:val="00D0270E"/>
    <w:rsid w:val="00D03F34"/>
    <w:rsid w:val="00D05E8D"/>
    <w:rsid w:val="00D12C39"/>
    <w:rsid w:val="00D20550"/>
    <w:rsid w:val="00D2155E"/>
    <w:rsid w:val="00D34E71"/>
    <w:rsid w:val="00D3638C"/>
    <w:rsid w:val="00D41822"/>
    <w:rsid w:val="00D46640"/>
    <w:rsid w:val="00D52194"/>
    <w:rsid w:val="00D53B7C"/>
    <w:rsid w:val="00D542C1"/>
    <w:rsid w:val="00D62C83"/>
    <w:rsid w:val="00D65C24"/>
    <w:rsid w:val="00D75B44"/>
    <w:rsid w:val="00D94A30"/>
    <w:rsid w:val="00D9794A"/>
    <w:rsid w:val="00DA47FF"/>
    <w:rsid w:val="00DA74F6"/>
    <w:rsid w:val="00DB517D"/>
    <w:rsid w:val="00DC1ABF"/>
    <w:rsid w:val="00DD4526"/>
    <w:rsid w:val="00DD4977"/>
    <w:rsid w:val="00DE01B4"/>
    <w:rsid w:val="00DE1030"/>
    <w:rsid w:val="00DF27A8"/>
    <w:rsid w:val="00E03B6C"/>
    <w:rsid w:val="00E13BFE"/>
    <w:rsid w:val="00E261EB"/>
    <w:rsid w:val="00E50CDB"/>
    <w:rsid w:val="00E675A7"/>
    <w:rsid w:val="00E7228E"/>
    <w:rsid w:val="00E82B25"/>
    <w:rsid w:val="00E87D9F"/>
    <w:rsid w:val="00E92831"/>
    <w:rsid w:val="00E9313B"/>
    <w:rsid w:val="00E97A45"/>
    <w:rsid w:val="00E97A9E"/>
    <w:rsid w:val="00EB7A63"/>
    <w:rsid w:val="00EC17F4"/>
    <w:rsid w:val="00EC1B99"/>
    <w:rsid w:val="00EC4C8D"/>
    <w:rsid w:val="00EC5F5A"/>
    <w:rsid w:val="00ED3177"/>
    <w:rsid w:val="00EE080A"/>
    <w:rsid w:val="00EE4A70"/>
    <w:rsid w:val="00EF29D4"/>
    <w:rsid w:val="00F30C27"/>
    <w:rsid w:val="00F3559E"/>
    <w:rsid w:val="00F3763E"/>
    <w:rsid w:val="00F51570"/>
    <w:rsid w:val="00F566BF"/>
    <w:rsid w:val="00F74EA2"/>
    <w:rsid w:val="00FA020C"/>
    <w:rsid w:val="00FB4D2A"/>
    <w:rsid w:val="00FC296F"/>
    <w:rsid w:val="00FE369C"/>
    <w:rsid w:val="00FE7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8A60E16"/>
  <w15:docId w15:val="{46652650-A9B6-417A-9C8F-AC5B285E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036"/>
    <w:pPr>
      <w:spacing w:before="120" w:after="0" w:line="360" w:lineRule="auto"/>
      <w:jc w:val="both"/>
    </w:pPr>
    <w:rPr>
      <w:rFonts w:ascii="Arial" w:hAnsi="Arial"/>
      <w:sz w:val="24"/>
    </w:rPr>
  </w:style>
  <w:style w:type="paragraph" w:styleId="Nagwek1">
    <w:name w:val="heading 1"/>
    <w:basedOn w:val="Normalny"/>
    <w:next w:val="Normalny"/>
    <w:link w:val="Nagwek1Znak"/>
    <w:uiPriority w:val="9"/>
    <w:qFormat/>
    <w:rsid w:val="00CB0A0F"/>
    <w:pPr>
      <w:spacing w:before="360"/>
      <w:outlineLvl w:val="0"/>
    </w:pPr>
    <w:rPr>
      <w:rFonts w:cs="Arial"/>
      <w:b/>
      <w:szCs w:val="24"/>
      <w:lang w:val="en-GB"/>
    </w:rPr>
  </w:style>
  <w:style w:type="paragraph" w:styleId="Nagwek2">
    <w:name w:val="heading 2"/>
    <w:aliases w:val="abstract"/>
    <w:basedOn w:val="Normalny"/>
    <w:next w:val="Normalny"/>
    <w:link w:val="Nagwek2Znak"/>
    <w:uiPriority w:val="9"/>
    <w:unhideWhenUsed/>
    <w:qFormat/>
    <w:rsid w:val="00AA1036"/>
    <w:pPr>
      <w:outlineLvl w:val="1"/>
    </w:pPr>
    <w:rPr>
      <w:sz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customStyle="1" w:styleId="Tabeloverskrift">
    <w:name w:val="Tabeloverskrift"/>
    <w:basedOn w:val="Normalny"/>
    <w:next w:val="Normalny"/>
    <w:rsid w:val="004B354F"/>
    <w:pPr>
      <w:keepNext/>
      <w:keepLines/>
      <w:overflowPunct w:val="0"/>
      <w:autoSpaceDE w:val="0"/>
      <w:autoSpaceDN w:val="0"/>
      <w:adjustRightInd w:val="0"/>
      <w:spacing w:after="40" w:line="264" w:lineRule="auto"/>
      <w:textAlignment w:val="baseline"/>
    </w:pPr>
    <w:rPr>
      <w:rFonts w:ascii="Arial Narrow" w:eastAsia="Times New Roman" w:hAnsi="Arial Narrow" w:cs="Times New Roman"/>
      <w:b/>
      <w:sz w:val="18"/>
      <w:szCs w:val="20"/>
      <w:lang w:val="da-DK" w:eastAsia="da-DK"/>
    </w:rPr>
  </w:style>
  <w:style w:type="paragraph" w:styleId="Poprawka">
    <w:name w:val="Revision"/>
    <w:hidden/>
    <w:uiPriority w:val="99"/>
    <w:semiHidden/>
    <w:rsid w:val="00353930"/>
    <w:pPr>
      <w:spacing w:after="0" w:line="240" w:lineRule="auto"/>
    </w:pPr>
  </w:style>
  <w:style w:type="paragraph" w:styleId="Akapitzlist">
    <w:name w:val="List Paragraph"/>
    <w:basedOn w:val="Normalny"/>
    <w:uiPriority w:val="34"/>
    <w:qFormat/>
    <w:rsid w:val="004906F2"/>
    <w:pPr>
      <w:tabs>
        <w:tab w:val="left" w:pos="850"/>
        <w:tab w:val="left" w:pos="1191"/>
        <w:tab w:val="left" w:pos="1531"/>
      </w:tabs>
      <w:spacing w:line="240" w:lineRule="auto"/>
      <w:ind w:left="720"/>
      <w:contextualSpacing/>
    </w:pPr>
    <w:rPr>
      <w:rFonts w:ascii="Times New Roman" w:eastAsia="Times New Roman" w:hAnsi="Times New Roman" w:cs="Times New Roman"/>
      <w:lang w:val="en-GB" w:eastAsia="zh-CN"/>
    </w:rPr>
  </w:style>
  <w:style w:type="paragraph" w:styleId="NormalnyWeb">
    <w:name w:val="Normal (Web)"/>
    <w:basedOn w:val="Normalny"/>
    <w:uiPriority w:val="99"/>
    <w:semiHidden/>
    <w:unhideWhenUsed/>
    <w:rsid w:val="00EC17F4"/>
    <w:pPr>
      <w:spacing w:before="100" w:beforeAutospacing="1" w:after="100" w:afterAutospacing="1" w:line="240" w:lineRule="auto"/>
    </w:pPr>
    <w:rPr>
      <w:rFonts w:ascii="Times New Roman" w:eastAsiaTheme="minorEastAsia" w:hAnsi="Times New Roman" w:cs="Times New Roman"/>
      <w:szCs w:val="24"/>
      <w:lang w:val="da-DK" w:eastAsia="da-DK"/>
    </w:rPr>
  </w:style>
  <w:style w:type="character" w:customStyle="1" w:styleId="selectable">
    <w:name w:val="selectable"/>
    <w:basedOn w:val="Domylnaczcionkaakapitu"/>
    <w:rsid w:val="00686EA3"/>
  </w:style>
  <w:style w:type="character" w:customStyle="1" w:styleId="Nagwek1Znak">
    <w:name w:val="Nagłówek 1 Znak"/>
    <w:basedOn w:val="Domylnaczcionkaakapitu"/>
    <w:link w:val="Nagwek1"/>
    <w:uiPriority w:val="9"/>
    <w:rsid w:val="00CB0A0F"/>
    <w:rPr>
      <w:rFonts w:ascii="Arial" w:hAnsi="Arial" w:cs="Arial"/>
      <w:b/>
      <w:sz w:val="24"/>
      <w:szCs w:val="24"/>
      <w:lang w:val="en-GB"/>
    </w:rPr>
  </w:style>
  <w:style w:type="character" w:customStyle="1" w:styleId="Nagwek2Znak">
    <w:name w:val="Nagłówek 2 Znak"/>
    <w:aliases w:val="abstract Znak"/>
    <w:basedOn w:val="Domylnaczcionkaakapitu"/>
    <w:link w:val="Nagwek2"/>
    <w:uiPriority w:val="9"/>
    <w:rsid w:val="00AA1036"/>
    <w:rPr>
      <w:rFonts w:ascii="Arial" w:hAnsi="Arial"/>
      <w:sz w:val="20"/>
      <w:lang w:val="en-GB"/>
    </w:rPr>
  </w:style>
  <w:style w:type="paragraph" w:styleId="Podtytu">
    <w:name w:val="Subtitle"/>
    <w:basedOn w:val="Normalny"/>
    <w:next w:val="Normalny"/>
    <w:link w:val="PodtytuZnak"/>
    <w:uiPriority w:val="11"/>
    <w:qFormat/>
    <w:rsid w:val="00CB0A0F"/>
    <w:pPr>
      <w:spacing w:before="360"/>
    </w:pPr>
    <w:rPr>
      <w:rFonts w:cs="Arial"/>
      <w:i/>
      <w:szCs w:val="24"/>
      <w:lang w:val="en-GB"/>
    </w:rPr>
  </w:style>
  <w:style w:type="character" w:customStyle="1" w:styleId="PodtytuZnak">
    <w:name w:val="Podtytuł Znak"/>
    <w:basedOn w:val="Domylnaczcionkaakapitu"/>
    <w:link w:val="Podtytu"/>
    <w:uiPriority w:val="11"/>
    <w:rsid w:val="00CB0A0F"/>
    <w:rPr>
      <w:rFonts w:ascii="Arial" w:hAnsi="Arial" w:cs="Arial"/>
      <w: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34482979">
      <w:bodyDiv w:val="1"/>
      <w:marLeft w:val="0"/>
      <w:marRight w:val="0"/>
      <w:marTop w:val="0"/>
      <w:marBottom w:val="0"/>
      <w:divBdr>
        <w:top w:val="none" w:sz="0" w:space="0" w:color="auto"/>
        <w:left w:val="none" w:sz="0" w:space="0" w:color="auto"/>
        <w:bottom w:val="none" w:sz="0" w:space="0" w:color="auto"/>
        <w:right w:val="none" w:sz="0" w:space="0" w:color="auto"/>
      </w:divBdr>
      <w:divsChild>
        <w:div w:id="333725301">
          <w:marLeft w:val="0"/>
          <w:marRight w:val="0"/>
          <w:marTop w:val="0"/>
          <w:marBottom w:val="0"/>
          <w:divBdr>
            <w:top w:val="none" w:sz="0" w:space="0" w:color="auto"/>
            <w:left w:val="none" w:sz="0" w:space="0" w:color="auto"/>
            <w:bottom w:val="none" w:sz="0" w:space="0" w:color="auto"/>
            <w:right w:val="none" w:sz="0" w:space="0" w:color="auto"/>
          </w:divBdr>
          <w:divsChild>
            <w:div w:id="960959493">
              <w:marLeft w:val="0"/>
              <w:marRight w:val="0"/>
              <w:marTop w:val="0"/>
              <w:marBottom w:val="0"/>
              <w:divBdr>
                <w:top w:val="none" w:sz="0" w:space="0" w:color="auto"/>
                <w:left w:val="none" w:sz="0" w:space="0" w:color="auto"/>
                <w:bottom w:val="none" w:sz="0" w:space="0" w:color="auto"/>
                <w:right w:val="none" w:sz="0" w:space="0" w:color="auto"/>
              </w:divBdr>
              <w:divsChild>
                <w:div w:id="1896155628">
                  <w:marLeft w:val="0"/>
                  <w:marRight w:val="0"/>
                  <w:marTop w:val="0"/>
                  <w:marBottom w:val="0"/>
                  <w:divBdr>
                    <w:top w:val="none" w:sz="0" w:space="0" w:color="auto"/>
                    <w:left w:val="none" w:sz="0" w:space="0" w:color="auto"/>
                    <w:bottom w:val="none" w:sz="0" w:space="0" w:color="auto"/>
                    <w:right w:val="none" w:sz="0" w:space="0" w:color="auto"/>
                  </w:divBdr>
                  <w:divsChild>
                    <w:div w:id="806701611">
                      <w:marLeft w:val="0"/>
                      <w:marRight w:val="0"/>
                      <w:marTop w:val="0"/>
                      <w:marBottom w:val="0"/>
                      <w:divBdr>
                        <w:top w:val="none" w:sz="0" w:space="0" w:color="auto"/>
                        <w:left w:val="none" w:sz="0" w:space="0" w:color="auto"/>
                        <w:bottom w:val="none" w:sz="0" w:space="0" w:color="auto"/>
                        <w:right w:val="none" w:sz="0" w:space="0" w:color="auto"/>
                      </w:divBdr>
                      <w:divsChild>
                        <w:div w:id="341392793">
                          <w:marLeft w:val="0"/>
                          <w:marRight w:val="0"/>
                          <w:marTop w:val="15"/>
                          <w:marBottom w:val="0"/>
                          <w:divBdr>
                            <w:top w:val="none" w:sz="0" w:space="0" w:color="auto"/>
                            <w:left w:val="none" w:sz="0" w:space="0" w:color="auto"/>
                            <w:bottom w:val="none" w:sz="0" w:space="0" w:color="auto"/>
                            <w:right w:val="none" w:sz="0" w:space="0" w:color="auto"/>
                          </w:divBdr>
                          <w:divsChild>
                            <w:div w:id="184565488">
                              <w:marLeft w:val="0"/>
                              <w:marRight w:val="0"/>
                              <w:marTop w:val="0"/>
                              <w:marBottom w:val="0"/>
                              <w:divBdr>
                                <w:top w:val="none" w:sz="0" w:space="0" w:color="auto"/>
                                <w:left w:val="none" w:sz="0" w:space="0" w:color="auto"/>
                                <w:bottom w:val="none" w:sz="0" w:space="0" w:color="auto"/>
                                <w:right w:val="none" w:sz="0" w:space="0" w:color="auto"/>
                              </w:divBdr>
                              <w:divsChild>
                                <w:div w:id="1038699246">
                                  <w:marLeft w:val="0"/>
                                  <w:marRight w:val="0"/>
                                  <w:marTop w:val="0"/>
                                  <w:marBottom w:val="0"/>
                                  <w:divBdr>
                                    <w:top w:val="none" w:sz="0" w:space="0" w:color="auto"/>
                                    <w:left w:val="none" w:sz="0" w:space="0" w:color="auto"/>
                                    <w:bottom w:val="none" w:sz="0" w:space="0" w:color="auto"/>
                                    <w:right w:val="none" w:sz="0" w:space="0" w:color="auto"/>
                                  </w:divBdr>
                                </w:div>
                                <w:div w:id="540704063">
                                  <w:marLeft w:val="0"/>
                                  <w:marRight w:val="0"/>
                                  <w:marTop w:val="0"/>
                                  <w:marBottom w:val="0"/>
                                  <w:divBdr>
                                    <w:top w:val="none" w:sz="0" w:space="0" w:color="auto"/>
                                    <w:left w:val="none" w:sz="0" w:space="0" w:color="auto"/>
                                    <w:bottom w:val="none" w:sz="0" w:space="0" w:color="auto"/>
                                    <w:right w:val="none" w:sz="0" w:space="0" w:color="auto"/>
                                  </w:divBdr>
                                </w:div>
                                <w:div w:id="103117861">
                                  <w:marLeft w:val="0"/>
                                  <w:marRight w:val="0"/>
                                  <w:marTop w:val="0"/>
                                  <w:marBottom w:val="0"/>
                                  <w:divBdr>
                                    <w:top w:val="none" w:sz="0" w:space="0" w:color="auto"/>
                                    <w:left w:val="none" w:sz="0" w:space="0" w:color="auto"/>
                                    <w:bottom w:val="none" w:sz="0" w:space="0" w:color="auto"/>
                                    <w:right w:val="none" w:sz="0" w:space="0" w:color="auto"/>
                                  </w:divBdr>
                                </w:div>
                                <w:div w:id="16065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082406795">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6E7C30-BD5E-4941-9302-0915EAC0C00B}" type="doc">
      <dgm:prSet loTypeId="urn:microsoft.com/office/officeart/2005/8/layout/equation1" loCatId="process" qsTypeId="urn:microsoft.com/office/officeart/2005/8/quickstyle/simple1" qsCatId="simple" csTypeId="urn:microsoft.com/office/officeart/2005/8/colors/accent1_2" csCatId="accent1" phldr="1"/>
      <dgm:spPr/>
    </dgm:pt>
    <dgm:pt modelId="{7B1E8EA8-0D66-425F-9445-4E8A500D20D3}">
      <dgm:prSet phldrT="[Text]" custT="1"/>
      <dgm:spPr/>
      <dgm:t>
        <a:bodyPr/>
        <a:lstStyle/>
        <a:p>
          <a:pPr algn="ctr"/>
          <a:r>
            <a:rPr lang="en-GB" sz="900"/>
            <a:t>Exports of goods </a:t>
          </a:r>
        </a:p>
        <a:p>
          <a:pPr algn="ctr"/>
          <a:r>
            <a:rPr lang="en-GB" sz="900"/>
            <a:t>(ITGS)</a:t>
          </a:r>
        </a:p>
      </dgm:t>
    </dgm:pt>
    <dgm:pt modelId="{E7357FCD-3914-4117-9349-E1EBD0C18882}" type="parTrans" cxnId="{F6F29328-3C1D-4CE8-BB34-375D48E9303F}">
      <dgm:prSet/>
      <dgm:spPr/>
      <dgm:t>
        <a:bodyPr/>
        <a:lstStyle/>
        <a:p>
          <a:pPr algn="ctr"/>
          <a:endParaRPr lang="en-GB" sz="900"/>
        </a:p>
      </dgm:t>
    </dgm:pt>
    <dgm:pt modelId="{5D5EFB84-53F3-49AE-870E-6AF7A682C668}" type="sibTrans" cxnId="{F6F29328-3C1D-4CE8-BB34-375D48E9303F}">
      <dgm:prSet custT="1"/>
      <dgm:spPr/>
      <dgm:t>
        <a:bodyPr/>
        <a:lstStyle/>
        <a:p>
          <a:pPr algn="ctr"/>
          <a:endParaRPr lang="en-GB" sz="900"/>
        </a:p>
      </dgm:t>
    </dgm:pt>
    <dgm:pt modelId="{FAF7736A-5D0A-4B19-AB71-98CC9E9467A5}">
      <dgm:prSet phldrT="[Text]" custT="1"/>
      <dgm:spPr/>
      <dgm:t>
        <a:bodyPr/>
        <a:lstStyle/>
        <a:p>
          <a:pPr algn="ctr"/>
          <a:r>
            <a:rPr lang="en-GB" sz="900"/>
            <a:t>Goods sold abroad after processing abroad (ITSS)</a:t>
          </a:r>
        </a:p>
      </dgm:t>
    </dgm:pt>
    <dgm:pt modelId="{2E179214-844E-45F7-B29D-B6B83E6389BD}" type="parTrans" cxnId="{9DCBE856-6222-4F93-8A5F-0E84EFBC991F}">
      <dgm:prSet/>
      <dgm:spPr/>
      <dgm:t>
        <a:bodyPr/>
        <a:lstStyle/>
        <a:p>
          <a:pPr algn="ctr"/>
          <a:endParaRPr lang="en-GB" sz="900"/>
        </a:p>
      </dgm:t>
    </dgm:pt>
    <dgm:pt modelId="{8EF7CF43-17D9-447D-ADA2-2AEE5853C0E6}" type="sibTrans" cxnId="{9DCBE856-6222-4F93-8A5F-0E84EFBC991F}">
      <dgm:prSet custT="1"/>
      <dgm:spPr/>
      <dgm:t>
        <a:bodyPr/>
        <a:lstStyle/>
        <a:p>
          <a:pPr algn="ctr"/>
          <a:endParaRPr lang="en-GB" sz="900"/>
        </a:p>
      </dgm:t>
    </dgm:pt>
    <dgm:pt modelId="{FBE2B3FF-1683-4D80-9004-F1AC58ED3129}">
      <dgm:prSet phldrT="[Text]" custT="1"/>
      <dgm:spPr/>
      <dgm:t>
        <a:bodyPr/>
        <a:lstStyle/>
        <a:p>
          <a:pPr algn="ctr"/>
          <a:r>
            <a:rPr lang="en-GB" sz="900"/>
            <a:t>Total Turnover (SBS)</a:t>
          </a:r>
        </a:p>
      </dgm:t>
    </dgm:pt>
    <dgm:pt modelId="{63FF8A81-4E02-438D-81D3-B93772D25002}" type="parTrans" cxnId="{1F1BE5B4-BBF2-48B5-BDD1-7FE4DC93C001}">
      <dgm:prSet/>
      <dgm:spPr/>
      <dgm:t>
        <a:bodyPr/>
        <a:lstStyle/>
        <a:p>
          <a:pPr algn="ctr"/>
          <a:endParaRPr lang="en-GB" sz="900"/>
        </a:p>
      </dgm:t>
    </dgm:pt>
    <dgm:pt modelId="{26F553EF-8B9A-421C-9B68-2CA45A84E637}" type="sibTrans" cxnId="{1F1BE5B4-BBF2-48B5-BDD1-7FE4DC93C001}">
      <dgm:prSet/>
      <dgm:spPr/>
      <dgm:t>
        <a:bodyPr/>
        <a:lstStyle/>
        <a:p>
          <a:pPr algn="ctr"/>
          <a:endParaRPr lang="en-GB" sz="900"/>
        </a:p>
      </dgm:t>
    </dgm:pt>
    <dgm:pt modelId="{7EF63DA8-A6A8-47A1-8833-6ACF1C2A128D}">
      <dgm:prSet custT="1"/>
      <dgm:spPr/>
      <dgm:t>
        <a:bodyPr/>
        <a:lstStyle/>
        <a:p>
          <a:pPr algn="ctr"/>
          <a:r>
            <a:rPr lang="en-GB" sz="900"/>
            <a:t>Merchanting sales (ITSS)</a:t>
          </a:r>
        </a:p>
      </dgm:t>
    </dgm:pt>
    <dgm:pt modelId="{6E25D522-BA82-441A-84BE-555DA76EE1E2}" type="parTrans" cxnId="{CE936C3D-ADF3-4C63-AC7D-90336F49217B}">
      <dgm:prSet/>
      <dgm:spPr/>
      <dgm:t>
        <a:bodyPr/>
        <a:lstStyle/>
        <a:p>
          <a:pPr algn="ctr"/>
          <a:endParaRPr lang="en-GB" sz="900"/>
        </a:p>
      </dgm:t>
    </dgm:pt>
    <dgm:pt modelId="{FDA1CC88-3679-4239-BA29-B08E9F34B71A}" type="sibTrans" cxnId="{CE936C3D-ADF3-4C63-AC7D-90336F49217B}">
      <dgm:prSet custT="1"/>
      <dgm:spPr/>
      <dgm:t>
        <a:bodyPr/>
        <a:lstStyle/>
        <a:p>
          <a:pPr algn="ctr"/>
          <a:endParaRPr lang="en-GB" sz="900"/>
        </a:p>
      </dgm:t>
    </dgm:pt>
    <dgm:pt modelId="{DE6E4E64-683E-410A-A092-9E2BC4B4525C}">
      <dgm:prSet custT="1"/>
      <dgm:spPr/>
      <dgm:t>
        <a:bodyPr/>
        <a:lstStyle/>
        <a:p>
          <a:pPr algn="ctr"/>
          <a:r>
            <a:rPr lang="en-GB" sz="900"/>
            <a:t>Exports of services (ITSS)</a:t>
          </a:r>
        </a:p>
      </dgm:t>
    </dgm:pt>
    <dgm:pt modelId="{0B54AD3D-646F-4E10-820D-5FFBACBC2E8A}" type="parTrans" cxnId="{B6D77142-2199-4F78-B4C2-A0290F510F8A}">
      <dgm:prSet/>
      <dgm:spPr/>
      <dgm:t>
        <a:bodyPr/>
        <a:lstStyle/>
        <a:p>
          <a:pPr algn="ctr"/>
          <a:endParaRPr lang="en-GB" sz="900"/>
        </a:p>
      </dgm:t>
    </dgm:pt>
    <dgm:pt modelId="{9D7AA4D6-E7A6-40BB-B20F-2CAE3FE568A8}" type="sibTrans" cxnId="{B6D77142-2199-4F78-B4C2-A0290F510F8A}">
      <dgm:prSet custT="1"/>
      <dgm:spPr/>
      <dgm:t>
        <a:bodyPr/>
        <a:lstStyle/>
        <a:p>
          <a:pPr algn="ctr"/>
          <a:endParaRPr lang="en-GB" sz="900"/>
        </a:p>
      </dgm:t>
    </dgm:pt>
    <dgm:pt modelId="{0482A361-3A65-4B70-AC8C-6BF49C347A67}">
      <dgm:prSet custT="1"/>
      <dgm:spPr/>
      <dgm:t>
        <a:bodyPr/>
        <a:lstStyle/>
        <a:p>
          <a:pPr algn="ctr"/>
          <a:r>
            <a:rPr lang="en-GB" sz="900"/>
            <a:t>Domestic turnover (STS)</a:t>
          </a:r>
        </a:p>
      </dgm:t>
    </dgm:pt>
    <dgm:pt modelId="{90AB79AD-8BF5-48E4-B900-E53E45030F99}" type="parTrans" cxnId="{D92FE38F-66C2-48EE-A251-68701EC3A1ED}">
      <dgm:prSet/>
      <dgm:spPr/>
      <dgm:t>
        <a:bodyPr/>
        <a:lstStyle/>
        <a:p>
          <a:pPr algn="ctr"/>
          <a:endParaRPr lang="en-GB" sz="900"/>
        </a:p>
      </dgm:t>
    </dgm:pt>
    <dgm:pt modelId="{BD11A6D8-190F-4080-8F1B-CC0F81B098E0}" type="sibTrans" cxnId="{D92FE38F-66C2-48EE-A251-68701EC3A1ED}">
      <dgm:prSet custT="1"/>
      <dgm:spPr/>
      <dgm:t>
        <a:bodyPr/>
        <a:lstStyle/>
        <a:p>
          <a:pPr algn="ctr"/>
          <a:endParaRPr lang="en-GB" sz="900"/>
        </a:p>
      </dgm:t>
    </dgm:pt>
    <dgm:pt modelId="{096508E9-5E22-47F5-B22D-CD2B692A40DE}" type="pres">
      <dgm:prSet presAssocID="{936E7C30-BD5E-4941-9302-0915EAC0C00B}" presName="linearFlow" presStyleCnt="0">
        <dgm:presLayoutVars>
          <dgm:dir/>
          <dgm:resizeHandles val="exact"/>
        </dgm:presLayoutVars>
      </dgm:prSet>
      <dgm:spPr/>
    </dgm:pt>
    <dgm:pt modelId="{813EE205-C369-4C93-B66F-9E6E8E7CE44A}" type="pres">
      <dgm:prSet presAssocID="{7B1E8EA8-0D66-425F-9445-4E8A500D20D3}" presName="node" presStyleLbl="node1" presStyleIdx="0" presStyleCnt="6" custScaleX="459137" custScaleY="473231">
        <dgm:presLayoutVars>
          <dgm:bulletEnabled val="1"/>
        </dgm:presLayoutVars>
      </dgm:prSet>
      <dgm:spPr/>
      <dgm:t>
        <a:bodyPr/>
        <a:lstStyle/>
        <a:p>
          <a:endParaRPr lang="en-GB"/>
        </a:p>
      </dgm:t>
    </dgm:pt>
    <dgm:pt modelId="{897E5203-F080-4C5E-816B-01F468AF2AC1}" type="pres">
      <dgm:prSet presAssocID="{5D5EFB84-53F3-49AE-870E-6AF7A682C668}" presName="spacerL" presStyleCnt="0"/>
      <dgm:spPr/>
    </dgm:pt>
    <dgm:pt modelId="{C1B33CB9-B8D4-4CCF-A476-AFEA29F7B58F}" type="pres">
      <dgm:prSet presAssocID="{5D5EFB84-53F3-49AE-870E-6AF7A682C668}" presName="sibTrans" presStyleLbl="sibTrans2D1" presStyleIdx="0" presStyleCnt="5"/>
      <dgm:spPr/>
      <dgm:t>
        <a:bodyPr/>
        <a:lstStyle/>
        <a:p>
          <a:endParaRPr lang="en-GB"/>
        </a:p>
      </dgm:t>
    </dgm:pt>
    <dgm:pt modelId="{E94A73BD-BE20-4A56-B048-CB6859B839C3}" type="pres">
      <dgm:prSet presAssocID="{5D5EFB84-53F3-49AE-870E-6AF7A682C668}" presName="spacerR" presStyleCnt="0"/>
      <dgm:spPr/>
    </dgm:pt>
    <dgm:pt modelId="{75AE5C27-7924-485E-AF27-8E7BE04791A7}" type="pres">
      <dgm:prSet presAssocID="{FAF7736A-5D0A-4B19-AB71-98CC9E9467A5}" presName="node" presStyleLbl="node1" presStyleIdx="1" presStyleCnt="6" custScaleX="459137" custScaleY="473231">
        <dgm:presLayoutVars>
          <dgm:bulletEnabled val="1"/>
        </dgm:presLayoutVars>
      </dgm:prSet>
      <dgm:spPr/>
      <dgm:t>
        <a:bodyPr/>
        <a:lstStyle/>
        <a:p>
          <a:endParaRPr lang="en-GB"/>
        </a:p>
      </dgm:t>
    </dgm:pt>
    <dgm:pt modelId="{EE26D94D-1053-4079-B7D0-023AD5C546AA}" type="pres">
      <dgm:prSet presAssocID="{8EF7CF43-17D9-447D-ADA2-2AEE5853C0E6}" presName="spacerL" presStyleCnt="0"/>
      <dgm:spPr/>
    </dgm:pt>
    <dgm:pt modelId="{318C33E8-7E34-4119-9C0A-166419E64EE7}" type="pres">
      <dgm:prSet presAssocID="{8EF7CF43-17D9-447D-ADA2-2AEE5853C0E6}" presName="sibTrans" presStyleLbl="sibTrans2D1" presStyleIdx="1" presStyleCnt="5"/>
      <dgm:spPr/>
      <dgm:t>
        <a:bodyPr/>
        <a:lstStyle/>
        <a:p>
          <a:endParaRPr lang="en-GB"/>
        </a:p>
      </dgm:t>
    </dgm:pt>
    <dgm:pt modelId="{1A472F2D-E6A6-4BCB-9D2A-83CCA91E0BFE}" type="pres">
      <dgm:prSet presAssocID="{8EF7CF43-17D9-447D-ADA2-2AEE5853C0E6}" presName="spacerR" presStyleCnt="0"/>
      <dgm:spPr/>
    </dgm:pt>
    <dgm:pt modelId="{943CBF4B-6B6D-4209-B1EB-5DE8438C24D9}" type="pres">
      <dgm:prSet presAssocID="{7EF63DA8-A6A8-47A1-8833-6ACF1C2A128D}" presName="node" presStyleLbl="node1" presStyleIdx="2" presStyleCnt="6" custScaleX="459137" custScaleY="473231">
        <dgm:presLayoutVars>
          <dgm:bulletEnabled val="1"/>
        </dgm:presLayoutVars>
      </dgm:prSet>
      <dgm:spPr/>
      <dgm:t>
        <a:bodyPr/>
        <a:lstStyle/>
        <a:p>
          <a:endParaRPr lang="en-GB"/>
        </a:p>
      </dgm:t>
    </dgm:pt>
    <dgm:pt modelId="{78FB73D2-9780-4DD7-A0F4-207D5EF16D26}" type="pres">
      <dgm:prSet presAssocID="{FDA1CC88-3679-4239-BA29-B08E9F34B71A}" presName="spacerL" presStyleCnt="0"/>
      <dgm:spPr/>
    </dgm:pt>
    <dgm:pt modelId="{48172E90-630D-45C0-9EB4-596134CB7C3D}" type="pres">
      <dgm:prSet presAssocID="{FDA1CC88-3679-4239-BA29-B08E9F34B71A}" presName="sibTrans" presStyleLbl="sibTrans2D1" presStyleIdx="2" presStyleCnt="5"/>
      <dgm:spPr/>
      <dgm:t>
        <a:bodyPr/>
        <a:lstStyle/>
        <a:p>
          <a:endParaRPr lang="en-GB"/>
        </a:p>
      </dgm:t>
    </dgm:pt>
    <dgm:pt modelId="{89E05655-F7BA-40A3-A091-7D1795D478F7}" type="pres">
      <dgm:prSet presAssocID="{FDA1CC88-3679-4239-BA29-B08E9F34B71A}" presName="spacerR" presStyleCnt="0"/>
      <dgm:spPr/>
    </dgm:pt>
    <dgm:pt modelId="{DFC94C72-E715-4D79-8953-090264A99C49}" type="pres">
      <dgm:prSet presAssocID="{DE6E4E64-683E-410A-A092-9E2BC4B4525C}" presName="node" presStyleLbl="node1" presStyleIdx="3" presStyleCnt="6" custScaleX="459137" custScaleY="473231">
        <dgm:presLayoutVars>
          <dgm:bulletEnabled val="1"/>
        </dgm:presLayoutVars>
      </dgm:prSet>
      <dgm:spPr/>
      <dgm:t>
        <a:bodyPr/>
        <a:lstStyle/>
        <a:p>
          <a:endParaRPr lang="en-GB"/>
        </a:p>
      </dgm:t>
    </dgm:pt>
    <dgm:pt modelId="{FC59D57C-6D78-4AE9-9764-C2C0CCAB64E0}" type="pres">
      <dgm:prSet presAssocID="{9D7AA4D6-E7A6-40BB-B20F-2CAE3FE568A8}" presName="spacerL" presStyleCnt="0"/>
      <dgm:spPr/>
    </dgm:pt>
    <dgm:pt modelId="{ADC6832A-30BF-42AA-9535-D10354ED11AC}" type="pres">
      <dgm:prSet presAssocID="{9D7AA4D6-E7A6-40BB-B20F-2CAE3FE568A8}" presName="sibTrans" presStyleLbl="sibTrans2D1" presStyleIdx="3" presStyleCnt="5"/>
      <dgm:spPr/>
      <dgm:t>
        <a:bodyPr/>
        <a:lstStyle/>
        <a:p>
          <a:endParaRPr lang="en-GB"/>
        </a:p>
      </dgm:t>
    </dgm:pt>
    <dgm:pt modelId="{C78F42EB-D7CA-491D-B214-DBDDD16518D2}" type="pres">
      <dgm:prSet presAssocID="{9D7AA4D6-E7A6-40BB-B20F-2CAE3FE568A8}" presName="spacerR" presStyleCnt="0"/>
      <dgm:spPr/>
    </dgm:pt>
    <dgm:pt modelId="{1BEA3DB6-9F8F-4AE5-BE99-779CEAD2760B}" type="pres">
      <dgm:prSet presAssocID="{0482A361-3A65-4B70-AC8C-6BF49C347A67}" presName="node" presStyleLbl="node1" presStyleIdx="4" presStyleCnt="6" custScaleX="459137" custScaleY="473231">
        <dgm:presLayoutVars>
          <dgm:bulletEnabled val="1"/>
        </dgm:presLayoutVars>
      </dgm:prSet>
      <dgm:spPr/>
      <dgm:t>
        <a:bodyPr/>
        <a:lstStyle/>
        <a:p>
          <a:endParaRPr lang="en-GB"/>
        </a:p>
      </dgm:t>
    </dgm:pt>
    <dgm:pt modelId="{B8D1AB9A-98ED-4324-9769-8FF44E331A7A}" type="pres">
      <dgm:prSet presAssocID="{BD11A6D8-190F-4080-8F1B-CC0F81B098E0}" presName="spacerL" presStyleCnt="0"/>
      <dgm:spPr/>
    </dgm:pt>
    <dgm:pt modelId="{D025F558-3CC0-40B0-BC0F-8599C0F57E8D}" type="pres">
      <dgm:prSet presAssocID="{BD11A6D8-190F-4080-8F1B-CC0F81B098E0}" presName="sibTrans" presStyleLbl="sibTrans2D1" presStyleIdx="4" presStyleCnt="5"/>
      <dgm:spPr/>
      <dgm:t>
        <a:bodyPr/>
        <a:lstStyle/>
        <a:p>
          <a:endParaRPr lang="en-GB"/>
        </a:p>
      </dgm:t>
    </dgm:pt>
    <dgm:pt modelId="{C56719C4-3AB9-43ED-8A4D-533EA77B6C6C}" type="pres">
      <dgm:prSet presAssocID="{BD11A6D8-190F-4080-8F1B-CC0F81B098E0}" presName="spacerR" presStyleCnt="0"/>
      <dgm:spPr/>
    </dgm:pt>
    <dgm:pt modelId="{4403D4C1-FA1F-4E48-8E02-6874E990F61C}" type="pres">
      <dgm:prSet presAssocID="{FBE2B3FF-1683-4D80-9004-F1AC58ED3129}" presName="node" presStyleLbl="node1" presStyleIdx="5" presStyleCnt="6" custScaleX="459137" custScaleY="473231">
        <dgm:presLayoutVars>
          <dgm:bulletEnabled val="1"/>
        </dgm:presLayoutVars>
      </dgm:prSet>
      <dgm:spPr/>
      <dgm:t>
        <a:bodyPr/>
        <a:lstStyle/>
        <a:p>
          <a:endParaRPr lang="en-GB"/>
        </a:p>
      </dgm:t>
    </dgm:pt>
  </dgm:ptLst>
  <dgm:cxnLst>
    <dgm:cxn modelId="{5BA430A9-8DFC-4DFE-A7C2-189A0BB222F4}" type="presOf" srcId="{DE6E4E64-683E-410A-A092-9E2BC4B4525C}" destId="{DFC94C72-E715-4D79-8953-090264A99C49}" srcOrd="0" destOrd="0" presId="urn:microsoft.com/office/officeart/2005/8/layout/equation1"/>
    <dgm:cxn modelId="{E9AA0E8D-3A65-422E-B745-438C508EBAA9}" type="presOf" srcId="{8EF7CF43-17D9-447D-ADA2-2AEE5853C0E6}" destId="{318C33E8-7E34-4119-9C0A-166419E64EE7}" srcOrd="0" destOrd="0" presId="urn:microsoft.com/office/officeart/2005/8/layout/equation1"/>
    <dgm:cxn modelId="{2A7430BC-E5F2-4AE3-88B0-334814428D8A}" type="presOf" srcId="{FDA1CC88-3679-4239-BA29-B08E9F34B71A}" destId="{48172E90-630D-45C0-9EB4-596134CB7C3D}" srcOrd="0" destOrd="0" presId="urn:microsoft.com/office/officeart/2005/8/layout/equation1"/>
    <dgm:cxn modelId="{1F1BE5B4-BBF2-48B5-BDD1-7FE4DC93C001}" srcId="{936E7C30-BD5E-4941-9302-0915EAC0C00B}" destId="{FBE2B3FF-1683-4D80-9004-F1AC58ED3129}" srcOrd="5" destOrd="0" parTransId="{63FF8A81-4E02-438D-81D3-B93772D25002}" sibTransId="{26F553EF-8B9A-421C-9B68-2CA45A84E637}"/>
    <dgm:cxn modelId="{D6E5F3DB-0E54-4F32-8E3B-4B6191BC5FDB}" type="presOf" srcId="{7B1E8EA8-0D66-425F-9445-4E8A500D20D3}" destId="{813EE205-C369-4C93-B66F-9E6E8E7CE44A}" srcOrd="0" destOrd="0" presId="urn:microsoft.com/office/officeart/2005/8/layout/equation1"/>
    <dgm:cxn modelId="{801EB21B-5A19-4B31-88A2-77767433DB92}" type="presOf" srcId="{0482A361-3A65-4B70-AC8C-6BF49C347A67}" destId="{1BEA3DB6-9F8F-4AE5-BE99-779CEAD2760B}" srcOrd="0" destOrd="0" presId="urn:microsoft.com/office/officeart/2005/8/layout/equation1"/>
    <dgm:cxn modelId="{B6D77142-2199-4F78-B4C2-A0290F510F8A}" srcId="{936E7C30-BD5E-4941-9302-0915EAC0C00B}" destId="{DE6E4E64-683E-410A-A092-9E2BC4B4525C}" srcOrd="3" destOrd="0" parTransId="{0B54AD3D-646F-4E10-820D-5FFBACBC2E8A}" sibTransId="{9D7AA4D6-E7A6-40BB-B20F-2CAE3FE568A8}"/>
    <dgm:cxn modelId="{4519FEFD-80EA-4080-90B8-E149DD9D8249}" type="presOf" srcId="{5D5EFB84-53F3-49AE-870E-6AF7A682C668}" destId="{C1B33CB9-B8D4-4CCF-A476-AFEA29F7B58F}" srcOrd="0" destOrd="0" presId="urn:microsoft.com/office/officeart/2005/8/layout/equation1"/>
    <dgm:cxn modelId="{B7789741-907D-4B30-8D71-3F4414E816CB}" type="presOf" srcId="{936E7C30-BD5E-4941-9302-0915EAC0C00B}" destId="{096508E9-5E22-47F5-B22D-CD2B692A40DE}" srcOrd="0" destOrd="0" presId="urn:microsoft.com/office/officeart/2005/8/layout/equation1"/>
    <dgm:cxn modelId="{A4CC01B5-EC27-48EC-A46A-DC1910C6D7BC}" type="presOf" srcId="{BD11A6D8-190F-4080-8F1B-CC0F81B098E0}" destId="{D025F558-3CC0-40B0-BC0F-8599C0F57E8D}" srcOrd="0" destOrd="0" presId="urn:microsoft.com/office/officeart/2005/8/layout/equation1"/>
    <dgm:cxn modelId="{D8FBA1D8-E58E-4BBF-ADB4-8288986CA670}" type="presOf" srcId="{7EF63DA8-A6A8-47A1-8833-6ACF1C2A128D}" destId="{943CBF4B-6B6D-4209-B1EB-5DE8438C24D9}" srcOrd="0" destOrd="0" presId="urn:microsoft.com/office/officeart/2005/8/layout/equation1"/>
    <dgm:cxn modelId="{CE936C3D-ADF3-4C63-AC7D-90336F49217B}" srcId="{936E7C30-BD5E-4941-9302-0915EAC0C00B}" destId="{7EF63DA8-A6A8-47A1-8833-6ACF1C2A128D}" srcOrd="2" destOrd="0" parTransId="{6E25D522-BA82-441A-84BE-555DA76EE1E2}" sibTransId="{FDA1CC88-3679-4239-BA29-B08E9F34B71A}"/>
    <dgm:cxn modelId="{756BE182-154D-4021-8989-DDC12DFBBC79}" type="presOf" srcId="{FBE2B3FF-1683-4D80-9004-F1AC58ED3129}" destId="{4403D4C1-FA1F-4E48-8E02-6874E990F61C}" srcOrd="0" destOrd="0" presId="urn:microsoft.com/office/officeart/2005/8/layout/equation1"/>
    <dgm:cxn modelId="{D92FE38F-66C2-48EE-A251-68701EC3A1ED}" srcId="{936E7C30-BD5E-4941-9302-0915EAC0C00B}" destId="{0482A361-3A65-4B70-AC8C-6BF49C347A67}" srcOrd="4" destOrd="0" parTransId="{90AB79AD-8BF5-48E4-B900-E53E45030F99}" sibTransId="{BD11A6D8-190F-4080-8F1B-CC0F81B098E0}"/>
    <dgm:cxn modelId="{F6F29328-3C1D-4CE8-BB34-375D48E9303F}" srcId="{936E7C30-BD5E-4941-9302-0915EAC0C00B}" destId="{7B1E8EA8-0D66-425F-9445-4E8A500D20D3}" srcOrd="0" destOrd="0" parTransId="{E7357FCD-3914-4117-9349-E1EBD0C18882}" sibTransId="{5D5EFB84-53F3-49AE-870E-6AF7A682C668}"/>
    <dgm:cxn modelId="{A23065B5-DE59-4A6E-8D82-4759BA7FC985}" type="presOf" srcId="{9D7AA4D6-E7A6-40BB-B20F-2CAE3FE568A8}" destId="{ADC6832A-30BF-42AA-9535-D10354ED11AC}" srcOrd="0" destOrd="0" presId="urn:microsoft.com/office/officeart/2005/8/layout/equation1"/>
    <dgm:cxn modelId="{9DCBE856-6222-4F93-8A5F-0E84EFBC991F}" srcId="{936E7C30-BD5E-4941-9302-0915EAC0C00B}" destId="{FAF7736A-5D0A-4B19-AB71-98CC9E9467A5}" srcOrd="1" destOrd="0" parTransId="{2E179214-844E-45F7-B29D-B6B83E6389BD}" sibTransId="{8EF7CF43-17D9-447D-ADA2-2AEE5853C0E6}"/>
    <dgm:cxn modelId="{7C977640-E92B-475F-9210-60826B6C0240}" type="presOf" srcId="{FAF7736A-5D0A-4B19-AB71-98CC9E9467A5}" destId="{75AE5C27-7924-485E-AF27-8E7BE04791A7}" srcOrd="0" destOrd="0" presId="urn:microsoft.com/office/officeart/2005/8/layout/equation1"/>
    <dgm:cxn modelId="{C681FCBE-70C1-4A23-A01D-FE70D9181B58}" type="presParOf" srcId="{096508E9-5E22-47F5-B22D-CD2B692A40DE}" destId="{813EE205-C369-4C93-B66F-9E6E8E7CE44A}" srcOrd="0" destOrd="0" presId="urn:microsoft.com/office/officeart/2005/8/layout/equation1"/>
    <dgm:cxn modelId="{9E1403EA-405D-446B-955B-CEE34EC899A7}" type="presParOf" srcId="{096508E9-5E22-47F5-B22D-CD2B692A40DE}" destId="{897E5203-F080-4C5E-816B-01F468AF2AC1}" srcOrd="1" destOrd="0" presId="urn:microsoft.com/office/officeart/2005/8/layout/equation1"/>
    <dgm:cxn modelId="{8F575BE8-9A65-48A7-90F0-225DFDB2875C}" type="presParOf" srcId="{096508E9-5E22-47F5-B22D-CD2B692A40DE}" destId="{C1B33CB9-B8D4-4CCF-A476-AFEA29F7B58F}" srcOrd="2" destOrd="0" presId="urn:microsoft.com/office/officeart/2005/8/layout/equation1"/>
    <dgm:cxn modelId="{3E4883E2-4F07-412F-9838-41BF2501A06A}" type="presParOf" srcId="{096508E9-5E22-47F5-B22D-CD2B692A40DE}" destId="{E94A73BD-BE20-4A56-B048-CB6859B839C3}" srcOrd="3" destOrd="0" presId="urn:microsoft.com/office/officeart/2005/8/layout/equation1"/>
    <dgm:cxn modelId="{D6548737-178D-4DCC-89BC-2172C7A18FA9}" type="presParOf" srcId="{096508E9-5E22-47F5-B22D-CD2B692A40DE}" destId="{75AE5C27-7924-485E-AF27-8E7BE04791A7}" srcOrd="4" destOrd="0" presId="urn:microsoft.com/office/officeart/2005/8/layout/equation1"/>
    <dgm:cxn modelId="{D4F0FF53-D190-4A98-8320-F62EAA5BAD6C}" type="presParOf" srcId="{096508E9-5E22-47F5-B22D-CD2B692A40DE}" destId="{EE26D94D-1053-4079-B7D0-023AD5C546AA}" srcOrd="5" destOrd="0" presId="urn:microsoft.com/office/officeart/2005/8/layout/equation1"/>
    <dgm:cxn modelId="{89AF61DF-C2F0-4686-A3EA-F212EA9BC97B}" type="presParOf" srcId="{096508E9-5E22-47F5-B22D-CD2B692A40DE}" destId="{318C33E8-7E34-4119-9C0A-166419E64EE7}" srcOrd="6" destOrd="0" presId="urn:microsoft.com/office/officeart/2005/8/layout/equation1"/>
    <dgm:cxn modelId="{50ACF27F-117C-400F-A6E9-840ADCEA4A13}" type="presParOf" srcId="{096508E9-5E22-47F5-B22D-CD2B692A40DE}" destId="{1A472F2D-E6A6-4BCB-9D2A-83CCA91E0BFE}" srcOrd="7" destOrd="0" presId="urn:microsoft.com/office/officeart/2005/8/layout/equation1"/>
    <dgm:cxn modelId="{A68E286A-BC0B-4764-BFBF-29628D5BCE6C}" type="presParOf" srcId="{096508E9-5E22-47F5-B22D-CD2B692A40DE}" destId="{943CBF4B-6B6D-4209-B1EB-5DE8438C24D9}" srcOrd="8" destOrd="0" presId="urn:microsoft.com/office/officeart/2005/8/layout/equation1"/>
    <dgm:cxn modelId="{A7C111B1-4037-4D2E-A52D-9436D06425AA}" type="presParOf" srcId="{096508E9-5E22-47F5-B22D-CD2B692A40DE}" destId="{78FB73D2-9780-4DD7-A0F4-207D5EF16D26}" srcOrd="9" destOrd="0" presId="urn:microsoft.com/office/officeart/2005/8/layout/equation1"/>
    <dgm:cxn modelId="{3B46E558-0D14-4ECB-83AB-FB6CDB964B6C}" type="presParOf" srcId="{096508E9-5E22-47F5-B22D-CD2B692A40DE}" destId="{48172E90-630D-45C0-9EB4-596134CB7C3D}" srcOrd="10" destOrd="0" presId="urn:microsoft.com/office/officeart/2005/8/layout/equation1"/>
    <dgm:cxn modelId="{6EE018C9-21EA-428D-87C6-B8EC8BDC2F18}" type="presParOf" srcId="{096508E9-5E22-47F5-B22D-CD2B692A40DE}" destId="{89E05655-F7BA-40A3-A091-7D1795D478F7}" srcOrd="11" destOrd="0" presId="urn:microsoft.com/office/officeart/2005/8/layout/equation1"/>
    <dgm:cxn modelId="{DA183D1B-D189-4E45-A68F-850C7B9EB0AB}" type="presParOf" srcId="{096508E9-5E22-47F5-B22D-CD2B692A40DE}" destId="{DFC94C72-E715-4D79-8953-090264A99C49}" srcOrd="12" destOrd="0" presId="urn:microsoft.com/office/officeart/2005/8/layout/equation1"/>
    <dgm:cxn modelId="{5E9E5D17-1B32-455E-9592-6266B094C135}" type="presParOf" srcId="{096508E9-5E22-47F5-B22D-CD2B692A40DE}" destId="{FC59D57C-6D78-4AE9-9764-C2C0CCAB64E0}" srcOrd="13" destOrd="0" presId="urn:microsoft.com/office/officeart/2005/8/layout/equation1"/>
    <dgm:cxn modelId="{2F9B85FC-4EE6-4990-BB06-54AB159E3250}" type="presParOf" srcId="{096508E9-5E22-47F5-B22D-CD2B692A40DE}" destId="{ADC6832A-30BF-42AA-9535-D10354ED11AC}" srcOrd="14" destOrd="0" presId="urn:microsoft.com/office/officeart/2005/8/layout/equation1"/>
    <dgm:cxn modelId="{00EE71AB-631E-4A8C-85B6-5DBA9A3AAB15}" type="presParOf" srcId="{096508E9-5E22-47F5-B22D-CD2B692A40DE}" destId="{C78F42EB-D7CA-491D-B214-DBDDD16518D2}" srcOrd="15" destOrd="0" presId="urn:microsoft.com/office/officeart/2005/8/layout/equation1"/>
    <dgm:cxn modelId="{4D566DC7-A493-4520-8A6C-F9C3DC8FA848}" type="presParOf" srcId="{096508E9-5E22-47F5-B22D-CD2B692A40DE}" destId="{1BEA3DB6-9F8F-4AE5-BE99-779CEAD2760B}" srcOrd="16" destOrd="0" presId="urn:microsoft.com/office/officeart/2005/8/layout/equation1"/>
    <dgm:cxn modelId="{519CA347-C993-4525-B375-2E286AAAC481}" type="presParOf" srcId="{096508E9-5E22-47F5-B22D-CD2B692A40DE}" destId="{B8D1AB9A-98ED-4324-9769-8FF44E331A7A}" srcOrd="17" destOrd="0" presId="urn:microsoft.com/office/officeart/2005/8/layout/equation1"/>
    <dgm:cxn modelId="{F2DBE8AD-DCD3-4188-A9A7-83592582A6E1}" type="presParOf" srcId="{096508E9-5E22-47F5-B22D-CD2B692A40DE}" destId="{D025F558-3CC0-40B0-BC0F-8599C0F57E8D}" srcOrd="18" destOrd="0" presId="urn:microsoft.com/office/officeart/2005/8/layout/equation1"/>
    <dgm:cxn modelId="{3D6526E7-4363-4AC7-88E7-580FB35F48ED}" type="presParOf" srcId="{096508E9-5E22-47F5-B22D-CD2B692A40DE}" destId="{C56719C4-3AB9-43ED-8A4D-533EA77B6C6C}" srcOrd="19" destOrd="0" presId="urn:microsoft.com/office/officeart/2005/8/layout/equation1"/>
    <dgm:cxn modelId="{824FD751-8892-4272-AF4F-3717DB64DE8E}" type="presParOf" srcId="{096508E9-5E22-47F5-B22D-CD2B692A40DE}" destId="{4403D4C1-FA1F-4E48-8E02-6874E990F61C}" srcOrd="20" destOrd="0" presId="urn:microsoft.com/office/officeart/2005/8/layout/equation1"/>
  </dgm:cxnLst>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070F16-D3DC-4DB8-AD03-B0CA41C939B1}" type="doc">
      <dgm:prSet loTypeId="urn:microsoft.com/office/officeart/2005/8/layout/equation1" loCatId="process" qsTypeId="urn:microsoft.com/office/officeart/2005/8/quickstyle/simple1" qsCatId="simple" csTypeId="urn:microsoft.com/office/officeart/2005/8/colors/accent1_2" csCatId="accent1" phldr="1"/>
      <dgm:spPr/>
    </dgm:pt>
    <dgm:pt modelId="{85350754-72B2-45E2-900E-4B70A42CAE9F}">
      <dgm:prSet phldrT="[Text]"/>
      <dgm:spPr/>
      <dgm:t>
        <a:bodyPr/>
        <a:lstStyle/>
        <a:p>
          <a:pPr algn="ctr"/>
          <a:r>
            <a:rPr lang="en-GB"/>
            <a:t>Exports of goods </a:t>
          </a:r>
          <a:br>
            <a:rPr lang="en-GB"/>
          </a:br>
          <a:r>
            <a:rPr lang="en-GB"/>
            <a:t>(ITGS)</a:t>
          </a:r>
        </a:p>
      </dgm:t>
    </dgm:pt>
    <dgm:pt modelId="{7CBA4BDF-2F48-4BEE-B75D-1B30A2260299}" type="parTrans" cxnId="{422C1C76-B8F1-4FDA-B2C5-393D25946822}">
      <dgm:prSet/>
      <dgm:spPr/>
      <dgm:t>
        <a:bodyPr/>
        <a:lstStyle/>
        <a:p>
          <a:pPr algn="ctr"/>
          <a:endParaRPr lang="en-GB"/>
        </a:p>
      </dgm:t>
    </dgm:pt>
    <dgm:pt modelId="{E31A0A03-4F25-4F34-AA46-BEA6112BED4A}" type="sibTrans" cxnId="{422C1C76-B8F1-4FDA-B2C5-393D25946822}">
      <dgm:prSet/>
      <dgm:spPr/>
      <dgm:t>
        <a:bodyPr/>
        <a:lstStyle/>
        <a:p>
          <a:pPr algn="ctr"/>
          <a:endParaRPr lang="en-GB"/>
        </a:p>
      </dgm:t>
    </dgm:pt>
    <dgm:pt modelId="{35D004F5-7C4C-47D7-A939-67537BCB4ACE}">
      <dgm:prSet phldrT="[Text]"/>
      <dgm:spPr/>
      <dgm:t>
        <a:bodyPr/>
        <a:lstStyle/>
        <a:p>
          <a:pPr algn="ctr"/>
          <a:r>
            <a:rPr lang="en-GB"/>
            <a:t>Domestic turnover </a:t>
          </a:r>
          <a:br>
            <a:rPr lang="en-GB"/>
          </a:br>
          <a:r>
            <a:rPr lang="en-GB"/>
            <a:t>(STS)</a:t>
          </a:r>
        </a:p>
      </dgm:t>
    </dgm:pt>
    <dgm:pt modelId="{5AB45358-E8B9-4B64-BD37-496D37AA2984}" type="parTrans" cxnId="{46BBAE8A-FE08-4691-8FF9-EBD291606689}">
      <dgm:prSet/>
      <dgm:spPr/>
      <dgm:t>
        <a:bodyPr/>
        <a:lstStyle/>
        <a:p>
          <a:pPr algn="ctr"/>
          <a:endParaRPr lang="en-GB"/>
        </a:p>
      </dgm:t>
    </dgm:pt>
    <dgm:pt modelId="{93323777-4E53-4E15-A3E3-8345DEC845B2}" type="sibTrans" cxnId="{46BBAE8A-FE08-4691-8FF9-EBD291606689}">
      <dgm:prSet/>
      <dgm:spPr/>
      <dgm:t>
        <a:bodyPr/>
        <a:lstStyle/>
        <a:p>
          <a:pPr algn="ctr"/>
          <a:endParaRPr lang="en-GB"/>
        </a:p>
      </dgm:t>
    </dgm:pt>
    <dgm:pt modelId="{54741C8F-2CA4-4C6A-8869-CA918079D6FF}">
      <dgm:prSet phldrT="[Text]"/>
      <dgm:spPr/>
      <dgm:t>
        <a:bodyPr/>
        <a:lstStyle/>
        <a:p>
          <a:pPr algn="ctr"/>
          <a:r>
            <a:rPr lang="en-GB"/>
            <a:t>Sales of own goods (PRODCOM)</a:t>
          </a:r>
        </a:p>
      </dgm:t>
    </dgm:pt>
    <dgm:pt modelId="{9B95ECC5-B826-46D7-B290-3CA4F792FD61}" type="parTrans" cxnId="{31174FEB-E856-4FB2-B3F0-51419AA0A625}">
      <dgm:prSet/>
      <dgm:spPr/>
      <dgm:t>
        <a:bodyPr/>
        <a:lstStyle/>
        <a:p>
          <a:pPr algn="ctr"/>
          <a:endParaRPr lang="en-GB"/>
        </a:p>
      </dgm:t>
    </dgm:pt>
    <dgm:pt modelId="{AA3595A6-4045-434B-81B3-352639BF3DC2}" type="sibTrans" cxnId="{31174FEB-E856-4FB2-B3F0-51419AA0A625}">
      <dgm:prSet/>
      <dgm:spPr/>
      <dgm:t>
        <a:bodyPr/>
        <a:lstStyle/>
        <a:p>
          <a:pPr algn="ctr"/>
          <a:endParaRPr lang="en-GB"/>
        </a:p>
      </dgm:t>
    </dgm:pt>
    <dgm:pt modelId="{6F89ECE8-8ACE-4176-A4F0-C73948E1B4A4}">
      <dgm:prSet/>
      <dgm:spPr/>
      <dgm:t>
        <a:bodyPr/>
        <a:lstStyle/>
        <a:p>
          <a:pPr algn="ctr"/>
          <a:r>
            <a:rPr lang="en-GB"/>
            <a:t>Goods sold abroad after processing abroad </a:t>
          </a:r>
          <a:br>
            <a:rPr lang="en-GB"/>
          </a:br>
          <a:r>
            <a:rPr lang="en-GB"/>
            <a:t>(ITSS)</a:t>
          </a:r>
        </a:p>
      </dgm:t>
    </dgm:pt>
    <dgm:pt modelId="{97C9B6E9-4ED3-480D-85B2-5A3C20C577EA}" type="parTrans" cxnId="{CB19FDE4-F10D-4916-89F2-F6EA4CA22B1B}">
      <dgm:prSet/>
      <dgm:spPr/>
      <dgm:t>
        <a:bodyPr/>
        <a:lstStyle/>
        <a:p>
          <a:pPr algn="ctr"/>
          <a:endParaRPr lang="en-GB"/>
        </a:p>
      </dgm:t>
    </dgm:pt>
    <dgm:pt modelId="{1AC0182A-FD65-400D-AFD5-562CFEB79DD4}" type="sibTrans" cxnId="{CB19FDE4-F10D-4916-89F2-F6EA4CA22B1B}">
      <dgm:prSet/>
      <dgm:spPr/>
      <dgm:t>
        <a:bodyPr/>
        <a:lstStyle/>
        <a:p>
          <a:pPr algn="ctr"/>
          <a:endParaRPr lang="en-GB"/>
        </a:p>
      </dgm:t>
    </dgm:pt>
    <dgm:pt modelId="{081C1B53-2B44-48CD-A3F3-C382287D4D72}" type="pres">
      <dgm:prSet presAssocID="{5B070F16-D3DC-4DB8-AD03-B0CA41C939B1}" presName="linearFlow" presStyleCnt="0">
        <dgm:presLayoutVars>
          <dgm:dir/>
          <dgm:resizeHandles val="exact"/>
        </dgm:presLayoutVars>
      </dgm:prSet>
      <dgm:spPr/>
    </dgm:pt>
    <dgm:pt modelId="{66754BE9-7A05-4050-8135-645189C3F8FC}" type="pres">
      <dgm:prSet presAssocID="{85350754-72B2-45E2-900E-4B70A42CAE9F}" presName="node" presStyleLbl="node1" presStyleIdx="0" presStyleCnt="4" custScaleX="243279" custScaleY="244369" custLinFactNeighborX="20761">
        <dgm:presLayoutVars>
          <dgm:bulletEnabled val="1"/>
        </dgm:presLayoutVars>
      </dgm:prSet>
      <dgm:spPr/>
      <dgm:t>
        <a:bodyPr/>
        <a:lstStyle/>
        <a:p>
          <a:endParaRPr lang="en-GB"/>
        </a:p>
      </dgm:t>
    </dgm:pt>
    <dgm:pt modelId="{DD61278E-2CB5-4283-A5AC-3E46EBF3C37D}" type="pres">
      <dgm:prSet presAssocID="{E31A0A03-4F25-4F34-AA46-BEA6112BED4A}" presName="spacerL" presStyleCnt="0"/>
      <dgm:spPr/>
    </dgm:pt>
    <dgm:pt modelId="{112134E3-6B6B-4713-A2BA-FE6749FFD4C4}" type="pres">
      <dgm:prSet presAssocID="{E31A0A03-4F25-4F34-AA46-BEA6112BED4A}" presName="sibTrans" presStyleLbl="sibTrans2D1" presStyleIdx="0" presStyleCnt="3"/>
      <dgm:spPr/>
      <dgm:t>
        <a:bodyPr/>
        <a:lstStyle/>
        <a:p>
          <a:endParaRPr lang="en-GB"/>
        </a:p>
      </dgm:t>
    </dgm:pt>
    <dgm:pt modelId="{D89B37B2-22C5-4C4C-A926-FC0F0C1E5143}" type="pres">
      <dgm:prSet presAssocID="{E31A0A03-4F25-4F34-AA46-BEA6112BED4A}" presName="spacerR" presStyleCnt="0"/>
      <dgm:spPr/>
    </dgm:pt>
    <dgm:pt modelId="{EAAB15AC-15A4-4EC8-8B15-9A0F8870DD47}" type="pres">
      <dgm:prSet presAssocID="{6F89ECE8-8ACE-4176-A4F0-C73948E1B4A4}" presName="node" presStyleLbl="node1" presStyleIdx="1" presStyleCnt="4" custScaleX="243279" custScaleY="244369" custLinFactNeighborX="20761">
        <dgm:presLayoutVars>
          <dgm:bulletEnabled val="1"/>
        </dgm:presLayoutVars>
      </dgm:prSet>
      <dgm:spPr/>
      <dgm:t>
        <a:bodyPr/>
        <a:lstStyle/>
        <a:p>
          <a:endParaRPr lang="en-GB"/>
        </a:p>
      </dgm:t>
    </dgm:pt>
    <dgm:pt modelId="{A8CBE528-8C73-46D3-BAC4-6FE58EA029BC}" type="pres">
      <dgm:prSet presAssocID="{1AC0182A-FD65-400D-AFD5-562CFEB79DD4}" presName="spacerL" presStyleCnt="0"/>
      <dgm:spPr/>
    </dgm:pt>
    <dgm:pt modelId="{A4D5005B-0769-46D7-9A38-77B22F0B9D07}" type="pres">
      <dgm:prSet presAssocID="{1AC0182A-FD65-400D-AFD5-562CFEB79DD4}" presName="sibTrans" presStyleLbl="sibTrans2D1" presStyleIdx="1" presStyleCnt="3"/>
      <dgm:spPr/>
      <dgm:t>
        <a:bodyPr/>
        <a:lstStyle/>
        <a:p>
          <a:endParaRPr lang="en-GB"/>
        </a:p>
      </dgm:t>
    </dgm:pt>
    <dgm:pt modelId="{024581D9-49E9-446F-B8E2-D2DA8D1AF48B}" type="pres">
      <dgm:prSet presAssocID="{1AC0182A-FD65-400D-AFD5-562CFEB79DD4}" presName="spacerR" presStyleCnt="0"/>
      <dgm:spPr/>
    </dgm:pt>
    <dgm:pt modelId="{FA1486B8-7C5F-49B4-9462-4112D7216F60}" type="pres">
      <dgm:prSet presAssocID="{35D004F5-7C4C-47D7-A939-67537BCB4ACE}" presName="node" presStyleLbl="node1" presStyleIdx="2" presStyleCnt="4" custScaleX="243279" custScaleY="244369">
        <dgm:presLayoutVars>
          <dgm:bulletEnabled val="1"/>
        </dgm:presLayoutVars>
      </dgm:prSet>
      <dgm:spPr/>
      <dgm:t>
        <a:bodyPr/>
        <a:lstStyle/>
        <a:p>
          <a:endParaRPr lang="en-GB"/>
        </a:p>
      </dgm:t>
    </dgm:pt>
    <dgm:pt modelId="{F8BF0825-3B97-4F6B-B2D7-E11E81759905}" type="pres">
      <dgm:prSet presAssocID="{93323777-4E53-4E15-A3E3-8345DEC845B2}" presName="spacerL" presStyleCnt="0"/>
      <dgm:spPr/>
    </dgm:pt>
    <dgm:pt modelId="{ADFF618E-A933-4B3D-AC45-A9CC0ED092DE}" type="pres">
      <dgm:prSet presAssocID="{93323777-4E53-4E15-A3E3-8345DEC845B2}" presName="sibTrans" presStyleLbl="sibTrans2D1" presStyleIdx="2" presStyleCnt="3"/>
      <dgm:spPr/>
      <dgm:t>
        <a:bodyPr/>
        <a:lstStyle/>
        <a:p>
          <a:endParaRPr lang="en-GB"/>
        </a:p>
      </dgm:t>
    </dgm:pt>
    <dgm:pt modelId="{65651B6C-9FA4-4D1C-A1E1-A536AEA5DF42}" type="pres">
      <dgm:prSet presAssocID="{93323777-4E53-4E15-A3E3-8345DEC845B2}" presName="spacerR" presStyleCnt="0"/>
      <dgm:spPr/>
    </dgm:pt>
    <dgm:pt modelId="{6C7E4804-079A-4B95-965C-B3B3E5AAA797}" type="pres">
      <dgm:prSet presAssocID="{54741C8F-2CA4-4C6A-8869-CA918079D6FF}" presName="node" presStyleLbl="node1" presStyleIdx="3" presStyleCnt="4" custScaleX="243279" custScaleY="244369">
        <dgm:presLayoutVars>
          <dgm:bulletEnabled val="1"/>
        </dgm:presLayoutVars>
      </dgm:prSet>
      <dgm:spPr/>
      <dgm:t>
        <a:bodyPr/>
        <a:lstStyle/>
        <a:p>
          <a:endParaRPr lang="en-GB"/>
        </a:p>
      </dgm:t>
    </dgm:pt>
  </dgm:ptLst>
  <dgm:cxnLst>
    <dgm:cxn modelId="{21348ED4-9C27-467D-B7EB-D93C1201B7C1}" type="presOf" srcId="{6F89ECE8-8ACE-4176-A4F0-C73948E1B4A4}" destId="{EAAB15AC-15A4-4EC8-8B15-9A0F8870DD47}" srcOrd="0" destOrd="0" presId="urn:microsoft.com/office/officeart/2005/8/layout/equation1"/>
    <dgm:cxn modelId="{CB19FDE4-F10D-4916-89F2-F6EA4CA22B1B}" srcId="{5B070F16-D3DC-4DB8-AD03-B0CA41C939B1}" destId="{6F89ECE8-8ACE-4176-A4F0-C73948E1B4A4}" srcOrd="1" destOrd="0" parTransId="{97C9B6E9-4ED3-480D-85B2-5A3C20C577EA}" sibTransId="{1AC0182A-FD65-400D-AFD5-562CFEB79DD4}"/>
    <dgm:cxn modelId="{D7075138-6277-4E2A-9C73-DE55A8CB36C6}" type="presOf" srcId="{5B070F16-D3DC-4DB8-AD03-B0CA41C939B1}" destId="{081C1B53-2B44-48CD-A3F3-C382287D4D72}" srcOrd="0" destOrd="0" presId="urn:microsoft.com/office/officeart/2005/8/layout/equation1"/>
    <dgm:cxn modelId="{19A33B6A-7FE4-4E56-85B8-164120B44548}" type="presOf" srcId="{93323777-4E53-4E15-A3E3-8345DEC845B2}" destId="{ADFF618E-A933-4B3D-AC45-A9CC0ED092DE}" srcOrd="0" destOrd="0" presId="urn:microsoft.com/office/officeart/2005/8/layout/equation1"/>
    <dgm:cxn modelId="{422C1C76-B8F1-4FDA-B2C5-393D25946822}" srcId="{5B070F16-D3DC-4DB8-AD03-B0CA41C939B1}" destId="{85350754-72B2-45E2-900E-4B70A42CAE9F}" srcOrd="0" destOrd="0" parTransId="{7CBA4BDF-2F48-4BEE-B75D-1B30A2260299}" sibTransId="{E31A0A03-4F25-4F34-AA46-BEA6112BED4A}"/>
    <dgm:cxn modelId="{A3AD68ED-C41D-4C45-817A-EBDEF2815D9F}" type="presOf" srcId="{1AC0182A-FD65-400D-AFD5-562CFEB79DD4}" destId="{A4D5005B-0769-46D7-9A38-77B22F0B9D07}" srcOrd="0" destOrd="0" presId="urn:microsoft.com/office/officeart/2005/8/layout/equation1"/>
    <dgm:cxn modelId="{46BBAE8A-FE08-4691-8FF9-EBD291606689}" srcId="{5B070F16-D3DC-4DB8-AD03-B0CA41C939B1}" destId="{35D004F5-7C4C-47D7-A939-67537BCB4ACE}" srcOrd="2" destOrd="0" parTransId="{5AB45358-E8B9-4B64-BD37-496D37AA2984}" sibTransId="{93323777-4E53-4E15-A3E3-8345DEC845B2}"/>
    <dgm:cxn modelId="{AB1C76E0-2075-47FB-86E7-1D8833B0E3BD}" type="presOf" srcId="{54741C8F-2CA4-4C6A-8869-CA918079D6FF}" destId="{6C7E4804-079A-4B95-965C-B3B3E5AAA797}" srcOrd="0" destOrd="0" presId="urn:microsoft.com/office/officeart/2005/8/layout/equation1"/>
    <dgm:cxn modelId="{31174FEB-E856-4FB2-B3F0-51419AA0A625}" srcId="{5B070F16-D3DC-4DB8-AD03-B0CA41C939B1}" destId="{54741C8F-2CA4-4C6A-8869-CA918079D6FF}" srcOrd="3" destOrd="0" parTransId="{9B95ECC5-B826-46D7-B290-3CA4F792FD61}" sibTransId="{AA3595A6-4045-434B-81B3-352639BF3DC2}"/>
    <dgm:cxn modelId="{5C4BB3E7-4C69-4168-9C8E-FFE77204C5C0}" type="presOf" srcId="{35D004F5-7C4C-47D7-A939-67537BCB4ACE}" destId="{FA1486B8-7C5F-49B4-9462-4112D7216F60}" srcOrd="0" destOrd="0" presId="urn:microsoft.com/office/officeart/2005/8/layout/equation1"/>
    <dgm:cxn modelId="{B57E78C0-58D4-42D9-825A-16417578597A}" type="presOf" srcId="{E31A0A03-4F25-4F34-AA46-BEA6112BED4A}" destId="{112134E3-6B6B-4713-A2BA-FE6749FFD4C4}" srcOrd="0" destOrd="0" presId="urn:microsoft.com/office/officeart/2005/8/layout/equation1"/>
    <dgm:cxn modelId="{36056BC3-A3D3-493A-94F3-FD1408162D77}" type="presOf" srcId="{85350754-72B2-45E2-900E-4B70A42CAE9F}" destId="{66754BE9-7A05-4050-8135-645189C3F8FC}" srcOrd="0" destOrd="0" presId="urn:microsoft.com/office/officeart/2005/8/layout/equation1"/>
    <dgm:cxn modelId="{8485FF03-D9FD-4457-8E2C-C4DBEC682C09}" type="presParOf" srcId="{081C1B53-2B44-48CD-A3F3-C382287D4D72}" destId="{66754BE9-7A05-4050-8135-645189C3F8FC}" srcOrd="0" destOrd="0" presId="urn:microsoft.com/office/officeart/2005/8/layout/equation1"/>
    <dgm:cxn modelId="{1E3D72D6-2F58-4465-A7C8-6DFDD356BC0C}" type="presParOf" srcId="{081C1B53-2B44-48CD-A3F3-C382287D4D72}" destId="{DD61278E-2CB5-4283-A5AC-3E46EBF3C37D}" srcOrd="1" destOrd="0" presId="urn:microsoft.com/office/officeart/2005/8/layout/equation1"/>
    <dgm:cxn modelId="{C563A519-1D0E-43B1-8332-449B920F37E7}" type="presParOf" srcId="{081C1B53-2B44-48CD-A3F3-C382287D4D72}" destId="{112134E3-6B6B-4713-A2BA-FE6749FFD4C4}" srcOrd="2" destOrd="0" presId="urn:microsoft.com/office/officeart/2005/8/layout/equation1"/>
    <dgm:cxn modelId="{7A1F4146-206F-4525-B2C7-3CC432D58BDA}" type="presParOf" srcId="{081C1B53-2B44-48CD-A3F3-C382287D4D72}" destId="{D89B37B2-22C5-4C4C-A926-FC0F0C1E5143}" srcOrd="3" destOrd="0" presId="urn:microsoft.com/office/officeart/2005/8/layout/equation1"/>
    <dgm:cxn modelId="{24259E7C-F796-4A49-A17D-8151AC20473C}" type="presParOf" srcId="{081C1B53-2B44-48CD-A3F3-C382287D4D72}" destId="{EAAB15AC-15A4-4EC8-8B15-9A0F8870DD47}" srcOrd="4" destOrd="0" presId="urn:microsoft.com/office/officeart/2005/8/layout/equation1"/>
    <dgm:cxn modelId="{C4F1C04F-D759-49BE-9D5A-4A465D282215}" type="presParOf" srcId="{081C1B53-2B44-48CD-A3F3-C382287D4D72}" destId="{A8CBE528-8C73-46D3-BAC4-6FE58EA029BC}" srcOrd="5" destOrd="0" presId="urn:microsoft.com/office/officeart/2005/8/layout/equation1"/>
    <dgm:cxn modelId="{22143098-8C13-4A69-B8BA-2C0DB347A387}" type="presParOf" srcId="{081C1B53-2B44-48CD-A3F3-C382287D4D72}" destId="{A4D5005B-0769-46D7-9A38-77B22F0B9D07}" srcOrd="6" destOrd="0" presId="urn:microsoft.com/office/officeart/2005/8/layout/equation1"/>
    <dgm:cxn modelId="{39B2CD3B-9F39-49B6-A05E-9C4A2620C45A}" type="presParOf" srcId="{081C1B53-2B44-48CD-A3F3-C382287D4D72}" destId="{024581D9-49E9-446F-B8E2-D2DA8D1AF48B}" srcOrd="7" destOrd="0" presId="urn:microsoft.com/office/officeart/2005/8/layout/equation1"/>
    <dgm:cxn modelId="{7515ADA5-8A4C-468D-B701-D6636AE87D3C}" type="presParOf" srcId="{081C1B53-2B44-48CD-A3F3-C382287D4D72}" destId="{FA1486B8-7C5F-49B4-9462-4112D7216F60}" srcOrd="8" destOrd="0" presId="urn:microsoft.com/office/officeart/2005/8/layout/equation1"/>
    <dgm:cxn modelId="{70E23E64-BC52-4191-AD4B-9CB28799CB42}" type="presParOf" srcId="{081C1B53-2B44-48CD-A3F3-C382287D4D72}" destId="{F8BF0825-3B97-4F6B-B2D7-E11E81759905}" srcOrd="9" destOrd="0" presId="urn:microsoft.com/office/officeart/2005/8/layout/equation1"/>
    <dgm:cxn modelId="{E39D4249-C9A2-4DD6-B56B-E115DAB88EC6}" type="presParOf" srcId="{081C1B53-2B44-48CD-A3F3-C382287D4D72}" destId="{ADFF618E-A933-4B3D-AC45-A9CC0ED092DE}" srcOrd="10" destOrd="0" presId="urn:microsoft.com/office/officeart/2005/8/layout/equation1"/>
    <dgm:cxn modelId="{FCB53809-F880-4825-A25F-2E7227642D1F}" type="presParOf" srcId="{081C1B53-2B44-48CD-A3F3-C382287D4D72}" destId="{65651B6C-9FA4-4D1C-A1E1-A536AEA5DF42}" srcOrd="11" destOrd="0" presId="urn:microsoft.com/office/officeart/2005/8/layout/equation1"/>
    <dgm:cxn modelId="{1F6372EB-129E-4C5D-B29D-D203B8C1B7B5}" type="presParOf" srcId="{081C1B53-2B44-48CD-A3F3-C382287D4D72}" destId="{6C7E4804-079A-4B95-965C-B3B3E5AAA797}" srcOrd="12" destOrd="0" presId="urn:microsoft.com/office/officeart/2005/8/layout/equation1"/>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3EE205-C369-4C93-B66F-9E6E8E7CE44A}">
      <dsp:nvSpPr>
        <dsp:cNvPr id="0" name=""/>
        <dsp:cNvSpPr/>
      </dsp:nvSpPr>
      <dsp:spPr>
        <a:xfrm>
          <a:off x="672" y="126960"/>
          <a:ext cx="888389" cy="9156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Exports of goods </a:t>
          </a:r>
        </a:p>
        <a:p>
          <a:pPr lvl="0" algn="ctr" defTabSz="400050">
            <a:lnSpc>
              <a:spcPct val="90000"/>
            </a:lnSpc>
            <a:spcBef>
              <a:spcPct val="0"/>
            </a:spcBef>
            <a:spcAft>
              <a:spcPct val="35000"/>
            </a:spcAft>
          </a:pPr>
          <a:r>
            <a:rPr lang="en-GB" sz="900" kern="1200"/>
            <a:t>(ITGS)</a:t>
          </a:r>
        </a:p>
      </dsp:txBody>
      <dsp:txXfrm>
        <a:off x="130774" y="261055"/>
        <a:ext cx="628185" cy="647470"/>
      </dsp:txXfrm>
    </dsp:sp>
    <dsp:sp modelId="{C1B33CB9-B8D4-4CCF-A476-AFEA29F7B58F}">
      <dsp:nvSpPr>
        <dsp:cNvPr id="0" name=""/>
        <dsp:cNvSpPr/>
      </dsp:nvSpPr>
      <dsp:spPr>
        <a:xfrm>
          <a:off x="904774" y="528678"/>
          <a:ext cx="112224" cy="11222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919649" y="571592"/>
        <a:ext cx="82474" cy="26396"/>
      </dsp:txXfrm>
    </dsp:sp>
    <dsp:sp modelId="{75AE5C27-7924-485E-AF27-8E7BE04791A7}">
      <dsp:nvSpPr>
        <dsp:cNvPr id="0" name=""/>
        <dsp:cNvSpPr/>
      </dsp:nvSpPr>
      <dsp:spPr>
        <a:xfrm>
          <a:off x="1032710" y="126960"/>
          <a:ext cx="888389" cy="9156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Goods sold abroad after processing abroad (ITSS)</a:t>
          </a:r>
        </a:p>
      </dsp:txBody>
      <dsp:txXfrm>
        <a:off x="1162812" y="261055"/>
        <a:ext cx="628185" cy="647470"/>
      </dsp:txXfrm>
    </dsp:sp>
    <dsp:sp modelId="{318C33E8-7E34-4119-9C0A-166419E64EE7}">
      <dsp:nvSpPr>
        <dsp:cNvPr id="0" name=""/>
        <dsp:cNvSpPr/>
      </dsp:nvSpPr>
      <dsp:spPr>
        <a:xfrm>
          <a:off x="1936812" y="528678"/>
          <a:ext cx="112224" cy="11222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1951687" y="571592"/>
        <a:ext cx="82474" cy="26396"/>
      </dsp:txXfrm>
    </dsp:sp>
    <dsp:sp modelId="{943CBF4B-6B6D-4209-B1EB-5DE8438C24D9}">
      <dsp:nvSpPr>
        <dsp:cNvPr id="0" name=""/>
        <dsp:cNvSpPr/>
      </dsp:nvSpPr>
      <dsp:spPr>
        <a:xfrm>
          <a:off x="2064748" y="126960"/>
          <a:ext cx="888389" cy="9156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Merchanting sales (ITSS)</a:t>
          </a:r>
        </a:p>
      </dsp:txBody>
      <dsp:txXfrm>
        <a:off x="2194850" y="261055"/>
        <a:ext cx="628185" cy="647470"/>
      </dsp:txXfrm>
    </dsp:sp>
    <dsp:sp modelId="{48172E90-630D-45C0-9EB4-596134CB7C3D}">
      <dsp:nvSpPr>
        <dsp:cNvPr id="0" name=""/>
        <dsp:cNvSpPr/>
      </dsp:nvSpPr>
      <dsp:spPr>
        <a:xfrm>
          <a:off x="2968850" y="528678"/>
          <a:ext cx="112224" cy="11222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2983725" y="571592"/>
        <a:ext cx="82474" cy="26396"/>
      </dsp:txXfrm>
    </dsp:sp>
    <dsp:sp modelId="{DFC94C72-E715-4D79-8953-090264A99C49}">
      <dsp:nvSpPr>
        <dsp:cNvPr id="0" name=""/>
        <dsp:cNvSpPr/>
      </dsp:nvSpPr>
      <dsp:spPr>
        <a:xfrm>
          <a:off x="3096786" y="126960"/>
          <a:ext cx="888389" cy="9156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Exports of services (ITSS)</a:t>
          </a:r>
        </a:p>
      </dsp:txBody>
      <dsp:txXfrm>
        <a:off x="3226888" y="261055"/>
        <a:ext cx="628185" cy="647470"/>
      </dsp:txXfrm>
    </dsp:sp>
    <dsp:sp modelId="{ADC6832A-30BF-42AA-9535-D10354ED11AC}">
      <dsp:nvSpPr>
        <dsp:cNvPr id="0" name=""/>
        <dsp:cNvSpPr/>
      </dsp:nvSpPr>
      <dsp:spPr>
        <a:xfrm>
          <a:off x="4000887" y="528678"/>
          <a:ext cx="112224" cy="11222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4015762" y="571592"/>
        <a:ext cx="82474" cy="26396"/>
      </dsp:txXfrm>
    </dsp:sp>
    <dsp:sp modelId="{1BEA3DB6-9F8F-4AE5-BE99-779CEAD2760B}">
      <dsp:nvSpPr>
        <dsp:cNvPr id="0" name=""/>
        <dsp:cNvSpPr/>
      </dsp:nvSpPr>
      <dsp:spPr>
        <a:xfrm>
          <a:off x="4128824" y="126960"/>
          <a:ext cx="888389" cy="9156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Domestic turnover (STS)</a:t>
          </a:r>
        </a:p>
      </dsp:txBody>
      <dsp:txXfrm>
        <a:off x="4258926" y="261055"/>
        <a:ext cx="628185" cy="647470"/>
      </dsp:txXfrm>
    </dsp:sp>
    <dsp:sp modelId="{D025F558-3CC0-40B0-BC0F-8599C0F57E8D}">
      <dsp:nvSpPr>
        <dsp:cNvPr id="0" name=""/>
        <dsp:cNvSpPr/>
      </dsp:nvSpPr>
      <dsp:spPr>
        <a:xfrm>
          <a:off x="5032925" y="528678"/>
          <a:ext cx="112224" cy="112224"/>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5047800" y="551796"/>
        <a:ext cx="82474" cy="65988"/>
      </dsp:txXfrm>
    </dsp:sp>
    <dsp:sp modelId="{4403D4C1-FA1F-4E48-8E02-6874E990F61C}">
      <dsp:nvSpPr>
        <dsp:cNvPr id="0" name=""/>
        <dsp:cNvSpPr/>
      </dsp:nvSpPr>
      <dsp:spPr>
        <a:xfrm>
          <a:off x="5160862" y="126960"/>
          <a:ext cx="888389" cy="9156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Total Turnover (SBS)</a:t>
          </a:r>
        </a:p>
      </dsp:txBody>
      <dsp:txXfrm>
        <a:off x="5290964" y="261055"/>
        <a:ext cx="628185" cy="6474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54BE9-7A05-4050-8135-645189C3F8FC}">
      <dsp:nvSpPr>
        <dsp:cNvPr id="0" name=""/>
        <dsp:cNvSpPr/>
      </dsp:nvSpPr>
      <dsp:spPr>
        <a:xfrm>
          <a:off x="7801" y="5283"/>
          <a:ext cx="1100830" cy="11057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Exports of goods </a:t>
          </a:r>
          <a:br>
            <a:rPr lang="en-GB" sz="1000" kern="1200"/>
          </a:br>
          <a:r>
            <a:rPr lang="en-GB" sz="1000" kern="1200"/>
            <a:t>(ITGS)</a:t>
          </a:r>
        </a:p>
      </dsp:txBody>
      <dsp:txXfrm>
        <a:off x="169014" y="167218"/>
        <a:ext cx="778404" cy="781892"/>
      </dsp:txXfrm>
    </dsp:sp>
    <dsp:sp modelId="{112134E3-6B6B-4713-A2BA-FE6749FFD4C4}">
      <dsp:nvSpPr>
        <dsp:cNvPr id="0" name=""/>
        <dsp:cNvSpPr/>
      </dsp:nvSpPr>
      <dsp:spPr>
        <a:xfrm>
          <a:off x="1137746" y="426940"/>
          <a:ext cx="262448" cy="262448"/>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1172533" y="527300"/>
        <a:ext cx="192874" cy="61728"/>
      </dsp:txXfrm>
    </dsp:sp>
    <dsp:sp modelId="{EAAB15AC-15A4-4EC8-8B15-9A0F8870DD47}">
      <dsp:nvSpPr>
        <dsp:cNvPr id="0" name=""/>
        <dsp:cNvSpPr/>
      </dsp:nvSpPr>
      <dsp:spPr>
        <a:xfrm>
          <a:off x="1444565" y="5283"/>
          <a:ext cx="1100830" cy="11057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Goods sold abroad after processing abroad </a:t>
          </a:r>
          <a:br>
            <a:rPr lang="en-GB" sz="1000" kern="1200"/>
          </a:br>
          <a:r>
            <a:rPr lang="en-GB" sz="1000" kern="1200"/>
            <a:t>(ITSS)</a:t>
          </a:r>
        </a:p>
      </dsp:txBody>
      <dsp:txXfrm>
        <a:off x="1605778" y="167218"/>
        <a:ext cx="778404" cy="781892"/>
      </dsp:txXfrm>
    </dsp:sp>
    <dsp:sp modelId="{A4D5005B-0769-46D7-9A38-77B22F0B9D07}">
      <dsp:nvSpPr>
        <dsp:cNvPr id="0" name=""/>
        <dsp:cNvSpPr/>
      </dsp:nvSpPr>
      <dsp:spPr>
        <a:xfrm>
          <a:off x="2574510" y="426940"/>
          <a:ext cx="262448" cy="262448"/>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2609297" y="527300"/>
        <a:ext cx="192874" cy="61728"/>
      </dsp:txXfrm>
    </dsp:sp>
    <dsp:sp modelId="{FA1486B8-7C5F-49B4-9462-4112D7216F60}">
      <dsp:nvSpPr>
        <dsp:cNvPr id="0" name=""/>
        <dsp:cNvSpPr/>
      </dsp:nvSpPr>
      <dsp:spPr>
        <a:xfrm>
          <a:off x="2873701" y="5283"/>
          <a:ext cx="1100830" cy="11057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Domestic turnover </a:t>
          </a:r>
          <a:br>
            <a:rPr lang="en-GB" sz="1000" kern="1200"/>
          </a:br>
          <a:r>
            <a:rPr lang="en-GB" sz="1000" kern="1200"/>
            <a:t>(STS)</a:t>
          </a:r>
        </a:p>
      </dsp:txBody>
      <dsp:txXfrm>
        <a:off x="3034914" y="167218"/>
        <a:ext cx="778404" cy="781892"/>
      </dsp:txXfrm>
    </dsp:sp>
    <dsp:sp modelId="{ADFF618E-A933-4B3D-AC45-A9CC0ED092DE}">
      <dsp:nvSpPr>
        <dsp:cNvPr id="0" name=""/>
        <dsp:cNvSpPr/>
      </dsp:nvSpPr>
      <dsp:spPr>
        <a:xfrm>
          <a:off x="4011275" y="426940"/>
          <a:ext cx="262448" cy="262448"/>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a:off x="4046062" y="481004"/>
        <a:ext cx="192874" cy="154320"/>
      </dsp:txXfrm>
    </dsp:sp>
    <dsp:sp modelId="{6C7E4804-079A-4B95-965C-B3B3E5AAA797}">
      <dsp:nvSpPr>
        <dsp:cNvPr id="0" name=""/>
        <dsp:cNvSpPr/>
      </dsp:nvSpPr>
      <dsp:spPr>
        <a:xfrm>
          <a:off x="4310466" y="5283"/>
          <a:ext cx="1100830" cy="11057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Sales of own goods (PRODCOM)</a:t>
          </a:r>
        </a:p>
      </dsp:txBody>
      <dsp:txXfrm>
        <a:off x="4471679" y="167218"/>
        <a:ext cx="778404" cy="781892"/>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15652-E37D-4318-9D9D-FCE85F9C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2101</Words>
  <Characters>12611</Characters>
  <Application>Microsoft Office Word</Application>
  <DocSecurity>0</DocSecurity>
  <Lines>105</Lines>
  <Paragraphs>29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Danmarks Statistik</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2018-05-18T11:13:00Z</cp:lastPrinted>
  <dcterms:created xsi:type="dcterms:W3CDTF">2018-05-19T08:28:00Z</dcterms:created>
  <dcterms:modified xsi:type="dcterms:W3CDTF">2018-05-19T08:28:00Z</dcterms:modified>
</cp:coreProperties>
</file>