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2B3F" w14:textId="77777777" w:rsidR="004A1A99" w:rsidRPr="00EC5F5A" w:rsidRDefault="00A02614" w:rsidP="00D0270E">
      <w:pPr>
        <w:spacing w:before="480" w:after="480" w:line="360" w:lineRule="auto"/>
        <w:jc w:val="center"/>
        <w:rPr>
          <w:rFonts w:ascii="Arial" w:hAnsi="Arial" w:cs="Arial"/>
          <w:b/>
          <w:sz w:val="48"/>
          <w:szCs w:val="48"/>
          <w:lang w:val="en-GB"/>
        </w:rPr>
      </w:pPr>
      <w:bookmarkStart w:id="0" w:name="_Hlk514314041"/>
      <w:bookmarkStart w:id="1" w:name="_GoBack"/>
      <w:bookmarkEnd w:id="1"/>
      <w:r>
        <w:rPr>
          <w:rFonts w:ascii="Arial" w:hAnsi="Arial" w:cs="Arial"/>
          <w:b/>
          <w:sz w:val="48"/>
          <w:szCs w:val="48"/>
          <w:lang w:val="en-GB"/>
        </w:rPr>
        <w:t>Improvements on the Brazilian Statistics Code of Practice</w:t>
      </w:r>
    </w:p>
    <w:p w14:paraId="4E38D233" w14:textId="77777777" w:rsidR="00D0270E" w:rsidRPr="00EC5F5A" w:rsidRDefault="00A02614" w:rsidP="00C726EA">
      <w:pPr>
        <w:spacing w:after="0" w:line="360" w:lineRule="auto"/>
        <w:jc w:val="both"/>
        <w:rPr>
          <w:rFonts w:ascii="Arial" w:hAnsi="Arial" w:cs="Arial"/>
          <w:sz w:val="24"/>
          <w:szCs w:val="24"/>
          <w:lang w:val="en-GB"/>
        </w:rPr>
      </w:pPr>
      <w:r>
        <w:rPr>
          <w:rFonts w:ascii="Arial" w:hAnsi="Arial" w:cs="Arial"/>
          <w:sz w:val="24"/>
          <w:szCs w:val="24"/>
          <w:lang w:val="en-GB"/>
        </w:rPr>
        <w:t>Maria Luiza Barcellos Zacharias</w:t>
      </w:r>
      <w:r w:rsidR="000D705A" w:rsidRPr="00EC5F5A">
        <w:rPr>
          <w:rFonts w:ascii="Arial" w:hAnsi="Arial" w:cs="Arial"/>
          <w:sz w:val="24"/>
          <w:szCs w:val="24"/>
          <w:lang w:val="en-GB"/>
        </w:rPr>
        <w:t xml:space="preserve">, </w:t>
      </w:r>
      <w:r>
        <w:rPr>
          <w:rFonts w:ascii="Arial" w:hAnsi="Arial" w:cs="Arial"/>
          <w:sz w:val="24"/>
          <w:szCs w:val="24"/>
          <w:lang w:val="en-GB"/>
        </w:rPr>
        <w:t>Brazilian Institute of Geography and Statistics</w:t>
      </w:r>
      <w:r w:rsidR="000D705A" w:rsidRPr="00EC5F5A">
        <w:rPr>
          <w:rFonts w:ascii="Arial" w:hAnsi="Arial" w:cs="Arial"/>
          <w:sz w:val="24"/>
          <w:szCs w:val="24"/>
          <w:lang w:val="en-GB"/>
        </w:rPr>
        <w:t xml:space="preserve">, </w:t>
      </w:r>
      <w:r>
        <w:rPr>
          <w:rFonts w:ascii="Arial" w:hAnsi="Arial" w:cs="Arial"/>
          <w:sz w:val="24"/>
          <w:szCs w:val="24"/>
          <w:lang w:val="en-GB"/>
        </w:rPr>
        <w:t>maria.zacharias@ibge.gov.br</w:t>
      </w:r>
    </w:p>
    <w:p w14:paraId="74E4BED9" w14:textId="77777777" w:rsidR="000D705A" w:rsidRPr="00EC5F5A" w:rsidRDefault="00A02614" w:rsidP="00C726EA">
      <w:pPr>
        <w:spacing w:after="0" w:line="360" w:lineRule="auto"/>
        <w:jc w:val="both"/>
        <w:rPr>
          <w:rFonts w:ascii="Arial" w:hAnsi="Arial" w:cs="Arial"/>
          <w:sz w:val="24"/>
          <w:szCs w:val="24"/>
          <w:lang w:val="en-GB"/>
        </w:rPr>
      </w:pPr>
      <w:r>
        <w:rPr>
          <w:rFonts w:ascii="Arial" w:hAnsi="Arial" w:cs="Arial"/>
          <w:sz w:val="24"/>
          <w:szCs w:val="24"/>
          <w:lang w:val="en-GB"/>
        </w:rPr>
        <w:t>Raquel Rose Silva Correia</w:t>
      </w:r>
      <w:r w:rsidR="000D705A" w:rsidRPr="00EC5F5A">
        <w:rPr>
          <w:rFonts w:ascii="Arial" w:hAnsi="Arial" w:cs="Arial"/>
          <w:sz w:val="24"/>
          <w:szCs w:val="24"/>
          <w:lang w:val="en-GB"/>
        </w:rPr>
        <w:t xml:space="preserve">, </w:t>
      </w:r>
      <w:r>
        <w:rPr>
          <w:rFonts w:ascii="Arial" w:hAnsi="Arial" w:cs="Arial"/>
          <w:sz w:val="24"/>
          <w:szCs w:val="24"/>
          <w:lang w:val="en-GB"/>
        </w:rPr>
        <w:t>Brazilian Institute of Geography and Statistics</w:t>
      </w:r>
      <w:r w:rsidR="000D705A" w:rsidRPr="00EC5F5A">
        <w:rPr>
          <w:rFonts w:ascii="Arial" w:hAnsi="Arial" w:cs="Arial"/>
          <w:sz w:val="24"/>
          <w:szCs w:val="24"/>
          <w:lang w:val="en-GB"/>
        </w:rPr>
        <w:t xml:space="preserve">, </w:t>
      </w:r>
      <w:r>
        <w:rPr>
          <w:rFonts w:ascii="Arial" w:hAnsi="Arial" w:cs="Arial"/>
          <w:sz w:val="24"/>
          <w:szCs w:val="24"/>
          <w:lang w:val="en-GB"/>
        </w:rPr>
        <w:t>raquel.correia@ibge.gov.br</w:t>
      </w:r>
    </w:p>
    <w:p w14:paraId="067A8040"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2496BCA4" w14:textId="77777777" w:rsidR="00A02614" w:rsidRPr="00A02614" w:rsidRDefault="00A02614" w:rsidP="00A02614">
      <w:pPr>
        <w:spacing w:after="0" w:line="240" w:lineRule="auto"/>
        <w:jc w:val="both"/>
        <w:rPr>
          <w:rFonts w:ascii="Arial" w:hAnsi="Arial" w:cs="Arial"/>
          <w:i/>
          <w:sz w:val="20"/>
          <w:szCs w:val="20"/>
          <w:lang w:val="en-US"/>
        </w:rPr>
      </w:pPr>
      <w:r w:rsidRPr="00A02614">
        <w:rPr>
          <w:rFonts w:ascii="Arial" w:hAnsi="Arial" w:cs="Arial"/>
          <w:i/>
          <w:sz w:val="20"/>
          <w:szCs w:val="20"/>
          <w:lang w:val="en-US"/>
        </w:rPr>
        <w:t xml:space="preserve">In 2013, the Brazilian Institute of Geography and Statistics (IBGE) made available its Statistics Code of Practice, disseminating a set of guidelines, principles and practices that the Institute is committed to uphold in the statistical production process, taking as reference the Statistics Code of Practice for Latin America and the Caribbean. The Code aims at standardizing professional procedures to foster best practices in statistics, which are crucial to establish institutional credibility and, consequently, trust in the information produced by the Institution. The Code sets out 17 key principles and 80 good practices, concerning the institutional environment and coordination, and the statistical processes and products. </w:t>
      </w:r>
    </w:p>
    <w:p w14:paraId="45CFAB8E" w14:textId="77777777" w:rsidR="00A02614" w:rsidRPr="00A02614" w:rsidRDefault="00A02614" w:rsidP="00A02614">
      <w:pPr>
        <w:spacing w:after="0" w:line="240" w:lineRule="auto"/>
        <w:jc w:val="both"/>
        <w:rPr>
          <w:rFonts w:ascii="Arial" w:hAnsi="Arial" w:cs="Arial"/>
          <w:i/>
          <w:sz w:val="20"/>
          <w:szCs w:val="20"/>
          <w:lang w:val="en-US"/>
        </w:rPr>
      </w:pPr>
      <w:r w:rsidRPr="00A02614">
        <w:rPr>
          <w:rFonts w:ascii="Arial" w:hAnsi="Arial" w:cs="Arial"/>
          <w:i/>
          <w:sz w:val="20"/>
          <w:szCs w:val="20"/>
          <w:lang w:val="en-US"/>
        </w:rPr>
        <w:t>In 2016, the Institute underwent an external auditing to assess its compliance with the principles and practices of the Code of Practice, which resulted in a set of recommendations that led to its revision and improvement. One recommendation was to develop and incorporate explanatory notes that clearly outline the context and objective of each good practice, in order to reduce the possibilities of different interpretations. Furthermore, a set of measurable criteria (quantitative or qualitative indicators) should be developed and incorporated to the Code as a means of assessing compliance with each practice. This paper presents the steps developed, the external references and frameworks used, and the choices that were made during the revision process.</w:t>
      </w:r>
    </w:p>
    <w:p w14:paraId="4AF54778" w14:textId="77777777" w:rsidR="00A02614" w:rsidRPr="00A02614" w:rsidRDefault="00A02614" w:rsidP="00A02614">
      <w:pPr>
        <w:spacing w:after="0" w:line="240" w:lineRule="auto"/>
        <w:jc w:val="both"/>
        <w:rPr>
          <w:rFonts w:ascii="Arial" w:hAnsi="Arial" w:cs="Arial"/>
          <w:i/>
          <w:sz w:val="20"/>
          <w:szCs w:val="20"/>
          <w:lang w:val="en-US"/>
        </w:rPr>
      </w:pPr>
      <w:r w:rsidRPr="00A02614">
        <w:rPr>
          <w:rFonts w:ascii="Arial" w:hAnsi="Arial" w:cs="Arial"/>
          <w:i/>
          <w:sz w:val="20"/>
          <w:szCs w:val="20"/>
          <w:lang w:val="en-US"/>
        </w:rPr>
        <w:t>The IBGE Statistics Code of Practice is also seen as a mechanism to introduce a common understanding of quality across the producers of official statistics in Brazil and align national practices with international standards. The new edition of the Code will provide the basis for a more comprehensive version to be discussed with other institutions responsible for the production of official statistics at the National Statistical System.</w:t>
      </w:r>
    </w:p>
    <w:p w14:paraId="3EC39B1D"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02614" w:rsidRPr="00A02614">
        <w:rPr>
          <w:rFonts w:ascii="Arial" w:hAnsi="Arial" w:cs="Arial"/>
          <w:sz w:val="20"/>
          <w:szCs w:val="20"/>
          <w:lang w:val="en-GB"/>
        </w:rPr>
        <w:t>Code of Practice,</w:t>
      </w:r>
      <w:r w:rsidRPr="00A02614">
        <w:rPr>
          <w:rFonts w:ascii="Arial" w:hAnsi="Arial" w:cs="Arial"/>
          <w:sz w:val="20"/>
          <w:szCs w:val="20"/>
          <w:lang w:val="en-GB"/>
        </w:rPr>
        <w:t xml:space="preserve"> </w:t>
      </w:r>
      <w:r w:rsidR="00B03C77">
        <w:rPr>
          <w:rFonts w:ascii="Arial" w:hAnsi="Arial" w:cs="Arial"/>
          <w:sz w:val="20"/>
          <w:szCs w:val="20"/>
          <w:lang w:val="en-GB"/>
        </w:rPr>
        <w:t xml:space="preserve">statistical </w:t>
      </w:r>
      <w:r w:rsidR="00A02614" w:rsidRPr="00A02614">
        <w:rPr>
          <w:rFonts w:ascii="Arial" w:hAnsi="Arial" w:cs="Arial"/>
          <w:sz w:val="20"/>
          <w:szCs w:val="20"/>
          <w:lang w:val="en-GB"/>
        </w:rPr>
        <w:t>quality</w:t>
      </w:r>
    </w:p>
    <w:p w14:paraId="71227D2D"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10670">
        <w:rPr>
          <w:rFonts w:ascii="Arial" w:hAnsi="Arial" w:cs="Arial"/>
          <w:b/>
          <w:sz w:val="24"/>
          <w:szCs w:val="24"/>
          <w:lang w:val="en-GB"/>
        </w:rPr>
        <w:t>Introduction</w:t>
      </w:r>
    </w:p>
    <w:p w14:paraId="532918CA" w14:textId="77777777" w:rsidR="008629F3" w:rsidRDefault="008629F3" w:rsidP="003A1D16">
      <w:pPr>
        <w:spacing w:before="120" w:after="0" w:line="360" w:lineRule="auto"/>
        <w:jc w:val="both"/>
        <w:rPr>
          <w:rFonts w:ascii="Arial" w:hAnsi="Arial" w:cs="Arial"/>
          <w:sz w:val="24"/>
          <w:szCs w:val="24"/>
          <w:lang w:val="en-US"/>
        </w:rPr>
      </w:pPr>
      <w:r w:rsidRPr="008629F3">
        <w:rPr>
          <w:rFonts w:ascii="Arial" w:hAnsi="Arial" w:cs="Arial"/>
          <w:sz w:val="24"/>
          <w:szCs w:val="24"/>
          <w:lang w:val="en-US"/>
        </w:rPr>
        <w:t>In 2013, the Brazilian Institute of Geography and Statistics (IBGE) published its Statistical Code of Practice</w:t>
      </w:r>
      <w:r w:rsidR="006776FE">
        <w:rPr>
          <w:rFonts w:ascii="Arial" w:hAnsi="Arial" w:cs="Arial"/>
          <w:sz w:val="24"/>
          <w:szCs w:val="24"/>
          <w:lang w:val="en-US"/>
        </w:rPr>
        <w:t xml:space="preserve"> </w:t>
      </w:r>
      <w:r w:rsidR="006776FE" w:rsidRPr="006776FE">
        <w:rPr>
          <w:rFonts w:ascii="Arial" w:hAnsi="Arial" w:cs="Arial"/>
          <w:sz w:val="24"/>
          <w:szCs w:val="24"/>
          <w:lang w:val="en-US"/>
        </w:rPr>
        <w:t xml:space="preserve">in order to </w:t>
      </w:r>
      <w:r w:rsidR="006776FE">
        <w:rPr>
          <w:rFonts w:ascii="Arial" w:hAnsi="Arial" w:cs="Arial"/>
          <w:sz w:val="24"/>
          <w:szCs w:val="24"/>
          <w:lang w:val="en-US"/>
        </w:rPr>
        <w:t xml:space="preserve">regulate and </w:t>
      </w:r>
      <w:r w:rsidR="006776FE" w:rsidRPr="006776FE">
        <w:rPr>
          <w:rFonts w:ascii="Arial" w:hAnsi="Arial" w:cs="Arial"/>
          <w:sz w:val="24"/>
          <w:szCs w:val="24"/>
          <w:lang w:val="en-US"/>
        </w:rPr>
        <w:t>guid</w:t>
      </w:r>
      <w:r w:rsidR="006776FE">
        <w:rPr>
          <w:rFonts w:ascii="Arial" w:hAnsi="Arial" w:cs="Arial"/>
          <w:sz w:val="24"/>
          <w:szCs w:val="24"/>
          <w:lang w:val="en-US"/>
        </w:rPr>
        <w:t>e</w:t>
      </w:r>
      <w:r w:rsidR="006776FE" w:rsidRPr="006776FE">
        <w:rPr>
          <w:rFonts w:ascii="Arial" w:hAnsi="Arial" w:cs="Arial"/>
          <w:sz w:val="24"/>
          <w:szCs w:val="24"/>
          <w:lang w:val="en-US"/>
        </w:rPr>
        <w:t xml:space="preserve"> the continuous improvement of the </w:t>
      </w:r>
      <w:r w:rsidR="006776FE">
        <w:rPr>
          <w:rFonts w:ascii="Arial" w:hAnsi="Arial" w:cs="Arial"/>
          <w:sz w:val="24"/>
          <w:szCs w:val="24"/>
          <w:lang w:val="en-US"/>
        </w:rPr>
        <w:t xml:space="preserve">statistics </w:t>
      </w:r>
      <w:r w:rsidR="006776FE" w:rsidRPr="006776FE">
        <w:rPr>
          <w:rFonts w:ascii="Arial" w:hAnsi="Arial" w:cs="Arial"/>
          <w:sz w:val="24"/>
          <w:szCs w:val="24"/>
          <w:lang w:val="en-US"/>
        </w:rPr>
        <w:t>production</w:t>
      </w:r>
      <w:r w:rsidR="00791E59">
        <w:rPr>
          <w:rFonts w:ascii="Arial" w:hAnsi="Arial" w:cs="Arial"/>
          <w:sz w:val="24"/>
          <w:szCs w:val="24"/>
          <w:lang w:val="en-US"/>
        </w:rPr>
        <w:t xml:space="preserve"> and</w:t>
      </w:r>
      <w:r w:rsidR="006776FE" w:rsidRPr="006776FE">
        <w:rPr>
          <w:rFonts w:ascii="Arial" w:hAnsi="Arial" w:cs="Arial"/>
          <w:sz w:val="24"/>
          <w:szCs w:val="24"/>
          <w:lang w:val="en-US"/>
        </w:rPr>
        <w:t xml:space="preserve"> ensur</w:t>
      </w:r>
      <w:r w:rsidR="00791E59">
        <w:rPr>
          <w:rFonts w:ascii="Arial" w:hAnsi="Arial" w:cs="Arial"/>
          <w:sz w:val="24"/>
          <w:szCs w:val="24"/>
          <w:lang w:val="en-US"/>
        </w:rPr>
        <w:t>e</w:t>
      </w:r>
      <w:r w:rsidR="006776FE" w:rsidRPr="006776FE">
        <w:rPr>
          <w:rFonts w:ascii="Arial" w:hAnsi="Arial" w:cs="Arial"/>
          <w:sz w:val="24"/>
          <w:szCs w:val="24"/>
          <w:lang w:val="en-US"/>
        </w:rPr>
        <w:t xml:space="preserve"> institutional strengthening.</w:t>
      </w:r>
      <w:r w:rsidR="006776FE">
        <w:rPr>
          <w:rFonts w:ascii="Arial" w:hAnsi="Arial" w:cs="Arial"/>
          <w:sz w:val="24"/>
          <w:szCs w:val="24"/>
          <w:lang w:val="en-US"/>
        </w:rPr>
        <w:t xml:space="preserve"> </w:t>
      </w:r>
      <w:r w:rsidRPr="008629F3">
        <w:rPr>
          <w:rFonts w:ascii="Arial" w:hAnsi="Arial" w:cs="Arial"/>
          <w:sz w:val="24"/>
          <w:szCs w:val="24"/>
          <w:lang w:val="en-US"/>
        </w:rPr>
        <w:t>In 2016, the Institute went through an external audit</w:t>
      </w:r>
      <w:r w:rsidR="00B03C77">
        <w:rPr>
          <w:rFonts w:ascii="Arial" w:hAnsi="Arial" w:cs="Arial"/>
          <w:sz w:val="24"/>
          <w:szCs w:val="24"/>
          <w:lang w:val="en-US"/>
        </w:rPr>
        <w:t xml:space="preserve"> from a Federal Controller Unit</w:t>
      </w:r>
      <w:r w:rsidRPr="008629F3">
        <w:rPr>
          <w:rFonts w:ascii="Arial" w:hAnsi="Arial" w:cs="Arial"/>
          <w:sz w:val="24"/>
          <w:szCs w:val="24"/>
          <w:lang w:val="en-US"/>
        </w:rPr>
        <w:t xml:space="preserve"> that analyzed the adherence of IBGE to the good practices </w:t>
      </w:r>
      <w:r w:rsidR="006776FE">
        <w:rPr>
          <w:rFonts w:ascii="Arial" w:hAnsi="Arial" w:cs="Arial"/>
          <w:sz w:val="24"/>
          <w:szCs w:val="24"/>
          <w:lang w:val="en-US"/>
        </w:rPr>
        <w:t>established in the</w:t>
      </w:r>
      <w:r w:rsidRPr="008629F3">
        <w:rPr>
          <w:rFonts w:ascii="Arial" w:hAnsi="Arial" w:cs="Arial"/>
          <w:sz w:val="24"/>
          <w:szCs w:val="24"/>
          <w:lang w:val="en-US"/>
        </w:rPr>
        <w:t xml:space="preserve"> Code. </w:t>
      </w:r>
      <w:r w:rsidR="00B03C77">
        <w:rPr>
          <w:rFonts w:ascii="Arial" w:hAnsi="Arial" w:cs="Arial"/>
          <w:sz w:val="24"/>
          <w:szCs w:val="24"/>
          <w:lang w:val="en-US"/>
        </w:rPr>
        <w:t xml:space="preserve">The audit results in a set of </w:t>
      </w:r>
      <w:r w:rsidRPr="008629F3">
        <w:rPr>
          <w:rFonts w:ascii="Arial" w:hAnsi="Arial" w:cs="Arial"/>
          <w:sz w:val="24"/>
          <w:szCs w:val="24"/>
          <w:lang w:val="en-US"/>
        </w:rPr>
        <w:t>recommendations</w:t>
      </w:r>
      <w:r w:rsidR="00B03C77">
        <w:rPr>
          <w:rFonts w:ascii="Arial" w:hAnsi="Arial" w:cs="Arial"/>
          <w:sz w:val="24"/>
          <w:szCs w:val="24"/>
          <w:lang w:val="en-US"/>
        </w:rPr>
        <w:t xml:space="preserve"> specifically related to the contents of the Code, such as </w:t>
      </w:r>
      <w:r w:rsidRPr="008629F3">
        <w:rPr>
          <w:rFonts w:ascii="Arial" w:hAnsi="Arial" w:cs="Arial"/>
          <w:sz w:val="24"/>
          <w:szCs w:val="24"/>
          <w:lang w:val="en-US"/>
        </w:rPr>
        <w:t xml:space="preserve">to </w:t>
      </w:r>
      <w:r w:rsidRPr="008629F3">
        <w:rPr>
          <w:rFonts w:ascii="Arial" w:hAnsi="Arial" w:cs="Arial"/>
          <w:sz w:val="24"/>
          <w:szCs w:val="24"/>
          <w:lang w:val="en-US"/>
        </w:rPr>
        <w:lastRenderedPageBreak/>
        <w:t xml:space="preserve">add explanatory texts and indicators </w:t>
      </w:r>
      <w:r w:rsidR="00B03C77" w:rsidRPr="008629F3">
        <w:rPr>
          <w:rFonts w:ascii="Arial" w:hAnsi="Arial" w:cs="Arial"/>
          <w:sz w:val="24"/>
          <w:szCs w:val="24"/>
          <w:lang w:val="en-US"/>
        </w:rPr>
        <w:t xml:space="preserve">to the Code, </w:t>
      </w:r>
      <w:r w:rsidR="006776FE">
        <w:rPr>
          <w:rFonts w:ascii="Arial" w:hAnsi="Arial" w:cs="Arial"/>
          <w:sz w:val="24"/>
          <w:szCs w:val="24"/>
          <w:lang w:val="en-US"/>
        </w:rPr>
        <w:t>to</w:t>
      </w:r>
      <w:r w:rsidRPr="008629F3">
        <w:rPr>
          <w:rFonts w:ascii="Arial" w:hAnsi="Arial" w:cs="Arial"/>
          <w:sz w:val="24"/>
          <w:szCs w:val="24"/>
          <w:lang w:val="en-US"/>
        </w:rPr>
        <w:t xml:space="preserve"> improv</w:t>
      </w:r>
      <w:r w:rsidR="006776FE">
        <w:rPr>
          <w:rFonts w:ascii="Arial" w:hAnsi="Arial" w:cs="Arial"/>
          <w:sz w:val="24"/>
          <w:szCs w:val="24"/>
          <w:lang w:val="en-US"/>
        </w:rPr>
        <w:t>e</w:t>
      </w:r>
      <w:r w:rsidRPr="008629F3">
        <w:rPr>
          <w:rFonts w:ascii="Arial" w:hAnsi="Arial" w:cs="Arial"/>
          <w:sz w:val="24"/>
          <w:szCs w:val="24"/>
          <w:lang w:val="en-US"/>
        </w:rPr>
        <w:t xml:space="preserve"> </w:t>
      </w:r>
      <w:r w:rsidR="006776FE">
        <w:rPr>
          <w:rFonts w:ascii="Arial" w:hAnsi="Arial" w:cs="Arial"/>
          <w:sz w:val="24"/>
          <w:szCs w:val="24"/>
          <w:lang w:val="en-US"/>
        </w:rPr>
        <w:t>its</w:t>
      </w:r>
      <w:r w:rsidRPr="008629F3">
        <w:rPr>
          <w:rFonts w:ascii="Arial" w:hAnsi="Arial" w:cs="Arial"/>
          <w:sz w:val="24"/>
          <w:szCs w:val="24"/>
          <w:lang w:val="en-US"/>
        </w:rPr>
        <w:t xml:space="preserve"> clarity and allow a qualita</w:t>
      </w:r>
      <w:r w:rsidR="009252D0">
        <w:rPr>
          <w:rFonts w:ascii="Arial" w:hAnsi="Arial" w:cs="Arial"/>
          <w:sz w:val="24"/>
          <w:szCs w:val="24"/>
          <w:lang w:val="en-US"/>
        </w:rPr>
        <w:t xml:space="preserve">tive or quantitative evaluation </w:t>
      </w:r>
      <w:r w:rsidR="009252D0" w:rsidRPr="009252D0">
        <w:rPr>
          <w:rFonts w:ascii="Arial" w:hAnsi="Arial" w:cs="Arial"/>
          <w:sz w:val="24"/>
          <w:szCs w:val="24"/>
          <w:lang w:val="en-US"/>
        </w:rPr>
        <w:t>of its implementation and adherence</w:t>
      </w:r>
      <w:r w:rsidR="009252D0">
        <w:rPr>
          <w:rFonts w:ascii="Arial" w:hAnsi="Arial" w:cs="Arial"/>
          <w:sz w:val="24"/>
          <w:szCs w:val="24"/>
          <w:lang w:val="en-US"/>
        </w:rPr>
        <w:t>.</w:t>
      </w:r>
    </w:p>
    <w:p w14:paraId="6AA8D785" w14:textId="77777777" w:rsidR="00BE6BA4" w:rsidRDefault="00BE6BA4" w:rsidP="00BE6BA4">
      <w:pPr>
        <w:spacing w:before="120" w:after="0" w:line="360" w:lineRule="auto"/>
        <w:jc w:val="both"/>
        <w:rPr>
          <w:rFonts w:ascii="Arial" w:hAnsi="Arial" w:cs="Arial"/>
          <w:sz w:val="24"/>
          <w:szCs w:val="24"/>
          <w:lang w:val="en-US"/>
        </w:rPr>
      </w:pPr>
      <w:r w:rsidRPr="009D6F8B">
        <w:rPr>
          <w:rFonts w:ascii="Arial" w:hAnsi="Arial" w:cs="Arial"/>
          <w:sz w:val="24"/>
          <w:szCs w:val="24"/>
          <w:lang w:val="en-US"/>
        </w:rPr>
        <w:t>T</w:t>
      </w:r>
      <w:r>
        <w:rPr>
          <w:rFonts w:ascii="Arial" w:hAnsi="Arial" w:cs="Arial"/>
          <w:sz w:val="24"/>
          <w:szCs w:val="24"/>
          <w:lang w:val="en-US"/>
        </w:rPr>
        <w:t xml:space="preserve">his paper will present the IBGE Statistics Code of Practice revision process which includes the search and study of external references and frameworks, the steps developed and choices made to increase the Code’s clarity and create quantifiable indicators. </w:t>
      </w:r>
    </w:p>
    <w:p w14:paraId="6A60F6DC" w14:textId="77777777" w:rsidR="009252D0" w:rsidRDefault="009252D0" w:rsidP="009252D0">
      <w:pPr>
        <w:spacing w:before="120" w:after="0" w:line="360" w:lineRule="auto"/>
        <w:jc w:val="both"/>
        <w:rPr>
          <w:rFonts w:ascii="Arial" w:hAnsi="Arial" w:cs="Arial"/>
          <w:sz w:val="24"/>
          <w:szCs w:val="24"/>
          <w:lang w:val="en-US"/>
        </w:rPr>
      </w:pPr>
    </w:p>
    <w:p w14:paraId="24EB4531" w14:textId="77777777" w:rsidR="00D0258C" w:rsidRPr="000F0068" w:rsidRDefault="00C10670" w:rsidP="009252D0">
      <w:pPr>
        <w:spacing w:before="120" w:after="0" w:line="360" w:lineRule="auto"/>
        <w:jc w:val="both"/>
        <w:rPr>
          <w:rFonts w:ascii="Arial" w:hAnsi="Arial" w:cs="Arial"/>
          <w:b/>
          <w:sz w:val="24"/>
          <w:szCs w:val="24"/>
          <w:lang w:val="en-US"/>
        </w:rPr>
      </w:pPr>
      <w:r w:rsidRPr="000F0068">
        <w:rPr>
          <w:rFonts w:ascii="Arial" w:hAnsi="Arial" w:cs="Arial"/>
          <w:b/>
          <w:sz w:val="24"/>
          <w:szCs w:val="24"/>
          <w:lang w:val="en-US"/>
        </w:rPr>
        <w:t>2. The IBGE Code of Practice</w:t>
      </w:r>
    </w:p>
    <w:p w14:paraId="70CA3886" w14:textId="77777777" w:rsidR="00103AA7" w:rsidRDefault="00103AA7" w:rsidP="007228FE">
      <w:pPr>
        <w:spacing w:before="120" w:after="0" w:line="360" w:lineRule="auto"/>
        <w:jc w:val="both"/>
        <w:rPr>
          <w:rFonts w:ascii="Arial" w:hAnsi="Arial" w:cs="Arial"/>
          <w:sz w:val="24"/>
          <w:szCs w:val="24"/>
          <w:lang w:val="en-US"/>
        </w:rPr>
      </w:pPr>
      <w:r w:rsidRPr="00103AA7">
        <w:rPr>
          <w:rFonts w:ascii="Arial" w:hAnsi="Arial" w:cs="Arial"/>
          <w:sz w:val="24"/>
          <w:szCs w:val="24"/>
          <w:lang w:val="en-US"/>
        </w:rPr>
        <w:t>As the main producer</w:t>
      </w:r>
      <w:r w:rsidR="000942F8">
        <w:rPr>
          <w:rFonts w:ascii="Arial" w:hAnsi="Arial" w:cs="Arial"/>
          <w:sz w:val="24"/>
          <w:szCs w:val="24"/>
          <w:lang w:val="en-US"/>
        </w:rPr>
        <w:t xml:space="preserve"> of</w:t>
      </w:r>
      <w:r w:rsidRPr="00103AA7">
        <w:rPr>
          <w:rFonts w:ascii="Arial" w:hAnsi="Arial" w:cs="Arial"/>
          <w:sz w:val="24"/>
          <w:szCs w:val="24"/>
          <w:lang w:val="en-US"/>
        </w:rPr>
        <w:t xml:space="preserve"> statistical and geospatial information in the country, the </w:t>
      </w:r>
      <w:r w:rsidRPr="007228FE">
        <w:rPr>
          <w:rFonts w:ascii="Arial" w:hAnsi="Arial" w:cs="Arial"/>
          <w:sz w:val="24"/>
          <w:szCs w:val="24"/>
          <w:lang w:val="en-US"/>
        </w:rPr>
        <w:t xml:space="preserve">IBGE </w:t>
      </w:r>
      <w:r w:rsidRPr="00103AA7">
        <w:rPr>
          <w:rFonts w:ascii="Arial" w:hAnsi="Arial" w:cs="Arial"/>
          <w:sz w:val="24"/>
          <w:szCs w:val="24"/>
          <w:lang w:val="en-US"/>
        </w:rPr>
        <w:t>provides</w:t>
      </w:r>
      <w:r w:rsidR="00EA04C3">
        <w:rPr>
          <w:rFonts w:ascii="Arial" w:hAnsi="Arial" w:cs="Arial"/>
          <w:sz w:val="24"/>
          <w:szCs w:val="24"/>
          <w:lang w:val="en-US"/>
        </w:rPr>
        <w:t xml:space="preserve"> information</w:t>
      </w:r>
      <w:r w:rsidRPr="00103AA7">
        <w:rPr>
          <w:rFonts w:ascii="Arial" w:hAnsi="Arial" w:cs="Arial"/>
          <w:sz w:val="24"/>
          <w:szCs w:val="24"/>
          <w:lang w:val="en-US"/>
        </w:rPr>
        <w:t xml:space="preserve"> for various segments of society and for government agencies in all spheres that is central to and often decisive for decision-making by its users. The quality of the information produced has always been a commitment and a constant concern in the institute. Trust in the quality of this information is essential to ensure </w:t>
      </w:r>
      <w:r>
        <w:rPr>
          <w:rFonts w:ascii="Arial" w:hAnsi="Arial" w:cs="Arial"/>
          <w:sz w:val="24"/>
          <w:szCs w:val="24"/>
          <w:lang w:val="en-US"/>
        </w:rPr>
        <w:t>its</w:t>
      </w:r>
      <w:r w:rsidRPr="00103AA7">
        <w:rPr>
          <w:rFonts w:ascii="Arial" w:hAnsi="Arial" w:cs="Arial"/>
          <w:sz w:val="24"/>
          <w:szCs w:val="24"/>
          <w:lang w:val="en-US"/>
        </w:rPr>
        <w:t xml:space="preserve"> credibility and reputation as an independent, objective and impartial </w:t>
      </w:r>
      <w:r w:rsidR="00EA04C3">
        <w:rPr>
          <w:rFonts w:ascii="Arial" w:hAnsi="Arial" w:cs="Arial"/>
          <w:sz w:val="24"/>
          <w:szCs w:val="24"/>
          <w:lang w:val="en-US"/>
        </w:rPr>
        <w:t>organization</w:t>
      </w:r>
      <w:r w:rsidRPr="00103AA7">
        <w:rPr>
          <w:rFonts w:ascii="Arial" w:hAnsi="Arial" w:cs="Arial"/>
          <w:sz w:val="24"/>
          <w:szCs w:val="24"/>
          <w:lang w:val="en-US"/>
        </w:rPr>
        <w:t>.</w:t>
      </w:r>
    </w:p>
    <w:p w14:paraId="18E750B6" w14:textId="77777777" w:rsidR="00103AA7" w:rsidRDefault="00103AA7" w:rsidP="007228FE">
      <w:pPr>
        <w:spacing w:before="120" w:after="0" w:line="360" w:lineRule="auto"/>
        <w:jc w:val="both"/>
        <w:rPr>
          <w:rFonts w:ascii="Arial" w:hAnsi="Arial" w:cs="Arial"/>
          <w:sz w:val="24"/>
          <w:szCs w:val="24"/>
          <w:lang w:val="en-US"/>
        </w:rPr>
      </w:pPr>
      <w:r>
        <w:rPr>
          <w:rFonts w:ascii="Arial" w:hAnsi="Arial" w:cs="Arial"/>
          <w:sz w:val="24"/>
          <w:szCs w:val="24"/>
          <w:lang w:val="en-US"/>
        </w:rPr>
        <w:t>In the search for increasing</w:t>
      </w:r>
      <w:r w:rsidRPr="00103AA7">
        <w:rPr>
          <w:rFonts w:ascii="Arial" w:hAnsi="Arial" w:cs="Arial"/>
          <w:sz w:val="24"/>
          <w:szCs w:val="24"/>
          <w:lang w:val="en-US"/>
        </w:rPr>
        <w:t xml:space="preserve"> confidence in</w:t>
      </w:r>
      <w:r>
        <w:rPr>
          <w:rFonts w:ascii="Arial" w:hAnsi="Arial" w:cs="Arial"/>
          <w:sz w:val="24"/>
          <w:szCs w:val="24"/>
          <w:lang w:val="en-US"/>
        </w:rPr>
        <w:t xml:space="preserve"> statistical</w:t>
      </w:r>
      <w:r w:rsidRPr="00103AA7">
        <w:rPr>
          <w:rFonts w:ascii="Arial" w:hAnsi="Arial" w:cs="Arial"/>
          <w:sz w:val="24"/>
          <w:szCs w:val="24"/>
          <w:lang w:val="en-US"/>
        </w:rPr>
        <w:t xml:space="preserve"> information, several international organizations have developed guides and protocols that propose values, principles, good practices and guidelines to promote the quality of</w:t>
      </w:r>
      <w:r w:rsidR="00EA04C3">
        <w:rPr>
          <w:rFonts w:ascii="Arial" w:hAnsi="Arial" w:cs="Arial"/>
          <w:sz w:val="24"/>
          <w:szCs w:val="24"/>
          <w:lang w:val="en-US"/>
        </w:rPr>
        <w:t xml:space="preserve"> the</w:t>
      </w:r>
      <w:r w:rsidRPr="00103AA7">
        <w:rPr>
          <w:rFonts w:ascii="Arial" w:hAnsi="Arial" w:cs="Arial"/>
          <w:sz w:val="24"/>
          <w:szCs w:val="24"/>
          <w:lang w:val="en-US"/>
        </w:rPr>
        <w:t xml:space="preserve"> information produced. The Fundamental Principles of Official Statistics</w:t>
      </w:r>
      <w:r w:rsidR="00EA04C3">
        <w:rPr>
          <w:rFonts w:ascii="Arial" w:hAnsi="Arial" w:cs="Arial"/>
          <w:sz w:val="24"/>
          <w:szCs w:val="24"/>
          <w:lang w:val="en-US"/>
        </w:rPr>
        <w:t>, for instance,</w:t>
      </w:r>
      <w:r w:rsidRPr="00103AA7">
        <w:rPr>
          <w:rFonts w:ascii="Arial" w:hAnsi="Arial" w:cs="Arial"/>
          <w:sz w:val="24"/>
          <w:szCs w:val="24"/>
          <w:lang w:val="en-US"/>
        </w:rPr>
        <w:t xml:space="preserve"> were proposed in 1994 and endorsed by the General Assembly of the United Nations in 2014 to guide the production of all statistical institutes in the world. Another important step was the creation of the European Code of Practice, adopted by the European Statistical System (ESS) in 2005.</w:t>
      </w:r>
    </w:p>
    <w:p w14:paraId="7D101C79" w14:textId="77777777" w:rsidR="00103AA7" w:rsidRDefault="00103AA7" w:rsidP="007228FE">
      <w:pPr>
        <w:spacing w:before="120" w:after="0" w:line="360" w:lineRule="auto"/>
        <w:jc w:val="both"/>
        <w:rPr>
          <w:rFonts w:ascii="Arial" w:hAnsi="Arial" w:cs="Arial"/>
          <w:sz w:val="24"/>
          <w:szCs w:val="24"/>
          <w:lang w:val="en-US"/>
        </w:rPr>
      </w:pPr>
      <w:r w:rsidRPr="00103AA7">
        <w:rPr>
          <w:rFonts w:ascii="Arial" w:hAnsi="Arial" w:cs="Arial"/>
          <w:sz w:val="24"/>
          <w:szCs w:val="24"/>
          <w:lang w:val="en-US"/>
        </w:rPr>
        <w:t xml:space="preserve">In line with these international movements, several actions have been implemented </w:t>
      </w:r>
      <w:r w:rsidR="000942F8" w:rsidRPr="00103AA7">
        <w:rPr>
          <w:rFonts w:ascii="Arial" w:hAnsi="Arial" w:cs="Arial"/>
          <w:sz w:val="24"/>
          <w:szCs w:val="24"/>
          <w:lang w:val="en-US"/>
        </w:rPr>
        <w:t>to</w:t>
      </w:r>
      <w:r w:rsidRPr="00103AA7">
        <w:rPr>
          <w:rFonts w:ascii="Arial" w:hAnsi="Arial" w:cs="Arial"/>
          <w:sz w:val="24"/>
          <w:szCs w:val="24"/>
          <w:lang w:val="en-US"/>
        </w:rPr>
        <w:t xml:space="preserve"> guarantee the quality of IBGE's information production. The publication of the IBGE </w:t>
      </w:r>
      <w:r>
        <w:rPr>
          <w:rFonts w:ascii="Arial" w:hAnsi="Arial" w:cs="Arial"/>
          <w:sz w:val="24"/>
          <w:szCs w:val="24"/>
          <w:lang w:val="en-US"/>
        </w:rPr>
        <w:t xml:space="preserve">Statistics </w:t>
      </w:r>
      <w:r w:rsidRPr="00103AA7">
        <w:rPr>
          <w:rFonts w:ascii="Arial" w:hAnsi="Arial" w:cs="Arial"/>
          <w:sz w:val="24"/>
          <w:szCs w:val="24"/>
          <w:lang w:val="en-US"/>
        </w:rPr>
        <w:t xml:space="preserve">Code of Practice in 2013 was a milestone in quality management at the institute, establishing principles and guidelines with the objective of helping to </w:t>
      </w:r>
      <w:r w:rsidR="00D44967">
        <w:rPr>
          <w:rFonts w:ascii="Arial" w:hAnsi="Arial" w:cs="Arial"/>
          <w:sz w:val="24"/>
          <w:szCs w:val="24"/>
          <w:lang w:val="en-US"/>
        </w:rPr>
        <w:t>promote</w:t>
      </w:r>
      <w:r w:rsidRPr="00103AA7">
        <w:rPr>
          <w:rFonts w:ascii="Arial" w:hAnsi="Arial" w:cs="Arial"/>
          <w:sz w:val="24"/>
          <w:szCs w:val="24"/>
          <w:lang w:val="en-US"/>
        </w:rPr>
        <w:t xml:space="preserve"> the quality of the statistics produced. </w:t>
      </w:r>
    </w:p>
    <w:p w14:paraId="6E213D4C" w14:textId="77777777" w:rsidR="007228FE" w:rsidRPr="007228FE" w:rsidRDefault="007228FE" w:rsidP="007228FE">
      <w:pPr>
        <w:spacing w:before="120" w:after="0" w:line="360" w:lineRule="auto"/>
        <w:jc w:val="both"/>
        <w:rPr>
          <w:rFonts w:ascii="Arial" w:hAnsi="Arial" w:cs="Arial"/>
          <w:sz w:val="24"/>
          <w:szCs w:val="24"/>
          <w:lang w:val="en-US"/>
        </w:rPr>
      </w:pPr>
      <w:r w:rsidRPr="007228FE">
        <w:rPr>
          <w:rFonts w:ascii="Arial" w:hAnsi="Arial" w:cs="Arial"/>
          <w:sz w:val="24"/>
          <w:szCs w:val="24"/>
          <w:lang w:val="en-US"/>
        </w:rPr>
        <w:t xml:space="preserve">The Code of Practice aims to maintain high quality of statistics produced by the </w:t>
      </w:r>
      <w:r w:rsidR="00036210">
        <w:rPr>
          <w:rFonts w:ascii="Arial" w:hAnsi="Arial" w:cs="Arial"/>
          <w:sz w:val="24"/>
          <w:szCs w:val="24"/>
          <w:lang w:val="en-US"/>
        </w:rPr>
        <w:t>i</w:t>
      </w:r>
      <w:r w:rsidRPr="007228FE">
        <w:rPr>
          <w:rFonts w:ascii="Arial" w:hAnsi="Arial" w:cs="Arial"/>
          <w:sz w:val="24"/>
          <w:szCs w:val="24"/>
          <w:lang w:val="en-US"/>
        </w:rPr>
        <w:t xml:space="preserve">nstitute, encouraging the continuous application of the best methods and practices of production, analysis and dissemination. In addition, it has an informative </w:t>
      </w:r>
      <w:r w:rsidR="00B26719">
        <w:rPr>
          <w:rFonts w:ascii="Arial" w:hAnsi="Arial" w:cs="Arial"/>
          <w:sz w:val="24"/>
          <w:szCs w:val="24"/>
          <w:lang w:val="en-US"/>
        </w:rPr>
        <w:t>mission</w:t>
      </w:r>
      <w:r w:rsidRPr="007228FE">
        <w:rPr>
          <w:rFonts w:ascii="Arial" w:hAnsi="Arial" w:cs="Arial"/>
          <w:sz w:val="24"/>
          <w:szCs w:val="24"/>
          <w:lang w:val="en-US"/>
        </w:rPr>
        <w:t xml:space="preserve">, both for its staff and for users and informants. In the first case, it aims to raise awareness of the mission and the fundamentals of the production of official statistics; in the second </w:t>
      </w:r>
      <w:r w:rsidRPr="007228FE">
        <w:rPr>
          <w:rFonts w:ascii="Arial" w:hAnsi="Arial" w:cs="Arial"/>
          <w:sz w:val="24"/>
          <w:szCs w:val="24"/>
          <w:lang w:val="en-US"/>
        </w:rPr>
        <w:lastRenderedPageBreak/>
        <w:t>case, it aims to increase users'</w:t>
      </w:r>
      <w:r w:rsidR="00EA04C3">
        <w:rPr>
          <w:rFonts w:ascii="Arial" w:hAnsi="Arial" w:cs="Arial"/>
          <w:sz w:val="24"/>
          <w:szCs w:val="24"/>
          <w:lang w:val="en-US"/>
        </w:rPr>
        <w:t xml:space="preserve"> </w:t>
      </w:r>
      <w:r w:rsidR="00B26719">
        <w:rPr>
          <w:rFonts w:ascii="Arial" w:hAnsi="Arial" w:cs="Arial"/>
          <w:sz w:val="24"/>
          <w:szCs w:val="24"/>
          <w:lang w:val="en-US"/>
        </w:rPr>
        <w:t xml:space="preserve">trust </w:t>
      </w:r>
      <w:r w:rsidR="00EA04C3">
        <w:rPr>
          <w:rFonts w:ascii="Arial" w:hAnsi="Arial" w:cs="Arial"/>
          <w:sz w:val="24"/>
          <w:szCs w:val="24"/>
          <w:lang w:val="en-US"/>
        </w:rPr>
        <w:t>in the work of the i</w:t>
      </w:r>
      <w:r w:rsidRPr="007228FE">
        <w:rPr>
          <w:rFonts w:ascii="Arial" w:hAnsi="Arial" w:cs="Arial"/>
          <w:sz w:val="24"/>
          <w:szCs w:val="24"/>
          <w:lang w:val="en-US"/>
        </w:rPr>
        <w:t xml:space="preserve">nstitute by ensuring impartiality and objectivity in the </w:t>
      </w:r>
      <w:r w:rsidR="00B26719">
        <w:rPr>
          <w:rFonts w:ascii="Arial" w:hAnsi="Arial" w:cs="Arial"/>
          <w:sz w:val="24"/>
          <w:szCs w:val="24"/>
          <w:lang w:val="en-US"/>
        </w:rPr>
        <w:t>production</w:t>
      </w:r>
      <w:r w:rsidR="00B26719" w:rsidRPr="007228FE">
        <w:rPr>
          <w:rFonts w:ascii="Arial" w:hAnsi="Arial" w:cs="Arial"/>
          <w:sz w:val="24"/>
          <w:szCs w:val="24"/>
          <w:lang w:val="en-US"/>
        </w:rPr>
        <w:t xml:space="preserve"> </w:t>
      </w:r>
      <w:r w:rsidRPr="007228FE">
        <w:rPr>
          <w:rFonts w:ascii="Arial" w:hAnsi="Arial" w:cs="Arial"/>
          <w:sz w:val="24"/>
          <w:szCs w:val="24"/>
          <w:lang w:val="en-US"/>
        </w:rPr>
        <w:t xml:space="preserve">of statistics; and with regards to informants, </w:t>
      </w:r>
      <w:r w:rsidR="00B26719">
        <w:rPr>
          <w:rFonts w:ascii="Arial" w:hAnsi="Arial" w:cs="Arial"/>
          <w:sz w:val="24"/>
          <w:szCs w:val="24"/>
          <w:lang w:val="en-US"/>
        </w:rPr>
        <w:t xml:space="preserve">it </w:t>
      </w:r>
      <w:r w:rsidRPr="007228FE">
        <w:rPr>
          <w:rFonts w:ascii="Arial" w:hAnsi="Arial" w:cs="Arial"/>
          <w:sz w:val="24"/>
          <w:szCs w:val="24"/>
          <w:lang w:val="en-US"/>
        </w:rPr>
        <w:t xml:space="preserve">aims to demonstrate the commitment to statistical confidentiality, </w:t>
      </w:r>
      <w:r w:rsidR="00B26719">
        <w:rPr>
          <w:rFonts w:ascii="Arial" w:hAnsi="Arial" w:cs="Arial"/>
          <w:sz w:val="24"/>
          <w:szCs w:val="24"/>
          <w:lang w:val="en-US"/>
        </w:rPr>
        <w:t>concerning</w:t>
      </w:r>
      <w:r w:rsidRPr="007228FE">
        <w:rPr>
          <w:rFonts w:ascii="Arial" w:hAnsi="Arial" w:cs="Arial"/>
          <w:sz w:val="24"/>
          <w:szCs w:val="24"/>
          <w:lang w:val="en-US"/>
        </w:rPr>
        <w:t xml:space="preserve"> the purpose of use and the protection of the individualized data provided to the </w:t>
      </w:r>
      <w:r w:rsidR="00EA04C3">
        <w:rPr>
          <w:rFonts w:ascii="Arial" w:hAnsi="Arial" w:cs="Arial"/>
          <w:sz w:val="24"/>
          <w:szCs w:val="24"/>
          <w:lang w:val="en-US"/>
        </w:rPr>
        <w:t>i</w:t>
      </w:r>
      <w:r w:rsidRPr="007228FE">
        <w:rPr>
          <w:rFonts w:ascii="Arial" w:hAnsi="Arial" w:cs="Arial"/>
          <w:sz w:val="24"/>
          <w:szCs w:val="24"/>
          <w:lang w:val="en-US"/>
        </w:rPr>
        <w:t>nstitute.</w:t>
      </w:r>
    </w:p>
    <w:p w14:paraId="0C3989D1" w14:textId="77777777" w:rsidR="004213B8" w:rsidRDefault="007228FE" w:rsidP="007228FE">
      <w:pPr>
        <w:spacing w:before="120" w:after="0" w:line="360" w:lineRule="auto"/>
        <w:jc w:val="both"/>
        <w:rPr>
          <w:rFonts w:ascii="Arial" w:hAnsi="Arial" w:cs="Arial"/>
          <w:sz w:val="24"/>
          <w:szCs w:val="24"/>
          <w:lang w:val="en-US"/>
        </w:rPr>
      </w:pPr>
      <w:r w:rsidRPr="007228FE">
        <w:rPr>
          <w:rFonts w:ascii="Arial" w:hAnsi="Arial" w:cs="Arial"/>
          <w:sz w:val="24"/>
          <w:szCs w:val="24"/>
          <w:lang w:val="en-US"/>
        </w:rPr>
        <w:t xml:space="preserve">The Code of Practice is composed of three sections </w:t>
      </w:r>
      <w:r w:rsidR="00B26719">
        <w:rPr>
          <w:rFonts w:ascii="Arial" w:hAnsi="Arial" w:cs="Arial"/>
          <w:sz w:val="24"/>
          <w:szCs w:val="24"/>
          <w:lang w:val="en-US"/>
        </w:rPr>
        <w:t>comprehending</w:t>
      </w:r>
      <w:r w:rsidRPr="007228FE">
        <w:rPr>
          <w:rFonts w:ascii="Arial" w:hAnsi="Arial" w:cs="Arial"/>
          <w:sz w:val="24"/>
          <w:szCs w:val="24"/>
          <w:lang w:val="en-US"/>
        </w:rPr>
        <w:t xml:space="preserve"> the institutional environment and coordination, statistical processes involving statistical activity, and statistical products </w:t>
      </w:r>
      <w:r w:rsidR="00B26719">
        <w:rPr>
          <w:rFonts w:ascii="Arial" w:hAnsi="Arial" w:cs="Arial"/>
          <w:sz w:val="24"/>
          <w:szCs w:val="24"/>
          <w:lang w:val="en-US"/>
        </w:rPr>
        <w:t>regarding</w:t>
      </w:r>
      <w:r w:rsidRPr="007228FE">
        <w:rPr>
          <w:rFonts w:ascii="Arial" w:hAnsi="Arial" w:cs="Arial"/>
          <w:sz w:val="24"/>
          <w:szCs w:val="24"/>
          <w:lang w:val="en-US"/>
        </w:rPr>
        <w:t xml:space="preserve"> the information produced and its availability. It contains 17 principles and 80 good practices, grouped according to Table 1 below.</w:t>
      </w:r>
    </w:p>
    <w:p w14:paraId="1668DE7C" w14:textId="77777777" w:rsidR="00FD739C" w:rsidRDefault="00FD739C" w:rsidP="007228FE">
      <w:pPr>
        <w:spacing w:before="120" w:after="0" w:line="360" w:lineRule="auto"/>
        <w:jc w:val="both"/>
        <w:rPr>
          <w:rFonts w:ascii="Arial" w:hAnsi="Arial" w:cs="Arial"/>
          <w:sz w:val="24"/>
          <w:szCs w:val="24"/>
          <w:lang w:val="en-US"/>
        </w:rPr>
      </w:pPr>
    </w:p>
    <w:p w14:paraId="502C006E" w14:textId="5A1BFCE7" w:rsidR="00FD739C" w:rsidRPr="00FD739C" w:rsidRDefault="00FD739C" w:rsidP="00FD739C">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9A199C">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Sections and principles of the IBGE Statistics Code of Practice</w:t>
      </w:r>
    </w:p>
    <w:tbl>
      <w:tblPr>
        <w:tblStyle w:val="TabeladeGradeClara1"/>
        <w:tblW w:w="0" w:type="auto"/>
        <w:jc w:val="center"/>
        <w:tblLook w:val="04A0" w:firstRow="1" w:lastRow="0" w:firstColumn="1" w:lastColumn="0" w:noHBand="0" w:noVBand="1"/>
      </w:tblPr>
      <w:tblGrid>
        <w:gridCol w:w="4247"/>
        <w:gridCol w:w="4247"/>
      </w:tblGrid>
      <w:tr w:rsidR="00FD739C" w:rsidRPr="00B26719" w14:paraId="2E1274AE" w14:textId="77777777" w:rsidTr="00FD739C">
        <w:trPr>
          <w:jc w:val="center"/>
        </w:trPr>
        <w:tc>
          <w:tcPr>
            <w:tcW w:w="4247" w:type="dxa"/>
          </w:tcPr>
          <w:p w14:paraId="43195D71" w14:textId="77777777" w:rsidR="00FD739C" w:rsidRPr="005D62A1" w:rsidRDefault="00FD739C" w:rsidP="005D62A1">
            <w:pPr>
              <w:spacing w:after="160" w:line="259" w:lineRule="auto"/>
              <w:jc w:val="center"/>
              <w:rPr>
                <w:rFonts w:ascii="Arial" w:eastAsia="Calibri" w:hAnsi="Arial" w:cs="Arial"/>
                <w:b/>
                <w:lang w:val="en-US"/>
              </w:rPr>
            </w:pPr>
            <w:r w:rsidRPr="005D62A1">
              <w:rPr>
                <w:rFonts w:ascii="Arial" w:eastAsia="Calibri" w:hAnsi="Arial" w:cs="Arial"/>
                <w:b/>
                <w:lang w:val="en-US"/>
              </w:rPr>
              <w:t>Sections</w:t>
            </w:r>
          </w:p>
        </w:tc>
        <w:tc>
          <w:tcPr>
            <w:tcW w:w="4247" w:type="dxa"/>
          </w:tcPr>
          <w:p w14:paraId="3F229DF4" w14:textId="77777777" w:rsidR="00FD739C" w:rsidRPr="005D62A1" w:rsidRDefault="00FD739C" w:rsidP="005D62A1">
            <w:pPr>
              <w:spacing w:after="160" w:line="259" w:lineRule="auto"/>
              <w:jc w:val="center"/>
              <w:rPr>
                <w:rFonts w:ascii="Arial" w:eastAsia="Calibri" w:hAnsi="Arial" w:cs="Arial"/>
                <w:b/>
                <w:lang w:val="en-US"/>
              </w:rPr>
            </w:pPr>
            <w:r w:rsidRPr="005D62A1">
              <w:rPr>
                <w:rFonts w:ascii="Arial" w:eastAsia="Calibri" w:hAnsi="Arial" w:cs="Arial"/>
                <w:b/>
                <w:lang w:val="en-US"/>
              </w:rPr>
              <w:t>Principles</w:t>
            </w:r>
          </w:p>
        </w:tc>
      </w:tr>
      <w:tr w:rsidR="00FD739C" w:rsidRPr="00FD739C" w14:paraId="3712D941" w14:textId="77777777" w:rsidTr="00FD739C">
        <w:trPr>
          <w:trHeight w:val="2994"/>
          <w:jc w:val="center"/>
        </w:trPr>
        <w:tc>
          <w:tcPr>
            <w:tcW w:w="4247" w:type="dxa"/>
          </w:tcPr>
          <w:p w14:paraId="1513054A" w14:textId="77777777" w:rsidR="00FD739C" w:rsidRPr="00FD739C" w:rsidRDefault="00FD739C" w:rsidP="00FD739C">
            <w:pPr>
              <w:numPr>
                <w:ilvl w:val="0"/>
                <w:numId w:val="2"/>
              </w:numPr>
              <w:spacing w:after="160" w:line="259" w:lineRule="auto"/>
              <w:contextualSpacing/>
              <w:jc w:val="center"/>
              <w:rPr>
                <w:rFonts w:ascii="Arial" w:eastAsia="Calibri" w:hAnsi="Arial" w:cs="Arial"/>
                <w:lang w:val="en-US"/>
              </w:rPr>
            </w:pPr>
            <w:r w:rsidRPr="00FD739C">
              <w:rPr>
                <w:rFonts w:ascii="Arial" w:eastAsia="Calibri" w:hAnsi="Arial" w:cs="Arial"/>
                <w:lang w:val="en-US"/>
              </w:rPr>
              <w:t>Institutional environment and coordination</w:t>
            </w:r>
          </w:p>
        </w:tc>
        <w:tc>
          <w:tcPr>
            <w:tcW w:w="4247" w:type="dxa"/>
          </w:tcPr>
          <w:p w14:paraId="15BEA5B4"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Institutional independence</w:t>
            </w:r>
          </w:p>
          <w:p w14:paraId="4DE7983F"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Coordination of the National Statistical System</w:t>
            </w:r>
          </w:p>
          <w:p w14:paraId="48C88905"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Statistical mandate for data collection</w:t>
            </w:r>
          </w:p>
          <w:p w14:paraId="503D6061"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Statistical confidentiality</w:t>
            </w:r>
          </w:p>
          <w:p w14:paraId="5DA741BA"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Efficient use of resources</w:t>
            </w:r>
          </w:p>
          <w:p w14:paraId="74916A43"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Commitment to quality</w:t>
            </w:r>
          </w:p>
          <w:p w14:paraId="09A6898C"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Impartiality and objectivity</w:t>
            </w:r>
          </w:p>
          <w:p w14:paraId="54F7876A"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Cooperation and international participation</w:t>
            </w:r>
          </w:p>
        </w:tc>
      </w:tr>
      <w:tr w:rsidR="00FD739C" w:rsidRPr="00FD739C" w14:paraId="343D34DA" w14:textId="77777777" w:rsidTr="00FD739C">
        <w:trPr>
          <w:trHeight w:val="1406"/>
          <w:jc w:val="center"/>
        </w:trPr>
        <w:tc>
          <w:tcPr>
            <w:tcW w:w="4247" w:type="dxa"/>
          </w:tcPr>
          <w:p w14:paraId="69257418" w14:textId="77777777" w:rsidR="00FD739C" w:rsidRPr="00FD739C" w:rsidRDefault="00FD739C" w:rsidP="00FD739C">
            <w:pPr>
              <w:numPr>
                <w:ilvl w:val="0"/>
                <w:numId w:val="2"/>
              </w:numPr>
              <w:spacing w:after="160" w:line="259" w:lineRule="auto"/>
              <w:contextualSpacing/>
              <w:rPr>
                <w:rFonts w:ascii="Arial" w:eastAsia="Calibri" w:hAnsi="Arial" w:cs="Arial"/>
                <w:lang w:val="en-US"/>
              </w:rPr>
            </w:pPr>
            <w:r w:rsidRPr="00FD739C">
              <w:rPr>
                <w:rFonts w:ascii="Arial" w:eastAsia="Calibri" w:hAnsi="Arial" w:cs="Arial"/>
                <w:lang w:val="en-US"/>
              </w:rPr>
              <w:t>Statistical processes</w:t>
            </w:r>
          </w:p>
        </w:tc>
        <w:tc>
          <w:tcPr>
            <w:tcW w:w="4247" w:type="dxa"/>
          </w:tcPr>
          <w:p w14:paraId="5CE3A29F"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Sound methodology</w:t>
            </w:r>
          </w:p>
          <w:p w14:paraId="23E288CD"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Appropriate statistical procedures</w:t>
            </w:r>
          </w:p>
          <w:p w14:paraId="44A6EE8C"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Non-excessive burden on respondents</w:t>
            </w:r>
          </w:p>
          <w:p w14:paraId="531A550A"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Cost-effectiveness</w:t>
            </w:r>
          </w:p>
        </w:tc>
      </w:tr>
      <w:tr w:rsidR="00FD739C" w:rsidRPr="00FD739C" w14:paraId="27E9A740" w14:textId="77777777" w:rsidTr="00FD739C">
        <w:trPr>
          <w:jc w:val="center"/>
        </w:trPr>
        <w:tc>
          <w:tcPr>
            <w:tcW w:w="4247" w:type="dxa"/>
          </w:tcPr>
          <w:p w14:paraId="2B216F54" w14:textId="77777777" w:rsidR="00FD739C" w:rsidRPr="00FD739C" w:rsidRDefault="00FD739C" w:rsidP="00FD739C">
            <w:pPr>
              <w:numPr>
                <w:ilvl w:val="0"/>
                <w:numId w:val="2"/>
              </w:numPr>
              <w:spacing w:after="160" w:line="259" w:lineRule="auto"/>
              <w:contextualSpacing/>
              <w:rPr>
                <w:rFonts w:ascii="Arial" w:eastAsia="Calibri" w:hAnsi="Arial" w:cs="Arial"/>
                <w:lang w:val="en-US"/>
              </w:rPr>
            </w:pPr>
            <w:r w:rsidRPr="00FD739C">
              <w:rPr>
                <w:rFonts w:ascii="Arial" w:eastAsia="Calibri" w:hAnsi="Arial" w:cs="Arial"/>
                <w:lang w:val="en-US"/>
              </w:rPr>
              <w:t>Statistical outputs</w:t>
            </w:r>
          </w:p>
        </w:tc>
        <w:tc>
          <w:tcPr>
            <w:tcW w:w="4247" w:type="dxa"/>
          </w:tcPr>
          <w:p w14:paraId="3CB8C514"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Relevance</w:t>
            </w:r>
          </w:p>
          <w:p w14:paraId="176D68C2"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Accuracy and reliability</w:t>
            </w:r>
          </w:p>
          <w:p w14:paraId="5B58A1CF"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Timeliness and punctuality</w:t>
            </w:r>
          </w:p>
          <w:p w14:paraId="7244590A"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Coherence and comparability</w:t>
            </w:r>
          </w:p>
          <w:p w14:paraId="4318C27A" w14:textId="77777777" w:rsidR="00FD739C" w:rsidRPr="00FD739C" w:rsidRDefault="00FD739C" w:rsidP="00FD739C">
            <w:pPr>
              <w:numPr>
                <w:ilvl w:val="0"/>
                <w:numId w:val="3"/>
              </w:numPr>
              <w:spacing w:after="160" w:line="259" w:lineRule="auto"/>
              <w:contextualSpacing/>
              <w:rPr>
                <w:rFonts w:ascii="Arial" w:eastAsia="Calibri" w:hAnsi="Arial" w:cs="Arial"/>
                <w:lang w:val="en-US"/>
              </w:rPr>
            </w:pPr>
            <w:r w:rsidRPr="00FD739C">
              <w:rPr>
                <w:rFonts w:ascii="Arial" w:eastAsia="Calibri" w:hAnsi="Arial" w:cs="Arial"/>
                <w:lang w:val="en-US"/>
              </w:rPr>
              <w:t>Accessibility and transparency</w:t>
            </w:r>
          </w:p>
        </w:tc>
      </w:tr>
    </w:tbl>
    <w:p w14:paraId="49C20F6D" w14:textId="77777777" w:rsidR="00FD739C" w:rsidRPr="007228FE" w:rsidRDefault="00FD739C" w:rsidP="007228FE">
      <w:pPr>
        <w:spacing w:before="120" w:after="0" w:line="360" w:lineRule="auto"/>
        <w:jc w:val="both"/>
        <w:rPr>
          <w:rFonts w:ascii="Arial" w:hAnsi="Arial" w:cs="Arial"/>
          <w:sz w:val="24"/>
          <w:szCs w:val="24"/>
          <w:lang w:val="en-US"/>
        </w:rPr>
      </w:pPr>
    </w:p>
    <w:p w14:paraId="34D6A5E2" w14:textId="77777777" w:rsidR="00CB2B44" w:rsidRPr="00C10670" w:rsidRDefault="00CB2B44" w:rsidP="00CC1C1D">
      <w:pPr>
        <w:spacing w:before="360" w:after="0" w:line="360" w:lineRule="auto"/>
        <w:jc w:val="both"/>
        <w:rPr>
          <w:rFonts w:ascii="Arial" w:hAnsi="Arial" w:cs="Arial"/>
          <w:b/>
          <w:sz w:val="24"/>
          <w:szCs w:val="24"/>
          <w:lang w:val="pt-BR"/>
        </w:rPr>
      </w:pPr>
      <w:r w:rsidRPr="00C10670">
        <w:rPr>
          <w:rFonts w:ascii="Arial" w:hAnsi="Arial" w:cs="Arial"/>
          <w:b/>
          <w:sz w:val="24"/>
          <w:szCs w:val="24"/>
          <w:lang w:val="pt-BR"/>
        </w:rPr>
        <w:t xml:space="preserve">3. </w:t>
      </w:r>
      <w:r w:rsidR="00C10670" w:rsidRPr="00C10670">
        <w:rPr>
          <w:rFonts w:ascii="Arial" w:hAnsi="Arial" w:cs="Arial"/>
          <w:b/>
          <w:sz w:val="24"/>
          <w:szCs w:val="24"/>
          <w:lang w:val="pt-BR"/>
        </w:rPr>
        <w:t>External Audit</w:t>
      </w:r>
    </w:p>
    <w:p w14:paraId="29A6AE69" w14:textId="77777777" w:rsidR="00606A29" w:rsidRDefault="00342F60" w:rsidP="00B914B1">
      <w:pPr>
        <w:spacing w:line="360" w:lineRule="auto"/>
        <w:jc w:val="both"/>
        <w:rPr>
          <w:rFonts w:ascii="Arial" w:hAnsi="Arial" w:cs="Arial"/>
          <w:sz w:val="24"/>
          <w:lang w:val="en-US"/>
        </w:rPr>
      </w:pPr>
      <w:r w:rsidRPr="00342F60">
        <w:rPr>
          <w:rFonts w:ascii="Arial" w:hAnsi="Arial" w:cs="Arial"/>
          <w:sz w:val="24"/>
          <w:lang w:val="en-US"/>
        </w:rPr>
        <w:t>In 2016, the IBGE underwent an external audit</w:t>
      </w:r>
      <w:r>
        <w:rPr>
          <w:rFonts w:ascii="Arial" w:hAnsi="Arial" w:cs="Arial"/>
          <w:sz w:val="24"/>
          <w:lang w:val="en-US"/>
        </w:rPr>
        <w:t xml:space="preserve"> </w:t>
      </w:r>
      <w:r w:rsidR="00D32598">
        <w:rPr>
          <w:rFonts w:ascii="Arial" w:hAnsi="Arial" w:cs="Arial"/>
          <w:sz w:val="24"/>
          <w:lang w:val="en-US"/>
        </w:rPr>
        <w:t xml:space="preserve">by </w:t>
      </w:r>
      <w:r w:rsidR="00606A29">
        <w:rPr>
          <w:rFonts w:ascii="Arial" w:hAnsi="Arial" w:cs="Arial"/>
          <w:sz w:val="24"/>
          <w:lang w:val="en-US"/>
        </w:rPr>
        <w:t>the Ministry of Transparency and General Controller of the Union</w:t>
      </w:r>
      <w:r w:rsidR="00D32598" w:rsidRPr="00606A29">
        <w:rPr>
          <w:rFonts w:ascii="Arial" w:hAnsi="Arial" w:cs="Arial"/>
          <w:sz w:val="24"/>
          <w:lang w:val="en-US"/>
        </w:rPr>
        <w:t xml:space="preserve"> </w:t>
      </w:r>
      <w:r w:rsidR="00D32598">
        <w:rPr>
          <w:rFonts w:ascii="Arial" w:hAnsi="Arial" w:cs="Arial"/>
          <w:sz w:val="24"/>
          <w:lang w:val="en-US"/>
        </w:rPr>
        <w:t xml:space="preserve">(CGU), </w:t>
      </w:r>
      <w:r w:rsidR="00D32598" w:rsidRPr="00D32598">
        <w:rPr>
          <w:rFonts w:ascii="Arial" w:hAnsi="Arial" w:cs="Arial"/>
          <w:sz w:val="24"/>
          <w:lang w:val="en-US"/>
        </w:rPr>
        <w:t xml:space="preserve">an </w:t>
      </w:r>
      <w:r w:rsidR="001A79B8">
        <w:rPr>
          <w:rFonts w:ascii="Arial" w:hAnsi="Arial" w:cs="Arial"/>
          <w:sz w:val="24"/>
          <w:lang w:val="en-US"/>
        </w:rPr>
        <w:t xml:space="preserve">organization </w:t>
      </w:r>
      <w:r w:rsidR="00D32598" w:rsidRPr="00D32598">
        <w:rPr>
          <w:rFonts w:ascii="Arial" w:hAnsi="Arial" w:cs="Arial"/>
          <w:sz w:val="24"/>
          <w:lang w:val="en-US"/>
        </w:rPr>
        <w:t xml:space="preserve">of the Federal Government </w:t>
      </w:r>
      <w:r w:rsidR="0001141C">
        <w:rPr>
          <w:rFonts w:ascii="Arial" w:hAnsi="Arial" w:cs="Arial"/>
          <w:sz w:val="24"/>
          <w:lang w:val="en-US"/>
        </w:rPr>
        <w:t xml:space="preserve">responsible for the defense of </w:t>
      </w:r>
      <w:r w:rsidR="00D32598" w:rsidRPr="00D32598">
        <w:rPr>
          <w:rFonts w:ascii="Arial" w:hAnsi="Arial" w:cs="Arial"/>
          <w:sz w:val="24"/>
          <w:lang w:val="en-US"/>
        </w:rPr>
        <w:t>public patrimony, transparency and fight against corruption.</w:t>
      </w:r>
    </w:p>
    <w:p w14:paraId="7A7DCDC7" w14:textId="77777777" w:rsidR="00A7617D" w:rsidRDefault="00A7617D" w:rsidP="00B914B1">
      <w:pPr>
        <w:spacing w:line="360" w:lineRule="auto"/>
        <w:jc w:val="both"/>
        <w:rPr>
          <w:rFonts w:ascii="Arial" w:hAnsi="Arial" w:cs="Arial"/>
          <w:sz w:val="24"/>
          <w:lang w:val="en-US"/>
        </w:rPr>
      </w:pPr>
      <w:r w:rsidRPr="00A7617D">
        <w:rPr>
          <w:rFonts w:ascii="Arial" w:hAnsi="Arial" w:cs="Arial"/>
          <w:sz w:val="24"/>
          <w:lang w:val="en-US"/>
        </w:rPr>
        <w:lastRenderedPageBreak/>
        <w:t xml:space="preserve">The objective of the audit was to evaluate the current degree of maturity of the </w:t>
      </w:r>
      <w:r w:rsidR="0001141C">
        <w:rPr>
          <w:rFonts w:ascii="Arial" w:hAnsi="Arial" w:cs="Arial"/>
          <w:sz w:val="24"/>
          <w:lang w:val="en-US"/>
        </w:rPr>
        <w:t>i</w:t>
      </w:r>
      <w:r w:rsidRPr="00A7617D">
        <w:rPr>
          <w:rFonts w:ascii="Arial" w:hAnsi="Arial" w:cs="Arial"/>
          <w:sz w:val="24"/>
          <w:lang w:val="en-US"/>
        </w:rPr>
        <w:t>nstitute regarding</w:t>
      </w:r>
      <w:r w:rsidR="009476E9">
        <w:rPr>
          <w:rFonts w:ascii="Arial" w:hAnsi="Arial" w:cs="Arial"/>
          <w:sz w:val="24"/>
          <w:lang w:val="en-US"/>
        </w:rPr>
        <w:t xml:space="preserve"> its</w:t>
      </w:r>
      <w:r w:rsidRPr="00A7617D">
        <w:rPr>
          <w:rFonts w:ascii="Arial" w:hAnsi="Arial" w:cs="Arial"/>
          <w:sz w:val="24"/>
          <w:lang w:val="en-US"/>
        </w:rPr>
        <w:t xml:space="preserve"> adherence to the principles of the </w:t>
      </w:r>
      <w:r w:rsidR="00B914B1">
        <w:rPr>
          <w:rFonts w:ascii="Arial" w:hAnsi="Arial" w:cs="Arial"/>
          <w:sz w:val="24"/>
          <w:lang w:val="en-US"/>
        </w:rPr>
        <w:t xml:space="preserve">Statistics </w:t>
      </w:r>
      <w:r w:rsidRPr="00A7617D">
        <w:rPr>
          <w:rFonts w:ascii="Arial" w:hAnsi="Arial" w:cs="Arial"/>
          <w:sz w:val="24"/>
          <w:lang w:val="en-US"/>
        </w:rPr>
        <w:t xml:space="preserve">Code of </w:t>
      </w:r>
      <w:r>
        <w:rPr>
          <w:rFonts w:ascii="Arial" w:hAnsi="Arial" w:cs="Arial"/>
          <w:sz w:val="24"/>
          <w:lang w:val="en-US"/>
        </w:rPr>
        <w:t>Prac</w:t>
      </w:r>
      <w:r w:rsidRPr="00A7617D">
        <w:rPr>
          <w:rFonts w:ascii="Arial" w:hAnsi="Arial" w:cs="Arial"/>
          <w:sz w:val="24"/>
          <w:lang w:val="en-US"/>
        </w:rPr>
        <w:t xml:space="preserve">tice, using as parameters the evaluation of </w:t>
      </w:r>
      <w:r>
        <w:rPr>
          <w:rFonts w:ascii="Arial" w:hAnsi="Arial" w:cs="Arial"/>
          <w:sz w:val="24"/>
          <w:lang w:val="en-US"/>
        </w:rPr>
        <w:t xml:space="preserve">the </w:t>
      </w:r>
      <w:r w:rsidRPr="00A7617D">
        <w:rPr>
          <w:rFonts w:ascii="Arial" w:hAnsi="Arial" w:cs="Arial"/>
          <w:sz w:val="24"/>
          <w:lang w:val="en-US"/>
        </w:rPr>
        <w:t>good practices of the Code itself and those correlated with the</w:t>
      </w:r>
      <w:r>
        <w:rPr>
          <w:rFonts w:ascii="Arial" w:hAnsi="Arial" w:cs="Arial"/>
          <w:sz w:val="24"/>
          <w:lang w:val="en-US"/>
        </w:rPr>
        <w:t xml:space="preserve"> </w:t>
      </w:r>
      <w:r w:rsidRPr="00A7617D">
        <w:rPr>
          <w:rFonts w:ascii="Arial" w:hAnsi="Arial" w:cs="Arial"/>
          <w:sz w:val="24"/>
          <w:lang w:val="en-US"/>
        </w:rPr>
        <w:t xml:space="preserve">Template for a </w:t>
      </w:r>
      <w:r w:rsidR="00182039">
        <w:rPr>
          <w:rFonts w:ascii="Arial" w:hAnsi="Arial" w:cs="Arial"/>
          <w:sz w:val="24"/>
          <w:lang w:val="en-US"/>
        </w:rPr>
        <w:t>g</w:t>
      </w:r>
      <w:r w:rsidRPr="00A7617D">
        <w:rPr>
          <w:rFonts w:ascii="Arial" w:hAnsi="Arial" w:cs="Arial"/>
          <w:sz w:val="24"/>
          <w:lang w:val="en-US"/>
        </w:rPr>
        <w:t xml:space="preserve">eneric </w:t>
      </w:r>
      <w:r w:rsidR="00182039">
        <w:rPr>
          <w:rFonts w:ascii="Arial" w:hAnsi="Arial" w:cs="Arial"/>
          <w:sz w:val="24"/>
          <w:lang w:val="en-US"/>
        </w:rPr>
        <w:t>n</w:t>
      </w:r>
      <w:r w:rsidRPr="00A7617D">
        <w:rPr>
          <w:rFonts w:ascii="Arial" w:hAnsi="Arial" w:cs="Arial"/>
          <w:sz w:val="24"/>
          <w:lang w:val="en-US"/>
        </w:rPr>
        <w:t xml:space="preserve">ational </w:t>
      </w:r>
      <w:r w:rsidR="00182039">
        <w:rPr>
          <w:rFonts w:ascii="Arial" w:hAnsi="Arial" w:cs="Arial"/>
          <w:sz w:val="24"/>
          <w:lang w:val="en-US"/>
        </w:rPr>
        <w:t>q</w:t>
      </w:r>
      <w:r w:rsidRPr="00A7617D">
        <w:rPr>
          <w:rFonts w:ascii="Arial" w:hAnsi="Arial" w:cs="Arial"/>
          <w:sz w:val="24"/>
          <w:lang w:val="en-US"/>
        </w:rPr>
        <w:t xml:space="preserve">uality </w:t>
      </w:r>
      <w:r w:rsidR="00182039">
        <w:rPr>
          <w:rFonts w:ascii="Arial" w:hAnsi="Arial" w:cs="Arial"/>
          <w:sz w:val="24"/>
          <w:lang w:val="en-US"/>
        </w:rPr>
        <w:t>a</w:t>
      </w:r>
      <w:r w:rsidRPr="00A7617D">
        <w:rPr>
          <w:rFonts w:ascii="Arial" w:hAnsi="Arial" w:cs="Arial"/>
          <w:sz w:val="24"/>
          <w:lang w:val="en-US"/>
        </w:rPr>
        <w:t xml:space="preserve">ssurance </w:t>
      </w:r>
      <w:r w:rsidR="00182039">
        <w:rPr>
          <w:rFonts w:ascii="Arial" w:hAnsi="Arial" w:cs="Arial"/>
          <w:sz w:val="24"/>
          <w:lang w:val="en-US"/>
        </w:rPr>
        <w:t>f</w:t>
      </w:r>
      <w:r w:rsidRPr="00A7617D">
        <w:rPr>
          <w:rFonts w:ascii="Arial" w:hAnsi="Arial" w:cs="Arial"/>
          <w:sz w:val="24"/>
          <w:lang w:val="en-US"/>
        </w:rPr>
        <w:t xml:space="preserve">ramework </w:t>
      </w:r>
      <w:r>
        <w:rPr>
          <w:rFonts w:ascii="Arial" w:hAnsi="Arial" w:cs="Arial"/>
          <w:sz w:val="24"/>
          <w:lang w:val="en-US"/>
        </w:rPr>
        <w:t xml:space="preserve">- </w:t>
      </w:r>
      <w:r w:rsidRPr="00A7617D">
        <w:rPr>
          <w:rFonts w:ascii="Arial" w:hAnsi="Arial" w:cs="Arial"/>
          <w:sz w:val="24"/>
          <w:lang w:val="en-US"/>
        </w:rPr>
        <w:t>NQAF.</w:t>
      </w:r>
      <w:r>
        <w:rPr>
          <w:rFonts w:ascii="Arial" w:hAnsi="Arial" w:cs="Arial"/>
          <w:sz w:val="24"/>
          <w:lang w:val="en-US"/>
        </w:rPr>
        <w:t xml:space="preserve"> </w:t>
      </w:r>
      <w:r w:rsidR="00B26719">
        <w:rPr>
          <w:rFonts w:ascii="Arial" w:hAnsi="Arial" w:cs="Arial"/>
          <w:sz w:val="24"/>
          <w:lang w:val="en-US"/>
        </w:rPr>
        <w:t>In order t</w:t>
      </w:r>
      <w:r w:rsidRPr="00A7617D">
        <w:rPr>
          <w:rFonts w:ascii="Arial" w:hAnsi="Arial" w:cs="Arial"/>
          <w:sz w:val="24"/>
          <w:lang w:val="en-US"/>
        </w:rPr>
        <w:t xml:space="preserve">o evaluate the adherence of IBGE to each good practice, </w:t>
      </w:r>
      <w:r w:rsidR="00B26719">
        <w:rPr>
          <w:rFonts w:ascii="Arial" w:hAnsi="Arial" w:cs="Arial"/>
          <w:sz w:val="24"/>
          <w:lang w:val="en-US"/>
        </w:rPr>
        <w:t>a f</w:t>
      </w:r>
      <w:r w:rsidR="00B26719" w:rsidRPr="00B26719">
        <w:rPr>
          <w:rFonts w:ascii="Arial" w:hAnsi="Arial" w:cs="Arial"/>
          <w:sz w:val="24"/>
          <w:lang w:val="en-US"/>
        </w:rPr>
        <w:t>ive point Likert-type scale</w:t>
      </w:r>
      <w:r w:rsidR="00B26719" w:rsidRPr="00B26719" w:rsidDel="00B26719">
        <w:rPr>
          <w:rFonts w:ascii="Arial" w:hAnsi="Arial" w:cs="Arial"/>
          <w:sz w:val="24"/>
          <w:lang w:val="en-US"/>
        </w:rPr>
        <w:t xml:space="preserve"> </w:t>
      </w:r>
      <w:r w:rsidRPr="00A7617D">
        <w:rPr>
          <w:rFonts w:ascii="Arial" w:hAnsi="Arial" w:cs="Arial"/>
          <w:sz w:val="24"/>
          <w:lang w:val="en-US"/>
        </w:rPr>
        <w:t xml:space="preserve">was </w:t>
      </w:r>
      <w:r w:rsidR="00B26719">
        <w:rPr>
          <w:rFonts w:ascii="Arial" w:hAnsi="Arial" w:cs="Arial"/>
          <w:sz w:val="24"/>
          <w:lang w:val="en-US"/>
        </w:rPr>
        <w:t>applied</w:t>
      </w:r>
      <w:r w:rsidR="00B26719" w:rsidRPr="00A7617D">
        <w:rPr>
          <w:rFonts w:ascii="Arial" w:hAnsi="Arial" w:cs="Arial"/>
          <w:sz w:val="24"/>
          <w:lang w:val="en-US"/>
        </w:rPr>
        <w:t xml:space="preserve"> </w:t>
      </w:r>
      <w:r w:rsidRPr="00A7617D">
        <w:rPr>
          <w:rFonts w:ascii="Arial" w:hAnsi="Arial" w:cs="Arial"/>
          <w:sz w:val="24"/>
          <w:lang w:val="en-US"/>
        </w:rPr>
        <w:t xml:space="preserve">that ranged from </w:t>
      </w:r>
      <w:r w:rsidR="00B26719">
        <w:rPr>
          <w:rFonts w:ascii="Arial" w:hAnsi="Arial" w:cs="Arial"/>
          <w:sz w:val="24"/>
          <w:lang w:val="en-US"/>
        </w:rPr>
        <w:t>“</w:t>
      </w:r>
      <w:r w:rsidRPr="00A7617D">
        <w:rPr>
          <w:rFonts w:ascii="Arial" w:hAnsi="Arial" w:cs="Arial"/>
          <w:sz w:val="24"/>
          <w:lang w:val="en-US"/>
        </w:rPr>
        <w:t>fully adherent</w:t>
      </w:r>
      <w:r w:rsidR="00B26719">
        <w:rPr>
          <w:rFonts w:ascii="Arial" w:hAnsi="Arial" w:cs="Arial"/>
          <w:sz w:val="24"/>
          <w:lang w:val="en-US"/>
        </w:rPr>
        <w:t>”</w:t>
      </w:r>
      <w:r w:rsidRPr="00A7617D">
        <w:rPr>
          <w:rFonts w:ascii="Arial" w:hAnsi="Arial" w:cs="Arial"/>
          <w:sz w:val="24"/>
          <w:lang w:val="en-US"/>
        </w:rPr>
        <w:t xml:space="preserve"> to </w:t>
      </w:r>
      <w:r w:rsidR="00B26719">
        <w:rPr>
          <w:rFonts w:ascii="Arial" w:hAnsi="Arial" w:cs="Arial"/>
          <w:sz w:val="24"/>
          <w:lang w:val="en-US"/>
        </w:rPr>
        <w:t>“</w:t>
      </w:r>
      <w:r w:rsidRPr="00A7617D">
        <w:rPr>
          <w:rFonts w:ascii="Arial" w:hAnsi="Arial" w:cs="Arial"/>
          <w:sz w:val="24"/>
          <w:lang w:val="en-US"/>
        </w:rPr>
        <w:t>non-adherent</w:t>
      </w:r>
      <w:r w:rsidR="00B26719">
        <w:rPr>
          <w:rFonts w:ascii="Arial" w:hAnsi="Arial" w:cs="Arial"/>
          <w:sz w:val="24"/>
          <w:lang w:val="en-US"/>
        </w:rPr>
        <w:t>”</w:t>
      </w:r>
      <w:r w:rsidRPr="00A7617D">
        <w:rPr>
          <w:rFonts w:ascii="Arial" w:hAnsi="Arial" w:cs="Arial"/>
          <w:sz w:val="24"/>
          <w:lang w:val="en-US"/>
        </w:rPr>
        <w:t>.</w:t>
      </w:r>
      <w:r w:rsidR="006D13AA">
        <w:rPr>
          <w:rFonts w:ascii="Arial" w:hAnsi="Arial" w:cs="Arial"/>
          <w:sz w:val="24"/>
          <w:lang w:val="en-US"/>
        </w:rPr>
        <w:t xml:space="preserve"> </w:t>
      </w:r>
      <w:r w:rsidR="006D13AA" w:rsidRPr="006D13AA">
        <w:rPr>
          <w:rFonts w:ascii="Arial" w:hAnsi="Arial" w:cs="Arial"/>
          <w:sz w:val="24"/>
          <w:lang w:val="en-US"/>
        </w:rPr>
        <w:t xml:space="preserve">The scope of the audit included only the first section of the Code: Institutional </w:t>
      </w:r>
      <w:r w:rsidR="000C2C6E">
        <w:rPr>
          <w:rFonts w:ascii="Arial" w:hAnsi="Arial" w:cs="Arial"/>
          <w:sz w:val="24"/>
          <w:lang w:val="en-US"/>
        </w:rPr>
        <w:t>e</w:t>
      </w:r>
      <w:r w:rsidR="006D13AA" w:rsidRPr="006D13AA">
        <w:rPr>
          <w:rFonts w:ascii="Arial" w:hAnsi="Arial" w:cs="Arial"/>
          <w:sz w:val="24"/>
          <w:lang w:val="en-US"/>
        </w:rPr>
        <w:t xml:space="preserve">nvironment and </w:t>
      </w:r>
      <w:r w:rsidR="000C2C6E">
        <w:rPr>
          <w:rFonts w:ascii="Arial" w:hAnsi="Arial" w:cs="Arial"/>
          <w:sz w:val="24"/>
          <w:lang w:val="en-US"/>
        </w:rPr>
        <w:t>c</w:t>
      </w:r>
      <w:r w:rsidR="006D13AA" w:rsidRPr="006D13AA">
        <w:rPr>
          <w:rFonts w:ascii="Arial" w:hAnsi="Arial" w:cs="Arial"/>
          <w:sz w:val="24"/>
          <w:lang w:val="en-US"/>
        </w:rPr>
        <w:t>oordination.</w:t>
      </w:r>
    </w:p>
    <w:p w14:paraId="474C511D" w14:textId="77777777" w:rsidR="000C2C6E" w:rsidRPr="000C2C6E" w:rsidRDefault="000C2C6E" w:rsidP="00B914B1">
      <w:pPr>
        <w:spacing w:line="360" w:lineRule="auto"/>
        <w:jc w:val="both"/>
        <w:rPr>
          <w:rFonts w:ascii="Arial" w:hAnsi="Arial" w:cs="Arial"/>
          <w:sz w:val="24"/>
          <w:lang w:val="en-US"/>
        </w:rPr>
      </w:pPr>
      <w:r w:rsidRPr="000C2C6E">
        <w:rPr>
          <w:rFonts w:ascii="Arial" w:hAnsi="Arial" w:cs="Arial"/>
          <w:sz w:val="24"/>
          <w:lang w:val="en-US"/>
        </w:rPr>
        <w:t xml:space="preserve">The analysis of CGU's audit team pointed to the IBGE's high adherence to good practices related to the principles of Institutional </w:t>
      </w:r>
      <w:r w:rsidR="0001141C">
        <w:rPr>
          <w:rFonts w:ascii="Arial" w:hAnsi="Arial" w:cs="Arial"/>
          <w:sz w:val="24"/>
          <w:lang w:val="en-US"/>
        </w:rPr>
        <w:t>i</w:t>
      </w:r>
      <w:r w:rsidRPr="000C2C6E">
        <w:rPr>
          <w:rFonts w:ascii="Arial" w:hAnsi="Arial" w:cs="Arial"/>
          <w:sz w:val="24"/>
          <w:lang w:val="en-US"/>
        </w:rPr>
        <w:t xml:space="preserve">ndependence, Statistical </w:t>
      </w:r>
      <w:r w:rsidR="0001141C">
        <w:rPr>
          <w:rFonts w:ascii="Arial" w:hAnsi="Arial" w:cs="Arial"/>
          <w:sz w:val="24"/>
          <w:lang w:val="en-US"/>
        </w:rPr>
        <w:t>m</w:t>
      </w:r>
      <w:r w:rsidRPr="000C2C6E">
        <w:rPr>
          <w:rFonts w:ascii="Arial" w:hAnsi="Arial" w:cs="Arial"/>
          <w:sz w:val="24"/>
          <w:lang w:val="en-US"/>
        </w:rPr>
        <w:t xml:space="preserve">andate, Statistical </w:t>
      </w:r>
      <w:r w:rsidR="0001141C">
        <w:rPr>
          <w:rFonts w:ascii="Arial" w:hAnsi="Arial" w:cs="Arial"/>
          <w:sz w:val="24"/>
          <w:lang w:val="en-US"/>
        </w:rPr>
        <w:t>c</w:t>
      </w:r>
      <w:r w:rsidRPr="000C2C6E">
        <w:rPr>
          <w:rFonts w:ascii="Arial" w:hAnsi="Arial" w:cs="Arial"/>
          <w:sz w:val="24"/>
          <w:lang w:val="en-US"/>
        </w:rPr>
        <w:t xml:space="preserve">onfidentiality and </w:t>
      </w:r>
      <w:r w:rsidR="009476E9">
        <w:rPr>
          <w:rFonts w:ascii="Arial" w:hAnsi="Arial" w:cs="Arial"/>
          <w:sz w:val="24"/>
          <w:lang w:val="en-US"/>
        </w:rPr>
        <w:t>I</w:t>
      </w:r>
      <w:r w:rsidRPr="000C2C6E">
        <w:rPr>
          <w:rFonts w:ascii="Arial" w:hAnsi="Arial" w:cs="Arial"/>
          <w:sz w:val="24"/>
          <w:lang w:val="en-US"/>
        </w:rPr>
        <w:t xml:space="preserve">mpartiality and objectivity. On the other hand, for the principles Efficient use of resources and Commitment to quality, it was evaluated that there is </w:t>
      </w:r>
      <w:r w:rsidR="0001141C">
        <w:rPr>
          <w:rFonts w:ascii="Arial" w:hAnsi="Arial" w:cs="Arial"/>
          <w:sz w:val="24"/>
          <w:lang w:val="en-US"/>
        </w:rPr>
        <w:t>partial</w:t>
      </w:r>
      <w:r w:rsidRPr="000C2C6E">
        <w:rPr>
          <w:rFonts w:ascii="Arial" w:hAnsi="Arial" w:cs="Arial"/>
          <w:sz w:val="24"/>
          <w:lang w:val="en-US"/>
        </w:rPr>
        <w:t xml:space="preserve"> adherence to the recommended practices.</w:t>
      </w:r>
    </w:p>
    <w:p w14:paraId="55D0AF42" w14:textId="77777777" w:rsidR="000C2C6E" w:rsidRDefault="00A7617D" w:rsidP="00B914B1">
      <w:pPr>
        <w:spacing w:line="360" w:lineRule="auto"/>
        <w:jc w:val="both"/>
        <w:rPr>
          <w:rFonts w:ascii="Arial" w:hAnsi="Arial" w:cs="Arial"/>
          <w:sz w:val="24"/>
          <w:lang w:val="en-US"/>
        </w:rPr>
      </w:pPr>
      <w:r w:rsidRPr="00A7617D">
        <w:rPr>
          <w:rFonts w:ascii="Arial" w:hAnsi="Arial" w:cs="Arial"/>
          <w:sz w:val="24"/>
          <w:lang w:val="en-US"/>
        </w:rPr>
        <w:t xml:space="preserve">The audit </w:t>
      </w:r>
      <w:r w:rsidR="000C2C6E">
        <w:rPr>
          <w:rFonts w:ascii="Arial" w:hAnsi="Arial" w:cs="Arial"/>
          <w:sz w:val="24"/>
          <w:lang w:val="en-US"/>
        </w:rPr>
        <w:t>concluded</w:t>
      </w:r>
      <w:r w:rsidRPr="00A7617D">
        <w:rPr>
          <w:rFonts w:ascii="Arial" w:hAnsi="Arial" w:cs="Arial"/>
          <w:sz w:val="24"/>
          <w:lang w:val="en-US"/>
        </w:rPr>
        <w:t xml:space="preserve"> that the development of a </w:t>
      </w:r>
      <w:r w:rsidR="00F45E4E">
        <w:rPr>
          <w:rFonts w:ascii="Arial" w:hAnsi="Arial" w:cs="Arial"/>
          <w:sz w:val="24"/>
          <w:lang w:val="en-US"/>
        </w:rPr>
        <w:t xml:space="preserve">Statistics </w:t>
      </w:r>
      <w:r w:rsidRPr="00A7617D">
        <w:rPr>
          <w:rFonts w:ascii="Arial" w:hAnsi="Arial" w:cs="Arial"/>
          <w:sz w:val="24"/>
          <w:lang w:val="en-US"/>
        </w:rPr>
        <w:t xml:space="preserve">Code of Practice as a central element of </w:t>
      </w:r>
      <w:r w:rsidR="0001141C">
        <w:rPr>
          <w:rFonts w:ascii="Arial" w:hAnsi="Arial" w:cs="Arial"/>
          <w:sz w:val="24"/>
          <w:lang w:val="en-US"/>
        </w:rPr>
        <w:t>the institute’s</w:t>
      </w:r>
      <w:r w:rsidRPr="00A7617D">
        <w:rPr>
          <w:rFonts w:ascii="Arial" w:hAnsi="Arial" w:cs="Arial"/>
          <w:sz w:val="24"/>
          <w:lang w:val="en-US"/>
        </w:rPr>
        <w:t xml:space="preserve"> quality policy demonstrates IBGE's concern with the quality of its products. </w:t>
      </w:r>
      <w:r w:rsidR="000C2C6E" w:rsidRPr="000C2C6E">
        <w:rPr>
          <w:rFonts w:ascii="Arial" w:hAnsi="Arial" w:cs="Arial"/>
          <w:sz w:val="24"/>
          <w:lang w:val="en-US"/>
        </w:rPr>
        <w:t>However, the effectiveness of the presented practices should be sought through the unfolding of the Code in a work plan that aims to continuously improve the Institute's performance.</w:t>
      </w:r>
    </w:p>
    <w:p w14:paraId="41E05C21" w14:textId="77777777" w:rsidR="000C2C6E" w:rsidRDefault="00B914B1" w:rsidP="00B914B1">
      <w:pPr>
        <w:spacing w:line="360" w:lineRule="auto"/>
        <w:jc w:val="both"/>
        <w:rPr>
          <w:rFonts w:ascii="Arial" w:hAnsi="Arial" w:cs="Arial"/>
          <w:sz w:val="24"/>
          <w:lang w:val="en-US"/>
        </w:rPr>
      </w:pPr>
      <w:r>
        <w:rPr>
          <w:rFonts w:ascii="Arial" w:hAnsi="Arial" w:cs="Arial"/>
          <w:sz w:val="24"/>
          <w:lang w:val="en-US"/>
        </w:rPr>
        <w:t>A</w:t>
      </w:r>
      <w:r w:rsidRPr="00B914B1">
        <w:rPr>
          <w:rFonts w:ascii="Arial" w:hAnsi="Arial" w:cs="Arial"/>
          <w:sz w:val="24"/>
          <w:lang w:val="en-US"/>
        </w:rPr>
        <w:t xml:space="preserve">dditionally, among the recommendations proposed by the Ministry, two are pertinent to the </w:t>
      </w:r>
      <w:r>
        <w:rPr>
          <w:rFonts w:ascii="Arial" w:hAnsi="Arial" w:cs="Arial"/>
          <w:sz w:val="24"/>
          <w:lang w:val="en-US"/>
        </w:rPr>
        <w:t>subject</w:t>
      </w:r>
      <w:r w:rsidRPr="00B914B1">
        <w:rPr>
          <w:rFonts w:ascii="Arial" w:hAnsi="Arial" w:cs="Arial"/>
          <w:sz w:val="24"/>
          <w:lang w:val="en-US"/>
        </w:rPr>
        <w:t xml:space="preserve"> of this </w:t>
      </w:r>
      <w:r>
        <w:rPr>
          <w:rFonts w:ascii="Arial" w:hAnsi="Arial" w:cs="Arial"/>
          <w:sz w:val="24"/>
          <w:lang w:val="en-US"/>
        </w:rPr>
        <w:t>paper</w:t>
      </w:r>
      <w:r w:rsidRPr="00B914B1">
        <w:rPr>
          <w:rFonts w:ascii="Arial" w:hAnsi="Arial" w:cs="Arial"/>
          <w:sz w:val="24"/>
          <w:lang w:val="en-US"/>
        </w:rPr>
        <w:t xml:space="preserve">. </w:t>
      </w:r>
      <w:r>
        <w:rPr>
          <w:rFonts w:ascii="Arial" w:hAnsi="Arial" w:cs="Arial"/>
          <w:sz w:val="24"/>
          <w:lang w:val="en-US"/>
        </w:rPr>
        <w:t xml:space="preserve">The </w:t>
      </w:r>
      <w:r w:rsidR="000C2C6E">
        <w:rPr>
          <w:rFonts w:ascii="Arial" w:hAnsi="Arial" w:cs="Arial"/>
          <w:sz w:val="24"/>
          <w:lang w:val="en-US"/>
        </w:rPr>
        <w:t>Ministry</w:t>
      </w:r>
      <w:r w:rsidR="0001141C">
        <w:rPr>
          <w:rFonts w:ascii="Arial" w:hAnsi="Arial" w:cs="Arial"/>
          <w:sz w:val="24"/>
          <w:lang w:val="en-US"/>
        </w:rPr>
        <w:t xml:space="preserve"> recommended that the i</w:t>
      </w:r>
      <w:r w:rsidR="00A7617D" w:rsidRPr="00A7617D">
        <w:rPr>
          <w:rFonts w:ascii="Arial" w:hAnsi="Arial" w:cs="Arial"/>
          <w:sz w:val="24"/>
          <w:lang w:val="en-US"/>
        </w:rPr>
        <w:t xml:space="preserve">nstitute develop and incorporate </w:t>
      </w:r>
      <w:r w:rsidR="0001141C">
        <w:rPr>
          <w:rFonts w:ascii="Arial" w:hAnsi="Arial" w:cs="Arial"/>
          <w:sz w:val="24"/>
          <w:lang w:val="en-US"/>
        </w:rPr>
        <w:t>to</w:t>
      </w:r>
      <w:r w:rsidR="00A7617D" w:rsidRPr="00A7617D">
        <w:rPr>
          <w:rFonts w:ascii="Arial" w:hAnsi="Arial" w:cs="Arial"/>
          <w:sz w:val="24"/>
          <w:lang w:val="en-US"/>
        </w:rPr>
        <w:t xml:space="preserve"> the Code explanatory texts that clearly outline the context and purpose of each good practice </w:t>
      </w:r>
      <w:r w:rsidR="00F45E4E" w:rsidRPr="00A7617D">
        <w:rPr>
          <w:rFonts w:ascii="Arial" w:hAnsi="Arial" w:cs="Arial"/>
          <w:sz w:val="24"/>
          <w:lang w:val="en-US"/>
        </w:rPr>
        <w:t>to</w:t>
      </w:r>
      <w:r w:rsidR="00A7617D" w:rsidRPr="00A7617D">
        <w:rPr>
          <w:rFonts w:ascii="Arial" w:hAnsi="Arial" w:cs="Arial"/>
          <w:sz w:val="24"/>
          <w:lang w:val="en-US"/>
        </w:rPr>
        <w:t xml:space="preserve"> reduce the possibilities of different interpretations</w:t>
      </w:r>
      <w:r w:rsidR="0001141C">
        <w:rPr>
          <w:rFonts w:ascii="Arial" w:hAnsi="Arial" w:cs="Arial"/>
          <w:sz w:val="24"/>
          <w:lang w:val="en-US"/>
        </w:rPr>
        <w:t xml:space="preserve">. It </w:t>
      </w:r>
      <w:r w:rsidR="00B26719">
        <w:rPr>
          <w:rFonts w:ascii="Arial" w:hAnsi="Arial" w:cs="Arial"/>
          <w:sz w:val="24"/>
          <w:lang w:val="en-US"/>
        </w:rPr>
        <w:t xml:space="preserve">was </w:t>
      </w:r>
      <w:r w:rsidR="0001141C">
        <w:rPr>
          <w:rFonts w:ascii="Arial" w:hAnsi="Arial" w:cs="Arial"/>
          <w:sz w:val="24"/>
          <w:lang w:val="en-US"/>
        </w:rPr>
        <w:t xml:space="preserve">also recommended that the </w:t>
      </w:r>
      <w:r w:rsidR="008A4500">
        <w:rPr>
          <w:rFonts w:ascii="Arial" w:hAnsi="Arial" w:cs="Arial"/>
          <w:sz w:val="24"/>
          <w:lang w:val="en-US"/>
        </w:rPr>
        <w:t>IBGE</w:t>
      </w:r>
      <w:r w:rsidR="008A4500" w:rsidRPr="00A7617D">
        <w:rPr>
          <w:rFonts w:ascii="Arial" w:hAnsi="Arial" w:cs="Arial"/>
          <w:sz w:val="24"/>
          <w:lang w:val="en-US"/>
        </w:rPr>
        <w:t xml:space="preserve"> </w:t>
      </w:r>
      <w:r w:rsidR="00A7617D" w:rsidRPr="00A7617D">
        <w:rPr>
          <w:rFonts w:ascii="Arial" w:hAnsi="Arial" w:cs="Arial"/>
          <w:sz w:val="24"/>
          <w:lang w:val="en-US"/>
        </w:rPr>
        <w:t xml:space="preserve">develop and incorporate measurable (quantitative or qualitative) criteria for the evaluation of each </w:t>
      </w:r>
      <w:r w:rsidR="0001141C">
        <w:rPr>
          <w:rFonts w:ascii="Arial" w:hAnsi="Arial" w:cs="Arial"/>
          <w:sz w:val="24"/>
          <w:lang w:val="en-US"/>
        </w:rPr>
        <w:t>good practice</w:t>
      </w:r>
      <w:r w:rsidR="00A7617D" w:rsidRPr="00A7617D">
        <w:rPr>
          <w:rFonts w:ascii="Arial" w:hAnsi="Arial" w:cs="Arial"/>
          <w:sz w:val="24"/>
          <w:lang w:val="en-US"/>
        </w:rPr>
        <w:t>.</w:t>
      </w:r>
    </w:p>
    <w:p w14:paraId="573B4011" w14:textId="77777777" w:rsidR="004740F1" w:rsidRDefault="000C2C6E" w:rsidP="00B914B1">
      <w:pPr>
        <w:spacing w:line="360" w:lineRule="auto"/>
        <w:jc w:val="both"/>
        <w:rPr>
          <w:rFonts w:ascii="Arial" w:hAnsi="Arial" w:cs="Arial"/>
          <w:sz w:val="24"/>
          <w:lang w:val="en-US"/>
        </w:rPr>
      </w:pPr>
      <w:r w:rsidRPr="000C2C6E">
        <w:rPr>
          <w:rFonts w:ascii="Arial" w:hAnsi="Arial" w:cs="Arial"/>
          <w:sz w:val="24"/>
          <w:lang w:val="en-US"/>
        </w:rPr>
        <w:t>In response to the external audit, the IBGE developed and implemented a</w:t>
      </w:r>
      <w:r w:rsidR="000942F8">
        <w:rPr>
          <w:rFonts w:ascii="Arial" w:hAnsi="Arial" w:cs="Arial"/>
          <w:sz w:val="24"/>
          <w:lang w:val="en-US"/>
        </w:rPr>
        <w:t>n action</w:t>
      </w:r>
      <w:r w:rsidRPr="000C2C6E">
        <w:rPr>
          <w:rFonts w:ascii="Arial" w:hAnsi="Arial" w:cs="Arial"/>
          <w:sz w:val="24"/>
          <w:lang w:val="en-US"/>
        </w:rPr>
        <w:t xml:space="preserve"> plan to improve its adherence to</w:t>
      </w:r>
      <w:r>
        <w:rPr>
          <w:rFonts w:ascii="Arial" w:hAnsi="Arial" w:cs="Arial"/>
          <w:sz w:val="24"/>
          <w:lang w:val="en-US"/>
        </w:rPr>
        <w:t xml:space="preserve"> the good practices of </w:t>
      </w:r>
      <w:r w:rsidRPr="000C2C6E">
        <w:rPr>
          <w:rFonts w:ascii="Arial" w:hAnsi="Arial" w:cs="Arial"/>
          <w:sz w:val="24"/>
          <w:lang w:val="en-US"/>
        </w:rPr>
        <w:t xml:space="preserve">its Code. Within this plan </w:t>
      </w:r>
      <w:r>
        <w:rPr>
          <w:rFonts w:ascii="Arial" w:hAnsi="Arial" w:cs="Arial"/>
          <w:sz w:val="24"/>
          <w:lang w:val="en-US"/>
        </w:rPr>
        <w:t xml:space="preserve">there </w:t>
      </w:r>
      <w:r w:rsidRPr="000C2C6E">
        <w:rPr>
          <w:rFonts w:ascii="Arial" w:hAnsi="Arial" w:cs="Arial"/>
          <w:sz w:val="24"/>
          <w:lang w:val="en-US"/>
        </w:rPr>
        <w:t>are actions referring to the two recommendations mentioned above that will be described in detail in the next section.</w:t>
      </w:r>
    </w:p>
    <w:p w14:paraId="1715C377" w14:textId="77777777" w:rsidR="00623F6D" w:rsidRPr="000C2C6E" w:rsidRDefault="00623F6D" w:rsidP="000C2C6E">
      <w:pPr>
        <w:rPr>
          <w:rFonts w:ascii="Arial" w:hAnsi="Arial" w:cs="Arial"/>
          <w:sz w:val="24"/>
          <w:lang w:val="en-US"/>
        </w:rPr>
      </w:pPr>
    </w:p>
    <w:p w14:paraId="38F8664D" w14:textId="77777777" w:rsidR="00C10670" w:rsidRDefault="00C10670" w:rsidP="004740F1">
      <w:pPr>
        <w:spacing w:before="120" w:after="0" w:line="360" w:lineRule="auto"/>
        <w:jc w:val="both"/>
        <w:rPr>
          <w:rFonts w:ascii="Arial" w:hAnsi="Arial" w:cs="Arial"/>
          <w:b/>
          <w:sz w:val="24"/>
          <w:szCs w:val="24"/>
          <w:lang w:val="en-GB"/>
        </w:rPr>
      </w:pPr>
      <w:r w:rsidRPr="00C10670">
        <w:rPr>
          <w:rFonts w:ascii="Arial" w:hAnsi="Arial" w:cs="Arial"/>
          <w:b/>
          <w:sz w:val="24"/>
          <w:szCs w:val="24"/>
          <w:lang w:val="en-GB"/>
        </w:rPr>
        <w:t>4. Code of Practice Revision</w:t>
      </w:r>
    </w:p>
    <w:p w14:paraId="2C79690C" w14:textId="77777777" w:rsidR="00A51DDD" w:rsidRDefault="00182039" w:rsidP="00D3214F">
      <w:pPr>
        <w:spacing w:before="120" w:after="0" w:line="360" w:lineRule="auto"/>
        <w:jc w:val="both"/>
        <w:rPr>
          <w:rFonts w:ascii="Arial" w:hAnsi="Arial" w:cs="Arial"/>
          <w:sz w:val="24"/>
          <w:szCs w:val="24"/>
          <w:lang w:val="en-US"/>
        </w:rPr>
      </w:pPr>
      <w:r w:rsidRPr="00182039">
        <w:rPr>
          <w:rFonts w:ascii="Arial" w:hAnsi="Arial" w:cs="Arial"/>
          <w:sz w:val="24"/>
          <w:szCs w:val="24"/>
          <w:lang w:val="en-US"/>
        </w:rPr>
        <w:t xml:space="preserve">The first step taken to comply with the recommendations proposed by the external audit was to seek and study international reference documents that would </w:t>
      </w:r>
      <w:r w:rsidR="00874575">
        <w:rPr>
          <w:rFonts w:ascii="Arial" w:hAnsi="Arial" w:cs="Arial"/>
          <w:sz w:val="24"/>
          <w:szCs w:val="24"/>
          <w:lang w:val="en-US"/>
        </w:rPr>
        <w:t>aid in</w:t>
      </w:r>
      <w:r w:rsidRPr="00182039">
        <w:rPr>
          <w:rFonts w:ascii="Arial" w:hAnsi="Arial" w:cs="Arial"/>
          <w:sz w:val="24"/>
          <w:szCs w:val="24"/>
          <w:lang w:val="en-US"/>
        </w:rPr>
        <w:t xml:space="preserve"> better </w:t>
      </w:r>
      <w:r w:rsidRPr="00182039">
        <w:rPr>
          <w:rFonts w:ascii="Arial" w:hAnsi="Arial" w:cs="Arial"/>
          <w:sz w:val="24"/>
          <w:szCs w:val="24"/>
          <w:lang w:val="en-US"/>
        </w:rPr>
        <w:lastRenderedPageBreak/>
        <w:t>understand</w:t>
      </w:r>
      <w:r w:rsidR="00874575">
        <w:rPr>
          <w:rFonts w:ascii="Arial" w:hAnsi="Arial" w:cs="Arial"/>
          <w:sz w:val="24"/>
          <w:szCs w:val="24"/>
          <w:lang w:val="en-US"/>
        </w:rPr>
        <w:t>ing</w:t>
      </w:r>
      <w:r w:rsidRPr="00182039">
        <w:rPr>
          <w:rFonts w:ascii="Arial" w:hAnsi="Arial" w:cs="Arial"/>
          <w:sz w:val="24"/>
          <w:szCs w:val="24"/>
          <w:lang w:val="en-US"/>
        </w:rPr>
        <w:t xml:space="preserve"> the meaning of each good practice</w:t>
      </w:r>
      <w:r w:rsidR="001250E8">
        <w:rPr>
          <w:rFonts w:ascii="Arial" w:hAnsi="Arial" w:cs="Arial"/>
          <w:sz w:val="24"/>
          <w:szCs w:val="24"/>
          <w:lang w:val="en-US"/>
        </w:rPr>
        <w:t xml:space="preserve">. This understanding would facilitate the </w:t>
      </w:r>
      <w:r w:rsidRPr="00182039">
        <w:rPr>
          <w:rFonts w:ascii="Arial" w:hAnsi="Arial" w:cs="Arial"/>
          <w:sz w:val="24"/>
          <w:szCs w:val="24"/>
          <w:lang w:val="en-US"/>
        </w:rPr>
        <w:t>creat</w:t>
      </w:r>
      <w:r w:rsidR="001250E8">
        <w:rPr>
          <w:rFonts w:ascii="Arial" w:hAnsi="Arial" w:cs="Arial"/>
          <w:sz w:val="24"/>
          <w:szCs w:val="24"/>
          <w:lang w:val="en-US"/>
        </w:rPr>
        <w:t>ion of</w:t>
      </w:r>
      <w:r w:rsidRPr="00182039">
        <w:rPr>
          <w:rFonts w:ascii="Arial" w:hAnsi="Arial" w:cs="Arial"/>
          <w:sz w:val="24"/>
          <w:szCs w:val="24"/>
          <w:lang w:val="en-US"/>
        </w:rPr>
        <w:t xml:space="preserve"> clear, objective and relevant explanatory texts</w:t>
      </w:r>
      <w:r w:rsidR="00EE2CD4">
        <w:rPr>
          <w:rFonts w:ascii="Arial" w:hAnsi="Arial" w:cs="Arial"/>
          <w:sz w:val="24"/>
          <w:szCs w:val="24"/>
          <w:lang w:val="en-US"/>
        </w:rPr>
        <w:t xml:space="preserve"> and indicators</w:t>
      </w:r>
      <w:r w:rsidRPr="00182039">
        <w:rPr>
          <w:rFonts w:ascii="Arial" w:hAnsi="Arial" w:cs="Arial"/>
          <w:sz w:val="24"/>
          <w:szCs w:val="24"/>
          <w:lang w:val="en-US"/>
        </w:rPr>
        <w:t>.</w:t>
      </w:r>
    </w:p>
    <w:p w14:paraId="48BFB95E" w14:textId="77777777" w:rsidR="00D9482A" w:rsidRDefault="00182039" w:rsidP="00D3214F">
      <w:pPr>
        <w:spacing w:before="120" w:after="0" w:line="360" w:lineRule="auto"/>
        <w:jc w:val="both"/>
        <w:rPr>
          <w:rFonts w:ascii="Arial" w:hAnsi="Arial" w:cs="Arial"/>
          <w:sz w:val="24"/>
          <w:szCs w:val="24"/>
          <w:lang w:val="en-US"/>
        </w:rPr>
      </w:pPr>
      <w:r w:rsidRPr="00182039">
        <w:rPr>
          <w:rFonts w:ascii="Arial" w:hAnsi="Arial" w:cs="Arial"/>
          <w:sz w:val="24"/>
          <w:szCs w:val="24"/>
          <w:lang w:val="en-US"/>
        </w:rPr>
        <w:t>The documents that served as support and inspiration for this work were:</w:t>
      </w:r>
      <w:r>
        <w:rPr>
          <w:rFonts w:ascii="Arial" w:hAnsi="Arial" w:cs="Arial"/>
          <w:sz w:val="24"/>
          <w:szCs w:val="24"/>
          <w:lang w:val="en-US"/>
        </w:rPr>
        <w:t xml:space="preserve"> </w:t>
      </w:r>
    </w:p>
    <w:p w14:paraId="7E3713FA" w14:textId="77777777" w:rsidR="00D9482A" w:rsidRPr="00D9482A" w:rsidRDefault="00FC633F"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szCs w:val="24"/>
          <w:lang w:val="en-US"/>
        </w:rPr>
        <w:t>Guidelines for the Template for a</w:t>
      </w:r>
      <w:r w:rsidR="00182039" w:rsidRPr="00D9482A">
        <w:rPr>
          <w:rFonts w:ascii="Arial" w:hAnsi="Arial" w:cs="Arial"/>
          <w:sz w:val="24"/>
          <w:szCs w:val="24"/>
          <w:lang w:val="en-US"/>
        </w:rPr>
        <w:t xml:space="preserve"> </w:t>
      </w:r>
      <w:r w:rsidR="00182039" w:rsidRPr="00D9482A">
        <w:rPr>
          <w:rFonts w:ascii="Arial" w:hAnsi="Arial" w:cs="Arial"/>
          <w:sz w:val="24"/>
          <w:lang w:val="en-US"/>
        </w:rPr>
        <w:t xml:space="preserve">Generic </w:t>
      </w:r>
      <w:r w:rsidR="00591461" w:rsidRPr="00D9482A">
        <w:rPr>
          <w:rFonts w:ascii="Arial" w:hAnsi="Arial" w:cs="Arial"/>
          <w:sz w:val="24"/>
          <w:lang w:val="en-US"/>
        </w:rPr>
        <w:t>N</w:t>
      </w:r>
      <w:r w:rsidR="00182039" w:rsidRPr="00D9482A">
        <w:rPr>
          <w:rFonts w:ascii="Arial" w:hAnsi="Arial" w:cs="Arial"/>
          <w:sz w:val="24"/>
          <w:lang w:val="en-US"/>
        </w:rPr>
        <w:t xml:space="preserve">ational </w:t>
      </w:r>
      <w:r w:rsidR="00591461" w:rsidRPr="00D9482A">
        <w:rPr>
          <w:rFonts w:ascii="Arial" w:hAnsi="Arial" w:cs="Arial"/>
          <w:sz w:val="24"/>
          <w:lang w:val="en-US"/>
        </w:rPr>
        <w:t>Q</w:t>
      </w:r>
      <w:r w:rsidR="00182039" w:rsidRPr="00D9482A">
        <w:rPr>
          <w:rFonts w:ascii="Arial" w:hAnsi="Arial" w:cs="Arial"/>
          <w:sz w:val="24"/>
          <w:lang w:val="en-US"/>
        </w:rPr>
        <w:t xml:space="preserve">uality </w:t>
      </w:r>
      <w:r w:rsidR="00591461" w:rsidRPr="00D9482A">
        <w:rPr>
          <w:rFonts w:ascii="Arial" w:hAnsi="Arial" w:cs="Arial"/>
          <w:sz w:val="24"/>
          <w:lang w:val="en-US"/>
        </w:rPr>
        <w:t>A</w:t>
      </w:r>
      <w:r w:rsidR="00182039" w:rsidRPr="00D9482A">
        <w:rPr>
          <w:rFonts w:ascii="Arial" w:hAnsi="Arial" w:cs="Arial"/>
          <w:sz w:val="24"/>
          <w:lang w:val="en-US"/>
        </w:rPr>
        <w:t xml:space="preserve">ssurance </w:t>
      </w:r>
      <w:r w:rsidR="00591461" w:rsidRPr="00D9482A">
        <w:rPr>
          <w:rFonts w:ascii="Arial" w:hAnsi="Arial" w:cs="Arial"/>
          <w:sz w:val="24"/>
          <w:lang w:val="en-US"/>
        </w:rPr>
        <w:t>F</w:t>
      </w:r>
      <w:r w:rsidR="00182039" w:rsidRPr="00D9482A">
        <w:rPr>
          <w:rFonts w:ascii="Arial" w:hAnsi="Arial" w:cs="Arial"/>
          <w:sz w:val="24"/>
          <w:lang w:val="en-US"/>
        </w:rPr>
        <w:t xml:space="preserve">ramework – NQAF; </w:t>
      </w:r>
    </w:p>
    <w:p w14:paraId="22064CF1"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 xml:space="preserve">Quality Assurance Framework of the European Statistical System – QAF; </w:t>
      </w:r>
    </w:p>
    <w:p w14:paraId="66C27B69"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 xml:space="preserve">Self-assessment Questionnaire on the Implementation of the European Statistics Code of Practice; </w:t>
      </w:r>
    </w:p>
    <w:p w14:paraId="4E055E62"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 xml:space="preserve">Questionnaire on Cooperation/Level of Integration Achieved by the European Statistical System; </w:t>
      </w:r>
    </w:p>
    <w:p w14:paraId="3F02BD61"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 xml:space="preserve">Questionnaire on the Coordination Role of the National Statistical Institutes; </w:t>
      </w:r>
    </w:p>
    <w:p w14:paraId="6727FBAA"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U</w:t>
      </w:r>
      <w:r w:rsidR="009A4A93" w:rsidRPr="00D9482A">
        <w:rPr>
          <w:rFonts w:ascii="Arial" w:hAnsi="Arial" w:cs="Arial"/>
          <w:sz w:val="24"/>
          <w:lang w:val="en-US"/>
        </w:rPr>
        <w:t xml:space="preserve">nited </w:t>
      </w:r>
      <w:r w:rsidRPr="00D9482A">
        <w:rPr>
          <w:rFonts w:ascii="Arial" w:hAnsi="Arial" w:cs="Arial"/>
          <w:sz w:val="24"/>
          <w:lang w:val="en-US"/>
        </w:rPr>
        <w:t>N</w:t>
      </w:r>
      <w:r w:rsidR="009A4A93" w:rsidRPr="00D9482A">
        <w:rPr>
          <w:rFonts w:ascii="Arial" w:hAnsi="Arial" w:cs="Arial"/>
          <w:sz w:val="24"/>
          <w:lang w:val="en-US"/>
        </w:rPr>
        <w:t>ations</w:t>
      </w:r>
      <w:r w:rsidRPr="00D9482A">
        <w:rPr>
          <w:rFonts w:ascii="Arial" w:hAnsi="Arial" w:cs="Arial"/>
          <w:sz w:val="24"/>
          <w:lang w:val="en-US"/>
        </w:rPr>
        <w:t xml:space="preserve"> Fundamental Principles of Official Statistics – Implementation Guidelines; </w:t>
      </w:r>
    </w:p>
    <w:p w14:paraId="03EEA944" w14:textId="77777777" w:rsidR="00D9482A"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Eurostat – Code of Practice Compliance Activities 2013;</w:t>
      </w:r>
    </w:p>
    <w:p w14:paraId="75E03685" w14:textId="77777777" w:rsidR="00182039" w:rsidRPr="00D9482A" w:rsidRDefault="00591461" w:rsidP="00D9482A">
      <w:pPr>
        <w:pStyle w:val="Akapitzlist"/>
        <w:numPr>
          <w:ilvl w:val="0"/>
          <w:numId w:val="5"/>
        </w:numPr>
        <w:spacing w:before="120" w:after="0" w:line="360" w:lineRule="auto"/>
        <w:jc w:val="both"/>
        <w:rPr>
          <w:rFonts w:ascii="Arial" w:hAnsi="Arial" w:cs="Arial"/>
          <w:sz w:val="24"/>
          <w:lang w:val="en-US"/>
        </w:rPr>
      </w:pPr>
      <w:r w:rsidRPr="00D9482A">
        <w:rPr>
          <w:rFonts w:ascii="Arial" w:hAnsi="Arial" w:cs="Arial"/>
          <w:sz w:val="24"/>
          <w:lang w:val="en-US"/>
        </w:rPr>
        <w:t>Recommendation of the OECD Council on Good Statistical Practice.</w:t>
      </w:r>
    </w:p>
    <w:p w14:paraId="35987B96" w14:textId="77777777" w:rsidR="00D915FA" w:rsidRDefault="00864B52" w:rsidP="00D3214F">
      <w:pPr>
        <w:spacing w:before="120" w:after="0" w:line="360" w:lineRule="auto"/>
        <w:jc w:val="both"/>
        <w:rPr>
          <w:rFonts w:ascii="Arial" w:hAnsi="Arial" w:cs="Arial"/>
          <w:sz w:val="24"/>
          <w:szCs w:val="24"/>
          <w:lang w:val="en-US"/>
        </w:rPr>
      </w:pPr>
      <w:r w:rsidRPr="00864B52">
        <w:rPr>
          <w:rFonts w:ascii="Arial" w:hAnsi="Arial" w:cs="Arial"/>
          <w:sz w:val="24"/>
          <w:szCs w:val="24"/>
          <w:lang w:val="en-US"/>
        </w:rPr>
        <w:t xml:space="preserve">After reading and assimilating these documents it was possible to begin writing the first draft of the explanatory texts and to make a preliminary selection of indicators for each good practice. At this stage, it was noted that, in addition to creating explanatory texts, it would also be necessary to improve the writing of parts of the Code </w:t>
      </w:r>
      <w:r w:rsidR="000942F8" w:rsidRPr="00864B52">
        <w:rPr>
          <w:rFonts w:ascii="Arial" w:hAnsi="Arial" w:cs="Arial"/>
          <w:sz w:val="24"/>
          <w:szCs w:val="24"/>
          <w:lang w:val="en-US"/>
        </w:rPr>
        <w:t>to</w:t>
      </w:r>
      <w:r w:rsidRPr="00864B52">
        <w:rPr>
          <w:rFonts w:ascii="Arial" w:hAnsi="Arial" w:cs="Arial"/>
          <w:sz w:val="24"/>
          <w:szCs w:val="24"/>
          <w:lang w:val="en-US"/>
        </w:rPr>
        <w:t xml:space="preserve"> increase clarity and avoid misinterpretation.</w:t>
      </w:r>
      <w:r w:rsidR="001250E8">
        <w:rPr>
          <w:rFonts w:ascii="Arial" w:hAnsi="Arial" w:cs="Arial"/>
          <w:sz w:val="24"/>
          <w:szCs w:val="24"/>
          <w:lang w:val="en-US"/>
        </w:rPr>
        <w:t xml:space="preserve"> </w:t>
      </w:r>
      <w:r w:rsidR="00ED2F79" w:rsidRPr="00ED2F79">
        <w:rPr>
          <w:rFonts w:ascii="Arial" w:hAnsi="Arial" w:cs="Arial"/>
          <w:sz w:val="24"/>
          <w:szCs w:val="24"/>
          <w:lang w:val="en-US"/>
        </w:rPr>
        <w:t xml:space="preserve">This </w:t>
      </w:r>
      <w:r w:rsidR="00ED2F79">
        <w:rPr>
          <w:rFonts w:ascii="Arial" w:hAnsi="Arial" w:cs="Arial"/>
          <w:sz w:val="24"/>
          <w:szCs w:val="24"/>
          <w:lang w:val="en-US"/>
        </w:rPr>
        <w:t>editing</w:t>
      </w:r>
      <w:r w:rsidR="00ED2F79" w:rsidRPr="00ED2F79">
        <w:rPr>
          <w:rFonts w:ascii="Arial" w:hAnsi="Arial" w:cs="Arial"/>
          <w:sz w:val="24"/>
          <w:szCs w:val="24"/>
          <w:lang w:val="en-US"/>
        </w:rPr>
        <w:t xml:space="preserve"> of the original text </w:t>
      </w:r>
      <w:r w:rsidR="00116D9E">
        <w:rPr>
          <w:rFonts w:ascii="Arial" w:hAnsi="Arial" w:cs="Arial"/>
          <w:sz w:val="24"/>
          <w:szCs w:val="24"/>
          <w:lang w:val="en-US"/>
        </w:rPr>
        <w:t>along with</w:t>
      </w:r>
      <w:r w:rsidR="00ED2F79" w:rsidRPr="00ED2F79">
        <w:rPr>
          <w:rFonts w:ascii="Arial" w:hAnsi="Arial" w:cs="Arial"/>
          <w:sz w:val="24"/>
          <w:szCs w:val="24"/>
          <w:lang w:val="en-US"/>
        </w:rPr>
        <w:t xml:space="preserve"> the creation of explanatory texts and indicators considerably increased the complexity and time of execution of the project. </w:t>
      </w:r>
      <w:r w:rsidR="00A8220F">
        <w:rPr>
          <w:rFonts w:ascii="Arial" w:hAnsi="Arial" w:cs="Arial"/>
          <w:sz w:val="24"/>
          <w:szCs w:val="24"/>
          <w:lang w:val="en-US"/>
        </w:rPr>
        <w:t>Therefore</w:t>
      </w:r>
      <w:r w:rsidR="00ED2F79" w:rsidRPr="00ED2F79">
        <w:rPr>
          <w:rFonts w:ascii="Arial" w:hAnsi="Arial" w:cs="Arial"/>
          <w:sz w:val="24"/>
          <w:szCs w:val="24"/>
          <w:lang w:val="en-US"/>
        </w:rPr>
        <w:t xml:space="preserve">, the </w:t>
      </w:r>
      <w:r w:rsidR="00ED2F79">
        <w:rPr>
          <w:rFonts w:ascii="Arial" w:hAnsi="Arial" w:cs="Arial"/>
          <w:sz w:val="24"/>
          <w:szCs w:val="24"/>
          <w:lang w:val="en-US"/>
        </w:rPr>
        <w:t>new Statistics Code of Practice</w:t>
      </w:r>
      <w:r w:rsidR="00ED2F79" w:rsidRPr="00ED2F79">
        <w:rPr>
          <w:rFonts w:ascii="Arial" w:hAnsi="Arial" w:cs="Arial"/>
          <w:sz w:val="24"/>
          <w:szCs w:val="24"/>
          <w:lang w:val="en-US"/>
        </w:rPr>
        <w:t xml:space="preserve"> will only be available in 2019.</w:t>
      </w:r>
    </w:p>
    <w:p w14:paraId="35C9F94B" w14:textId="77777777" w:rsidR="00166798" w:rsidRDefault="00ED2F79" w:rsidP="009D56DF">
      <w:pPr>
        <w:spacing w:before="120" w:after="0" w:line="360" w:lineRule="auto"/>
        <w:jc w:val="both"/>
        <w:rPr>
          <w:rFonts w:ascii="Arial" w:hAnsi="Arial" w:cs="Arial"/>
          <w:sz w:val="24"/>
          <w:szCs w:val="24"/>
          <w:lang w:val="en-US"/>
        </w:rPr>
      </w:pPr>
      <w:r>
        <w:rPr>
          <w:rFonts w:ascii="Arial" w:hAnsi="Arial" w:cs="Arial"/>
          <w:sz w:val="24"/>
          <w:szCs w:val="24"/>
          <w:lang w:val="en-US"/>
        </w:rPr>
        <w:t>A possible misinterpretation was found, for example, in</w:t>
      </w:r>
      <w:r w:rsidR="00166798" w:rsidRPr="00166798">
        <w:rPr>
          <w:rFonts w:ascii="Arial" w:hAnsi="Arial" w:cs="Arial"/>
          <w:sz w:val="24"/>
          <w:szCs w:val="24"/>
          <w:lang w:val="en-US"/>
        </w:rPr>
        <w:t xml:space="preserve"> </w:t>
      </w:r>
      <w:r w:rsidR="009D56DF">
        <w:rPr>
          <w:rFonts w:ascii="Arial" w:hAnsi="Arial" w:cs="Arial"/>
          <w:sz w:val="24"/>
          <w:szCs w:val="24"/>
          <w:lang w:val="en-US"/>
        </w:rPr>
        <w:t xml:space="preserve">the </w:t>
      </w:r>
      <w:r w:rsidR="009D56DF" w:rsidRPr="009D56DF">
        <w:rPr>
          <w:rFonts w:ascii="Arial" w:hAnsi="Arial" w:cs="Arial"/>
          <w:sz w:val="24"/>
          <w:szCs w:val="24"/>
          <w:lang w:val="en-US"/>
        </w:rPr>
        <w:t xml:space="preserve">Good Practice 4.5 </w:t>
      </w:r>
      <w:r>
        <w:rPr>
          <w:rFonts w:ascii="Arial" w:hAnsi="Arial" w:cs="Arial"/>
          <w:sz w:val="24"/>
          <w:szCs w:val="24"/>
          <w:lang w:val="en-US"/>
        </w:rPr>
        <w:t xml:space="preserve">that </w:t>
      </w:r>
      <w:r w:rsidR="009D56DF" w:rsidRPr="009D56DF">
        <w:rPr>
          <w:rFonts w:ascii="Arial" w:hAnsi="Arial" w:cs="Arial"/>
          <w:sz w:val="24"/>
          <w:szCs w:val="24"/>
          <w:lang w:val="en-US"/>
        </w:rPr>
        <w:t xml:space="preserve">read as follows: </w:t>
      </w:r>
      <w:r w:rsidR="00166798">
        <w:rPr>
          <w:rFonts w:ascii="Arial" w:hAnsi="Arial" w:cs="Arial"/>
          <w:sz w:val="24"/>
          <w:szCs w:val="24"/>
          <w:lang w:val="en-US"/>
        </w:rPr>
        <w:t>“</w:t>
      </w:r>
      <w:r w:rsidR="00166798" w:rsidRPr="00166798">
        <w:rPr>
          <w:rFonts w:ascii="Arial" w:hAnsi="Arial" w:cs="Arial"/>
          <w:sz w:val="24"/>
          <w:szCs w:val="24"/>
          <w:lang w:val="en-US"/>
        </w:rPr>
        <w:t>The main uses and limitations of access that apply to the information obtained by the Institute from the</w:t>
      </w:r>
      <w:r w:rsidR="00166798">
        <w:rPr>
          <w:rFonts w:ascii="Arial" w:hAnsi="Arial" w:cs="Arial"/>
          <w:sz w:val="24"/>
          <w:szCs w:val="24"/>
          <w:lang w:val="en-US"/>
        </w:rPr>
        <w:t xml:space="preserve"> informants should be explained.”</w:t>
      </w:r>
    </w:p>
    <w:p w14:paraId="206D76E2" w14:textId="77777777" w:rsidR="00864B52" w:rsidRDefault="009D56DF" w:rsidP="009D56DF">
      <w:pPr>
        <w:spacing w:before="120" w:after="0" w:line="360" w:lineRule="auto"/>
        <w:jc w:val="both"/>
        <w:rPr>
          <w:rFonts w:ascii="Arial" w:hAnsi="Arial" w:cs="Arial"/>
          <w:sz w:val="24"/>
          <w:szCs w:val="24"/>
          <w:lang w:val="en-US"/>
        </w:rPr>
      </w:pPr>
      <w:r>
        <w:rPr>
          <w:rFonts w:ascii="Arial" w:hAnsi="Arial" w:cs="Arial"/>
          <w:sz w:val="24"/>
          <w:szCs w:val="24"/>
          <w:lang w:val="en-US"/>
        </w:rPr>
        <w:t>This text</w:t>
      </w:r>
      <w:r w:rsidR="00166798">
        <w:rPr>
          <w:rFonts w:ascii="Arial" w:hAnsi="Arial" w:cs="Arial"/>
          <w:sz w:val="24"/>
          <w:szCs w:val="24"/>
          <w:lang w:val="en-US"/>
        </w:rPr>
        <w:t xml:space="preserve"> </w:t>
      </w:r>
      <w:r w:rsidR="00ED2F79">
        <w:rPr>
          <w:rFonts w:ascii="Arial" w:hAnsi="Arial" w:cs="Arial"/>
          <w:sz w:val="24"/>
          <w:szCs w:val="24"/>
          <w:lang w:val="en-US"/>
        </w:rPr>
        <w:t>could be misinterpreted</w:t>
      </w:r>
      <w:r w:rsidR="00166798" w:rsidRPr="00166798">
        <w:rPr>
          <w:rFonts w:ascii="Arial" w:hAnsi="Arial" w:cs="Arial"/>
          <w:sz w:val="24"/>
          <w:szCs w:val="24"/>
          <w:lang w:val="en-US"/>
        </w:rPr>
        <w:t xml:space="preserve"> </w:t>
      </w:r>
      <w:r w:rsidR="00166798">
        <w:rPr>
          <w:rFonts w:ascii="Arial" w:hAnsi="Arial" w:cs="Arial"/>
          <w:sz w:val="24"/>
          <w:szCs w:val="24"/>
          <w:lang w:val="en-US"/>
        </w:rPr>
        <w:t xml:space="preserve">for </w:t>
      </w:r>
      <w:r w:rsidR="00166798" w:rsidRPr="00166798">
        <w:rPr>
          <w:rFonts w:ascii="Arial" w:hAnsi="Arial" w:cs="Arial"/>
          <w:sz w:val="24"/>
          <w:szCs w:val="24"/>
          <w:lang w:val="en-US"/>
        </w:rPr>
        <w:t>not mak</w:t>
      </w:r>
      <w:r w:rsidR="00166798">
        <w:rPr>
          <w:rFonts w:ascii="Arial" w:hAnsi="Arial" w:cs="Arial"/>
          <w:sz w:val="24"/>
          <w:szCs w:val="24"/>
          <w:lang w:val="en-US"/>
        </w:rPr>
        <w:t>ing</w:t>
      </w:r>
      <w:r w:rsidR="00166798" w:rsidRPr="00166798">
        <w:rPr>
          <w:rFonts w:ascii="Arial" w:hAnsi="Arial" w:cs="Arial"/>
          <w:sz w:val="24"/>
          <w:szCs w:val="24"/>
          <w:lang w:val="en-US"/>
        </w:rPr>
        <w:t xml:space="preserve"> it clear to who</w:t>
      </w:r>
      <w:r w:rsidR="00166798">
        <w:rPr>
          <w:rFonts w:ascii="Arial" w:hAnsi="Arial" w:cs="Arial"/>
          <w:sz w:val="24"/>
          <w:szCs w:val="24"/>
          <w:lang w:val="en-US"/>
        </w:rPr>
        <w:t>m</w:t>
      </w:r>
      <w:r w:rsidR="00166798" w:rsidRPr="00166798">
        <w:rPr>
          <w:rFonts w:ascii="Arial" w:hAnsi="Arial" w:cs="Arial"/>
          <w:sz w:val="24"/>
          <w:szCs w:val="24"/>
          <w:lang w:val="en-US"/>
        </w:rPr>
        <w:t xml:space="preserve"> should be explained the main uses and limitations of access.</w:t>
      </w:r>
      <w:r w:rsidR="00166798">
        <w:rPr>
          <w:rFonts w:ascii="Arial" w:hAnsi="Arial" w:cs="Arial"/>
          <w:sz w:val="24"/>
          <w:szCs w:val="24"/>
          <w:lang w:val="en-US"/>
        </w:rPr>
        <w:t xml:space="preserve"> </w:t>
      </w:r>
      <w:r>
        <w:rPr>
          <w:rFonts w:ascii="Arial" w:hAnsi="Arial" w:cs="Arial"/>
          <w:sz w:val="24"/>
          <w:szCs w:val="24"/>
          <w:lang w:val="en-US"/>
        </w:rPr>
        <w:t xml:space="preserve">As a </w:t>
      </w:r>
      <w:r w:rsidR="001250E8">
        <w:rPr>
          <w:rFonts w:ascii="Arial" w:hAnsi="Arial" w:cs="Arial"/>
          <w:sz w:val="24"/>
          <w:szCs w:val="24"/>
          <w:lang w:val="en-US"/>
        </w:rPr>
        <w:t>result,</w:t>
      </w:r>
      <w:r>
        <w:rPr>
          <w:rFonts w:ascii="Arial" w:hAnsi="Arial" w:cs="Arial"/>
          <w:sz w:val="24"/>
          <w:szCs w:val="24"/>
          <w:lang w:val="en-US"/>
        </w:rPr>
        <w:t xml:space="preserve"> t</w:t>
      </w:r>
      <w:r w:rsidR="00166798" w:rsidRPr="00166798">
        <w:rPr>
          <w:rFonts w:ascii="Arial" w:hAnsi="Arial" w:cs="Arial"/>
          <w:sz w:val="24"/>
          <w:szCs w:val="24"/>
          <w:lang w:val="en-US"/>
        </w:rPr>
        <w:t xml:space="preserve">he text </w:t>
      </w:r>
      <w:r w:rsidR="00ED2F79">
        <w:rPr>
          <w:rFonts w:ascii="Arial" w:hAnsi="Arial" w:cs="Arial"/>
          <w:sz w:val="24"/>
          <w:szCs w:val="24"/>
          <w:lang w:val="en-US"/>
        </w:rPr>
        <w:t>will be</w:t>
      </w:r>
      <w:r w:rsidR="00166798" w:rsidRPr="00166798">
        <w:rPr>
          <w:rFonts w:ascii="Arial" w:hAnsi="Arial" w:cs="Arial"/>
          <w:sz w:val="24"/>
          <w:szCs w:val="24"/>
          <w:lang w:val="en-US"/>
        </w:rPr>
        <w:t xml:space="preserve"> </w:t>
      </w:r>
      <w:r w:rsidR="00166798">
        <w:rPr>
          <w:rFonts w:ascii="Arial" w:hAnsi="Arial" w:cs="Arial"/>
          <w:sz w:val="24"/>
          <w:szCs w:val="24"/>
          <w:lang w:val="en-US"/>
        </w:rPr>
        <w:t>changed</w:t>
      </w:r>
      <w:r>
        <w:rPr>
          <w:rFonts w:ascii="Arial" w:hAnsi="Arial" w:cs="Arial"/>
          <w:sz w:val="24"/>
          <w:szCs w:val="24"/>
          <w:lang w:val="en-US"/>
        </w:rPr>
        <w:t xml:space="preserve"> to</w:t>
      </w:r>
      <w:r w:rsidR="00166798" w:rsidRPr="00166798">
        <w:rPr>
          <w:rFonts w:ascii="Arial" w:hAnsi="Arial" w:cs="Arial"/>
          <w:sz w:val="24"/>
          <w:szCs w:val="24"/>
          <w:lang w:val="en-US"/>
        </w:rPr>
        <w:t xml:space="preserve">: </w:t>
      </w:r>
      <w:r w:rsidR="00166798">
        <w:rPr>
          <w:rFonts w:ascii="Arial" w:hAnsi="Arial" w:cs="Arial"/>
          <w:sz w:val="24"/>
          <w:szCs w:val="24"/>
          <w:lang w:val="en-US"/>
        </w:rPr>
        <w:t>“</w:t>
      </w:r>
      <w:r w:rsidR="00166798" w:rsidRPr="00166798">
        <w:rPr>
          <w:rFonts w:ascii="Arial" w:hAnsi="Arial" w:cs="Arial"/>
          <w:sz w:val="24"/>
          <w:szCs w:val="24"/>
          <w:lang w:val="en-US"/>
        </w:rPr>
        <w:t>Informants should be communicated</w:t>
      </w:r>
      <w:r w:rsidR="00166798">
        <w:rPr>
          <w:rFonts w:ascii="Arial" w:hAnsi="Arial" w:cs="Arial"/>
          <w:sz w:val="24"/>
          <w:szCs w:val="24"/>
          <w:lang w:val="en-US"/>
        </w:rPr>
        <w:t>,</w:t>
      </w:r>
      <w:r w:rsidR="00166798" w:rsidRPr="00166798">
        <w:rPr>
          <w:rFonts w:ascii="Arial" w:hAnsi="Arial" w:cs="Arial"/>
          <w:sz w:val="24"/>
          <w:szCs w:val="24"/>
          <w:lang w:val="en-US"/>
        </w:rPr>
        <w:t xml:space="preserve"> during the data collection,</w:t>
      </w:r>
      <w:r w:rsidR="00166798">
        <w:rPr>
          <w:rFonts w:ascii="Arial" w:hAnsi="Arial" w:cs="Arial"/>
          <w:sz w:val="24"/>
          <w:szCs w:val="24"/>
          <w:lang w:val="en-US"/>
        </w:rPr>
        <w:t xml:space="preserve"> of</w:t>
      </w:r>
      <w:r w:rsidR="00166798" w:rsidRPr="00166798">
        <w:rPr>
          <w:rFonts w:ascii="Arial" w:hAnsi="Arial" w:cs="Arial"/>
          <w:sz w:val="24"/>
          <w:szCs w:val="24"/>
          <w:lang w:val="en-US"/>
        </w:rPr>
        <w:t xml:space="preserve"> IBGE's commitment to the protection and confidentiality of personal data, and that the information obtained will be used for statistical purposes only.</w:t>
      </w:r>
      <w:r w:rsidR="00166798">
        <w:rPr>
          <w:rFonts w:ascii="Arial" w:hAnsi="Arial" w:cs="Arial"/>
          <w:sz w:val="24"/>
          <w:szCs w:val="24"/>
          <w:lang w:val="en-US"/>
        </w:rPr>
        <w:t>”</w:t>
      </w:r>
    </w:p>
    <w:p w14:paraId="22767E44" w14:textId="5C5EC0B0" w:rsidR="009D56DF" w:rsidRDefault="009D56DF" w:rsidP="009D56DF">
      <w:pPr>
        <w:spacing w:before="120" w:after="0" w:line="360" w:lineRule="auto"/>
        <w:jc w:val="both"/>
        <w:rPr>
          <w:rFonts w:ascii="Arial" w:hAnsi="Arial" w:cs="Arial"/>
          <w:sz w:val="24"/>
          <w:szCs w:val="24"/>
          <w:lang w:val="en-US"/>
        </w:rPr>
      </w:pPr>
      <w:r w:rsidRPr="009D56DF">
        <w:rPr>
          <w:rFonts w:ascii="Arial" w:hAnsi="Arial" w:cs="Arial"/>
          <w:sz w:val="24"/>
          <w:szCs w:val="24"/>
          <w:lang w:val="en-US"/>
        </w:rPr>
        <w:t xml:space="preserve">After completion of the first draft of the explanatory texts and indicators, they </w:t>
      </w:r>
      <w:r w:rsidR="001250E8" w:rsidRPr="00FB717A">
        <w:rPr>
          <w:rFonts w:ascii="Arial" w:hAnsi="Arial" w:cs="Arial"/>
          <w:sz w:val="24"/>
          <w:szCs w:val="24"/>
          <w:lang w:val="en-US"/>
        </w:rPr>
        <w:t>are going through</w:t>
      </w:r>
      <w:r w:rsidRPr="009D56DF">
        <w:rPr>
          <w:rFonts w:ascii="Arial" w:hAnsi="Arial" w:cs="Arial"/>
          <w:sz w:val="24"/>
          <w:szCs w:val="24"/>
          <w:lang w:val="en-US"/>
        </w:rPr>
        <w:t xml:space="preserve"> a review to identify possible errors and improvements in writing. Throughout this review the standardization, cohesion and consistency of the texts and indicators </w:t>
      </w:r>
      <w:r w:rsidR="001250E8">
        <w:rPr>
          <w:rFonts w:ascii="Arial" w:hAnsi="Arial" w:cs="Arial"/>
          <w:sz w:val="24"/>
          <w:szCs w:val="24"/>
          <w:lang w:val="en-US"/>
        </w:rPr>
        <w:t>are</w:t>
      </w:r>
      <w:r w:rsidRPr="009D56DF">
        <w:rPr>
          <w:rFonts w:ascii="Arial" w:hAnsi="Arial" w:cs="Arial"/>
          <w:sz w:val="24"/>
          <w:szCs w:val="24"/>
          <w:lang w:val="en-US"/>
        </w:rPr>
        <w:t xml:space="preserve"> also evaluated in relation to the good practice to which they refer and the text of the Code </w:t>
      </w:r>
      <w:r w:rsidR="002E7522">
        <w:rPr>
          <w:rFonts w:ascii="Arial" w:hAnsi="Arial" w:cs="Arial"/>
          <w:sz w:val="24"/>
          <w:szCs w:val="24"/>
          <w:lang w:val="en-US"/>
        </w:rPr>
        <w:t>in general</w:t>
      </w:r>
      <w:r w:rsidRPr="009D56DF">
        <w:rPr>
          <w:rFonts w:ascii="Arial" w:hAnsi="Arial" w:cs="Arial"/>
          <w:sz w:val="24"/>
          <w:szCs w:val="24"/>
          <w:lang w:val="en-US"/>
        </w:rPr>
        <w:t>.</w:t>
      </w:r>
    </w:p>
    <w:p w14:paraId="36D6B917" w14:textId="77777777" w:rsidR="0027555E" w:rsidRDefault="0027555E" w:rsidP="009D56DF">
      <w:pPr>
        <w:spacing w:before="120" w:after="0" w:line="360" w:lineRule="auto"/>
        <w:jc w:val="both"/>
        <w:rPr>
          <w:rFonts w:ascii="Arial" w:hAnsi="Arial" w:cs="Arial"/>
          <w:sz w:val="24"/>
          <w:szCs w:val="24"/>
          <w:lang w:val="en-US"/>
        </w:rPr>
      </w:pPr>
      <w:r w:rsidRPr="0027555E">
        <w:rPr>
          <w:rFonts w:ascii="Arial" w:hAnsi="Arial" w:cs="Arial"/>
          <w:sz w:val="24"/>
          <w:szCs w:val="24"/>
          <w:lang w:val="en-US"/>
        </w:rPr>
        <w:t>The finished text containi</w:t>
      </w:r>
      <w:r w:rsidR="00693BE5">
        <w:rPr>
          <w:rFonts w:ascii="Arial" w:hAnsi="Arial" w:cs="Arial"/>
          <w:sz w:val="24"/>
          <w:szCs w:val="24"/>
          <w:lang w:val="en-US"/>
        </w:rPr>
        <w:t>ng all editions in the Code,</w:t>
      </w:r>
      <w:r w:rsidRPr="0027555E">
        <w:rPr>
          <w:rFonts w:ascii="Arial" w:hAnsi="Arial" w:cs="Arial"/>
          <w:sz w:val="24"/>
          <w:szCs w:val="24"/>
          <w:lang w:val="en-US"/>
        </w:rPr>
        <w:t xml:space="preserve"> the explanatory texts and indicators will undergo a final revision before being sent to the final analysis and approval of the Institutional Quality Committee and the Directing Council</w:t>
      </w:r>
      <w:r w:rsidR="002E7522">
        <w:rPr>
          <w:rFonts w:ascii="Arial" w:hAnsi="Arial" w:cs="Arial"/>
          <w:sz w:val="24"/>
          <w:szCs w:val="24"/>
          <w:lang w:val="en-US"/>
        </w:rPr>
        <w:t xml:space="preserve"> of the IBGE</w:t>
      </w:r>
      <w:r w:rsidRPr="0027555E">
        <w:rPr>
          <w:rFonts w:ascii="Arial" w:hAnsi="Arial" w:cs="Arial"/>
          <w:sz w:val="24"/>
          <w:szCs w:val="24"/>
          <w:lang w:val="en-US"/>
        </w:rPr>
        <w:t>. After approval the Code will be published and disseminated.</w:t>
      </w:r>
    </w:p>
    <w:p w14:paraId="66877EA5" w14:textId="77777777" w:rsidR="002E7522" w:rsidRDefault="002E7522" w:rsidP="009D56DF">
      <w:pPr>
        <w:spacing w:before="120" w:after="0" w:line="360" w:lineRule="auto"/>
        <w:jc w:val="both"/>
        <w:rPr>
          <w:rFonts w:ascii="Arial" w:hAnsi="Arial" w:cs="Arial"/>
          <w:sz w:val="24"/>
          <w:szCs w:val="24"/>
          <w:lang w:val="en-US"/>
        </w:rPr>
      </w:pPr>
      <w:r w:rsidRPr="002E7522">
        <w:rPr>
          <w:rFonts w:ascii="Arial" w:hAnsi="Arial" w:cs="Arial"/>
          <w:sz w:val="24"/>
          <w:szCs w:val="24"/>
          <w:lang w:val="en-US"/>
        </w:rPr>
        <w:t>The following is an example of a good practice with its explanatory text and indicators</w:t>
      </w:r>
      <w:r>
        <w:rPr>
          <w:rFonts w:ascii="Arial" w:hAnsi="Arial" w:cs="Arial"/>
          <w:sz w:val="24"/>
          <w:szCs w:val="24"/>
          <w:lang w:val="en-US"/>
        </w:rPr>
        <w:t>:</w:t>
      </w:r>
      <w:r w:rsidRPr="002E7522">
        <w:rPr>
          <w:rFonts w:ascii="Arial" w:hAnsi="Arial" w:cs="Arial"/>
          <w:sz w:val="24"/>
          <w:szCs w:val="24"/>
          <w:lang w:val="en-US"/>
        </w:rPr>
        <w:t xml:space="preserve"> </w:t>
      </w:r>
    </w:p>
    <w:p w14:paraId="7712713B" w14:textId="77777777" w:rsidR="000F4D11" w:rsidRDefault="000F4D11" w:rsidP="009D56DF">
      <w:pPr>
        <w:spacing w:before="120" w:after="0" w:line="360" w:lineRule="auto"/>
        <w:jc w:val="both"/>
        <w:rPr>
          <w:rFonts w:ascii="Arial" w:hAnsi="Arial" w:cs="Arial"/>
          <w:sz w:val="24"/>
          <w:szCs w:val="24"/>
          <w:lang w:val="en-US"/>
        </w:rPr>
      </w:pPr>
      <w:r w:rsidRPr="007713AC">
        <w:rPr>
          <w:rFonts w:ascii="Arial" w:hAnsi="Arial" w:cs="Arial"/>
          <w:sz w:val="24"/>
          <w:szCs w:val="24"/>
          <w:u w:val="single"/>
          <w:lang w:val="en-US"/>
        </w:rPr>
        <w:t>Good Practice 4.6</w:t>
      </w:r>
      <w:r>
        <w:rPr>
          <w:rFonts w:ascii="Arial" w:hAnsi="Arial" w:cs="Arial"/>
          <w:sz w:val="24"/>
          <w:szCs w:val="24"/>
          <w:lang w:val="en-US"/>
        </w:rPr>
        <w:t>:</w:t>
      </w:r>
      <w:r w:rsidRPr="000F4D11">
        <w:rPr>
          <w:rFonts w:ascii="Arial" w:hAnsi="Arial" w:cs="Arial"/>
          <w:sz w:val="24"/>
          <w:szCs w:val="24"/>
          <w:lang w:val="en-US"/>
        </w:rPr>
        <w:t xml:space="preserve"> Access to </w:t>
      </w:r>
      <w:r w:rsidRPr="00D9482A">
        <w:rPr>
          <w:rFonts w:ascii="Arial" w:hAnsi="Arial" w:cs="Arial"/>
          <w:sz w:val="24"/>
          <w:szCs w:val="24"/>
          <w:lang w:val="en-US"/>
        </w:rPr>
        <w:t>non-</w:t>
      </w:r>
      <w:r w:rsidR="001A79B8" w:rsidRPr="00D9482A">
        <w:rPr>
          <w:rFonts w:ascii="Arial" w:hAnsi="Arial" w:cs="Arial"/>
          <w:sz w:val="24"/>
          <w:szCs w:val="24"/>
          <w:lang w:val="en-US"/>
        </w:rPr>
        <w:t xml:space="preserve">anonymized </w:t>
      </w:r>
      <w:r w:rsidRPr="000F4D11">
        <w:rPr>
          <w:rFonts w:ascii="Arial" w:hAnsi="Arial" w:cs="Arial"/>
          <w:sz w:val="24"/>
          <w:szCs w:val="24"/>
          <w:lang w:val="en-US"/>
        </w:rPr>
        <w:t>microdata must be subject to confidentiality protocols established for external users who access them for the purpose of research and analysis.</w:t>
      </w:r>
    </w:p>
    <w:p w14:paraId="198ED6DA" w14:textId="77777777" w:rsidR="000F4D11" w:rsidRDefault="000F4D11" w:rsidP="009D56DF">
      <w:pPr>
        <w:spacing w:before="120" w:after="0" w:line="360" w:lineRule="auto"/>
        <w:jc w:val="both"/>
        <w:rPr>
          <w:rFonts w:ascii="Arial" w:hAnsi="Arial" w:cs="Arial"/>
          <w:sz w:val="24"/>
          <w:szCs w:val="24"/>
          <w:lang w:val="en-US"/>
        </w:rPr>
      </w:pPr>
      <w:r w:rsidRPr="007713AC">
        <w:rPr>
          <w:rFonts w:ascii="Arial" w:hAnsi="Arial" w:cs="Arial"/>
          <w:sz w:val="24"/>
          <w:szCs w:val="24"/>
          <w:u w:val="single"/>
          <w:lang w:val="en-US"/>
        </w:rPr>
        <w:t>Explanatory text</w:t>
      </w:r>
      <w:r>
        <w:rPr>
          <w:rFonts w:ascii="Arial" w:hAnsi="Arial" w:cs="Arial"/>
          <w:sz w:val="24"/>
          <w:szCs w:val="24"/>
          <w:lang w:val="en-US"/>
        </w:rPr>
        <w:t xml:space="preserve">: </w:t>
      </w:r>
      <w:r w:rsidRPr="000F4D11">
        <w:rPr>
          <w:rFonts w:ascii="Arial" w:hAnsi="Arial" w:cs="Arial"/>
          <w:sz w:val="24"/>
          <w:szCs w:val="24"/>
          <w:lang w:val="en-US"/>
        </w:rPr>
        <w:t xml:space="preserve">There should be documented and publicly available guidelines and procedures regulating the access of external users to </w:t>
      </w:r>
      <w:r w:rsidRPr="00D9482A">
        <w:rPr>
          <w:rFonts w:ascii="Arial" w:hAnsi="Arial" w:cs="Arial"/>
          <w:sz w:val="24"/>
          <w:szCs w:val="24"/>
          <w:lang w:val="en-US"/>
        </w:rPr>
        <w:t>non-</w:t>
      </w:r>
      <w:r w:rsidR="001A79B8" w:rsidRPr="00D9482A">
        <w:rPr>
          <w:rFonts w:ascii="Arial" w:hAnsi="Arial" w:cs="Arial"/>
          <w:sz w:val="24"/>
          <w:szCs w:val="24"/>
          <w:lang w:val="en-US"/>
        </w:rPr>
        <w:t>anonymized</w:t>
      </w:r>
      <w:r w:rsidR="001A79B8" w:rsidRPr="000F4D11">
        <w:rPr>
          <w:rFonts w:ascii="Arial" w:hAnsi="Arial" w:cs="Arial"/>
          <w:sz w:val="24"/>
          <w:szCs w:val="24"/>
          <w:lang w:val="en-US"/>
        </w:rPr>
        <w:t xml:space="preserve"> </w:t>
      </w:r>
      <w:r w:rsidRPr="000F4D11">
        <w:rPr>
          <w:rFonts w:ascii="Arial" w:hAnsi="Arial" w:cs="Arial"/>
          <w:sz w:val="24"/>
          <w:szCs w:val="24"/>
          <w:lang w:val="en-US"/>
        </w:rPr>
        <w:t>microdata for previously authorized studies and analyzes. The IBGE should apply security procedures to ensure the protection of confidentiality of information, such as the provision of a secure and controlled environment for this type of access, the removal of variables that allow the direct identification of informants, the prevention of file copies and printing of data, and verification of analysis results to avoid potential risks of disclosure of individualized data. In addition, users must sign a confidentiality commitment term where rules for access to microdata are established, as well as penalties for failure to comply.</w:t>
      </w:r>
    </w:p>
    <w:p w14:paraId="17D52AC3" w14:textId="77777777" w:rsidR="000F4D11" w:rsidRPr="007713AC" w:rsidRDefault="000F4D11" w:rsidP="009D56DF">
      <w:pPr>
        <w:spacing w:before="120" w:after="0" w:line="360" w:lineRule="auto"/>
        <w:jc w:val="both"/>
        <w:rPr>
          <w:rFonts w:ascii="Arial" w:hAnsi="Arial" w:cs="Arial"/>
          <w:sz w:val="24"/>
          <w:szCs w:val="24"/>
          <w:u w:val="single"/>
          <w:lang w:val="en-US"/>
        </w:rPr>
      </w:pPr>
      <w:r w:rsidRPr="007713AC">
        <w:rPr>
          <w:rFonts w:ascii="Arial" w:hAnsi="Arial" w:cs="Arial"/>
          <w:sz w:val="24"/>
          <w:szCs w:val="24"/>
          <w:u w:val="single"/>
          <w:lang w:val="en-US"/>
        </w:rPr>
        <w:t>In</w:t>
      </w:r>
      <w:r w:rsidR="007713AC" w:rsidRPr="007713AC">
        <w:rPr>
          <w:rFonts w:ascii="Arial" w:hAnsi="Arial" w:cs="Arial"/>
          <w:sz w:val="24"/>
          <w:szCs w:val="24"/>
          <w:u w:val="single"/>
          <w:lang w:val="en-US"/>
        </w:rPr>
        <w:t>di</w:t>
      </w:r>
      <w:r w:rsidRPr="007713AC">
        <w:rPr>
          <w:rFonts w:ascii="Arial" w:hAnsi="Arial" w:cs="Arial"/>
          <w:sz w:val="24"/>
          <w:szCs w:val="24"/>
          <w:u w:val="single"/>
          <w:lang w:val="en-US"/>
        </w:rPr>
        <w:t>cators:</w:t>
      </w:r>
    </w:p>
    <w:p w14:paraId="67D62BD7" w14:textId="77777777" w:rsidR="000F4D11" w:rsidRDefault="000F4D11" w:rsidP="000F4D11">
      <w:pPr>
        <w:pStyle w:val="Akapitzlist"/>
        <w:numPr>
          <w:ilvl w:val="0"/>
          <w:numId w:val="4"/>
        </w:numPr>
        <w:spacing w:before="120" w:after="0" w:line="360" w:lineRule="auto"/>
        <w:jc w:val="both"/>
        <w:rPr>
          <w:rFonts w:ascii="Arial" w:hAnsi="Arial" w:cs="Arial"/>
          <w:sz w:val="24"/>
          <w:szCs w:val="24"/>
          <w:lang w:val="en-US"/>
        </w:rPr>
      </w:pPr>
      <w:r w:rsidRPr="000F4D11">
        <w:rPr>
          <w:rFonts w:ascii="Arial" w:hAnsi="Arial" w:cs="Arial"/>
          <w:sz w:val="24"/>
          <w:szCs w:val="24"/>
          <w:lang w:val="en-US"/>
        </w:rPr>
        <w:t xml:space="preserve">Are there publicly documented guidelines and procedures governing the access of external users to </w:t>
      </w:r>
      <w:r w:rsidRPr="00D9482A">
        <w:rPr>
          <w:rFonts w:ascii="Arial" w:hAnsi="Arial" w:cs="Arial"/>
          <w:sz w:val="24"/>
          <w:szCs w:val="24"/>
          <w:lang w:val="en-US"/>
        </w:rPr>
        <w:t>non-</w:t>
      </w:r>
      <w:r w:rsidR="001A79B8" w:rsidRPr="00D9482A">
        <w:rPr>
          <w:rFonts w:ascii="Arial" w:hAnsi="Arial" w:cs="Arial"/>
          <w:sz w:val="24"/>
          <w:szCs w:val="24"/>
          <w:lang w:val="en-US"/>
        </w:rPr>
        <w:t xml:space="preserve">anonymized </w:t>
      </w:r>
      <w:r w:rsidRPr="000F4D11">
        <w:rPr>
          <w:rFonts w:ascii="Arial" w:hAnsi="Arial" w:cs="Arial"/>
          <w:sz w:val="24"/>
          <w:szCs w:val="24"/>
          <w:lang w:val="en-US"/>
        </w:rPr>
        <w:t>microdata for research and analysis? Non</w:t>
      </w:r>
      <w:r>
        <w:rPr>
          <w:rFonts w:ascii="Arial" w:hAnsi="Arial" w:cs="Arial"/>
          <w:sz w:val="24"/>
          <w:szCs w:val="24"/>
          <w:lang w:val="en-US"/>
        </w:rPr>
        <w:t>-adherent</w:t>
      </w:r>
      <w:r w:rsidRPr="000F4D11">
        <w:rPr>
          <w:rFonts w:ascii="Arial" w:hAnsi="Arial" w:cs="Arial"/>
          <w:sz w:val="24"/>
          <w:szCs w:val="24"/>
          <w:lang w:val="en-US"/>
        </w:rPr>
        <w:t xml:space="preserve"> / Low</w:t>
      </w:r>
      <w:r w:rsidR="00DF3B7E">
        <w:rPr>
          <w:rFonts w:ascii="Arial" w:hAnsi="Arial" w:cs="Arial"/>
          <w:sz w:val="24"/>
          <w:szCs w:val="24"/>
          <w:lang w:val="en-US"/>
        </w:rPr>
        <w:t xml:space="preserve"> adherence</w:t>
      </w:r>
      <w:r w:rsidRPr="000F4D11">
        <w:rPr>
          <w:rFonts w:ascii="Arial" w:hAnsi="Arial" w:cs="Arial"/>
          <w:sz w:val="24"/>
          <w:szCs w:val="24"/>
          <w:lang w:val="en-US"/>
        </w:rPr>
        <w:t xml:space="preserve"> / Partial</w:t>
      </w:r>
      <w:r w:rsidR="00DF3B7E">
        <w:rPr>
          <w:rFonts w:ascii="Arial" w:hAnsi="Arial" w:cs="Arial"/>
          <w:sz w:val="24"/>
          <w:szCs w:val="24"/>
          <w:lang w:val="en-US"/>
        </w:rPr>
        <w:t xml:space="preserve"> adherence</w:t>
      </w:r>
      <w:r w:rsidRPr="000F4D11">
        <w:rPr>
          <w:rFonts w:ascii="Arial" w:hAnsi="Arial" w:cs="Arial"/>
          <w:sz w:val="24"/>
          <w:szCs w:val="24"/>
          <w:lang w:val="en-US"/>
        </w:rPr>
        <w:t xml:space="preserve"> / High </w:t>
      </w:r>
      <w:r w:rsidR="00DF3B7E">
        <w:rPr>
          <w:rFonts w:ascii="Arial" w:hAnsi="Arial" w:cs="Arial"/>
          <w:sz w:val="24"/>
          <w:szCs w:val="24"/>
          <w:lang w:val="en-US"/>
        </w:rPr>
        <w:t>adherence</w:t>
      </w:r>
      <w:r w:rsidRPr="000F4D11">
        <w:rPr>
          <w:rFonts w:ascii="Arial" w:hAnsi="Arial" w:cs="Arial"/>
          <w:sz w:val="24"/>
          <w:szCs w:val="24"/>
          <w:lang w:val="en-US"/>
        </w:rPr>
        <w:t>/ Full</w:t>
      </w:r>
      <w:r w:rsidR="00DF3B7E">
        <w:rPr>
          <w:rFonts w:ascii="Arial" w:hAnsi="Arial" w:cs="Arial"/>
          <w:sz w:val="24"/>
          <w:szCs w:val="24"/>
          <w:lang w:val="en-US"/>
        </w:rPr>
        <w:t xml:space="preserve"> adherence</w:t>
      </w:r>
    </w:p>
    <w:p w14:paraId="1E5CCF5E" w14:textId="77777777" w:rsidR="000F4D11" w:rsidRDefault="000F4D11" w:rsidP="000F4D11">
      <w:pPr>
        <w:pStyle w:val="Akapitzlist"/>
        <w:numPr>
          <w:ilvl w:val="0"/>
          <w:numId w:val="4"/>
        </w:numPr>
        <w:spacing w:before="120" w:after="0" w:line="360" w:lineRule="auto"/>
        <w:jc w:val="both"/>
        <w:rPr>
          <w:rFonts w:ascii="Arial" w:hAnsi="Arial" w:cs="Arial"/>
          <w:sz w:val="24"/>
          <w:szCs w:val="24"/>
          <w:lang w:val="en-US"/>
        </w:rPr>
      </w:pPr>
      <w:r w:rsidRPr="000F4D11">
        <w:rPr>
          <w:rFonts w:ascii="Arial" w:hAnsi="Arial" w:cs="Arial"/>
          <w:sz w:val="24"/>
          <w:szCs w:val="24"/>
          <w:lang w:val="en-US"/>
        </w:rPr>
        <w:t xml:space="preserve">Are control and security procedures applied to ensure the confidentiality of information in the access </w:t>
      </w:r>
      <w:r w:rsidR="00DF3B7E">
        <w:rPr>
          <w:rFonts w:ascii="Arial" w:hAnsi="Arial" w:cs="Arial"/>
          <w:sz w:val="24"/>
          <w:szCs w:val="24"/>
          <w:lang w:val="en-US"/>
        </w:rPr>
        <w:t>of</w:t>
      </w:r>
      <w:r w:rsidRPr="000F4D11">
        <w:rPr>
          <w:rFonts w:ascii="Arial" w:hAnsi="Arial" w:cs="Arial"/>
          <w:sz w:val="24"/>
          <w:szCs w:val="24"/>
          <w:lang w:val="en-US"/>
        </w:rPr>
        <w:t xml:space="preserve"> microdata by external users? Non</w:t>
      </w:r>
      <w:r>
        <w:rPr>
          <w:rFonts w:ascii="Arial" w:hAnsi="Arial" w:cs="Arial"/>
          <w:sz w:val="24"/>
          <w:szCs w:val="24"/>
          <w:lang w:val="en-US"/>
        </w:rPr>
        <w:t>- adherent</w:t>
      </w:r>
      <w:r w:rsidRPr="000F4D11">
        <w:rPr>
          <w:rFonts w:ascii="Arial" w:hAnsi="Arial" w:cs="Arial"/>
          <w:sz w:val="24"/>
          <w:szCs w:val="24"/>
          <w:lang w:val="en-US"/>
        </w:rPr>
        <w:t xml:space="preserve"> / Low / Partial / High / Full</w:t>
      </w:r>
    </w:p>
    <w:p w14:paraId="698C1114" w14:textId="77777777" w:rsidR="007713AC" w:rsidRPr="000F4D11" w:rsidRDefault="007713AC" w:rsidP="007713AC">
      <w:pPr>
        <w:pStyle w:val="Akapitzlist"/>
        <w:numPr>
          <w:ilvl w:val="0"/>
          <w:numId w:val="4"/>
        </w:numPr>
        <w:spacing w:before="120" w:after="0" w:line="360" w:lineRule="auto"/>
        <w:jc w:val="both"/>
        <w:rPr>
          <w:rFonts w:ascii="Arial" w:hAnsi="Arial" w:cs="Arial"/>
          <w:sz w:val="24"/>
          <w:szCs w:val="24"/>
          <w:lang w:val="en-US"/>
        </w:rPr>
      </w:pPr>
      <w:r w:rsidRPr="007713AC">
        <w:rPr>
          <w:rFonts w:ascii="Arial" w:hAnsi="Arial" w:cs="Arial"/>
          <w:sz w:val="24"/>
          <w:szCs w:val="24"/>
          <w:lang w:val="en-US"/>
        </w:rPr>
        <w:t xml:space="preserve">Do external users accessing </w:t>
      </w:r>
      <w:r w:rsidRPr="00D9482A">
        <w:rPr>
          <w:rFonts w:ascii="Arial" w:hAnsi="Arial" w:cs="Arial"/>
          <w:sz w:val="24"/>
          <w:szCs w:val="24"/>
          <w:lang w:val="en-US"/>
        </w:rPr>
        <w:t>non-</w:t>
      </w:r>
      <w:r w:rsidR="001A79B8" w:rsidRPr="00D9482A">
        <w:rPr>
          <w:rFonts w:ascii="Arial" w:hAnsi="Arial" w:cs="Arial"/>
          <w:sz w:val="24"/>
          <w:szCs w:val="24"/>
          <w:lang w:val="en-US"/>
        </w:rPr>
        <w:t>anonymized</w:t>
      </w:r>
      <w:r w:rsidRPr="007713AC">
        <w:rPr>
          <w:rFonts w:ascii="Arial" w:hAnsi="Arial" w:cs="Arial"/>
          <w:sz w:val="24"/>
          <w:szCs w:val="24"/>
          <w:lang w:val="en-US"/>
        </w:rPr>
        <w:t xml:space="preserve"> microdata sign a confidentiality commitment term containing the rules and penalties applicable in case of non-compliance? </w:t>
      </w:r>
      <w:r w:rsidRPr="000F4D11">
        <w:rPr>
          <w:rFonts w:ascii="Arial" w:hAnsi="Arial" w:cs="Arial"/>
          <w:sz w:val="24"/>
          <w:szCs w:val="24"/>
          <w:lang w:val="en-US"/>
        </w:rPr>
        <w:t>Non</w:t>
      </w:r>
      <w:r>
        <w:rPr>
          <w:rFonts w:ascii="Arial" w:hAnsi="Arial" w:cs="Arial"/>
          <w:sz w:val="24"/>
          <w:szCs w:val="24"/>
          <w:lang w:val="en-US"/>
        </w:rPr>
        <w:t>- adherent</w:t>
      </w:r>
      <w:r w:rsidRPr="000F4D11">
        <w:rPr>
          <w:rFonts w:ascii="Arial" w:hAnsi="Arial" w:cs="Arial"/>
          <w:sz w:val="24"/>
          <w:szCs w:val="24"/>
          <w:lang w:val="en-US"/>
        </w:rPr>
        <w:t xml:space="preserve"> </w:t>
      </w:r>
      <w:r w:rsidRPr="007713AC">
        <w:rPr>
          <w:rFonts w:ascii="Arial" w:hAnsi="Arial" w:cs="Arial"/>
          <w:sz w:val="24"/>
          <w:szCs w:val="24"/>
          <w:lang w:val="en-US"/>
        </w:rPr>
        <w:t>/ Low / Partial / High / Full</w:t>
      </w:r>
    </w:p>
    <w:p w14:paraId="3D78147E" w14:textId="77777777" w:rsidR="00182039" w:rsidRPr="00182039" w:rsidRDefault="00182039" w:rsidP="00D3214F">
      <w:pPr>
        <w:spacing w:before="120" w:after="0" w:line="360" w:lineRule="auto"/>
        <w:jc w:val="both"/>
        <w:rPr>
          <w:rFonts w:ascii="Arial" w:hAnsi="Arial" w:cs="Arial"/>
          <w:sz w:val="24"/>
          <w:szCs w:val="24"/>
          <w:lang w:val="en-US"/>
        </w:rPr>
      </w:pPr>
    </w:p>
    <w:p w14:paraId="42B6F2A6" w14:textId="77777777" w:rsidR="00D3214F" w:rsidRDefault="00D3214F" w:rsidP="00D3214F">
      <w:pPr>
        <w:spacing w:before="120" w:after="0" w:line="360" w:lineRule="auto"/>
        <w:jc w:val="both"/>
        <w:rPr>
          <w:rFonts w:ascii="Arial" w:hAnsi="Arial" w:cs="Arial"/>
          <w:b/>
          <w:sz w:val="24"/>
          <w:szCs w:val="24"/>
          <w:lang w:val="en-US"/>
        </w:rPr>
      </w:pPr>
      <w:r w:rsidRPr="00D3214F">
        <w:rPr>
          <w:rFonts w:ascii="Arial" w:hAnsi="Arial" w:cs="Arial"/>
          <w:b/>
          <w:sz w:val="24"/>
          <w:szCs w:val="24"/>
          <w:lang w:val="en-US"/>
        </w:rPr>
        <w:t>5. The new Code and the National Statistical System</w:t>
      </w:r>
    </w:p>
    <w:p w14:paraId="7F87B214" w14:textId="488D4218" w:rsidR="00A82F5A" w:rsidRDefault="00A82F5A" w:rsidP="00D3214F">
      <w:pPr>
        <w:spacing w:before="120" w:after="0" w:line="360" w:lineRule="auto"/>
        <w:jc w:val="both"/>
        <w:rPr>
          <w:rFonts w:ascii="Arial" w:hAnsi="Arial" w:cs="Arial"/>
          <w:sz w:val="24"/>
          <w:szCs w:val="24"/>
          <w:lang w:val="en-US"/>
        </w:rPr>
      </w:pPr>
      <w:r w:rsidRPr="00A82F5A">
        <w:rPr>
          <w:rFonts w:ascii="Arial" w:hAnsi="Arial" w:cs="Arial"/>
          <w:sz w:val="24"/>
          <w:szCs w:val="24"/>
          <w:lang w:val="en-US"/>
        </w:rPr>
        <w:t xml:space="preserve">The publication of the new </w:t>
      </w:r>
      <w:r w:rsidR="0049271F">
        <w:rPr>
          <w:rFonts w:ascii="Arial" w:hAnsi="Arial" w:cs="Arial"/>
          <w:sz w:val="24"/>
          <w:szCs w:val="24"/>
          <w:lang w:val="en-US"/>
        </w:rPr>
        <w:t xml:space="preserve">Statistics </w:t>
      </w:r>
      <w:r w:rsidRPr="00A82F5A">
        <w:rPr>
          <w:rFonts w:ascii="Arial" w:hAnsi="Arial" w:cs="Arial"/>
          <w:sz w:val="24"/>
          <w:szCs w:val="24"/>
          <w:lang w:val="en-US"/>
        </w:rPr>
        <w:t>Code of</w:t>
      </w:r>
      <w:r w:rsidR="0049271F">
        <w:rPr>
          <w:rFonts w:ascii="Arial" w:hAnsi="Arial" w:cs="Arial"/>
          <w:sz w:val="24"/>
          <w:szCs w:val="24"/>
          <w:lang w:val="en-US"/>
        </w:rPr>
        <w:t xml:space="preserve"> Practice</w:t>
      </w:r>
      <w:r w:rsidRPr="00A82F5A">
        <w:rPr>
          <w:rFonts w:ascii="Arial" w:hAnsi="Arial" w:cs="Arial"/>
          <w:sz w:val="24"/>
          <w:szCs w:val="24"/>
          <w:lang w:val="en-US"/>
        </w:rPr>
        <w:t xml:space="preserve"> also aims to promote the discussion about the quality culture in the statistical production of the various organ</w:t>
      </w:r>
      <w:r w:rsidR="001A79B8">
        <w:rPr>
          <w:rFonts w:ascii="Arial" w:hAnsi="Arial" w:cs="Arial"/>
          <w:sz w:val="24"/>
          <w:szCs w:val="24"/>
          <w:lang w:val="en-US"/>
        </w:rPr>
        <w:t>ization</w:t>
      </w:r>
      <w:r w:rsidRPr="00A82F5A">
        <w:rPr>
          <w:rFonts w:ascii="Arial" w:hAnsi="Arial" w:cs="Arial"/>
          <w:sz w:val="24"/>
          <w:szCs w:val="24"/>
          <w:lang w:val="en-US"/>
        </w:rPr>
        <w:t>s of the National Statistical System - SEN, as well as to support the elaboration of a more complete version of the Code that covers all members of SEN</w:t>
      </w:r>
      <w:r w:rsidR="00202579">
        <w:rPr>
          <w:rFonts w:ascii="Arial" w:hAnsi="Arial" w:cs="Arial"/>
          <w:sz w:val="24"/>
          <w:szCs w:val="24"/>
          <w:lang w:val="en-US"/>
        </w:rPr>
        <w:t xml:space="preserve">. This </w:t>
      </w:r>
      <w:r w:rsidR="00693BE5">
        <w:rPr>
          <w:rFonts w:ascii="Arial" w:hAnsi="Arial" w:cs="Arial"/>
          <w:sz w:val="24"/>
          <w:szCs w:val="24"/>
          <w:lang w:val="en-US"/>
        </w:rPr>
        <w:t>SEN Code of practice</w:t>
      </w:r>
      <w:r w:rsidR="00202579">
        <w:rPr>
          <w:rFonts w:ascii="Arial" w:hAnsi="Arial" w:cs="Arial"/>
          <w:sz w:val="24"/>
          <w:szCs w:val="24"/>
          <w:lang w:val="en-US"/>
        </w:rPr>
        <w:t xml:space="preserve"> will</w:t>
      </w:r>
      <w:r w:rsidRPr="00A82F5A">
        <w:rPr>
          <w:rFonts w:ascii="Arial" w:hAnsi="Arial" w:cs="Arial"/>
          <w:sz w:val="24"/>
          <w:szCs w:val="24"/>
          <w:lang w:val="en-US"/>
        </w:rPr>
        <w:t xml:space="preserve"> deepen the coordination of the System and the production of information by other producers. For this future</w:t>
      </w:r>
      <w:r w:rsidR="00202579">
        <w:rPr>
          <w:rFonts w:ascii="Arial" w:hAnsi="Arial" w:cs="Arial"/>
          <w:sz w:val="24"/>
          <w:szCs w:val="24"/>
          <w:lang w:val="en-US"/>
        </w:rPr>
        <w:t xml:space="preserve"> SEN</w:t>
      </w:r>
      <w:r w:rsidRPr="00A82F5A">
        <w:rPr>
          <w:rFonts w:ascii="Arial" w:hAnsi="Arial" w:cs="Arial"/>
          <w:sz w:val="24"/>
          <w:szCs w:val="24"/>
          <w:lang w:val="en-US"/>
        </w:rPr>
        <w:t xml:space="preserve"> edition, the IBGE will promote internal discussion forums with other </w:t>
      </w:r>
      <w:r w:rsidR="001A79B8" w:rsidRPr="00A82F5A">
        <w:rPr>
          <w:rFonts w:ascii="Arial" w:hAnsi="Arial" w:cs="Arial"/>
          <w:sz w:val="24"/>
          <w:szCs w:val="24"/>
          <w:lang w:val="en-US"/>
        </w:rPr>
        <w:t>organi</w:t>
      </w:r>
      <w:r w:rsidR="001A79B8">
        <w:rPr>
          <w:rFonts w:ascii="Arial" w:hAnsi="Arial" w:cs="Arial"/>
          <w:sz w:val="24"/>
          <w:szCs w:val="24"/>
          <w:lang w:val="en-US"/>
        </w:rPr>
        <w:t>zations</w:t>
      </w:r>
      <w:r w:rsidR="001A79B8" w:rsidRPr="00A82F5A">
        <w:rPr>
          <w:rFonts w:ascii="Arial" w:hAnsi="Arial" w:cs="Arial"/>
          <w:sz w:val="24"/>
          <w:szCs w:val="24"/>
          <w:lang w:val="en-US"/>
        </w:rPr>
        <w:t xml:space="preserve"> </w:t>
      </w:r>
      <w:r w:rsidRPr="00A82F5A">
        <w:rPr>
          <w:rFonts w:ascii="Arial" w:hAnsi="Arial" w:cs="Arial"/>
          <w:sz w:val="24"/>
          <w:szCs w:val="24"/>
          <w:lang w:val="en-US"/>
        </w:rPr>
        <w:t>responsible for the production of official statistics in the country.</w:t>
      </w:r>
    </w:p>
    <w:p w14:paraId="13C79910" w14:textId="77777777" w:rsidR="00A82F5A" w:rsidRPr="00A82F5A" w:rsidRDefault="00A82F5A" w:rsidP="00D3214F">
      <w:pPr>
        <w:spacing w:before="120" w:after="0" w:line="360" w:lineRule="auto"/>
        <w:jc w:val="both"/>
        <w:rPr>
          <w:rFonts w:ascii="Arial" w:hAnsi="Arial" w:cs="Arial"/>
          <w:sz w:val="24"/>
          <w:szCs w:val="24"/>
          <w:lang w:val="en-US"/>
        </w:rPr>
      </w:pPr>
    </w:p>
    <w:p w14:paraId="6B47AE96" w14:textId="77777777" w:rsidR="00DD4526" w:rsidRDefault="00D3214F" w:rsidP="004740F1">
      <w:pPr>
        <w:spacing w:before="120" w:after="0" w:line="360" w:lineRule="auto"/>
        <w:jc w:val="both"/>
        <w:rPr>
          <w:rFonts w:ascii="Arial" w:hAnsi="Arial" w:cs="Arial"/>
          <w:b/>
          <w:sz w:val="24"/>
          <w:szCs w:val="24"/>
          <w:lang w:val="en-US"/>
        </w:rPr>
      </w:pPr>
      <w:r w:rsidRPr="00D3214F">
        <w:rPr>
          <w:rFonts w:ascii="Arial" w:hAnsi="Arial" w:cs="Arial"/>
          <w:b/>
          <w:sz w:val="24"/>
          <w:szCs w:val="24"/>
          <w:lang w:val="en-US"/>
        </w:rPr>
        <w:t>6. Conclusions</w:t>
      </w:r>
    </w:p>
    <w:p w14:paraId="38019E0A" w14:textId="77777777" w:rsidR="006335A6" w:rsidRDefault="00202579" w:rsidP="004740F1">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w:t>
      </w:r>
      <w:r w:rsidR="006335A6" w:rsidRPr="006335A6">
        <w:rPr>
          <w:rFonts w:ascii="Arial" w:hAnsi="Arial" w:cs="Arial"/>
          <w:sz w:val="24"/>
          <w:szCs w:val="24"/>
          <w:lang w:val="en-US"/>
        </w:rPr>
        <w:t>IBGE is continually seeking to improve its quality management</w:t>
      </w:r>
      <w:r>
        <w:rPr>
          <w:rFonts w:ascii="Arial" w:hAnsi="Arial" w:cs="Arial"/>
          <w:sz w:val="24"/>
          <w:szCs w:val="24"/>
          <w:lang w:val="en-US"/>
        </w:rPr>
        <w:t>.</w:t>
      </w:r>
      <w:r w:rsidR="006335A6" w:rsidRPr="006335A6">
        <w:rPr>
          <w:rFonts w:ascii="Arial" w:hAnsi="Arial" w:cs="Arial"/>
          <w:sz w:val="24"/>
          <w:szCs w:val="24"/>
          <w:lang w:val="en-US"/>
        </w:rPr>
        <w:t xml:space="preserve"> </w:t>
      </w:r>
      <w:r>
        <w:rPr>
          <w:rFonts w:ascii="Arial" w:hAnsi="Arial" w:cs="Arial"/>
          <w:sz w:val="24"/>
          <w:szCs w:val="24"/>
          <w:lang w:val="en-US"/>
        </w:rPr>
        <w:t>T</w:t>
      </w:r>
      <w:r w:rsidR="006335A6" w:rsidRPr="006335A6">
        <w:rPr>
          <w:rFonts w:ascii="Arial" w:hAnsi="Arial" w:cs="Arial"/>
          <w:sz w:val="24"/>
          <w:szCs w:val="24"/>
          <w:lang w:val="en-US"/>
        </w:rPr>
        <w:t xml:space="preserve">he external audit </w:t>
      </w:r>
      <w:r w:rsidR="0085526E">
        <w:rPr>
          <w:rFonts w:ascii="Arial" w:hAnsi="Arial" w:cs="Arial"/>
          <w:sz w:val="24"/>
          <w:szCs w:val="24"/>
          <w:lang w:val="en-US"/>
        </w:rPr>
        <w:t>ca</w:t>
      </w:r>
      <w:r>
        <w:rPr>
          <w:rFonts w:ascii="Arial" w:hAnsi="Arial" w:cs="Arial"/>
          <w:sz w:val="24"/>
          <w:szCs w:val="24"/>
          <w:lang w:val="en-US"/>
        </w:rPr>
        <w:t>me to help the i</w:t>
      </w:r>
      <w:r w:rsidR="006335A6" w:rsidRPr="006335A6">
        <w:rPr>
          <w:rFonts w:ascii="Arial" w:hAnsi="Arial" w:cs="Arial"/>
          <w:sz w:val="24"/>
          <w:szCs w:val="24"/>
          <w:lang w:val="en-US"/>
        </w:rPr>
        <w:t xml:space="preserve">nstitute identify its strengths </w:t>
      </w:r>
      <w:r w:rsidR="0085526E">
        <w:rPr>
          <w:rFonts w:ascii="Arial" w:hAnsi="Arial" w:cs="Arial"/>
          <w:sz w:val="24"/>
          <w:szCs w:val="24"/>
          <w:lang w:val="en-US"/>
        </w:rPr>
        <w:t>but also</w:t>
      </w:r>
      <w:r>
        <w:rPr>
          <w:rFonts w:ascii="Arial" w:hAnsi="Arial" w:cs="Arial"/>
          <w:sz w:val="24"/>
          <w:szCs w:val="24"/>
          <w:lang w:val="en-US"/>
        </w:rPr>
        <w:t xml:space="preserve"> show aspects</w:t>
      </w:r>
      <w:r w:rsidR="006335A6" w:rsidRPr="006335A6">
        <w:rPr>
          <w:rFonts w:ascii="Arial" w:hAnsi="Arial" w:cs="Arial"/>
          <w:sz w:val="24"/>
          <w:szCs w:val="24"/>
          <w:lang w:val="en-US"/>
        </w:rPr>
        <w:t xml:space="preserve"> that could or need</w:t>
      </w:r>
      <w:r>
        <w:rPr>
          <w:rFonts w:ascii="Arial" w:hAnsi="Arial" w:cs="Arial"/>
          <w:sz w:val="24"/>
          <w:szCs w:val="24"/>
          <w:lang w:val="en-US"/>
        </w:rPr>
        <w:t>ed</w:t>
      </w:r>
      <w:r w:rsidR="006335A6" w:rsidRPr="006335A6">
        <w:rPr>
          <w:rFonts w:ascii="Arial" w:hAnsi="Arial" w:cs="Arial"/>
          <w:sz w:val="24"/>
          <w:szCs w:val="24"/>
          <w:lang w:val="en-US"/>
        </w:rPr>
        <w:t xml:space="preserve"> to be improved. The </w:t>
      </w:r>
      <w:r w:rsidR="0085526E">
        <w:rPr>
          <w:rFonts w:ascii="Arial" w:hAnsi="Arial" w:cs="Arial"/>
          <w:sz w:val="24"/>
          <w:szCs w:val="24"/>
          <w:lang w:val="en-US"/>
        </w:rPr>
        <w:t>insertion</w:t>
      </w:r>
      <w:r w:rsidR="006335A6" w:rsidRPr="006335A6">
        <w:rPr>
          <w:rFonts w:ascii="Arial" w:hAnsi="Arial" w:cs="Arial"/>
          <w:sz w:val="24"/>
          <w:szCs w:val="24"/>
          <w:lang w:val="en-US"/>
        </w:rPr>
        <w:t xml:space="preserve"> of explanatory texts will help </w:t>
      </w:r>
      <w:r w:rsidR="0085526E">
        <w:rPr>
          <w:rFonts w:ascii="Arial" w:hAnsi="Arial" w:cs="Arial"/>
          <w:sz w:val="24"/>
          <w:szCs w:val="24"/>
          <w:lang w:val="en-US"/>
        </w:rPr>
        <w:t xml:space="preserve">the </w:t>
      </w:r>
      <w:r w:rsidR="006335A6" w:rsidRPr="006335A6">
        <w:rPr>
          <w:rFonts w:ascii="Arial" w:hAnsi="Arial" w:cs="Arial"/>
          <w:sz w:val="24"/>
          <w:szCs w:val="24"/>
          <w:lang w:val="en-US"/>
        </w:rPr>
        <w:t>understand</w:t>
      </w:r>
      <w:r w:rsidR="0085526E">
        <w:rPr>
          <w:rFonts w:ascii="Arial" w:hAnsi="Arial" w:cs="Arial"/>
          <w:sz w:val="24"/>
          <w:szCs w:val="24"/>
          <w:lang w:val="en-US"/>
        </w:rPr>
        <w:t>ing of</w:t>
      </w:r>
      <w:r w:rsidR="006335A6" w:rsidRPr="006335A6">
        <w:rPr>
          <w:rFonts w:ascii="Arial" w:hAnsi="Arial" w:cs="Arial"/>
          <w:sz w:val="24"/>
          <w:szCs w:val="24"/>
          <w:lang w:val="en-US"/>
        </w:rPr>
        <w:t xml:space="preserve"> what</w:t>
      </w:r>
      <w:r w:rsidR="0085526E">
        <w:rPr>
          <w:rFonts w:ascii="Arial" w:hAnsi="Arial" w:cs="Arial"/>
          <w:sz w:val="24"/>
          <w:szCs w:val="24"/>
          <w:lang w:val="en-US"/>
        </w:rPr>
        <w:t xml:space="preserve"> is being proposed in the Code by</w:t>
      </w:r>
      <w:r w:rsidR="006335A6" w:rsidRPr="006335A6">
        <w:rPr>
          <w:rFonts w:ascii="Arial" w:hAnsi="Arial" w:cs="Arial"/>
          <w:sz w:val="24"/>
          <w:szCs w:val="24"/>
          <w:lang w:val="en-US"/>
        </w:rPr>
        <w:t xml:space="preserve"> all stakeholders, but mainly by the lay public. In turn, the </w:t>
      </w:r>
      <w:r w:rsidR="0085526E">
        <w:rPr>
          <w:rFonts w:ascii="Arial" w:hAnsi="Arial" w:cs="Arial"/>
          <w:sz w:val="24"/>
          <w:szCs w:val="24"/>
          <w:lang w:val="en-US"/>
        </w:rPr>
        <w:t>addition</w:t>
      </w:r>
      <w:r w:rsidR="006335A6" w:rsidRPr="006335A6">
        <w:rPr>
          <w:rFonts w:ascii="Arial" w:hAnsi="Arial" w:cs="Arial"/>
          <w:sz w:val="24"/>
          <w:szCs w:val="24"/>
          <w:lang w:val="en-US"/>
        </w:rPr>
        <w:t xml:space="preserve"> of indicators for each good practice of the Code will help the </w:t>
      </w:r>
      <w:r>
        <w:rPr>
          <w:rFonts w:ascii="Arial" w:hAnsi="Arial" w:cs="Arial"/>
          <w:sz w:val="24"/>
          <w:szCs w:val="24"/>
          <w:lang w:val="en-US"/>
        </w:rPr>
        <w:t>i</w:t>
      </w:r>
      <w:r w:rsidR="006335A6" w:rsidRPr="006335A6">
        <w:rPr>
          <w:rFonts w:ascii="Arial" w:hAnsi="Arial" w:cs="Arial"/>
          <w:sz w:val="24"/>
          <w:szCs w:val="24"/>
          <w:lang w:val="en-US"/>
        </w:rPr>
        <w:t xml:space="preserve">nstitute make periodic evaluations </w:t>
      </w:r>
      <w:r>
        <w:rPr>
          <w:rFonts w:ascii="Arial" w:hAnsi="Arial" w:cs="Arial"/>
          <w:sz w:val="24"/>
          <w:szCs w:val="24"/>
          <w:lang w:val="en-US"/>
        </w:rPr>
        <w:t xml:space="preserve">of the adherence to the Code </w:t>
      </w:r>
      <w:r w:rsidR="006335A6" w:rsidRPr="006335A6">
        <w:rPr>
          <w:rFonts w:ascii="Arial" w:hAnsi="Arial" w:cs="Arial"/>
          <w:sz w:val="24"/>
          <w:szCs w:val="24"/>
          <w:lang w:val="en-US"/>
        </w:rPr>
        <w:t xml:space="preserve">in a structured and quantitative manner and thus </w:t>
      </w:r>
      <w:r w:rsidR="00A8220F">
        <w:rPr>
          <w:rFonts w:ascii="Arial" w:hAnsi="Arial" w:cs="Arial"/>
          <w:sz w:val="24"/>
          <w:szCs w:val="24"/>
          <w:lang w:val="en-US"/>
        </w:rPr>
        <w:t>achieve</w:t>
      </w:r>
      <w:r w:rsidR="006335A6" w:rsidRPr="006335A6">
        <w:rPr>
          <w:rFonts w:ascii="Arial" w:hAnsi="Arial" w:cs="Arial"/>
          <w:sz w:val="24"/>
          <w:szCs w:val="24"/>
          <w:lang w:val="en-US"/>
        </w:rPr>
        <w:t xml:space="preserve"> the continuous improvement of the process of statistics</w:t>
      </w:r>
      <w:r w:rsidR="0085526E" w:rsidRPr="0085526E">
        <w:rPr>
          <w:rFonts w:ascii="Arial" w:hAnsi="Arial" w:cs="Arial"/>
          <w:sz w:val="24"/>
          <w:szCs w:val="24"/>
          <w:lang w:val="en-US"/>
        </w:rPr>
        <w:t xml:space="preserve"> </w:t>
      </w:r>
      <w:r w:rsidR="0085526E">
        <w:rPr>
          <w:rFonts w:ascii="Arial" w:hAnsi="Arial" w:cs="Arial"/>
          <w:sz w:val="24"/>
          <w:szCs w:val="24"/>
          <w:lang w:val="en-US"/>
        </w:rPr>
        <w:t>production</w:t>
      </w:r>
      <w:r w:rsidR="006335A6" w:rsidRPr="006335A6">
        <w:rPr>
          <w:rFonts w:ascii="Arial" w:hAnsi="Arial" w:cs="Arial"/>
          <w:sz w:val="24"/>
          <w:szCs w:val="24"/>
          <w:lang w:val="en-US"/>
        </w:rPr>
        <w:t>.</w:t>
      </w:r>
    </w:p>
    <w:p w14:paraId="3118AEB0" w14:textId="77777777" w:rsidR="0085526E" w:rsidRPr="006335A6" w:rsidRDefault="0085526E" w:rsidP="004740F1">
      <w:pPr>
        <w:spacing w:before="120" w:after="0" w:line="360" w:lineRule="auto"/>
        <w:jc w:val="both"/>
        <w:rPr>
          <w:rFonts w:ascii="Arial" w:hAnsi="Arial" w:cs="Arial"/>
          <w:sz w:val="24"/>
          <w:szCs w:val="24"/>
          <w:lang w:val="en-US"/>
        </w:rPr>
      </w:pPr>
    </w:p>
    <w:p w14:paraId="1AF2739A" w14:textId="77777777" w:rsidR="00D3214F" w:rsidRPr="00D3214F" w:rsidRDefault="00D3214F" w:rsidP="004740F1">
      <w:pPr>
        <w:spacing w:before="120" w:after="0" w:line="360" w:lineRule="auto"/>
        <w:jc w:val="both"/>
        <w:rPr>
          <w:rFonts w:ascii="Arial" w:hAnsi="Arial" w:cs="Arial"/>
          <w:b/>
          <w:sz w:val="24"/>
          <w:szCs w:val="24"/>
          <w:lang w:val="en-US"/>
        </w:rPr>
      </w:pPr>
      <w:r w:rsidRPr="00D3214F">
        <w:rPr>
          <w:rFonts w:ascii="Arial" w:hAnsi="Arial" w:cs="Arial"/>
          <w:b/>
          <w:sz w:val="24"/>
          <w:szCs w:val="24"/>
          <w:lang w:val="en-US"/>
        </w:rPr>
        <w:t>7. References</w:t>
      </w:r>
    </w:p>
    <w:p w14:paraId="6249905E" w14:textId="77777777" w:rsidR="006617DC" w:rsidRDefault="00761238" w:rsidP="00761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European Statistical System. Quality Assurance Framework of the European Statistical System. Available at: </w:t>
      </w:r>
      <w:hyperlink r:id="rId8" w:history="1">
        <w:r w:rsidRPr="00607DD2">
          <w:rPr>
            <w:rStyle w:val="Hipercze"/>
            <w:rFonts w:ascii="Arial" w:hAnsi="Arial" w:cs="Arial"/>
            <w:sz w:val="24"/>
            <w:szCs w:val="24"/>
            <w:lang w:val="en-US"/>
          </w:rPr>
          <w:t>http://ec.europa.eu/eurostat/quality</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3B34538B" w14:textId="77777777" w:rsidR="00761238" w:rsidRDefault="00761238" w:rsidP="00761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European Statistical System (2013), </w:t>
      </w:r>
      <w:r w:rsidRPr="00D445FE">
        <w:rPr>
          <w:rFonts w:ascii="Arial" w:hAnsi="Arial" w:cs="Arial"/>
          <w:sz w:val="24"/>
          <w:szCs w:val="24"/>
          <w:lang w:val="en-US"/>
        </w:rPr>
        <w:t>E</w:t>
      </w:r>
      <w:r>
        <w:rPr>
          <w:rFonts w:ascii="Arial" w:hAnsi="Arial" w:cs="Arial"/>
          <w:sz w:val="24"/>
          <w:szCs w:val="24"/>
          <w:lang w:val="en-US"/>
        </w:rPr>
        <w:t xml:space="preserve">uropean Statistical System Peer Reviews - </w:t>
      </w:r>
      <w:r w:rsidRPr="00D445FE">
        <w:rPr>
          <w:rFonts w:ascii="Arial" w:hAnsi="Arial" w:cs="Arial"/>
          <w:sz w:val="24"/>
          <w:szCs w:val="24"/>
          <w:lang w:val="en-US"/>
        </w:rPr>
        <w:t>Self-</w:t>
      </w:r>
      <w:r>
        <w:rPr>
          <w:rFonts w:ascii="Arial" w:hAnsi="Arial" w:cs="Arial"/>
          <w:sz w:val="24"/>
          <w:szCs w:val="24"/>
          <w:lang w:val="en-US"/>
        </w:rPr>
        <w:t xml:space="preserve">assessment questionnaire on the </w:t>
      </w:r>
      <w:r w:rsidRPr="00D445FE">
        <w:rPr>
          <w:rFonts w:ascii="Arial" w:hAnsi="Arial" w:cs="Arial"/>
          <w:sz w:val="24"/>
          <w:szCs w:val="24"/>
          <w:lang w:val="en-US"/>
        </w:rPr>
        <w:t>implementat</w:t>
      </w:r>
      <w:r>
        <w:rPr>
          <w:rFonts w:ascii="Arial" w:hAnsi="Arial" w:cs="Arial"/>
          <w:sz w:val="24"/>
          <w:szCs w:val="24"/>
          <w:lang w:val="en-US"/>
        </w:rPr>
        <w:t xml:space="preserve">ion of the European Statistics Code of Practice. Available at: </w:t>
      </w:r>
      <w:hyperlink r:id="rId9" w:history="1">
        <w:r w:rsidRPr="00607DD2">
          <w:rPr>
            <w:rStyle w:val="Hipercze"/>
            <w:rFonts w:ascii="Arial" w:hAnsi="Arial" w:cs="Arial"/>
            <w:sz w:val="24"/>
            <w:szCs w:val="24"/>
            <w:lang w:val="en-US"/>
          </w:rPr>
          <w:t>http://ec.europa.eu/eurostat/documents/64157/4372828/1-SAQ-on-the-implementation-of-the-CoP.pdf/1d2a715d-7a15-4df1-8c98-170e2097c544</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6175DCD4" w14:textId="77777777" w:rsidR="00761238" w:rsidRDefault="00761238" w:rsidP="00761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European Statistical System (2013), </w:t>
      </w:r>
      <w:r w:rsidRPr="00D445FE">
        <w:rPr>
          <w:rFonts w:ascii="Arial" w:hAnsi="Arial" w:cs="Arial"/>
          <w:sz w:val="24"/>
          <w:szCs w:val="24"/>
          <w:lang w:val="en-US"/>
        </w:rPr>
        <w:t>E</w:t>
      </w:r>
      <w:r>
        <w:rPr>
          <w:rFonts w:ascii="Arial" w:hAnsi="Arial" w:cs="Arial"/>
          <w:sz w:val="24"/>
          <w:szCs w:val="24"/>
          <w:lang w:val="en-US"/>
        </w:rPr>
        <w:t xml:space="preserve">uropean Statistical System Peer </w:t>
      </w:r>
      <w:r w:rsidRPr="00D445FE">
        <w:rPr>
          <w:rFonts w:ascii="Arial" w:hAnsi="Arial" w:cs="Arial"/>
          <w:sz w:val="24"/>
          <w:szCs w:val="24"/>
          <w:lang w:val="en-US"/>
        </w:rPr>
        <w:t>Reviews</w:t>
      </w:r>
      <w:r>
        <w:rPr>
          <w:rFonts w:ascii="Arial" w:hAnsi="Arial" w:cs="Arial"/>
          <w:sz w:val="24"/>
          <w:szCs w:val="24"/>
          <w:lang w:val="en-US"/>
        </w:rPr>
        <w:t xml:space="preserve"> - </w:t>
      </w:r>
      <w:r w:rsidRPr="00D445FE">
        <w:rPr>
          <w:rFonts w:ascii="Arial" w:hAnsi="Arial" w:cs="Arial"/>
          <w:sz w:val="24"/>
          <w:szCs w:val="24"/>
          <w:lang w:val="en-US"/>
        </w:rPr>
        <w:t>Questionnaire on cooperation/level of</w:t>
      </w:r>
      <w:r>
        <w:rPr>
          <w:rFonts w:ascii="Arial" w:hAnsi="Arial" w:cs="Arial"/>
          <w:sz w:val="24"/>
          <w:szCs w:val="24"/>
          <w:lang w:val="en-US"/>
        </w:rPr>
        <w:t xml:space="preserve"> </w:t>
      </w:r>
      <w:r w:rsidRPr="00D445FE">
        <w:rPr>
          <w:rFonts w:ascii="Arial" w:hAnsi="Arial" w:cs="Arial"/>
          <w:sz w:val="24"/>
          <w:szCs w:val="24"/>
          <w:lang w:val="en-US"/>
        </w:rPr>
        <w:t>integration achieved by the ESS</w:t>
      </w:r>
      <w:r>
        <w:rPr>
          <w:rFonts w:ascii="Arial" w:hAnsi="Arial" w:cs="Arial"/>
          <w:sz w:val="24"/>
          <w:szCs w:val="24"/>
          <w:lang w:val="en-US"/>
        </w:rPr>
        <w:t xml:space="preserve">. Available at: </w:t>
      </w:r>
      <w:hyperlink r:id="rId10" w:history="1">
        <w:r w:rsidRPr="00607DD2">
          <w:rPr>
            <w:rStyle w:val="Hipercze"/>
            <w:rFonts w:ascii="Arial" w:hAnsi="Arial" w:cs="Arial"/>
            <w:sz w:val="24"/>
            <w:szCs w:val="24"/>
            <w:lang w:val="en-US"/>
          </w:rPr>
          <w:t>http://ec.europa.eu/eurostat/documents/64157/4372828/4-Questionnaire-on-cooperation-level-of-integration-achieved-by-the-ESS.pdf/1a88bf62-6be9-48a6-a5a4-fab09ccfcf07</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01A588FC" w14:textId="77777777" w:rsidR="00761238" w:rsidRDefault="00761238" w:rsidP="00761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European Statistical System. (2013), </w:t>
      </w:r>
      <w:r w:rsidRPr="00C11109">
        <w:rPr>
          <w:rFonts w:ascii="Arial" w:hAnsi="Arial" w:cs="Arial"/>
          <w:sz w:val="24"/>
          <w:szCs w:val="24"/>
          <w:lang w:val="en-US"/>
        </w:rPr>
        <w:t>E</w:t>
      </w:r>
      <w:r>
        <w:rPr>
          <w:rFonts w:ascii="Arial" w:hAnsi="Arial" w:cs="Arial"/>
          <w:sz w:val="24"/>
          <w:szCs w:val="24"/>
          <w:lang w:val="en-US"/>
        </w:rPr>
        <w:t xml:space="preserve">uropean Statistical System Peer </w:t>
      </w:r>
      <w:r w:rsidRPr="00C11109">
        <w:rPr>
          <w:rFonts w:ascii="Arial" w:hAnsi="Arial" w:cs="Arial"/>
          <w:sz w:val="24"/>
          <w:szCs w:val="24"/>
          <w:lang w:val="en-US"/>
        </w:rPr>
        <w:t>Reviews</w:t>
      </w:r>
      <w:r>
        <w:rPr>
          <w:rFonts w:ascii="Arial" w:hAnsi="Arial" w:cs="Arial"/>
          <w:sz w:val="24"/>
          <w:szCs w:val="24"/>
          <w:lang w:val="en-US"/>
        </w:rPr>
        <w:t xml:space="preserve"> - </w:t>
      </w:r>
      <w:r w:rsidRPr="00C11109">
        <w:rPr>
          <w:rFonts w:ascii="Arial" w:hAnsi="Arial" w:cs="Arial"/>
          <w:sz w:val="24"/>
          <w:szCs w:val="24"/>
          <w:lang w:val="en-US"/>
        </w:rPr>
        <w:t>Qu</w:t>
      </w:r>
      <w:r>
        <w:rPr>
          <w:rFonts w:ascii="Arial" w:hAnsi="Arial" w:cs="Arial"/>
          <w:sz w:val="24"/>
          <w:szCs w:val="24"/>
          <w:lang w:val="en-US"/>
        </w:rPr>
        <w:t xml:space="preserve">estionnaire on the Coordination </w:t>
      </w:r>
      <w:r w:rsidRPr="00C11109">
        <w:rPr>
          <w:rFonts w:ascii="Arial" w:hAnsi="Arial" w:cs="Arial"/>
          <w:sz w:val="24"/>
          <w:szCs w:val="24"/>
          <w:lang w:val="en-US"/>
        </w:rPr>
        <w:t>role of the NSIs</w:t>
      </w:r>
      <w:r>
        <w:rPr>
          <w:rFonts w:ascii="Arial" w:hAnsi="Arial" w:cs="Arial"/>
          <w:sz w:val="24"/>
          <w:szCs w:val="24"/>
          <w:lang w:val="en-US"/>
        </w:rPr>
        <w:t xml:space="preserve">. Available at: </w:t>
      </w:r>
      <w:hyperlink r:id="rId11" w:history="1">
        <w:r w:rsidRPr="00607DD2">
          <w:rPr>
            <w:rStyle w:val="Hipercze"/>
            <w:rFonts w:ascii="Arial" w:hAnsi="Arial" w:cs="Arial"/>
            <w:sz w:val="24"/>
            <w:szCs w:val="24"/>
            <w:lang w:val="en-US"/>
          </w:rPr>
          <w:t>http://ec.europa.eu/eurostat/documents/64157/4372828/3-Questionnaire-on-the-coordination-role-of-the-NSIs.pdf/4a53f1b5-d7be-42b5-a3d3-f6d4438ab70c</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4684E877" w14:textId="77777777" w:rsidR="006617DC" w:rsidRDefault="006617DC" w:rsidP="006617DC">
      <w:pPr>
        <w:spacing w:before="120" w:after="0" w:line="360" w:lineRule="auto"/>
        <w:jc w:val="both"/>
        <w:rPr>
          <w:rFonts w:ascii="Arial" w:hAnsi="Arial" w:cs="Arial"/>
          <w:sz w:val="24"/>
          <w:szCs w:val="24"/>
          <w:lang w:val="en-US"/>
        </w:rPr>
      </w:pPr>
      <w:r>
        <w:rPr>
          <w:rFonts w:ascii="Arial" w:hAnsi="Arial" w:cs="Arial"/>
          <w:sz w:val="24"/>
          <w:szCs w:val="24"/>
          <w:lang w:val="en-US"/>
        </w:rPr>
        <w:t xml:space="preserve">Eurostat (2013), Code of Practice Compliance Activities 2013. Available at: </w:t>
      </w:r>
      <w:hyperlink r:id="rId12" w:history="1">
        <w:r w:rsidRPr="00607DD2">
          <w:rPr>
            <w:rStyle w:val="Hipercze"/>
            <w:rFonts w:ascii="Arial" w:hAnsi="Arial" w:cs="Arial"/>
            <w:sz w:val="24"/>
            <w:szCs w:val="24"/>
            <w:lang w:val="en-US"/>
          </w:rPr>
          <w:t>http://ec.europa.eu/eurostat/web/quality/implementation-in-eurostat</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73D6EA8E" w14:textId="77777777" w:rsidR="00787776" w:rsidRDefault="00787776" w:rsidP="005A1F57">
      <w:pPr>
        <w:spacing w:before="120" w:after="0" w:line="360" w:lineRule="auto"/>
        <w:jc w:val="both"/>
        <w:rPr>
          <w:rFonts w:ascii="Arial" w:hAnsi="Arial" w:cs="Arial"/>
          <w:sz w:val="24"/>
          <w:szCs w:val="24"/>
          <w:lang w:val="pt-BR"/>
        </w:rPr>
      </w:pPr>
      <w:r w:rsidRPr="00787776">
        <w:rPr>
          <w:rFonts w:ascii="Arial" w:hAnsi="Arial" w:cs="Arial"/>
          <w:sz w:val="24"/>
          <w:szCs w:val="24"/>
          <w:lang w:val="pt-BR"/>
        </w:rPr>
        <w:t>IBGE</w:t>
      </w:r>
      <w:r>
        <w:rPr>
          <w:rFonts w:ascii="Arial" w:hAnsi="Arial" w:cs="Arial"/>
          <w:sz w:val="24"/>
          <w:szCs w:val="24"/>
          <w:lang w:val="pt-BR"/>
        </w:rPr>
        <w:t xml:space="preserve"> (2013)</w:t>
      </w:r>
      <w:r w:rsidR="00FC633F">
        <w:rPr>
          <w:rFonts w:ascii="Arial" w:hAnsi="Arial" w:cs="Arial"/>
          <w:sz w:val="24"/>
          <w:szCs w:val="24"/>
          <w:lang w:val="pt-BR"/>
        </w:rPr>
        <w:t>,</w:t>
      </w:r>
      <w:r w:rsidRPr="00787776">
        <w:rPr>
          <w:rFonts w:ascii="Arial" w:hAnsi="Arial" w:cs="Arial"/>
          <w:sz w:val="24"/>
          <w:szCs w:val="24"/>
          <w:lang w:val="pt-BR"/>
        </w:rPr>
        <w:t xml:space="preserve"> Código de Boas Práticas das Estat</w:t>
      </w:r>
      <w:r>
        <w:rPr>
          <w:rFonts w:ascii="Arial" w:hAnsi="Arial" w:cs="Arial"/>
          <w:sz w:val="24"/>
          <w:szCs w:val="24"/>
          <w:lang w:val="pt-BR"/>
        </w:rPr>
        <w:t>ísticas do IBGE. Available at:</w:t>
      </w:r>
      <w:r w:rsidR="00FC633F">
        <w:rPr>
          <w:rFonts w:ascii="Arial" w:hAnsi="Arial" w:cs="Arial"/>
          <w:sz w:val="24"/>
          <w:szCs w:val="24"/>
          <w:lang w:val="pt-BR"/>
        </w:rPr>
        <w:t xml:space="preserve"> </w:t>
      </w:r>
      <w:hyperlink r:id="rId13" w:history="1">
        <w:r w:rsidR="00FC633F" w:rsidRPr="00607DD2">
          <w:rPr>
            <w:rStyle w:val="Hipercze"/>
            <w:rFonts w:ascii="Arial" w:hAnsi="Arial" w:cs="Arial"/>
            <w:sz w:val="24"/>
            <w:szCs w:val="24"/>
            <w:lang w:val="pt-BR"/>
          </w:rPr>
          <w:t>ftp://ftp.ibge.gov.br/Informacoes_Gerais_e_Referencia/Codigo_de_Boas_Praticas_das_Estatisticas_do_IBGE.pdf</w:t>
        </w:r>
      </w:hyperlink>
      <w:r w:rsidR="00FC633F">
        <w:rPr>
          <w:rFonts w:ascii="Arial" w:hAnsi="Arial" w:cs="Arial"/>
          <w:sz w:val="24"/>
          <w:szCs w:val="24"/>
          <w:lang w:val="pt-BR"/>
        </w:rPr>
        <w:t xml:space="preserve"> (Accessed: 09 April 2018)</w:t>
      </w:r>
    </w:p>
    <w:p w14:paraId="16F14046" w14:textId="77777777" w:rsidR="006617DC" w:rsidRDefault="006617DC" w:rsidP="006617DC">
      <w:pPr>
        <w:spacing w:before="120" w:after="0" w:line="360" w:lineRule="auto"/>
        <w:jc w:val="both"/>
        <w:rPr>
          <w:rFonts w:ascii="Arial" w:hAnsi="Arial" w:cs="Arial"/>
          <w:sz w:val="24"/>
          <w:szCs w:val="24"/>
          <w:lang w:val="en-US"/>
        </w:rPr>
      </w:pPr>
      <w:r>
        <w:rPr>
          <w:rFonts w:ascii="Arial" w:hAnsi="Arial" w:cs="Arial"/>
          <w:sz w:val="24"/>
          <w:szCs w:val="24"/>
          <w:lang w:val="en-US"/>
        </w:rPr>
        <w:t xml:space="preserve">OECD (2015), </w:t>
      </w:r>
      <w:r w:rsidRPr="00C11109">
        <w:rPr>
          <w:rFonts w:ascii="Arial" w:hAnsi="Arial" w:cs="Arial"/>
          <w:sz w:val="24"/>
          <w:szCs w:val="24"/>
          <w:lang w:val="en-US"/>
        </w:rPr>
        <w:t>Recommendation of the O</w:t>
      </w:r>
      <w:r>
        <w:rPr>
          <w:rFonts w:ascii="Arial" w:hAnsi="Arial" w:cs="Arial"/>
          <w:sz w:val="24"/>
          <w:szCs w:val="24"/>
          <w:lang w:val="en-US"/>
        </w:rPr>
        <w:t xml:space="preserve">ECD Council on Good Statistical </w:t>
      </w:r>
      <w:r w:rsidRPr="00C11109">
        <w:rPr>
          <w:rFonts w:ascii="Arial" w:hAnsi="Arial" w:cs="Arial"/>
          <w:sz w:val="24"/>
          <w:szCs w:val="24"/>
          <w:lang w:val="en-US"/>
        </w:rPr>
        <w:t>Practice</w:t>
      </w:r>
      <w:r>
        <w:rPr>
          <w:rFonts w:ascii="Arial" w:hAnsi="Arial" w:cs="Arial"/>
          <w:sz w:val="24"/>
          <w:szCs w:val="24"/>
          <w:lang w:val="en-US"/>
        </w:rPr>
        <w:t xml:space="preserve">. Available at: </w:t>
      </w:r>
      <w:hyperlink r:id="rId14" w:history="1">
        <w:r w:rsidRPr="00607DD2">
          <w:rPr>
            <w:rStyle w:val="Hipercze"/>
            <w:rFonts w:ascii="Arial" w:hAnsi="Arial" w:cs="Arial"/>
            <w:sz w:val="24"/>
            <w:szCs w:val="24"/>
            <w:lang w:val="en-US"/>
          </w:rPr>
          <w:t>http://www.oecd.org/statistics/good-practice-toolkit/</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403B8C7B" w14:textId="77777777" w:rsidR="00FC633F" w:rsidRDefault="00FC633F" w:rsidP="005A1F57">
      <w:pPr>
        <w:spacing w:before="120" w:after="0" w:line="360" w:lineRule="auto"/>
        <w:jc w:val="both"/>
        <w:rPr>
          <w:rFonts w:ascii="Arial" w:hAnsi="Arial" w:cs="Arial"/>
          <w:sz w:val="24"/>
          <w:szCs w:val="24"/>
          <w:lang w:val="en-US"/>
        </w:rPr>
      </w:pPr>
      <w:r w:rsidRPr="00FC633F">
        <w:rPr>
          <w:rFonts w:ascii="Arial" w:hAnsi="Arial" w:cs="Arial"/>
          <w:sz w:val="24"/>
          <w:szCs w:val="24"/>
          <w:lang w:val="en-US"/>
        </w:rPr>
        <w:t>United Nations Statistics Division (2012),</w:t>
      </w:r>
      <w:r>
        <w:rPr>
          <w:rFonts w:ascii="Arial" w:hAnsi="Arial" w:cs="Arial"/>
          <w:sz w:val="24"/>
          <w:szCs w:val="24"/>
          <w:lang w:val="en-US"/>
        </w:rPr>
        <w:t xml:space="preserve"> Guidelines for the</w:t>
      </w:r>
      <w:r w:rsidRPr="00FC633F">
        <w:rPr>
          <w:rFonts w:ascii="Arial" w:hAnsi="Arial" w:cs="Arial"/>
          <w:sz w:val="24"/>
          <w:szCs w:val="24"/>
          <w:lang w:val="en-US"/>
        </w:rPr>
        <w:t xml:space="preserve"> Template for a Generic National Quality Assurance Framework. </w:t>
      </w:r>
      <w:r>
        <w:rPr>
          <w:rFonts w:ascii="Arial" w:hAnsi="Arial" w:cs="Arial"/>
          <w:sz w:val="24"/>
          <w:szCs w:val="24"/>
          <w:lang w:val="en-US"/>
        </w:rPr>
        <w:t xml:space="preserve">Available at: </w:t>
      </w:r>
      <w:hyperlink r:id="rId15" w:history="1">
        <w:r w:rsidRPr="00607DD2">
          <w:rPr>
            <w:rStyle w:val="Hipercze"/>
            <w:rFonts w:ascii="Arial" w:hAnsi="Arial" w:cs="Arial"/>
            <w:sz w:val="24"/>
            <w:szCs w:val="24"/>
            <w:lang w:val="en-US"/>
          </w:rPr>
          <w:t>https://unstats.un.org/unsd/dnss/qualitynqaf/nqaf.aspx</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p w14:paraId="4789165C" w14:textId="77777777" w:rsidR="00C11109" w:rsidRDefault="00C11109" w:rsidP="00C11109">
      <w:pPr>
        <w:spacing w:before="120" w:after="0" w:line="360" w:lineRule="auto"/>
        <w:jc w:val="both"/>
        <w:rPr>
          <w:rFonts w:ascii="Arial" w:hAnsi="Arial" w:cs="Arial"/>
          <w:sz w:val="24"/>
          <w:szCs w:val="24"/>
          <w:lang w:val="en-US"/>
        </w:rPr>
      </w:pPr>
      <w:r>
        <w:rPr>
          <w:rFonts w:ascii="Arial" w:hAnsi="Arial" w:cs="Arial"/>
          <w:sz w:val="24"/>
          <w:szCs w:val="24"/>
          <w:lang w:val="en-US"/>
        </w:rPr>
        <w:t xml:space="preserve">United Nations (2015), United Nations Fundamental </w:t>
      </w:r>
      <w:r w:rsidRPr="00C11109">
        <w:rPr>
          <w:rFonts w:ascii="Arial" w:hAnsi="Arial" w:cs="Arial"/>
          <w:sz w:val="24"/>
          <w:szCs w:val="24"/>
          <w:lang w:val="en-US"/>
        </w:rPr>
        <w:t>Pr</w:t>
      </w:r>
      <w:r>
        <w:rPr>
          <w:rFonts w:ascii="Arial" w:hAnsi="Arial" w:cs="Arial"/>
          <w:sz w:val="24"/>
          <w:szCs w:val="24"/>
          <w:lang w:val="en-US"/>
        </w:rPr>
        <w:t xml:space="preserve">inciples of Official Statistics </w:t>
      </w:r>
      <w:r w:rsidRPr="00C11109">
        <w:rPr>
          <w:rFonts w:ascii="Arial" w:hAnsi="Arial" w:cs="Arial"/>
          <w:sz w:val="24"/>
          <w:szCs w:val="24"/>
          <w:lang w:val="en-US"/>
        </w:rPr>
        <w:t>Implementation guidelines</w:t>
      </w:r>
      <w:r>
        <w:rPr>
          <w:rFonts w:ascii="Arial" w:hAnsi="Arial" w:cs="Arial"/>
          <w:sz w:val="24"/>
          <w:szCs w:val="24"/>
          <w:lang w:val="en-US"/>
        </w:rPr>
        <w:t xml:space="preserve">. Available at: </w:t>
      </w:r>
      <w:hyperlink r:id="rId16" w:history="1">
        <w:r w:rsidRPr="00607DD2">
          <w:rPr>
            <w:rStyle w:val="Hipercze"/>
            <w:rFonts w:ascii="Arial" w:hAnsi="Arial" w:cs="Arial"/>
            <w:sz w:val="24"/>
            <w:szCs w:val="24"/>
            <w:lang w:val="en-US"/>
          </w:rPr>
          <w:t>https://unstats.un.org/unsd/dnss/gp/Implementation_Guidelines_FINAL_without_edit.pdf</w:t>
        </w:r>
      </w:hyperlink>
      <w:r>
        <w:rPr>
          <w:rFonts w:ascii="Arial" w:hAnsi="Arial" w:cs="Arial"/>
          <w:sz w:val="24"/>
          <w:szCs w:val="24"/>
          <w:lang w:val="en-US"/>
        </w:rPr>
        <w:t xml:space="preserve"> </w:t>
      </w:r>
      <w:r w:rsidRPr="00FC633F">
        <w:rPr>
          <w:rFonts w:ascii="Arial" w:hAnsi="Arial" w:cs="Arial"/>
          <w:sz w:val="24"/>
          <w:szCs w:val="24"/>
          <w:lang w:val="en-US"/>
        </w:rPr>
        <w:t>(Accessed: 09 April 2018)</w:t>
      </w:r>
    </w:p>
    <w:bookmarkEnd w:id="0"/>
    <w:p w14:paraId="712BB2CB" w14:textId="77777777" w:rsidR="004740F1" w:rsidRPr="00FC633F" w:rsidRDefault="004740F1" w:rsidP="00C74A1D">
      <w:pPr>
        <w:rPr>
          <w:rFonts w:ascii="Arial" w:hAnsi="Arial" w:cs="Arial"/>
          <w:sz w:val="24"/>
          <w:szCs w:val="24"/>
          <w:lang w:val="en-US"/>
        </w:rPr>
      </w:pPr>
    </w:p>
    <w:sectPr w:rsidR="004740F1" w:rsidRPr="00FC633F"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5CF8" w14:textId="77777777" w:rsidR="009F605B" w:rsidRDefault="009F605B" w:rsidP="00E82B25">
      <w:pPr>
        <w:spacing w:after="0" w:line="240" w:lineRule="auto"/>
      </w:pPr>
      <w:r>
        <w:separator/>
      </w:r>
    </w:p>
  </w:endnote>
  <w:endnote w:type="continuationSeparator" w:id="0">
    <w:p w14:paraId="30335B0F" w14:textId="77777777" w:rsidR="009F605B" w:rsidRDefault="009F605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06ABDC85" w14:textId="54038C8E" w:rsidR="00761238" w:rsidRPr="009378F5" w:rsidRDefault="00761238"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21872">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7BB9" w14:textId="77777777" w:rsidR="009F605B" w:rsidRDefault="009F605B" w:rsidP="00E82B25">
      <w:pPr>
        <w:spacing w:after="0" w:line="240" w:lineRule="auto"/>
      </w:pPr>
      <w:r>
        <w:separator/>
      </w:r>
    </w:p>
  </w:footnote>
  <w:footnote w:type="continuationSeparator" w:id="0">
    <w:p w14:paraId="55A65F12" w14:textId="77777777" w:rsidR="009F605B" w:rsidRDefault="009F605B"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EEE3" w14:textId="77777777" w:rsidR="00761238" w:rsidRDefault="00621872">
    <w:pPr>
      <w:pStyle w:val="Nagwek"/>
    </w:pPr>
    <w:r>
      <w:rPr>
        <w:noProof/>
        <w:lang w:eastAsia="pl-PL"/>
      </w:rPr>
      <w:pict w14:anchorId="53C84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D332" w14:textId="77777777" w:rsidR="00761238" w:rsidRDefault="00621872">
    <w:pPr>
      <w:pStyle w:val="Nagwek"/>
    </w:pPr>
    <w:r>
      <w:rPr>
        <w:noProof/>
        <w:lang w:eastAsia="pl-PL"/>
      </w:rPr>
      <w:pict w14:anchorId="463F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0AA7" w14:textId="77777777" w:rsidR="00761238" w:rsidRDefault="00621872">
    <w:pPr>
      <w:pStyle w:val="Nagwek"/>
    </w:pPr>
    <w:r>
      <w:rPr>
        <w:noProof/>
        <w:lang w:eastAsia="pl-PL"/>
      </w:rPr>
      <w:pict w14:anchorId="7D51D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26C"/>
    <w:multiLevelType w:val="hybridMultilevel"/>
    <w:tmpl w:val="43FC871E"/>
    <w:lvl w:ilvl="0" w:tplc="B02056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D25B51"/>
    <w:multiLevelType w:val="hybridMultilevel"/>
    <w:tmpl w:val="FCB8AF32"/>
    <w:lvl w:ilvl="0" w:tplc="CE8210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042304"/>
    <w:multiLevelType w:val="hybridMultilevel"/>
    <w:tmpl w:val="9DD0E0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53F424E"/>
    <w:multiLevelType w:val="hybridMultilevel"/>
    <w:tmpl w:val="AC526D6E"/>
    <w:lvl w:ilvl="0" w:tplc="75FCB7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0C6B13"/>
    <w:multiLevelType w:val="hybridMultilevel"/>
    <w:tmpl w:val="ADD2FF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41C"/>
    <w:rsid w:val="000163C1"/>
    <w:rsid w:val="00026CD3"/>
    <w:rsid w:val="00036210"/>
    <w:rsid w:val="00047C24"/>
    <w:rsid w:val="00070925"/>
    <w:rsid w:val="0007704A"/>
    <w:rsid w:val="000942F8"/>
    <w:rsid w:val="000957CC"/>
    <w:rsid w:val="000B5B30"/>
    <w:rsid w:val="000C2C6E"/>
    <w:rsid w:val="000C6472"/>
    <w:rsid w:val="000D705A"/>
    <w:rsid w:val="000F0068"/>
    <w:rsid w:val="000F337F"/>
    <w:rsid w:val="000F4D11"/>
    <w:rsid w:val="00103AA7"/>
    <w:rsid w:val="00116D9E"/>
    <w:rsid w:val="001250E8"/>
    <w:rsid w:val="00133E07"/>
    <w:rsid w:val="00142A8D"/>
    <w:rsid w:val="00157DAD"/>
    <w:rsid w:val="00160406"/>
    <w:rsid w:val="00166798"/>
    <w:rsid w:val="0016743D"/>
    <w:rsid w:val="00182039"/>
    <w:rsid w:val="00182357"/>
    <w:rsid w:val="001A79B8"/>
    <w:rsid w:val="001E43DC"/>
    <w:rsid w:val="00202579"/>
    <w:rsid w:val="00221F17"/>
    <w:rsid w:val="00234927"/>
    <w:rsid w:val="0023623C"/>
    <w:rsid w:val="00242620"/>
    <w:rsid w:val="0027555E"/>
    <w:rsid w:val="0028150C"/>
    <w:rsid w:val="00282B53"/>
    <w:rsid w:val="00293580"/>
    <w:rsid w:val="002B6D33"/>
    <w:rsid w:val="002D0CB2"/>
    <w:rsid w:val="002E7522"/>
    <w:rsid w:val="00336E21"/>
    <w:rsid w:val="00342F60"/>
    <w:rsid w:val="0035694D"/>
    <w:rsid w:val="00362815"/>
    <w:rsid w:val="003A1D16"/>
    <w:rsid w:val="003B736D"/>
    <w:rsid w:val="004150F5"/>
    <w:rsid w:val="004213B8"/>
    <w:rsid w:val="004740F1"/>
    <w:rsid w:val="0048748D"/>
    <w:rsid w:val="0048779C"/>
    <w:rsid w:val="0049271F"/>
    <w:rsid w:val="00493026"/>
    <w:rsid w:val="004A12A7"/>
    <w:rsid w:val="004A1A99"/>
    <w:rsid w:val="004B39C1"/>
    <w:rsid w:val="004B6729"/>
    <w:rsid w:val="004C5048"/>
    <w:rsid w:val="004E3655"/>
    <w:rsid w:val="004F04B4"/>
    <w:rsid w:val="004F2F57"/>
    <w:rsid w:val="005215E8"/>
    <w:rsid w:val="00530FD6"/>
    <w:rsid w:val="005812C5"/>
    <w:rsid w:val="00591461"/>
    <w:rsid w:val="005A1F57"/>
    <w:rsid w:val="005B6971"/>
    <w:rsid w:val="005D62A1"/>
    <w:rsid w:val="006052BF"/>
    <w:rsid w:val="00606A29"/>
    <w:rsid w:val="00621872"/>
    <w:rsid w:val="00623F6D"/>
    <w:rsid w:val="006335A6"/>
    <w:rsid w:val="00653D6C"/>
    <w:rsid w:val="006617DC"/>
    <w:rsid w:val="00667788"/>
    <w:rsid w:val="006776FE"/>
    <w:rsid w:val="0069009D"/>
    <w:rsid w:val="00693BE5"/>
    <w:rsid w:val="00695081"/>
    <w:rsid w:val="00697934"/>
    <w:rsid w:val="006B5A4A"/>
    <w:rsid w:val="006C5879"/>
    <w:rsid w:val="006D13AA"/>
    <w:rsid w:val="007228FE"/>
    <w:rsid w:val="007545F0"/>
    <w:rsid w:val="00761238"/>
    <w:rsid w:val="007713AC"/>
    <w:rsid w:val="007730C4"/>
    <w:rsid w:val="00776C97"/>
    <w:rsid w:val="00787776"/>
    <w:rsid w:val="00791E59"/>
    <w:rsid w:val="007E6D8C"/>
    <w:rsid w:val="007E6ED6"/>
    <w:rsid w:val="0082373C"/>
    <w:rsid w:val="00833472"/>
    <w:rsid w:val="0085526E"/>
    <w:rsid w:val="008629F3"/>
    <w:rsid w:val="00864B52"/>
    <w:rsid w:val="00867B2C"/>
    <w:rsid w:val="00873330"/>
    <w:rsid w:val="00874575"/>
    <w:rsid w:val="00883326"/>
    <w:rsid w:val="0089637D"/>
    <w:rsid w:val="008A4500"/>
    <w:rsid w:val="008A71D2"/>
    <w:rsid w:val="008B0935"/>
    <w:rsid w:val="008D56E1"/>
    <w:rsid w:val="008D6094"/>
    <w:rsid w:val="00902A7F"/>
    <w:rsid w:val="009252D0"/>
    <w:rsid w:val="009378F5"/>
    <w:rsid w:val="009476E9"/>
    <w:rsid w:val="0096269C"/>
    <w:rsid w:val="00973B8D"/>
    <w:rsid w:val="009A199C"/>
    <w:rsid w:val="009A4A93"/>
    <w:rsid w:val="009D3A2C"/>
    <w:rsid w:val="009D56DF"/>
    <w:rsid w:val="009D6F8B"/>
    <w:rsid w:val="009F605B"/>
    <w:rsid w:val="00A02614"/>
    <w:rsid w:val="00A23816"/>
    <w:rsid w:val="00A454B6"/>
    <w:rsid w:val="00A51DDD"/>
    <w:rsid w:val="00A531F2"/>
    <w:rsid w:val="00A6013E"/>
    <w:rsid w:val="00A7617D"/>
    <w:rsid w:val="00A8220F"/>
    <w:rsid w:val="00A82F5A"/>
    <w:rsid w:val="00AD1423"/>
    <w:rsid w:val="00AD4AEE"/>
    <w:rsid w:val="00B03C77"/>
    <w:rsid w:val="00B26719"/>
    <w:rsid w:val="00B47197"/>
    <w:rsid w:val="00B54EA0"/>
    <w:rsid w:val="00B72169"/>
    <w:rsid w:val="00B74218"/>
    <w:rsid w:val="00B77A7F"/>
    <w:rsid w:val="00B86FC7"/>
    <w:rsid w:val="00B912C3"/>
    <w:rsid w:val="00B914B1"/>
    <w:rsid w:val="00BB19AC"/>
    <w:rsid w:val="00BC26CE"/>
    <w:rsid w:val="00BE6BA4"/>
    <w:rsid w:val="00BF6DBC"/>
    <w:rsid w:val="00C06675"/>
    <w:rsid w:val="00C10670"/>
    <w:rsid w:val="00C11109"/>
    <w:rsid w:val="00C16E8E"/>
    <w:rsid w:val="00C261EA"/>
    <w:rsid w:val="00C40213"/>
    <w:rsid w:val="00C444A7"/>
    <w:rsid w:val="00C55909"/>
    <w:rsid w:val="00C726EA"/>
    <w:rsid w:val="00C74A1D"/>
    <w:rsid w:val="00C9370C"/>
    <w:rsid w:val="00CB2B44"/>
    <w:rsid w:val="00CB4074"/>
    <w:rsid w:val="00CC1C1D"/>
    <w:rsid w:val="00CF33AD"/>
    <w:rsid w:val="00CF656A"/>
    <w:rsid w:val="00D0258C"/>
    <w:rsid w:val="00D0270E"/>
    <w:rsid w:val="00D20550"/>
    <w:rsid w:val="00D3214F"/>
    <w:rsid w:val="00D32598"/>
    <w:rsid w:val="00D3638C"/>
    <w:rsid w:val="00D42607"/>
    <w:rsid w:val="00D445FE"/>
    <w:rsid w:val="00D44967"/>
    <w:rsid w:val="00D52194"/>
    <w:rsid w:val="00D54DDD"/>
    <w:rsid w:val="00D65C24"/>
    <w:rsid w:val="00D915FA"/>
    <w:rsid w:val="00D9482A"/>
    <w:rsid w:val="00DA74F6"/>
    <w:rsid w:val="00DD4526"/>
    <w:rsid w:val="00DD4977"/>
    <w:rsid w:val="00DE01B4"/>
    <w:rsid w:val="00DF27A8"/>
    <w:rsid w:val="00DF3B7E"/>
    <w:rsid w:val="00E261EB"/>
    <w:rsid w:val="00E407B1"/>
    <w:rsid w:val="00E7228E"/>
    <w:rsid w:val="00E82B25"/>
    <w:rsid w:val="00E92831"/>
    <w:rsid w:val="00E9313B"/>
    <w:rsid w:val="00E96748"/>
    <w:rsid w:val="00EA04C3"/>
    <w:rsid w:val="00EB7A63"/>
    <w:rsid w:val="00EC5F5A"/>
    <w:rsid w:val="00ED2F79"/>
    <w:rsid w:val="00EE2CD4"/>
    <w:rsid w:val="00EE4A70"/>
    <w:rsid w:val="00F30C27"/>
    <w:rsid w:val="00F344BD"/>
    <w:rsid w:val="00F45E4E"/>
    <w:rsid w:val="00F51570"/>
    <w:rsid w:val="00F74EA2"/>
    <w:rsid w:val="00FB717A"/>
    <w:rsid w:val="00FC633F"/>
    <w:rsid w:val="00FD739C"/>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0A34BE5"/>
  <w15:docId w15:val="{F72F5DE3-7699-4FC6-9C19-10A061D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D3214F"/>
    <w:pPr>
      <w:ind w:left="720"/>
      <w:contextualSpacing/>
    </w:pPr>
  </w:style>
  <w:style w:type="table" w:customStyle="1" w:styleId="TabeladeGradeClara1">
    <w:name w:val="Tabela de Grade Clara1"/>
    <w:basedOn w:val="Standardowy"/>
    <w:next w:val="TabeladeGradeClara2"/>
    <w:uiPriority w:val="40"/>
    <w:rsid w:val="00FD739C"/>
    <w:pPr>
      <w:spacing w:after="0" w:line="240" w:lineRule="auto"/>
    </w:pPr>
    <w:rPr>
      <w:lang w:val="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deGradeClara2">
    <w:name w:val="Tabela de Grade Clara2"/>
    <w:basedOn w:val="Standardowy"/>
    <w:uiPriority w:val="40"/>
    <w:rsid w:val="00FD73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1">
    <w:name w:val="Menção Pendente1"/>
    <w:basedOn w:val="Domylnaczcionkaakapitu"/>
    <w:uiPriority w:val="99"/>
    <w:semiHidden/>
    <w:unhideWhenUsed/>
    <w:rsid w:val="00FC633F"/>
    <w:rPr>
      <w:color w:val="808080"/>
      <w:shd w:val="clear" w:color="auto" w:fill="E6E6E6"/>
    </w:rPr>
  </w:style>
  <w:style w:type="character" w:styleId="UyteHipercze">
    <w:name w:val="FollowedHyperlink"/>
    <w:basedOn w:val="Domylnaczcionkaakapitu"/>
    <w:uiPriority w:val="99"/>
    <w:semiHidden/>
    <w:unhideWhenUsed/>
    <w:rsid w:val="00C11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11194362">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quality" TargetMode="External"/><Relationship Id="rId13" Type="http://schemas.openxmlformats.org/officeDocument/2006/relationships/hyperlink" Target="ftp://ftp.ibge.gov.br/Informacoes_Gerais_e_Referencia/Codigo_de_Boas_Praticas_das_Estatisticas_do_IBG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eurostat/web/quality/implementation-in-eurost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stats.un.org/unsd/dnss/gp/Implementation_Guidelines_FINAL_without_edit.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64157/4372828/3-Questionnaire-on-the-coordination-role-of-the-NSIs.pdf/4a53f1b5-d7be-42b5-a3d3-f6d4438ab70c" TargetMode="External"/><Relationship Id="rId5" Type="http://schemas.openxmlformats.org/officeDocument/2006/relationships/webSettings" Target="webSettings.xml"/><Relationship Id="rId15" Type="http://schemas.openxmlformats.org/officeDocument/2006/relationships/hyperlink" Target="https://unstats.un.org/unsd/dnss/qualitynqaf/nqaf.aspx" TargetMode="External"/><Relationship Id="rId10" Type="http://schemas.openxmlformats.org/officeDocument/2006/relationships/hyperlink" Target="http://ec.europa.eu/eurostat/documents/64157/4372828/4-Questionnaire-on-cooperation-level-of-integration-achieved-by-the-ESS.pdf/1a88bf62-6be9-48a6-a5a4-fab09ccfcf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documents/64157/4372828/1-SAQ-on-the-implementation-of-the-CoP.pdf/1d2a715d-7a15-4df1-8c98-170e2097c544" TargetMode="External"/><Relationship Id="rId14" Type="http://schemas.openxmlformats.org/officeDocument/2006/relationships/hyperlink" Target="http://www.oecd.org/statistics/good-practice-toolk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7ECAAC-5616-4944-A512-486FC442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2610</Words>
  <Characters>15661</Characters>
  <Application>Microsoft Office Word</Application>
  <DocSecurity>4</DocSecurity>
  <Lines>130</Lines>
  <Paragraphs>36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Fabiańczyk Tomasz</cp:lastModifiedBy>
  <cp:revision>2</cp:revision>
  <cp:lastPrinted>2018-05-17T12:25:00Z</cp:lastPrinted>
  <dcterms:created xsi:type="dcterms:W3CDTF">2018-05-21T06:09:00Z</dcterms:created>
  <dcterms:modified xsi:type="dcterms:W3CDTF">2018-05-21T06:09:00Z</dcterms:modified>
</cp:coreProperties>
</file>