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A99" w:rsidRPr="00EC5F5A" w:rsidRDefault="004043A4" w:rsidP="00D0270E">
      <w:pPr>
        <w:spacing w:before="480" w:after="480" w:line="360" w:lineRule="auto"/>
        <w:jc w:val="center"/>
        <w:rPr>
          <w:rFonts w:ascii="Arial" w:hAnsi="Arial" w:cs="Arial"/>
          <w:b/>
          <w:sz w:val="48"/>
          <w:szCs w:val="48"/>
        </w:rPr>
      </w:pPr>
      <w:r>
        <w:rPr>
          <w:rFonts w:ascii="Arial" w:hAnsi="Arial" w:cs="Arial"/>
          <w:b/>
          <w:sz w:val="48"/>
          <w:szCs w:val="48"/>
        </w:rPr>
        <w:t>A Framework for A</w:t>
      </w:r>
      <w:r w:rsidR="000E4A61">
        <w:rPr>
          <w:rFonts w:ascii="Arial" w:hAnsi="Arial" w:cs="Arial"/>
          <w:b/>
          <w:sz w:val="48"/>
          <w:szCs w:val="48"/>
        </w:rPr>
        <w:t xml:space="preserve">ssessing the </w:t>
      </w:r>
      <w:r>
        <w:rPr>
          <w:rFonts w:ascii="Arial" w:hAnsi="Arial" w:cs="Arial"/>
          <w:b/>
          <w:sz w:val="48"/>
          <w:szCs w:val="48"/>
        </w:rPr>
        <w:t>Q</w:t>
      </w:r>
      <w:r w:rsidR="00D36EE9">
        <w:rPr>
          <w:rFonts w:ascii="Arial" w:hAnsi="Arial" w:cs="Arial"/>
          <w:b/>
          <w:sz w:val="48"/>
          <w:szCs w:val="48"/>
        </w:rPr>
        <w:t>uality of Banking Supervision Data</w:t>
      </w:r>
      <w:bookmarkStart w:id="0" w:name="_GoBack"/>
      <w:bookmarkEnd w:id="0"/>
    </w:p>
    <w:p w:rsidR="00D0270E" w:rsidRDefault="00DD70BC" w:rsidP="00C726EA">
      <w:pPr>
        <w:spacing w:after="0" w:line="360" w:lineRule="auto"/>
        <w:jc w:val="both"/>
        <w:rPr>
          <w:rFonts w:ascii="Arial" w:hAnsi="Arial" w:cs="Arial"/>
          <w:i/>
          <w:sz w:val="24"/>
          <w:szCs w:val="24"/>
          <w:lang w:val="it-IT"/>
        </w:rPr>
      </w:pPr>
      <w:r w:rsidRPr="00DD70BC">
        <w:rPr>
          <w:rFonts w:ascii="Arial" w:hAnsi="Arial" w:cs="Arial"/>
          <w:sz w:val="24"/>
          <w:szCs w:val="24"/>
          <w:lang w:val="it-IT"/>
        </w:rPr>
        <w:t>Gregorio Guidi</w:t>
      </w:r>
      <w:r w:rsidR="000D705A" w:rsidRPr="00DD70BC">
        <w:rPr>
          <w:rFonts w:ascii="Arial" w:hAnsi="Arial" w:cs="Arial"/>
          <w:sz w:val="24"/>
          <w:szCs w:val="24"/>
          <w:lang w:val="it-IT"/>
        </w:rPr>
        <w:t xml:space="preserve">, </w:t>
      </w:r>
      <w:r w:rsidRPr="00DD70BC">
        <w:rPr>
          <w:rFonts w:ascii="Arial" w:hAnsi="Arial" w:cs="Arial"/>
          <w:sz w:val="24"/>
          <w:szCs w:val="24"/>
          <w:lang w:val="it-IT"/>
        </w:rPr>
        <w:t>ECB</w:t>
      </w:r>
      <w:r w:rsidR="000D705A" w:rsidRPr="00DD70BC">
        <w:rPr>
          <w:rFonts w:ascii="Arial" w:hAnsi="Arial" w:cs="Arial"/>
          <w:sz w:val="24"/>
          <w:szCs w:val="24"/>
          <w:lang w:val="it-IT"/>
        </w:rPr>
        <w:t xml:space="preserve">, </w:t>
      </w:r>
      <w:hyperlink r:id="rId9" w:history="1">
        <w:r w:rsidRPr="00290B6C">
          <w:rPr>
            <w:rStyle w:val="Hyperlink"/>
            <w:rFonts w:ascii="Arial" w:hAnsi="Arial" w:cs="Arial"/>
            <w:i/>
            <w:sz w:val="24"/>
            <w:szCs w:val="24"/>
            <w:lang w:val="it-IT"/>
          </w:rPr>
          <w:t>Gregorio.Guidi@ecb.europa.eu</w:t>
        </w:r>
      </w:hyperlink>
    </w:p>
    <w:p w:rsidR="00DD70BC" w:rsidRDefault="00DD70BC" w:rsidP="00C726EA">
      <w:pPr>
        <w:spacing w:after="0" w:line="360" w:lineRule="auto"/>
        <w:jc w:val="both"/>
        <w:rPr>
          <w:rFonts w:ascii="Arial" w:hAnsi="Arial" w:cs="Arial"/>
          <w:i/>
          <w:sz w:val="24"/>
          <w:szCs w:val="24"/>
          <w:lang w:val="it-IT"/>
        </w:rPr>
      </w:pPr>
      <w:r w:rsidRPr="00DD70BC">
        <w:rPr>
          <w:rFonts w:ascii="Arial" w:hAnsi="Arial" w:cs="Arial"/>
          <w:sz w:val="24"/>
          <w:szCs w:val="24"/>
          <w:lang w:val="it-IT"/>
        </w:rPr>
        <w:t>Francesco Donat</w:t>
      </w:r>
      <w:r w:rsidR="00EE10EC" w:rsidRPr="00DD70BC">
        <w:rPr>
          <w:rFonts w:ascii="Arial" w:hAnsi="Arial" w:cs="Arial"/>
          <w:sz w:val="24"/>
          <w:szCs w:val="24"/>
          <w:lang w:val="it-IT"/>
        </w:rPr>
        <w:t xml:space="preserve">, </w:t>
      </w:r>
      <w:r w:rsidRPr="00DD70BC">
        <w:rPr>
          <w:rFonts w:ascii="Arial" w:hAnsi="Arial" w:cs="Arial"/>
          <w:sz w:val="24"/>
          <w:szCs w:val="24"/>
          <w:lang w:val="it-IT"/>
        </w:rPr>
        <w:t>ECB</w:t>
      </w:r>
      <w:r w:rsidR="00EE10EC" w:rsidRPr="00DD70BC">
        <w:rPr>
          <w:rFonts w:ascii="Arial" w:hAnsi="Arial" w:cs="Arial"/>
          <w:sz w:val="24"/>
          <w:szCs w:val="24"/>
          <w:lang w:val="it-IT"/>
        </w:rPr>
        <w:t xml:space="preserve">, </w:t>
      </w:r>
      <w:hyperlink r:id="rId10" w:history="1">
        <w:r w:rsidRPr="00290B6C">
          <w:rPr>
            <w:rStyle w:val="Hyperlink"/>
            <w:rFonts w:ascii="Arial" w:hAnsi="Arial" w:cs="Arial"/>
            <w:i/>
            <w:sz w:val="24"/>
            <w:szCs w:val="24"/>
            <w:lang w:val="it-IT"/>
          </w:rPr>
          <w:t>Francesco.Donat@ecb.europa.eu</w:t>
        </w:r>
      </w:hyperlink>
    </w:p>
    <w:p w:rsidR="000D705A" w:rsidRDefault="00DD70BC" w:rsidP="00C726EA">
      <w:pPr>
        <w:spacing w:after="0" w:line="360" w:lineRule="auto"/>
        <w:jc w:val="both"/>
        <w:rPr>
          <w:rFonts w:ascii="Arial" w:hAnsi="Arial" w:cs="Arial"/>
          <w:i/>
          <w:sz w:val="24"/>
          <w:szCs w:val="24"/>
          <w:lang w:val="it-IT"/>
        </w:rPr>
      </w:pPr>
      <w:r w:rsidRPr="00DD70BC">
        <w:rPr>
          <w:rFonts w:ascii="Arial" w:hAnsi="Arial" w:cs="Arial"/>
          <w:sz w:val="24"/>
          <w:szCs w:val="24"/>
          <w:lang w:val="it-IT"/>
        </w:rPr>
        <w:t>Iulia Tintea</w:t>
      </w:r>
      <w:r w:rsidR="000D705A" w:rsidRPr="00DD70BC">
        <w:rPr>
          <w:rFonts w:ascii="Arial" w:hAnsi="Arial" w:cs="Arial"/>
          <w:sz w:val="24"/>
          <w:szCs w:val="24"/>
          <w:lang w:val="it-IT"/>
        </w:rPr>
        <w:t xml:space="preserve">, </w:t>
      </w:r>
      <w:r w:rsidRPr="00DD70BC">
        <w:rPr>
          <w:rFonts w:ascii="Arial" w:hAnsi="Arial" w:cs="Arial"/>
          <w:sz w:val="24"/>
          <w:szCs w:val="24"/>
          <w:lang w:val="it-IT"/>
        </w:rPr>
        <w:t>ECB</w:t>
      </w:r>
      <w:r w:rsidR="000D705A" w:rsidRPr="00DD70BC">
        <w:rPr>
          <w:rFonts w:ascii="Arial" w:hAnsi="Arial" w:cs="Arial"/>
          <w:sz w:val="24"/>
          <w:szCs w:val="24"/>
          <w:lang w:val="it-IT"/>
        </w:rPr>
        <w:t xml:space="preserve">, </w:t>
      </w:r>
      <w:hyperlink r:id="rId11" w:history="1">
        <w:r w:rsidRPr="00290B6C">
          <w:rPr>
            <w:rStyle w:val="Hyperlink"/>
            <w:rFonts w:ascii="Arial" w:hAnsi="Arial" w:cs="Arial"/>
            <w:i/>
            <w:sz w:val="24"/>
            <w:szCs w:val="24"/>
            <w:lang w:val="it-IT"/>
          </w:rPr>
          <w:t>Iulia.Tintea@ecb.europa.eu</w:t>
        </w:r>
      </w:hyperlink>
    </w:p>
    <w:p w:rsidR="00DD70BC" w:rsidRDefault="00DD70BC" w:rsidP="00C726EA">
      <w:pPr>
        <w:spacing w:after="0" w:line="360" w:lineRule="auto"/>
        <w:jc w:val="both"/>
        <w:rPr>
          <w:rFonts w:ascii="Arial" w:hAnsi="Arial" w:cs="Arial"/>
          <w:i/>
          <w:sz w:val="24"/>
          <w:szCs w:val="24"/>
          <w:lang w:val="it-IT"/>
        </w:rPr>
      </w:pPr>
      <w:r>
        <w:rPr>
          <w:rFonts w:ascii="Arial" w:hAnsi="Arial" w:cs="Arial"/>
          <w:sz w:val="24"/>
          <w:szCs w:val="24"/>
          <w:lang w:val="it-IT"/>
        </w:rPr>
        <w:t xml:space="preserve">Luis Suarez Tumi, ECB, </w:t>
      </w:r>
      <w:hyperlink r:id="rId12" w:history="1">
        <w:r w:rsidRPr="00290B6C">
          <w:rPr>
            <w:rStyle w:val="Hyperlink"/>
            <w:rFonts w:ascii="Arial" w:hAnsi="Arial" w:cs="Arial"/>
            <w:i/>
            <w:sz w:val="24"/>
            <w:szCs w:val="24"/>
            <w:lang w:val="it-IT"/>
          </w:rPr>
          <w:t>Luis.Suarez_Tumi@ecb.europa.eu</w:t>
        </w:r>
      </w:hyperlink>
    </w:p>
    <w:p w:rsidR="000D705A" w:rsidRPr="001B0D79" w:rsidRDefault="000D705A" w:rsidP="00C726EA">
      <w:pPr>
        <w:spacing w:before="240" w:after="0" w:line="360" w:lineRule="auto"/>
        <w:jc w:val="both"/>
        <w:rPr>
          <w:rFonts w:ascii="Arial" w:hAnsi="Arial" w:cs="Arial"/>
          <w:b/>
          <w:sz w:val="20"/>
          <w:szCs w:val="20"/>
        </w:rPr>
      </w:pPr>
      <w:r w:rsidRPr="001B0D79">
        <w:rPr>
          <w:rFonts w:ascii="Arial" w:hAnsi="Arial" w:cs="Arial"/>
          <w:b/>
          <w:sz w:val="20"/>
          <w:szCs w:val="20"/>
        </w:rPr>
        <w:t>Abstract</w:t>
      </w:r>
    </w:p>
    <w:p w:rsidR="000D705A" w:rsidRDefault="00830B88" w:rsidP="005245ED">
      <w:pPr>
        <w:spacing w:after="0" w:line="240" w:lineRule="auto"/>
        <w:jc w:val="both"/>
        <w:rPr>
          <w:rFonts w:ascii="Arial" w:hAnsi="Arial" w:cs="Arial"/>
          <w:i/>
          <w:sz w:val="20"/>
          <w:szCs w:val="20"/>
        </w:rPr>
      </w:pPr>
      <w:r w:rsidRPr="00B701D1">
        <w:rPr>
          <w:rFonts w:ascii="Arial" w:hAnsi="Arial" w:cs="Arial"/>
          <w:i/>
          <w:sz w:val="20"/>
          <w:szCs w:val="20"/>
        </w:rPr>
        <w:t>Since the start of the economic and monetary Union</w:t>
      </w:r>
      <w:r w:rsidR="00250CF4" w:rsidRPr="00B701D1">
        <w:rPr>
          <w:rFonts w:ascii="Arial" w:hAnsi="Arial" w:cs="Arial"/>
          <w:i/>
          <w:sz w:val="20"/>
          <w:szCs w:val="20"/>
        </w:rPr>
        <w:t>,</w:t>
      </w:r>
      <w:r w:rsidRPr="00B701D1">
        <w:rPr>
          <w:rFonts w:ascii="Arial" w:hAnsi="Arial" w:cs="Arial"/>
          <w:i/>
          <w:sz w:val="20"/>
          <w:szCs w:val="20"/>
        </w:rPr>
        <w:t xml:space="preserve"> the European Central Bank </w:t>
      </w:r>
      <w:r w:rsidR="00F4536E" w:rsidRPr="00B701D1">
        <w:rPr>
          <w:rFonts w:ascii="Arial" w:hAnsi="Arial" w:cs="Arial"/>
          <w:i/>
          <w:sz w:val="20"/>
          <w:szCs w:val="20"/>
        </w:rPr>
        <w:t xml:space="preserve">(ECB) </w:t>
      </w:r>
      <w:r w:rsidRPr="00B701D1">
        <w:rPr>
          <w:rFonts w:ascii="Arial" w:hAnsi="Arial" w:cs="Arial"/>
          <w:i/>
          <w:sz w:val="20"/>
          <w:szCs w:val="20"/>
        </w:rPr>
        <w:t xml:space="preserve">has placed strong emphasis on key aspects of statistical quality, </w:t>
      </w:r>
      <w:r w:rsidR="00F4536E" w:rsidRPr="00B701D1">
        <w:rPr>
          <w:rFonts w:ascii="Arial" w:hAnsi="Arial" w:cs="Arial"/>
          <w:i/>
          <w:sz w:val="20"/>
          <w:szCs w:val="20"/>
        </w:rPr>
        <w:t xml:space="preserve">as </w:t>
      </w:r>
      <w:r w:rsidRPr="00B701D1">
        <w:rPr>
          <w:rFonts w:ascii="Arial" w:hAnsi="Arial" w:cs="Arial"/>
          <w:i/>
          <w:sz w:val="20"/>
          <w:szCs w:val="20"/>
        </w:rPr>
        <w:t xml:space="preserve">described in its Statistic Quality Framework. </w:t>
      </w:r>
      <w:r w:rsidR="00F4536E" w:rsidRPr="00B701D1">
        <w:rPr>
          <w:rFonts w:ascii="Arial" w:hAnsi="Arial" w:cs="Arial"/>
          <w:i/>
          <w:sz w:val="20"/>
          <w:szCs w:val="20"/>
        </w:rPr>
        <w:t>T</w:t>
      </w:r>
      <w:r w:rsidRPr="00B701D1">
        <w:rPr>
          <w:rFonts w:ascii="Arial" w:hAnsi="Arial" w:cs="Arial"/>
          <w:i/>
          <w:sz w:val="20"/>
          <w:szCs w:val="20"/>
        </w:rPr>
        <w:t>he introduction</w:t>
      </w:r>
      <w:r w:rsidR="007E5415" w:rsidRPr="00B701D1">
        <w:rPr>
          <w:rFonts w:ascii="Arial" w:hAnsi="Arial" w:cs="Arial"/>
          <w:i/>
          <w:sz w:val="20"/>
          <w:szCs w:val="20"/>
        </w:rPr>
        <w:t xml:space="preserve"> o</w:t>
      </w:r>
      <w:r w:rsidR="00C5404A" w:rsidRPr="00B701D1">
        <w:rPr>
          <w:rFonts w:ascii="Arial" w:hAnsi="Arial" w:cs="Arial"/>
          <w:i/>
          <w:sz w:val="20"/>
          <w:szCs w:val="20"/>
        </w:rPr>
        <w:t xml:space="preserve">f a harmonised framework for supervisory reporting </w:t>
      </w:r>
      <w:r w:rsidR="007E5415" w:rsidRPr="00B701D1">
        <w:rPr>
          <w:rFonts w:ascii="Arial" w:hAnsi="Arial" w:cs="Arial"/>
          <w:i/>
          <w:sz w:val="20"/>
          <w:szCs w:val="20"/>
        </w:rPr>
        <w:t xml:space="preserve">in 2014 </w:t>
      </w:r>
      <w:r w:rsidR="00C5404A" w:rsidRPr="00B701D1">
        <w:rPr>
          <w:rFonts w:ascii="Arial" w:hAnsi="Arial" w:cs="Arial"/>
          <w:i/>
          <w:sz w:val="20"/>
          <w:szCs w:val="20"/>
        </w:rPr>
        <w:t xml:space="preserve">has </w:t>
      </w:r>
      <w:r w:rsidR="007C2F3F">
        <w:rPr>
          <w:rFonts w:ascii="Arial" w:hAnsi="Arial" w:cs="Arial"/>
          <w:i/>
          <w:sz w:val="20"/>
          <w:szCs w:val="20"/>
        </w:rPr>
        <w:t>raised the awareness of</w:t>
      </w:r>
      <w:r w:rsidR="00C5404A" w:rsidRPr="00B701D1">
        <w:rPr>
          <w:rFonts w:ascii="Arial" w:hAnsi="Arial" w:cs="Arial"/>
          <w:i/>
          <w:sz w:val="20"/>
          <w:szCs w:val="20"/>
        </w:rPr>
        <w:t xml:space="preserve"> competent authorities </w:t>
      </w:r>
      <w:r w:rsidR="007C2F3F">
        <w:rPr>
          <w:rFonts w:ascii="Arial" w:hAnsi="Arial" w:cs="Arial"/>
          <w:i/>
          <w:sz w:val="20"/>
          <w:szCs w:val="20"/>
        </w:rPr>
        <w:t xml:space="preserve">on the need to apply similar </w:t>
      </w:r>
      <w:r w:rsidR="00250CF4" w:rsidRPr="00B701D1">
        <w:rPr>
          <w:rFonts w:ascii="Arial" w:hAnsi="Arial" w:cs="Arial"/>
          <w:i/>
          <w:sz w:val="20"/>
          <w:szCs w:val="20"/>
        </w:rPr>
        <w:t xml:space="preserve">high standards of statistical quality </w:t>
      </w:r>
      <w:r w:rsidR="008B0009" w:rsidRPr="00B701D1">
        <w:rPr>
          <w:rFonts w:ascii="Arial" w:hAnsi="Arial" w:cs="Arial"/>
          <w:i/>
          <w:sz w:val="20"/>
          <w:szCs w:val="20"/>
        </w:rPr>
        <w:t>to</w:t>
      </w:r>
      <w:r w:rsidR="00250CF4" w:rsidRPr="00B701D1">
        <w:rPr>
          <w:rFonts w:ascii="Arial" w:hAnsi="Arial" w:cs="Arial"/>
          <w:i/>
          <w:sz w:val="20"/>
          <w:szCs w:val="20"/>
        </w:rPr>
        <w:t xml:space="preserve"> data</w:t>
      </w:r>
      <w:r w:rsidR="007C2F3F">
        <w:rPr>
          <w:rFonts w:ascii="Arial" w:hAnsi="Arial" w:cs="Arial"/>
          <w:i/>
          <w:sz w:val="20"/>
          <w:szCs w:val="20"/>
        </w:rPr>
        <w:t xml:space="preserve"> collected for the purpose of banking supervision</w:t>
      </w:r>
      <w:r w:rsidR="00C5404A" w:rsidRPr="00B701D1">
        <w:rPr>
          <w:rFonts w:ascii="Arial" w:hAnsi="Arial" w:cs="Arial"/>
          <w:i/>
          <w:sz w:val="20"/>
          <w:szCs w:val="20"/>
        </w:rPr>
        <w:t>. Accordingly,</w:t>
      </w:r>
      <w:r w:rsidR="007C2F3F">
        <w:rPr>
          <w:rFonts w:ascii="Arial" w:hAnsi="Arial" w:cs="Arial"/>
          <w:i/>
          <w:sz w:val="20"/>
          <w:szCs w:val="20"/>
        </w:rPr>
        <w:t xml:space="preserve"> </w:t>
      </w:r>
      <w:r w:rsidR="0009679B">
        <w:rPr>
          <w:rFonts w:ascii="Arial" w:hAnsi="Arial" w:cs="Arial"/>
          <w:i/>
          <w:sz w:val="20"/>
          <w:szCs w:val="20"/>
        </w:rPr>
        <w:t xml:space="preserve">the ECB has </w:t>
      </w:r>
      <w:r w:rsidR="00A64636">
        <w:rPr>
          <w:rFonts w:ascii="Arial" w:hAnsi="Arial" w:cs="Arial"/>
          <w:i/>
          <w:sz w:val="20"/>
          <w:szCs w:val="20"/>
        </w:rPr>
        <w:t>established a process</w:t>
      </w:r>
      <w:r w:rsidR="008B0009" w:rsidRPr="00B701D1">
        <w:rPr>
          <w:rFonts w:ascii="Arial" w:hAnsi="Arial" w:cs="Arial"/>
          <w:i/>
          <w:sz w:val="20"/>
          <w:szCs w:val="20"/>
        </w:rPr>
        <w:t xml:space="preserve"> </w:t>
      </w:r>
      <w:r w:rsidR="00A64636">
        <w:rPr>
          <w:rFonts w:ascii="Arial" w:hAnsi="Arial" w:cs="Arial"/>
          <w:i/>
          <w:sz w:val="20"/>
          <w:szCs w:val="20"/>
        </w:rPr>
        <w:t xml:space="preserve">for </w:t>
      </w:r>
      <w:r w:rsidR="0009679B">
        <w:rPr>
          <w:rFonts w:ascii="Arial" w:hAnsi="Arial" w:cs="Arial"/>
          <w:i/>
          <w:sz w:val="20"/>
          <w:szCs w:val="20"/>
        </w:rPr>
        <w:t>the quality assessment of supervisory data</w:t>
      </w:r>
      <w:r w:rsidR="007C2F3F">
        <w:rPr>
          <w:rFonts w:ascii="Arial" w:hAnsi="Arial" w:cs="Arial"/>
          <w:i/>
          <w:sz w:val="20"/>
          <w:szCs w:val="20"/>
        </w:rPr>
        <w:t xml:space="preserve">, with </w:t>
      </w:r>
      <w:r w:rsidR="007C2F3F" w:rsidRPr="00B701D1">
        <w:rPr>
          <w:rFonts w:ascii="Arial" w:hAnsi="Arial" w:cs="Arial"/>
          <w:i/>
          <w:sz w:val="20"/>
          <w:szCs w:val="20"/>
        </w:rPr>
        <w:t>a twofold purpose</w:t>
      </w:r>
      <w:r w:rsidR="00C5404A" w:rsidRPr="00B701D1">
        <w:rPr>
          <w:rFonts w:ascii="Arial" w:hAnsi="Arial" w:cs="Arial"/>
          <w:i/>
          <w:sz w:val="20"/>
          <w:szCs w:val="20"/>
        </w:rPr>
        <w:t>. Firstly, check</w:t>
      </w:r>
      <w:r w:rsidR="006D1F1D" w:rsidRPr="00B701D1">
        <w:rPr>
          <w:rFonts w:ascii="Arial" w:hAnsi="Arial" w:cs="Arial"/>
          <w:i/>
          <w:sz w:val="20"/>
          <w:szCs w:val="20"/>
        </w:rPr>
        <w:t>ing</w:t>
      </w:r>
      <w:r w:rsidR="00C5404A" w:rsidRPr="00B701D1">
        <w:rPr>
          <w:rFonts w:ascii="Arial" w:hAnsi="Arial" w:cs="Arial"/>
          <w:i/>
          <w:sz w:val="20"/>
          <w:szCs w:val="20"/>
        </w:rPr>
        <w:t xml:space="preserve"> whether </w:t>
      </w:r>
      <w:r w:rsidR="005855D8" w:rsidRPr="00B701D1">
        <w:rPr>
          <w:rFonts w:ascii="Arial" w:hAnsi="Arial" w:cs="Arial"/>
          <w:i/>
          <w:sz w:val="20"/>
          <w:szCs w:val="20"/>
        </w:rPr>
        <w:t>data</w:t>
      </w:r>
      <w:r w:rsidR="005855D8">
        <w:rPr>
          <w:rFonts w:ascii="Arial" w:hAnsi="Arial" w:cs="Arial"/>
          <w:i/>
          <w:sz w:val="20"/>
          <w:szCs w:val="20"/>
        </w:rPr>
        <w:t xml:space="preserve"> </w:t>
      </w:r>
      <w:r w:rsidR="005855D8" w:rsidRPr="00B701D1">
        <w:rPr>
          <w:rFonts w:ascii="Arial" w:hAnsi="Arial" w:cs="Arial"/>
          <w:i/>
          <w:sz w:val="20"/>
          <w:szCs w:val="20"/>
        </w:rPr>
        <w:t>constitute</w:t>
      </w:r>
      <w:r w:rsidR="00C5404A" w:rsidRPr="00B701D1">
        <w:rPr>
          <w:rFonts w:ascii="Arial" w:hAnsi="Arial" w:cs="Arial"/>
          <w:i/>
          <w:sz w:val="20"/>
          <w:szCs w:val="20"/>
        </w:rPr>
        <w:t xml:space="preserve"> a suitable basis for informing supervisory decision; secondly, </w:t>
      </w:r>
      <w:r w:rsidR="008B0009" w:rsidRPr="00B701D1">
        <w:rPr>
          <w:rFonts w:ascii="Arial" w:hAnsi="Arial" w:cs="Arial"/>
          <w:i/>
          <w:sz w:val="20"/>
          <w:szCs w:val="20"/>
        </w:rPr>
        <w:t>recognis</w:t>
      </w:r>
      <w:r w:rsidR="00A64636">
        <w:rPr>
          <w:rFonts w:ascii="Arial" w:hAnsi="Arial" w:cs="Arial"/>
          <w:i/>
          <w:sz w:val="20"/>
          <w:szCs w:val="20"/>
        </w:rPr>
        <w:t>ing</w:t>
      </w:r>
      <w:r w:rsidR="00C5404A" w:rsidRPr="00B701D1">
        <w:rPr>
          <w:rFonts w:ascii="Arial" w:hAnsi="Arial" w:cs="Arial"/>
          <w:i/>
          <w:sz w:val="20"/>
          <w:szCs w:val="20"/>
        </w:rPr>
        <w:t xml:space="preserve"> data quality as </w:t>
      </w:r>
      <w:r w:rsidR="007651EE" w:rsidRPr="00B701D1">
        <w:rPr>
          <w:rFonts w:ascii="Arial" w:hAnsi="Arial" w:cs="Arial"/>
          <w:i/>
          <w:sz w:val="20"/>
          <w:szCs w:val="20"/>
        </w:rPr>
        <w:t xml:space="preserve">an </w:t>
      </w:r>
      <w:r w:rsidR="00C5404A" w:rsidRPr="00B701D1">
        <w:rPr>
          <w:rFonts w:ascii="Arial" w:hAnsi="Arial" w:cs="Arial"/>
          <w:i/>
          <w:sz w:val="20"/>
          <w:szCs w:val="20"/>
        </w:rPr>
        <w:t xml:space="preserve">integral part of banks’ supervisory evaluations. Following these </w:t>
      </w:r>
      <w:r w:rsidR="007651EE" w:rsidRPr="00B701D1">
        <w:rPr>
          <w:rFonts w:ascii="Arial" w:hAnsi="Arial" w:cs="Arial"/>
          <w:i/>
          <w:sz w:val="20"/>
          <w:szCs w:val="20"/>
        </w:rPr>
        <w:t xml:space="preserve">two </w:t>
      </w:r>
      <w:r w:rsidR="00C5404A" w:rsidRPr="00B701D1">
        <w:rPr>
          <w:rFonts w:ascii="Arial" w:hAnsi="Arial" w:cs="Arial"/>
          <w:i/>
          <w:sz w:val="20"/>
          <w:szCs w:val="20"/>
        </w:rPr>
        <w:t>objectives, a number of data quality dimensions have been identified and implemented as part of a general framework for assessing the quality of banking supervision data. This paper p</w:t>
      </w:r>
      <w:r w:rsidR="007651EE" w:rsidRPr="00B701D1">
        <w:rPr>
          <w:rFonts w:ascii="Arial" w:hAnsi="Arial" w:cs="Arial"/>
          <w:i/>
          <w:sz w:val="20"/>
          <w:szCs w:val="20"/>
        </w:rPr>
        <w:t>resents some reflections on the</w:t>
      </w:r>
      <w:r w:rsidR="00C5404A" w:rsidRPr="00B701D1">
        <w:rPr>
          <w:rFonts w:ascii="Arial" w:hAnsi="Arial" w:cs="Arial"/>
          <w:i/>
          <w:sz w:val="20"/>
          <w:szCs w:val="20"/>
        </w:rPr>
        <w:t xml:space="preserve"> framework</w:t>
      </w:r>
      <w:r w:rsidR="007E5415" w:rsidRPr="00B701D1">
        <w:rPr>
          <w:rFonts w:ascii="Arial" w:hAnsi="Arial" w:cs="Arial"/>
          <w:i/>
          <w:sz w:val="20"/>
          <w:szCs w:val="20"/>
        </w:rPr>
        <w:t>,</w:t>
      </w:r>
      <w:r w:rsidR="00C5404A" w:rsidRPr="00B701D1">
        <w:rPr>
          <w:rFonts w:ascii="Arial" w:hAnsi="Arial" w:cs="Arial"/>
          <w:i/>
          <w:sz w:val="20"/>
          <w:szCs w:val="20"/>
        </w:rPr>
        <w:t xml:space="preserve"> based on the experience </w:t>
      </w:r>
      <w:r w:rsidR="007651EE" w:rsidRPr="00B701D1">
        <w:rPr>
          <w:rFonts w:ascii="Arial" w:hAnsi="Arial" w:cs="Arial"/>
          <w:i/>
          <w:sz w:val="20"/>
          <w:szCs w:val="20"/>
        </w:rPr>
        <w:t>gained at the ECB</w:t>
      </w:r>
      <w:r w:rsidR="00C5404A" w:rsidRPr="00B701D1">
        <w:rPr>
          <w:rFonts w:ascii="Arial" w:hAnsi="Arial" w:cs="Arial"/>
          <w:i/>
          <w:sz w:val="20"/>
          <w:szCs w:val="20"/>
        </w:rPr>
        <w:t xml:space="preserve"> over the past four years.</w:t>
      </w:r>
    </w:p>
    <w:p w:rsidR="00C726EA" w:rsidRPr="00EC5F5A" w:rsidRDefault="00C726EA" w:rsidP="00C726EA">
      <w:pPr>
        <w:spacing w:before="240" w:after="0" w:line="360" w:lineRule="auto"/>
        <w:jc w:val="both"/>
        <w:rPr>
          <w:rFonts w:ascii="Arial" w:hAnsi="Arial" w:cs="Arial"/>
          <w:sz w:val="20"/>
          <w:szCs w:val="20"/>
        </w:rPr>
      </w:pPr>
      <w:r w:rsidRPr="00EC5F5A">
        <w:rPr>
          <w:rFonts w:ascii="Arial" w:hAnsi="Arial" w:cs="Arial"/>
          <w:b/>
          <w:sz w:val="20"/>
          <w:szCs w:val="20"/>
        </w:rPr>
        <w:t xml:space="preserve">Keywords: </w:t>
      </w:r>
      <w:r w:rsidR="00670386">
        <w:rPr>
          <w:rFonts w:ascii="Arial" w:hAnsi="Arial" w:cs="Arial"/>
          <w:sz w:val="20"/>
          <w:szCs w:val="20"/>
        </w:rPr>
        <w:t xml:space="preserve">Banking supervision; </w:t>
      </w:r>
      <w:r w:rsidR="00670386" w:rsidRPr="00D82ACC">
        <w:rPr>
          <w:rFonts w:ascii="Arial" w:hAnsi="Arial" w:cs="Arial"/>
          <w:sz w:val="20"/>
          <w:szCs w:val="20"/>
        </w:rPr>
        <w:t>BCBS 239</w:t>
      </w:r>
      <w:r w:rsidR="00670386">
        <w:rPr>
          <w:rFonts w:ascii="Arial" w:hAnsi="Arial" w:cs="Arial"/>
          <w:sz w:val="20"/>
          <w:szCs w:val="20"/>
        </w:rPr>
        <w:t>; D</w:t>
      </w:r>
      <w:r w:rsidR="00670386" w:rsidRPr="00D82ACC">
        <w:rPr>
          <w:rFonts w:ascii="Arial" w:hAnsi="Arial" w:cs="Arial"/>
          <w:sz w:val="20"/>
          <w:szCs w:val="20"/>
        </w:rPr>
        <w:t>ata quality</w:t>
      </w:r>
      <w:r w:rsidR="00670386">
        <w:rPr>
          <w:rFonts w:ascii="Arial" w:hAnsi="Arial" w:cs="Arial"/>
          <w:sz w:val="20"/>
          <w:szCs w:val="20"/>
        </w:rPr>
        <w:t>;</w:t>
      </w:r>
      <w:r w:rsidR="00670386" w:rsidRPr="00D82ACC">
        <w:rPr>
          <w:rFonts w:ascii="Arial" w:hAnsi="Arial" w:cs="Arial"/>
          <w:sz w:val="20"/>
          <w:szCs w:val="20"/>
        </w:rPr>
        <w:t xml:space="preserve"> </w:t>
      </w:r>
      <w:r w:rsidR="00D82ACC" w:rsidRPr="00D82ACC">
        <w:rPr>
          <w:rFonts w:ascii="Arial" w:hAnsi="Arial" w:cs="Arial"/>
          <w:sz w:val="20"/>
          <w:szCs w:val="20"/>
        </w:rPr>
        <w:t>ECB</w:t>
      </w:r>
      <w:r w:rsidR="00670386">
        <w:rPr>
          <w:rFonts w:ascii="Arial" w:hAnsi="Arial" w:cs="Arial"/>
          <w:sz w:val="20"/>
          <w:szCs w:val="20"/>
        </w:rPr>
        <w:t>;</w:t>
      </w:r>
      <w:r w:rsidR="00D82ACC" w:rsidRPr="00D82ACC">
        <w:rPr>
          <w:rFonts w:ascii="Arial" w:hAnsi="Arial" w:cs="Arial"/>
          <w:sz w:val="20"/>
          <w:szCs w:val="20"/>
        </w:rPr>
        <w:t xml:space="preserve"> </w:t>
      </w:r>
      <w:r w:rsidR="00670386">
        <w:rPr>
          <w:rFonts w:ascii="Arial" w:hAnsi="Arial" w:cs="Arial"/>
          <w:sz w:val="20"/>
          <w:szCs w:val="20"/>
        </w:rPr>
        <w:t>S</w:t>
      </w:r>
      <w:r w:rsidR="00670386" w:rsidRPr="00D82ACC">
        <w:rPr>
          <w:rFonts w:ascii="Arial" w:hAnsi="Arial" w:cs="Arial"/>
          <w:sz w:val="20"/>
          <w:szCs w:val="20"/>
        </w:rPr>
        <w:t xml:space="preserve">upervisory </w:t>
      </w:r>
      <w:r w:rsidR="00D82ACC" w:rsidRPr="00D82ACC">
        <w:rPr>
          <w:rFonts w:ascii="Arial" w:hAnsi="Arial" w:cs="Arial"/>
          <w:sz w:val="20"/>
          <w:szCs w:val="20"/>
        </w:rPr>
        <w:t>reporting</w:t>
      </w:r>
      <w:r w:rsidR="007C2F3F">
        <w:rPr>
          <w:rFonts w:ascii="Arial" w:hAnsi="Arial" w:cs="Arial"/>
          <w:sz w:val="20"/>
          <w:szCs w:val="20"/>
        </w:rPr>
        <w:t>; Statistics Quality Framework</w:t>
      </w:r>
    </w:p>
    <w:p w:rsidR="00493026" w:rsidRDefault="00493026" w:rsidP="00CC1C1D">
      <w:pPr>
        <w:spacing w:before="360" w:after="0" w:line="360" w:lineRule="auto"/>
        <w:jc w:val="both"/>
        <w:rPr>
          <w:rFonts w:ascii="Arial" w:hAnsi="Arial" w:cs="Arial"/>
          <w:b/>
          <w:sz w:val="24"/>
          <w:szCs w:val="24"/>
        </w:rPr>
      </w:pPr>
      <w:r w:rsidRPr="00EC5F5A">
        <w:rPr>
          <w:rFonts w:ascii="Arial" w:hAnsi="Arial" w:cs="Arial"/>
          <w:b/>
          <w:sz w:val="24"/>
          <w:szCs w:val="24"/>
        </w:rPr>
        <w:t xml:space="preserve">1. </w:t>
      </w:r>
      <w:r w:rsidR="00D36EE9">
        <w:rPr>
          <w:rFonts w:ascii="Arial" w:hAnsi="Arial" w:cs="Arial"/>
          <w:b/>
          <w:sz w:val="24"/>
          <w:szCs w:val="24"/>
        </w:rPr>
        <w:t>Introduction</w:t>
      </w:r>
    </w:p>
    <w:p w:rsidR="000F5456" w:rsidRDefault="000F5456" w:rsidP="000F5456">
      <w:pPr>
        <w:spacing w:before="120" w:after="0" w:line="360" w:lineRule="auto"/>
        <w:jc w:val="both"/>
        <w:rPr>
          <w:rFonts w:ascii="Arial" w:hAnsi="Arial" w:cs="Arial"/>
          <w:sz w:val="24"/>
          <w:szCs w:val="24"/>
        </w:rPr>
      </w:pPr>
      <w:r>
        <w:rPr>
          <w:rFonts w:ascii="Arial" w:hAnsi="Arial" w:cs="Arial"/>
          <w:sz w:val="24"/>
          <w:szCs w:val="24"/>
        </w:rPr>
        <w:t xml:space="preserve">The 2008 global financial crisis uncovered the vulnerabilities of the financial system and called for normative acts </w:t>
      </w:r>
      <w:r w:rsidR="00BF6389">
        <w:rPr>
          <w:rFonts w:ascii="Arial" w:hAnsi="Arial" w:cs="Arial"/>
          <w:sz w:val="24"/>
          <w:szCs w:val="24"/>
        </w:rPr>
        <w:t>aimed at</w:t>
      </w:r>
      <w:r>
        <w:rPr>
          <w:rFonts w:ascii="Arial" w:hAnsi="Arial" w:cs="Arial"/>
          <w:sz w:val="24"/>
          <w:szCs w:val="24"/>
        </w:rPr>
        <w:t xml:space="preserve"> strengthen</w:t>
      </w:r>
      <w:r w:rsidR="00BF6389">
        <w:rPr>
          <w:rFonts w:ascii="Arial" w:hAnsi="Arial" w:cs="Arial"/>
          <w:sz w:val="24"/>
          <w:szCs w:val="24"/>
        </w:rPr>
        <w:t>ing</w:t>
      </w:r>
      <w:r>
        <w:rPr>
          <w:rFonts w:ascii="Arial" w:hAnsi="Arial" w:cs="Arial"/>
          <w:sz w:val="24"/>
          <w:szCs w:val="24"/>
        </w:rPr>
        <w:t xml:space="preserve"> prudential regulation, supervision and cooperation </w:t>
      </w:r>
      <w:r w:rsidRPr="0094622A">
        <w:rPr>
          <w:rFonts w:ascii="Arial" w:hAnsi="Arial" w:cs="Arial"/>
          <w:sz w:val="24"/>
          <w:szCs w:val="24"/>
        </w:rPr>
        <w:t>at international level</w:t>
      </w:r>
      <w:r>
        <w:rPr>
          <w:rFonts w:ascii="Arial" w:hAnsi="Arial" w:cs="Arial"/>
          <w:sz w:val="24"/>
          <w:szCs w:val="24"/>
        </w:rPr>
        <w:t xml:space="preserve">. </w:t>
      </w:r>
      <w:r w:rsidR="00774CAF">
        <w:rPr>
          <w:rFonts w:ascii="Arial" w:hAnsi="Arial" w:cs="Arial"/>
          <w:sz w:val="24"/>
          <w:szCs w:val="24"/>
        </w:rPr>
        <w:t>Deficiencies</w:t>
      </w:r>
      <w:r>
        <w:rPr>
          <w:rFonts w:ascii="Arial" w:hAnsi="Arial" w:cs="Arial"/>
          <w:sz w:val="24"/>
          <w:szCs w:val="24"/>
        </w:rPr>
        <w:t xml:space="preserve"> </w:t>
      </w:r>
      <w:r w:rsidR="00774CAF">
        <w:rPr>
          <w:rFonts w:ascii="Arial" w:hAnsi="Arial" w:cs="Arial"/>
          <w:sz w:val="24"/>
          <w:szCs w:val="24"/>
        </w:rPr>
        <w:t>in</w:t>
      </w:r>
      <w:r>
        <w:rPr>
          <w:rFonts w:ascii="Arial" w:hAnsi="Arial" w:cs="Arial"/>
          <w:sz w:val="24"/>
          <w:szCs w:val="24"/>
        </w:rPr>
        <w:t xml:space="preserve"> supervisory information </w:t>
      </w:r>
      <w:r w:rsidR="00774CAF">
        <w:rPr>
          <w:rFonts w:ascii="Arial" w:hAnsi="Arial" w:cs="Arial"/>
          <w:sz w:val="24"/>
          <w:szCs w:val="24"/>
        </w:rPr>
        <w:t xml:space="preserve">available </w:t>
      </w:r>
      <w:r>
        <w:rPr>
          <w:rFonts w:ascii="Arial" w:hAnsi="Arial" w:cs="Arial"/>
          <w:sz w:val="24"/>
          <w:szCs w:val="24"/>
        </w:rPr>
        <w:t>from the institutions, as well as fragmentation of national practices and lack of data harmonisation have been key areas of interest for the European legislator</w:t>
      </w:r>
      <w:r w:rsidR="007651EE">
        <w:rPr>
          <w:rFonts w:ascii="Arial" w:hAnsi="Arial" w:cs="Arial"/>
          <w:sz w:val="24"/>
          <w:szCs w:val="24"/>
        </w:rPr>
        <w:t>s</w:t>
      </w:r>
      <w:r>
        <w:rPr>
          <w:rFonts w:ascii="Arial" w:hAnsi="Arial" w:cs="Arial"/>
          <w:sz w:val="24"/>
          <w:szCs w:val="24"/>
        </w:rPr>
        <w:t xml:space="preserve">. Reliable data are in fact a prerequisite for banks’ risk monitoring as they allow </w:t>
      </w:r>
      <w:r w:rsidR="005E6DEB">
        <w:rPr>
          <w:rFonts w:ascii="Arial" w:hAnsi="Arial" w:cs="Arial"/>
          <w:sz w:val="24"/>
          <w:szCs w:val="24"/>
        </w:rPr>
        <w:t xml:space="preserve">for </w:t>
      </w:r>
      <w:r>
        <w:rPr>
          <w:rFonts w:ascii="Arial" w:hAnsi="Arial" w:cs="Arial"/>
          <w:sz w:val="24"/>
          <w:szCs w:val="24"/>
        </w:rPr>
        <w:t>the prompt identification of potential weaknesses in the banking system and the coordination of timely actions</w:t>
      </w:r>
      <w:r w:rsidR="00EE10EC">
        <w:rPr>
          <w:rFonts w:ascii="Arial" w:hAnsi="Arial" w:cs="Arial"/>
          <w:sz w:val="24"/>
          <w:szCs w:val="24"/>
        </w:rPr>
        <w:t xml:space="preserve"> between supervisory and resolution authorities</w:t>
      </w:r>
      <w:r w:rsidR="00F66311">
        <w:rPr>
          <w:rFonts w:ascii="Arial" w:hAnsi="Arial" w:cs="Arial"/>
          <w:sz w:val="24"/>
          <w:szCs w:val="24"/>
        </w:rPr>
        <w:t xml:space="preserve"> (</w:t>
      </w:r>
      <w:proofErr w:type="spellStart"/>
      <w:r w:rsidR="00F66311">
        <w:rPr>
          <w:rFonts w:ascii="Arial" w:hAnsi="Arial" w:cs="Arial"/>
          <w:sz w:val="24"/>
          <w:szCs w:val="24"/>
        </w:rPr>
        <w:t>Rimmanen</w:t>
      </w:r>
      <w:proofErr w:type="spellEnd"/>
      <w:r w:rsidR="00F66311">
        <w:rPr>
          <w:rFonts w:ascii="Arial" w:hAnsi="Arial" w:cs="Arial"/>
          <w:sz w:val="24"/>
          <w:szCs w:val="24"/>
        </w:rPr>
        <w:t>, 2015)</w:t>
      </w:r>
      <w:r>
        <w:rPr>
          <w:rFonts w:ascii="Arial" w:hAnsi="Arial" w:cs="Arial"/>
          <w:sz w:val="24"/>
          <w:szCs w:val="24"/>
        </w:rPr>
        <w:t>.</w:t>
      </w:r>
    </w:p>
    <w:p w:rsidR="00B67E1F" w:rsidRDefault="00B67E1F" w:rsidP="00B67E1F">
      <w:pPr>
        <w:spacing w:before="120" w:after="0" w:line="360" w:lineRule="auto"/>
        <w:jc w:val="both"/>
        <w:rPr>
          <w:rFonts w:ascii="Arial" w:hAnsi="Arial" w:cs="Arial"/>
          <w:sz w:val="24"/>
          <w:szCs w:val="24"/>
        </w:rPr>
      </w:pPr>
      <w:r>
        <w:rPr>
          <w:rFonts w:ascii="Arial" w:hAnsi="Arial" w:cs="Arial"/>
          <w:sz w:val="24"/>
          <w:szCs w:val="24"/>
        </w:rPr>
        <w:t>In this context, the European Banking Authority (</w:t>
      </w:r>
      <w:r w:rsidRPr="00AF0D00">
        <w:rPr>
          <w:rFonts w:ascii="Arial" w:hAnsi="Arial" w:cs="Arial"/>
          <w:sz w:val="24"/>
          <w:szCs w:val="24"/>
        </w:rPr>
        <w:t>EBA</w:t>
      </w:r>
      <w:r>
        <w:rPr>
          <w:rFonts w:ascii="Arial" w:hAnsi="Arial" w:cs="Arial"/>
          <w:sz w:val="24"/>
          <w:szCs w:val="24"/>
        </w:rPr>
        <w:t xml:space="preserve">) introduced a </w:t>
      </w:r>
      <w:r w:rsidR="00774CAF">
        <w:rPr>
          <w:rFonts w:ascii="Arial" w:hAnsi="Arial" w:cs="Arial"/>
          <w:sz w:val="24"/>
          <w:szCs w:val="24"/>
        </w:rPr>
        <w:t xml:space="preserve">mandatory </w:t>
      </w:r>
      <w:r>
        <w:rPr>
          <w:rFonts w:ascii="Arial" w:hAnsi="Arial" w:cs="Arial"/>
          <w:sz w:val="24"/>
          <w:szCs w:val="24"/>
        </w:rPr>
        <w:t xml:space="preserve">harmonised reporting framework made up of two major schemes: a Common </w:t>
      </w:r>
      <w:r>
        <w:rPr>
          <w:rFonts w:ascii="Arial" w:hAnsi="Arial" w:cs="Arial"/>
          <w:sz w:val="24"/>
          <w:szCs w:val="24"/>
        </w:rPr>
        <w:lastRenderedPageBreak/>
        <w:t>Reporting dedicated to the disclosure of regulatory requirements</w:t>
      </w:r>
      <w:r w:rsidR="005E6DEB">
        <w:rPr>
          <w:rFonts w:ascii="Arial" w:hAnsi="Arial" w:cs="Arial"/>
          <w:sz w:val="24"/>
          <w:szCs w:val="24"/>
        </w:rPr>
        <w:t xml:space="preserve"> (</w:t>
      </w:r>
      <w:r w:rsidR="005E6DEB" w:rsidRPr="00AF0D00">
        <w:rPr>
          <w:rFonts w:ascii="Arial" w:hAnsi="Arial" w:cs="Arial"/>
          <w:sz w:val="24"/>
          <w:szCs w:val="24"/>
        </w:rPr>
        <w:t>COREP</w:t>
      </w:r>
      <w:r w:rsidR="005E6DEB">
        <w:rPr>
          <w:rFonts w:ascii="Arial" w:hAnsi="Arial" w:cs="Arial"/>
          <w:sz w:val="24"/>
          <w:szCs w:val="24"/>
        </w:rPr>
        <w:t>)</w:t>
      </w:r>
      <w:r>
        <w:rPr>
          <w:rFonts w:ascii="Arial" w:hAnsi="Arial" w:cs="Arial"/>
          <w:sz w:val="24"/>
          <w:szCs w:val="24"/>
        </w:rPr>
        <w:t>, and a comprehensive reporting of banks’ financial information (</w:t>
      </w:r>
      <w:r w:rsidRPr="00AF0D00">
        <w:rPr>
          <w:rFonts w:ascii="Arial" w:hAnsi="Arial" w:cs="Arial"/>
          <w:sz w:val="24"/>
          <w:szCs w:val="24"/>
        </w:rPr>
        <w:t>FINREP</w:t>
      </w:r>
      <w:r>
        <w:rPr>
          <w:rFonts w:ascii="Arial" w:hAnsi="Arial" w:cs="Arial"/>
          <w:sz w:val="24"/>
          <w:szCs w:val="24"/>
        </w:rPr>
        <w:t>)</w:t>
      </w:r>
      <w:r>
        <w:rPr>
          <w:rStyle w:val="FootnoteReference"/>
          <w:rFonts w:ascii="Arial" w:hAnsi="Arial" w:cs="Arial"/>
          <w:sz w:val="24"/>
          <w:szCs w:val="24"/>
        </w:rPr>
        <w:footnoteReference w:id="1"/>
      </w:r>
      <w:r>
        <w:rPr>
          <w:rFonts w:ascii="Arial" w:hAnsi="Arial" w:cs="Arial"/>
          <w:sz w:val="24"/>
          <w:szCs w:val="24"/>
        </w:rPr>
        <w:t>. Th</w:t>
      </w:r>
      <w:r w:rsidR="00DB02F9">
        <w:rPr>
          <w:rFonts w:ascii="Arial" w:hAnsi="Arial" w:cs="Arial"/>
          <w:sz w:val="24"/>
          <w:szCs w:val="24"/>
        </w:rPr>
        <w:t>is</w:t>
      </w:r>
      <w:r>
        <w:rPr>
          <w:rFonts w:ascii="Arial" w:hAnsi="Arial" w:cs="Arial"/>
          <w:sz w:val="24"/>
          <w:szCs w:val="24"/>
        </w:rPr>
        <w:t xml:space="preserve"> framework, </w:t>
      </w:r>
      <w:r w:rsidR="00735949">
        <w:rPr>
          <w:rFonts w:ascii="Arial" w:hAnsi="Arial" w:cs="Arial"/>
          <w:sz w:val="24"/>
          <w:szCs w:val="24"/>
        </w:rPr>
        <w:t xml:space="preserve">implemented in </w:t>
      </w:r>
      <w:r w:rsidR="00DB02F9">
        <w:rPr>
          <w:rFonts w:ascii="Arial" w:hAnsi="Arial" w:cs="Arial"/>
          <w:sz w:val="24"/>
          <w:szCs w:val="24"/>
        </w:rPr>
        <w:t xml:space="preserve">2014 </w:t>
      </w:r>
      <w:r>
        <w:rPr>
          <w:rFonts w:ascii="Arial" w:hAnsi="Arial" w:cs="Arial"/>
          <w:sz w:val="24"/>
          <w:szCs w:val="24"/>
        </w:rPr>
        <w:t>for institutions in the European Union (</w:t>
      </w:r>
      <w:r w:rsidRPr="00AF0D00">
        <w:rPr>
          <w:rFonts w:ascii="Arial" w:hAnsi="Arial" w:cs="Arial"/>
          <w:sz w:val="24"/>
          <w:szCs w:val="24"/>
        </w:rPr>
        <w:t>EU</w:t>
      </w:r>
      <w:r>
        <w:rPr>
          <w:rFonts w:ascii="Arial" w:hAnsi="Arial" w:cs="Arial"/>
          <w:sz w:val="24"/>
          <w:szCs w:val="24"/>
        </w:rPr>
        <w:t>), comprises a number of legal acts and technical documentation aimed at achieving uniform reporting via common definitions, templates and a Q&amp;</w:t>
      </w:r>
      <w:r w:rsidR="000F1008">
        <w:rPr>
          <w:rFonts w:ascii="Arial" w:hAnsi="Arial" w:cs="Arial"/>
          <w:sz w:val="24"/>
          <w:szCs w:val="24"/>
        </w:rPr>
        <w:t>A mechanism managed by the EBA</w:t>
      </w:r>
      <w:r w:rsidR="005245ED">
        <w:rPr>
          <w:rStyle w:val="FootnoteReference"/>
          <w:rFonts w:ascii="Arial" w:hAnsi="Arial" w:cs="Arial"/>
          <w:sz w:val="24"/>
          <w:szCs w:val="24"/>
        </w:rPr>
        <w:footnoteReference w:id="2"/>
      </w:r>
      <w:r w:rsidR="000F1008">
        <w:rPr>
          <w:rFonts w:ascii="Arial" w:hAnsi="Arial" w:cs="Arial"/>
          <w:sz w:val="24"/>
          <w:szCs w:val="24"/>
        </w:rPr>
        <w:t>.</w:t>
      </w:r>
    </w:p>
    <w:p w:rsidR="00213A54" w:rsidRDefault="00213A54" w:rsidP="00213A54">
      <w:pPr>
        <w:spacing w:before="120" w:after="0" w:line="360" w:lineRule="auto"/>
        <w:jc w:val="both"/>
        <w:rPr>
          <w:rFonts w:ascii="Arial" w:hAnsi="Arial" w:cs="Arial"/>
          <w:sz w:val="24"/>
          <w:szCs w:val="24"/>
        </w:rPr>
      </w:pPr>
      <w:r>
        <w:rPr>
          <w:rFonts w:ascii="Arial" w:hAnsi="Arial" w:cs="Arial"/>
          <w:sz w:val="24"/>
          <w:szCs w:val="24"/>
        </w:rPr>
        <w:t>As direct supervisor of the significant institutions of the countries participating to the Single Supervisory Mechanism (</w:t>
      </w:r>
      <w:r w:rsidRPr="000F1008">
        <w:rPr>
          <w:rFonts w:ascii="Arial" w:hAnsi="Arial" w:cs="Arial"/>
          <w:sz w:val="24"/>
          <w:szCs w:val="24"/>
        </w:rPr>
        <w:t>SSM</w:t>
      </w:r>
      <w:r>
        <w:rPr>
          <w:rFonts w:ascii="Arial" w:hAnsi="Arial" w:cs="Arial"/>
          <w:sz w:val="24"/>
          <w:szCs w:val="24"/>
        </w:rPr>
        <w:t>), the European Central Bank (</w:t>
      </w:r>
      <w:r w:rsidRPr="000F1008">
        <w:rPr>
          <w:rFonts w:ascii="Arial" w:hAnsi="Arial" w:cs="Arial"/>
          <w:sz w:val="24"/>
          <w:szCs w:val="24"/>
        </w:rPr>
        <w:t>ECB</w:t>
      </w:r>
      <w:r>
        <w:rPr>
          <w:rFonts w:ascii="Arial" w:hAnsi="Arial" w:cs="Arial"/>
          <w:sz w:val="24"/>
          <w:szCs w:val="24"/>
        </w:rPr>
        <w:t xml:space="preserve">) has been entrusted with the </w:t>
      </w:r>
      <w:r w:rsidR="00A23066">
        <w:rPr>
          <w:rFonts w:ascii="Arial" w:hAnsi="Arial" w:cs="Arial"/>
          <w:sz w:val="24"/>
          <w:szCs w:val="24"/>
        </w:rPr>
        <w:t>responsibility</w:t>
      </w:r>
      <w:r>
        <w:rPr>
          <w:rFonts w:ascii="Arial" w:hAnsi="Arial" w:cs="Arial"/>
          <w:sz w:val="24"/>
          <w:szCs w:val="24"/>
        </w:rPr>
        <w:t xml:space="preserve"> of ensuring the compliance of supervised institutions with the EU prudential rules, including supervisory</w:t>
      </w:r>
      <w:r w:rsidR="009A4B1A">
        <w:rPr>
          <w:rFonts w:ascii="Arial" w:hAnsi="Arial" w:cs="Arial"/>
          <w:sz w:val="24"/>
          <w:szCs w:val="24"/>
        </w:rPr>
        <w:t xml:space="preserve"> reporting</w:t>
      </w:r>
      <w:r>
        <w:rPr>
          <w:rFonts w:ascii="Arial" w:hAnsi="Arial" w:cs="Arial"/>
          <w:sz w:val="24"/>
          <w:szCs w:val="24"/>
        </w:rPr>
        <w:t>. In this regard, Article 140 of the SSM Framework Regulation</w:t>
      </w:r>
      <w:r w:rsidR="00301C28">
        <w:rPr>
          <w:rStyle w:val="FootnoteReference"/>
          <w:rFonts w:ascii="Arial" w:hAnsi="Arial" w:cs="Arial"/>
          <w:sz w:val="24"/>
          <w:szCs w:val="24"/>
        </w:rPr>
        <w:footnoteReference w:id="3"/>
      </w:r>
      <w:r>
        <w:rPr>
          <w:rFonts w:ascii="Arial" w:hAnsi="Arial" w:cs="Arial"/>
          <w:sz w:val="24"/>
          <w:szCs w:val="24"/>
        </w:rPr>
        <w:t xml:space="preserve"> entails the ECB to organise the processes relating to the “quality review of data reported by supervised entities subject to, and in compliance with, relevant Union law and EBA implementing technical standards”.</w:t>
      </w:r>
    </w:p>
    <w:p w:rsidR="005824E1" w:rsidRDefault="00213A54" w:rsidP="005824E1">
      <w:pPr>
        <w:spacing w:before="120" w:after="0" w:line="360" w:lineRule="auto"/>
        <w:jc w:val="both"/>
        <w:rPr>
          <w:rFonts w:ascii="Arial" w:hAnsi="Arial" w:cs="Arial"/>
          <w:sz w:val="24"/>
          <w:szCs w:val="24"/>
        </w:rPr>
      </w:pPr>
      <w:r>
        <w:rPr>
          <w:rFonts w:ascii="Arial" w:hAnsi="Arial" w:cs="Arial"/>
          <w:sz w:val="24"/>
          <w:szCs w:val="24"/>
        </w:rPr>
        <w:t xml:space="preserve">Given the relevance of </w:t>
      </w:r>
      <w:r w:rsidR="00003D7D">
        <w:rPr>
          <w:rFonts w:ascii="Arial" w:hAnsi="Arial" w:cs="Arial"/>
          <w:sz w:val="24"/>
          <w:szCs w:val="24"/>
        </w:rPr>
        <w:t>quantitative information</w:t>
      </w:r>
      <w:r>
        <w:rPr>
          <w:rFonts w:ascii="Arial" w:hAnsi="Arial" w:cs="Arial"/>
          <w:sz w:val="24"/>
          <w:szCs w:val="24"/>
        </w:rPr>
        <w:t xml:space="preserve"> for decision-making, data quality </w:t>
      </w:r>
      <w:r w:rsidR="00B13B81">
        <w:rPr>
          <w:rFonts w:ascii="Arial" w:hAnsi="Arial" w:cs="Arial"/>
          <w:sz w:val="24"/>
          <w:szCs w:val="24"/>
        </w:rPr>
        <w:t>has received a strong emphasis</w:t>
      </w:r>
      <w:r>
        <w:rPr>
          <w:rFonts w:ascii="Arial" w:hAnsi="Arial" w:cs="Arial"/>
          <w:sz w:val="24"/>
          <w:szCs w:val="24"/>
        </w:rPr>
        <w:t xml:space="preserve"> </w:t>
      </w:r>
      <w:r w:rsidR="005824E1">
        <w:rPr>
          <w:rFonts w:ascii="Arial" w:hAnsi="Arial" w:cs="Arial"/>
          <w:sz w:val="24"/>
          <w:szCs w:val="24"/>
        </w:rPr>
        <w:t xml:space="preserve">at the ECB. </w:t>
      </w:r>
      <w:r w:rsidR="007A5750">
        <w:rPr>
          <w:rFonts w:ascii="Arial" w:hAnsi="Arial" w:cs="Arial"/>
          <w:sz w:val="24"/>
          <w:szCs w:val="24"/>
        </w:rPr>
        <w:t>Under</w:t>
      </w:r>
      <w:r w:rsidR="00A23066">
        <w:rPr>
          <w:rFonts w:ascii="Arial" w:hAnsi="Arial" w:cs="Arial"/>
          <w:sz w:val="24"/>
          <w:szCs w:val="24"/>
        </w:rPr>
        <w:t xml:space="preserve"> </w:t>
      </w:r>
      <w:r w:rsidR="007A5750">
        <w:rPr>
          <w:rFonts w:ascii="Arial" w:hAnsi="Arial" w:cs="Arial"/>
          <w:sz w:val="24"/>
          <w:szCs w:val="24"/>
        </w:rPr>
        <w:t>this respect</w:t>
      </w:r>
      <w:r w:rsidR="00A23066">
        <w:rPr>
          <w:rFonts w:ascii="Arial" w:hAnsi="Arial" w:cs="Arial"/>
          <w:sz w:val="24"/>
          <w:szCs w:val="24"/>
        </w:rPr>
        <w:t>, t</w:t>
      </w:r>
      <w:r w:rsidR="005824E1">
        <w:rPr>
          <w:rFonts w:ascii="Arial" w:hAnsi="Arial" w:cs="Arial"/>
          <w:sz w:val="24"/>
          <w:szCs w:val="24"/>
        </w:rPr>
        <w:t xml:space="preserve">he </w:t>
      </w:r>
      <w:r w:rsidR="005824E1" w:rsidRPr="00CB484D">
        <w:rPr>
          <w:rFonts w:ascii="Arial" w:hAnsi="Arial" w:cs="Arial"/>
          <w:i/>
          <w:sz w:val="24"/>
          <w:szCs w:val="24"/>
        </w:rPr>
        <w:t>E</w:t>
      </w:r>
      <w:r w:rsidR="005824E1">
        <w:rPr>
          <w:rFonts w:ascii="Arial" w:hAnsi="Arial" w:cs="Arial"/>
          <w:i/>
          <w:sz w:val="24"/>
          <w:szCs w:val="24"/>
        </w:rPr>
        <w:t>CB Statistics Quality Framework</w:t>
      </w:r>
      <w:r w:rsidR="005824E1">
        <w:rPr>
          <w:rFonts w:ascii="Arial" w:hAnsi="Arial" w:cs="Arial"/>
          <w:sz w:val="24"/>
          <w:szCs w:val="24"/>
        </w:rPr>
        <w:t xml:space="preserve"> (</w:t>
      </w:r>
      <w:r w:rsidR="005824E1" w:rsidRPr="000F1008">
        <w:rPr>
          <w:rFonts w:ascii="Arial" w:hAnsi="Arial" w:cs="Arial"/>
          <w:sz w:val="24"/>
          <w:szCs w:val="24"/>
        </w:rPr>
        <w:t>SQF</w:t>
      </w:r>
      <w:r w:rsidR="005824E1">
        <w:rPr>
          <w:rFonts w:ascii="Arial" w:hAnsi="Arial" w:cs="Arial"/>
          <w:sz w:val="24"/>
          <w:szCs w:val="24"/>
        </w:rPr>
        <w:t xml:space="preserve">; </w:t>
      </w:r>
      <w:r w:rsidR="005824E1" w:rsidRPr="000F1008">
        <w:rPr>
          <w:rFonts w:ascii="Arial" w:hAnsi="Arial" w:cs="Arial"/>
          <w:sz w:val="24"/>
          <w:szCs w:val="24"/>
        </w:rPr>
        <w:t>ECB, 20</w:t>
      </w:r>
      <w:r w:rsidR="006D1F1D" w:rsidRPr="000F1008">
        <w:rPr>
          <w:rFonts w:ascii="Arial" w:hAnsi="Arial" w:cs="Arial"/>
          <w:sz w:val="24"/>
          <w:szCs w:val="24"/>
        </w:rPr>
        <w:t>0</w:t>
      </w:r>
      <w:r w:rsidR="005824E1" w:rsidRPr="000F1008">
        <w:rPr>
          <w:rFonts w:ascii="Arial" w:hAnsi="Arial" w:cs="Arial"/>
          <w:sz w:val="24"/>
          <w:szCs w:val="24"/>
        </w:rPr>
        <w:t>8</w:t>
      </w:r>
      <w:r w:rsidR="005824E1">
        <w:rPr>
          <w:rFonts w:ascii="Arial" w:hAnsi="Arial" w:cs="Arial"/>
          <w:sz w:val="24"/>
          <w:szCs w:val="24"/>
        </w:rPr>
        <w:t xml:space="preserve">) </w:t>
      </w:r>
      <w:r w:rsidR="007A5750">
        <w:rPr>
          <w:rFonts w:ascii="Arial" w:hAnsi="Arial" w:cs="Arial"/>
          <w:sz w:val="24"/>
          <w:szCs w:val="24"/>
        </w:rPr>
        <w:t>recognises that</w:t>
      </w:r>
      <w:r w:rsidR="005824E1">
        <w:rPr>
          <w:rFonts w:ascii="Arial" w:hAnsi="Arial" w:cs="Arial"/>
          <w:sz w:val="24"/>
          <w:szCs w:val="24"/>
        </w:rPr>
        <w:t xml:space="preserve"> “quality is interpreted in a broad sense as encompassing all aspects of how well statistical processes and output fulfil key stakeholders’ expectations” (p. 4). In other words it is expected that statistics within the ECB remain </w:t>
      </w:r>
      <w:r w:rsidR="005824E1" w:rsidRPr="00BA4D88">
        <w:rPr>
          <w:rFonts w:ascii="Arial" w:hAnsi="Arial" w:cs="Arial"/>
          <w:i/>
          <w:sz w:val="24"/>
          <w:szCs w:val="24"/>
        </w:rPr>
        <w:t>fit for purpose</w:t>
      </w:r>
      <w:r w:rsidR="005824E1">
        <w:rPr>
          <w:rFonts w:ascii="Arial" w:hAnsi="Arial" w:cs="Arial"/>
          <w:sz w:val="24"/>
          <w:szCs w:val="24"/>
        </w:rPr>
        <w:t xml:space="preserve">. </w:t>
      </w:r>
    </w:p>
    <w:p w:rsidR="00301C28" w:rsidRDefault="00301C28" w:rsidP="00301C28">
      <w:pPr>
        <w:spacing w:before="120" w:after="0" w:line="360" w:lineRule="auto"/>
        <w:jc w:val="both"/>
        <w:rPr>
          <w:rFonts w:ascii="Arial" w:hAnsi="Arial" w:cs="Arial"/>
          <w:sz w:val="24"/>
          <w:szCs w:val="24"/>
        </w:rPr>
      </w:pPr>
      <w:r>
        <w:rPr>
          <w:rFonts w:ascii="Arial" w:hAnsi="Arial" w:cs="Arial"/>
          <w:sz w:val="24"/>
          <w:szCs w:val="24"/>
        </w:rPr>
        <w:t xml:space="preserve">Despite this general definition, not all the principles set in the SQF are directly applicable to the ECB in the context of banking supervision data. </w:t>
      </w:r>
      <w:r w:rsidR="005E6DEB">
        <w:rPr>
          <w:rFonts w:ascii="Arial" w:hAnsi="Arial" w:cs="Arial"/>
          <w:sz w:val="24"/>
          <w:szCs w:val="24"/>
        </w:rPr>
        <w:t>T</w:t>
      </w:r>
      <w:r>
        <w:rPr>
          <w:rFonts w:ascii="Arial" w:hAnsi="Arial" w:cs="Arial"/>
          <w:sz w:val="24"/>
          <w:szCs w:val="24"/>
        </w:rPr>
        <w:t xml:space="preserve">he EBA retains the ownership of the reporting </w:t>
      </w:r>
      <w:r w:rsidR="005E6DEB">
        <w:rPr>
          <w:rFonts w:ascii="Arial" w:hAnsi="Arial" w:cs="Arial"/>
          <w:sz w:val="24"/>
          <w:szCs w:val="24"/>
        </w:rPr>
        <w:t>framework;</w:t>
      </w:r>
      <w:r w:rsidR="001906FA">
        <w:rPr>
          <w:rFonts w:ascii="Arial" w:hAnsi="Arial" w:cs="Arial"/>
          <w:sz w:val="24"/>
          <w:szCs w:val="24"/>
        </w:rPr>
        <w:t xml:space="preserve"> </w:t>
      </w:r>
      <w:r w:rsidR="005E6DEB">
        <w:rPr>
          <w:rFonts w:ascii="Arial" w:hAnsi="Arial" w:cs="Arial"/>
          <w:sz w:val="24"/>
          <w:szCs w:val="24"/>
        </w:rPr>
        <w:t xml:space="preserve">therefore </w:t>
      </w:r>
      <w:r w:rsidR="00064F85">
        <w:rPr>
          <w:rFonts w:ascii="Arial" w:hAnsi="Arial" w:cs="Arial"/>
          <w:sz w:val="24"/>
          <w:szCs w:val="24"/>
        </w:rPr>
        <w:t>it contributes</w:t>
      </w:r>
      <w:r>
        <w:rPr>
          <w:rFonts w:ascii="Arial" w:hAnsi="Arial" w:cs="Arial"/>
          <w:sz w:val="24"/>
          <w:szCs w:val="24"/>
        </w:rPr>
        <w:t xml:space="preserve"> to the achievement of good supervisory data quality standards in conjunction with the ECB and the other national competent authorities (</w:t>
      </w:r>
      <w:r w:rsidRPr="000F1008">
        <w:rPr>
          <w:rFonts w:ascii="Arial" w:hAnsi="Arial" w:cs="Arial"/>
          <w:sz w:val="24"/>
          <w:szCs w:val="24"/>
        </w:rPr>
        <w:t>NCAs</w:t>
      </w:r>
      <w:r>
        <w:rPr>
          <w:rFonts w:ascii="Arial" w:hAnsi="Arial" w:cs="Arial"/>
          <w:sz w:val="24"/>
          <w:szCs w:val="24"/>
        </w:rPr>
        <w:t xml:space="preserve">). By having the legal authority to propose amendments to the reporting framework, the EBA identifies </w:t>
      </w:r>
      <w:r w:rsidRPr="00882F0E">
        <w:rPr>
          <w:rFonts w:ascii="Arial" w:hAnsi="Arial" w:cs="Arial"/>
          <w:i/>
          <w:sz w:val="24"/>
          <w:szCs w:val="24"/>
        </w:rPr>
        <w:t>de facto</w:t>
      </w:r>
      <w:r>
        <w:rPr>
          <w:rFonts w:ascii="Arial" w:hAnsi="Arial" w:cs="Arial"/>
          <w:sz w:val="24"/>
          <w:szCs w:val="24"/>
        </w:rPr>
        <w:t xml:space="preserve"> supervisors’ needs and translates them into specific data requirements from the institutions</w:t>
      </w:r>
      <w:r w:rsidR="005E4801">
        <w:rPr>
          <w:rFonts w:ascii="Arial" w:hAnsi="Arial" w:cs="Arial"/>
          <w:sz w:val="24"/>
          <w:szCs w:val="24"/>
        </w:rPr>
        <w:t>. T</w:t>
      </w:r>
      <w:r>
        <w:rPr>
          <w:rFonts w:ascii="Arial" w:hAnsi="Arial" w:cs="Arial"/>
          <w:sz w:val="24"/>
          <w:szCs w:val="24"/>
        </w:rPr>
        <w:t xml:space="preserve">he regulator </w:t>
      </w:r>
      <w:r w:rsidR="00602912">
        <w:rPr>
          <w:rFonts w:ascii="Arial" w:hAnsi="Arial" w:cs="Arial"/>
          <w:sz w:val="24"/>
          <w:szCs w:val="24"/>
        </w:rPr>
        <w:t>ensures</w:t>
      </w:r>
      <w:r w:rsidR="005E4801">
        <w:rPr>
          <w:rFonts w:ascii="Arial" w:hAnsi="Arial" w:cs="Arial"/>
          <w:sz w:val="24"/>
          <w:szCs w:val="24"/>
        </w:rPr>
        <w:t xml:space="preserve"> therefore the</w:t>
      </w:r>
      <w:r>
        <w:rPr>
          <w:rFonts w:ascii="Arial" w:hAnsi="Arial" w:cs="Arial"/>
          <w:sz w:val="24"/>
          <w:szCs w:val="24"/>
        </w:rPr>
        <w:t xml:space="preserve"> relevance and consistency of supervisory data</w:t>
      </w:r>
      <w:r w:rsidR="00C92F29">
        <w:rPr>
          <w:rStyle w:val="FootnoteReference"/>
          <w:rFonts w:ascii="Arial" w:hAnsi="Arial" w:cs="Arial"/>
          <w:sz w:val="24"/>
          <w:szCs w:val="24"/>
        </w:rPr>
        <w:footnoteReference w:id="4"/>
      </w:r>
      <w:r>
        <w:rPr>
          <w:rFonts w:ascii="Arial" w:hAnsi="Arial" w:cs="Arial"/>
          <w:sz w:val="24"/>
          <w:szCs w:val="24"/>
        </w:rPr>
        <w:t xml:space="preserve">, as well as their timeliness and </w:t>
      </w:r>
      <w:r w:rsidR="002231AC">
        <w:rPr>
          <w:rFonts w:ascii="Arial" w:hAnsi="Arial" w:cs="Arial"/>
          <w:sz w:val="24"/>
          <w:szCs w:val="24"/>
        </w:rPr>
        <w:t xml:space="preserve">a </w:t>
      </w:r>
      <w:r w:rsidR="00C92F29">
        <w:rPr>
          <w:rFonts w:ascii="Arial" w:hAnsi="Arial" w:cs="Arial"/>
          <w:sz w:val="24"/>
          <w:szCs w:val="24"/>
        </w:rPr>
        <w:t xml:space="preserve">basic </w:t>
      </w:r>
      <w:r w:rsidR="002231AC">
        <w:rPr>
          <w:rFonts w:ascii="Arial" w:hAnsi="Arial" w:cs="Arial"/>
          <w:sz w:val="24"/>
          <w:szCs w:val="24"/>
        </w:rPr>
        <w:t xml:space="preserve">level of </w:t>
      </w:r>
      <w:r>
        <w:rPr>
          <w:rFonts w:ascii="Arial" w:hAnsi="Arial" w:cs="Arial"/>
          <w:sz w:val="24"/>
          <w:szCs w:val="24"/>
        </w:rPr>
        <w:t xml:space="preserve">accuracy by defining the data production </w:t>
      </w:r>
      <w:r>
        <w:rPr>
          <w:rFonts w:ascii="Arial" w:hAnsi="Arial" w:cs="Arial"/>
          <w:sz w:val="24"/>
          <w:szCs w:val="24"/>
        </w:rPr>
        <w:lastRenderedPageBreak/>
        <w:t xml:space="preserve">cycle and the adherence of the remitted information to </w:t>
      </w:r>
      <w:r w:rsidR="006D1F1D">
        <w:rPr>
          <w:rFonts w:ascii="Arial" w:hAnsi="Arial" w:cs="Arial"/>
          <w:sz w:val="24"/>
          <w:szCs w:val="24"/>
        </w:rPr>
        <w:t>a set of</w:t>
      </w:r>
      <w:r>
        <w:rPr>
          <w:rFonts w:ascii="Arial" w:hAnsi="Arial" w:cs="Arial"/>
          <w:sz w:val="24"/>
          <w:szCs w:val="24"/>
        </w:rPr>
        <w:t xml:space="preserve"> </w:t>
      </w:r>
      <w:r w:rsidR="006D1F1D">
        <w:rPr>
          <w:rFonts w:ascii="Arial" w:hAnsi="Arial" w:cs="Arial"/>
          <w:sz w:val="24"/>
          <w:szCs w:val="24"/>
        </w:rPr>
        <w:t xml:space="preserve">established </w:t>
      </w:r>
      <w:r>
        <w:rPr>
          <w:rFonts w:ascii="Arial" w:hAnsi="Arial" w:cs="Arial"/>
          <w:sz w:val="24"/>
          <w:szCs w:val="24"/>
        </w:rPr>
        <w:t>validation rules</w:t>
      </w:r>
      <w:r w:rsidR="00C92F29">
        <w:rPr>
          <w:rStyle w:val="FootnoteReference"/>
          <w:rFonts w:ascii="Arial" w:hAnsi="Arial" w:cs="Arial"/>
          <w:sz w:val="24"/>
          <w:szCs w:val="24"/>
        </w:rPr>
        <w:footnoteReference w:id="5"/>
      </w:r>
      <w:r>
        <w:rPr>
          <w:rFonts w:ascii="Arial" w:hAnsi="Arial" w:cs="Arial"/>
          <w:sz w:val="24"/>
          <w:szCs w:val="24"/>
        </w:rPr>
        <w:t>.</w:t>
      </w:r>
    </w:p>
    <w:p w:rsidR="00B67E1F" w:rsidRDefault="00960675" w:rsidP="000F5456">
      <w:pPr>
        <w:spacing w:before="120" w:after="0" w:line="360" w:lineRule="auto"/>
        <w:jc w:val="both"/>
        <w:rPr>
          <w:rFonts w:ascii="Arial" w:hAnsi="Arial" w:cs="Arial"/>
          <w:sz w:val="24"/>
          <w:szCs w:val="24"/>
        </w:rPr>
      </w:pPr>
      <w:r w:rsidRPr="00B701D1">
        <w:rPr>
          <w:rFonts w:ascii="Arial" w:hAnsi="Arial" w:cs="Arial"/>
          <w:sz w:val="24"/>
          <w:szCs w:val="24"/>
        </w:rPr>
        <w:t xml:space="preserve">If the </w:t>
      </w:r>
      <w:r w:rsidR="008E34F3" w:rsidRPr="00B701D1">
        <w:rPr>
          <w:rFonts w:ascii="Arial" w:hAnsi="Arial" w:cs="Arial"/>
          <w:sz w:val="24"/>
          <w:szCs w:val="24"/>
        </w:rPr>
        <w:t>role</w:t>
      </w:r>
      <w:r w:rsidRPr="00B701D1">
        <w:rPr>
          <w:rFonts w:ascii="Arial" w:hAnsi="Arial" w:cs="Arial"/>
          <w:sz w:val="24"/>
          <w:szCs w:val="24"/>
        </w:rPr>
        <w:t xml:space="preserve"> of the EBA </w:t>
      </w:r>
      <w:r w:rsidR="008E34F3" w:rsidRPr="00B701D1">
        <w:rPr>
          <w:rFonts w:ascii="Arial" w:hAnsi="Arial" w:cs="Arial"/>
          <w:sz w:val="24"/>
          <w:szCs w:val="24"/>
        </w:rPr>
        <w:t xml:space="preserve">in </w:t>
      </w:r>
      <w:r w:rsidR="005E6DEB" w:rsidRPr="00B701D1">
        <w:rPr>
          <w:rFonts w:ascii="Arial" w:hAnsi="Arial" w:cs="Arial"/>
          <w:sz w:val="24"/>
          <w:szCs w:val="24"/>
        </w:rPr>
        <w:t>the</w:t>
      </w:r>
      <w:r w:rsidR="008E34F3" w:rsidRPr="00B701D1">
        <w:rPr>
          <w:rFonts w:ascii="Arial" w:hAnsi="Arial" w:cs="Arial"/>
          <w:sz w:val="24"/>
          <w:szCs w:val="24"/>
        </w:rPr>
        <w:t xml:space="preserve"> quality </w:t>
      </w:r>
      <w:r w:rsidR="005E6DEB" w:rsidRPr="00B701D1">
        <w:rPr>
          <w:rFonts w:ascii="Arial" w:hAnsi="Arial" w:cs="Arial"/>
          <w:sz w:val="24"/>
          <w:szCs w:val="24"/>
        </w:rPr>
        <w:t xml:space="preserve">of supervisory data </w:t>
      </w:r>
      <w:r w:rsidRPr="00B701D1">
        <w:rPr>
          <w:rFonts w:ascii="Arial" w:hAnsi="Arial" w:cs="Arial"/>
          <w:sz w:val="24"/>
          <w:szCs w:val="24"/>
        </w:rPr>
        <w:t xml:space="preserve">is to ask the </w:t>
      </w:r>
      <w:r w:rsidR="00D023E4">
        <w:rPr>
          <w:rFonts w:ascii="Arial" w:hAnsi="Arial" w:cs="Arial"/>
          <w:sz w:val="24"/>
          <w:szCs w:val="24"/>
        </w:rPr>
        <w:t xml:space="preserve">relevant </w:t>
      </w:r>
      <w:r w:rsidR="00D023E4" w:rsidRPr="00B701D1">
        <w:rPr>
          <w:rFonts w:ascii="Arial" w:hAnsi="Arial" w:cs="Arial"/>
          <w:sz w:val="24"/>
          <w:szCs w:val="24"/>
        </w:rPr>
        <w:t>questions</w:t>
      </w:r>
      <w:r w:rsidR="003D03E8">
        <w:rPr>
          <w:rFonts w:ascii="Arial" w:hAnsi="Arial" w:cs="Arial"/>
          <w:sz w:val="24"/>
          <w:szCs w:val="24"/>
        </w:rPr>
        <w:t xml:space="preserve"> (</w:t>
      </w:r>
      <w:r w:rsidR="00ED3B5E">
        <w:rPr>
          <w:rFonts w:ascii="Arial" w:hAnsi="Arial" w:cs="Arial"/>
          <w:sz w:val="24"/>
          <w:szCs w:val="24"/>
        </w:rPr>
        <w:t xml:space="preserve">by </w:t>
      </w:r>
      <w:r w:rsidR="003D03E8">
        <w:rPr>
          <w:rFonts w:ascii="Arial" w:hAnsi="Arial" w:cs="Arial"/>
          <w:sz w:val="24"/>
          <w:szCs w:val="24"/>
        </w:rPr>
        <w:t>provid</w:t>
      </w:r>
      <w:r w:rsidR="00ED3B5E">
        <w:rPr>
          <w:rFonts w:ascii="Arial" w:hAnsi="Arial" w:cs="Arial"/>
          <w:sz w:val="24"/>
          <w:szCs w:val="24"/>
        </w:rPr>
        <w:t>ing</w:t>
      </w:r>
      <w:r w:rsidR="003D03E8">
        <w:rPr>
          <w:rFonts w:ascii="Arial" w:hAnsi="Arial" w:cs="Arial"/>
          <w:sz w:val="24"/>
          <w:szCs w:val="24"/>
        </w:rPr>
        <w:t xml:space="preserve"> consistent reporting templates)</w:t>
      </w:r>
      <w:r w:rsidRPr="00B701D1">
        <w:rPr>
          <w:rFonts w:ascii="Arial" w:hAnsi="Arial" w:cs="Arial"/>
          <w:sz w:val="24"/>
          <w:szCs w:val="24"/>
        </w:rPr>
        <w:t xml:space="preserve">, </w:t>
      </w:r>
      <w:r w:rsidR="005E4801" w:rsidRPr="00B701D1">
        <w:rPr>
          <w:rFonts w:ascii="Arial" w:hAnsi="Arial" w:cs="Arial"/>
          <w:sz w:val="24"/>
          <w:szCs w:val="24"/>
        </w:rPr>
        <w:t xml:space="preserve">that </w:t>
      </w:r>
      <w:r w:rsidR="00E7211B" w:rsidRPr="00B701D1">
        <w:rPr>
          <w:rFonts w:ascii="Arial" w:hAnsi="Arial" w:cs="Arial"/>
          <w:sz w:val="24"/>
          <w:szCs w:val="24"/>
        </w:rPr>
        <w:t>of</w:t>
      </w:r>
      <w:r w:rsidR="005E4801" w:rsidRPr="00B701D1">
        <w:rPr>
          <w:rFonts w:ascii="Arial" w:hAnsi="Arial" w:cs="Arial"/>
          <w:sz w:val="24"/>
          <w:szCs w:val="24"/>
        </w:rPr>
        <w:t xml:space="preserve"> the</w:t>
      </w:r>
      <w:r w:rsidRPr="00B701D1">
        <w:rPr>
          <w:rFonts w:ascii="Arial" w:hAnsi="Arial" w:cs="Arial"/>
          <w:sz w:val="24"/>
          <w:szCs w:val="24"/>
        </w:rPr>
        <w:t xml:space="preserve"> </w:t>
      </w:r>
      <w:r w:rsidR="000F1008" w:rsidRPr="00B701D1">
        <w:rPr>
          <w:rFonts w:ascii="Arial" w:hAnsi="Arial" w:cs="Arial"/>
          <w:sz w:val="24"/>
          <w:szCs w:val="24"/>
        </w:rPr>
        <w:t>competent authority</w:t>
      </w:r>
      <w:r w:rsidRPr="00B701D1">
        <w:rPr>
          <w:rFonts w:ascii="Arial" w:hAnsi="Arial" w:cs="Arial"/>
          <w:sz w:val="24"/>
          <w:szCs w:val="24"/>
        </w:rPr>
        <w:t xml:space="preserve"> </w:t>
      </w:r>
      <w:r w:rsidR="005E4801" w:rsidRPr="00B701D1">
        <w:rPr>
          <w:rFonts w:ascii="Arial" w:hAnsi="Arial" w:cs="Arial"/>
          <w:sz w:val="24"/>
          <w:szCs w:val="24"/>
        </w:rPr>
        <w:t>is</w:t>
      </w:r>
      <w:r w:rsidRPr="00B701D1">
        <w:rPr>
          <w:rFonts w:ascii="Arial" w:hAnsi="Arial" w:cs="Arial"/>
          <w:sz w:val="24"/>
          <w:szCs w:val="24"/>
        </w:rPr>
        <w:t xml:space="preserve"> </w:t>
      </w:r>
      <w:r w:rsidR="00DD70BC" w:rsidRPr="00B701D1">
        <w:rPr>
          <w:rFonts w:ascii="Arial" w:hAnsi="Arial" w:cs="Arial"/>
          <w:sz w:val="24"/>
          <w:szCs w:val="24"/>
        </w:rPr>
        <w:t xml:space="preserve">to check whether the institutions </w:t>
      </w:r>
      <w:r w:rsidRPr="00B701D1">
        <w:rPr>
          <w:rFonts w:ascii="Arial" w:hAnsi="Arial" w:cs="Arial"/>
          <w:sz w:val="24"/>
          <w:szCs w:val="24"/>
        </w:rPr>
        <w:t xml:space="preserve">provide the </w:t>
      </w:r>
      <w:r w:rsidR="00010BEB">
        <w:rPr>
          <w:rFonts w:ascii="Arial" w:hAnsi="Arial" w:cs="Arial"/>
          <w:sz w:val="24"/>
          <w:szCs w:val="24"/>
        </w:rPr>
        <w:t xml:space="preserve">correct </w:t>
      </w:r>
      <w:r w:rsidRPr="00B701D1">
        <w:rPr>
          <w:rFonts w:ascii="Arial" w:hAnsi="Arial" w:cs="Arial"/>
          <w:sz w:val="24"/>
          <w:szCs w:val="24"/>
        </w:rPr>
        <w:t>answer</w:t>
      </w:r>
      <w:r w:rsidR="0008777D">
        <w:rPr>
          <w:rFonts w:ascii="Arial" w:hAnsi="Arial" w:cs="Arial"/>
          <w:sz w:val="24"/>
          <w:szCs w:val="24"/>
        </w:rPr>
        <w:t>s</w:t>
      </w:r>
      <w:r w:rsidR="00D023E4">
        <w:rPr>
          <w:rFonts w:ascii="Arial" w:hAnsi="Arial" w:cs="Arial"/>
          <w:sz w:val="24"/>
          <w:szCs w:val="24"/>
        </w:rPr>
        <w:t xml:space="preserve"> (by filling the reporting templates appropriately)</w:t>
      </w:r>
      <w:r w:rsidRPr="00B701D1">
        <w:rPr>
          <w:rFonts w:ascii="Arial" w:hAnsi="Arial" w:cs="Arial"/>
          <w:sz w:val="24"/>
          <w:szCs w:val="24"/>
        </w:rPr>
        <w:t xml:space="preserve">. </w:t>
      </w:r>
      <w:r w:rsidR="008A4C85" w:rsidRPr="00B701D1">
        <w:rPr>
          <w:rFonts w:ascii="Arial" w:hAnsi="Arial" w:cs="Arial"/>
          <w:sz w:val="24"/>
          <w:szCs w:val="24"/>
        </w:rPr>
        <w:t xml:space="preserve">Following the work done on </w:t>
      </w:r>
      <w:r w:rsidR="00063494" w:rsidRPr="00B701D1">
        <w:rPr>
          <w:rFonts w:ascii="Arial" w:hAnsi="Arial" w:cs="Arial"/>
          <w:sz w:val="24"/>
          <w:szCs w:val="24"/>
        </w:rPr>
        <w:t>t</w:t>
      </w:r>
      <w:r w:rsidR="008A4C85" w:rsidRPr="00B701D1">
        <w:rPr>
          <w:rFonts w:ascii="Arial" w:hAnsi="Arial" w:cs="Arial"/>
          <w:sz w:val="24"/>
          <w:szCs w:val="24"/>
        </w:rPr>
        <w:t>his topic by the ECB</w:t>
      </w:r>
      <w:r w:rsidR="00063494" w:rsidRPr="00B701D1">
        <w:rPr>
          <w:rFonts w:ascii="Arial" w:hAnsi="Arial" w:cs="Arial"/>
          <w:sz w:val="24"/>
          <w:szCs w:val="24"/>
        </w:rPr>
        <w:t xml:space="preserve">, </w:t>
      </w:r>
      <w:r w:rsidR="00E7211B" w:rsidRPr="00B701D1">
        <w:rPr>
          <w:rFonts w:ascii="Arial" w:hAnsi="Arial" w:cs="Arial"/>
          <w:sz w:val="24"/>
          <w:szCs w:val="24"/>
        </w:rPr>
        <w:t xml:space="preserve">the paper </w:t>
      </w:r>
      <w:r w:rsidR="00063494" w:rsidRPr="00B701D1">
        <w:rPr>
          <w:rFonts w:ascii="Arial" w:hAnsi="Arial" w:cs="Arial"/>
          <w:sz w:val="24"/>
          <w:szCs w:val="24"/>
        </w:rPr>
        <w:t>d</w:t>
      </w:r>
      <w:r w:rsidR="00E7211B" w:rsidRPr="00B701D1">
        <w:rPr>
          <w:rFonts w:ascii="Arial" w:hAnsi="Arial" w:cs="Arial"/>
          <w:sz w:val="24"/>
          <w:szCs w:val="24"/>
        </w:rPr>
        <w:t>iscuss</w:t>
      </w:r>
      <w:r w:rsidR="00063494" w:rsidRPr="00B701D1">
        <w:rPr>
          <w:rFonts w:ascii="Arial" w:hAnsi="Arial" w:cs="Arial"/>
          <w:sz w:val="24"/>
          <w:szCs w:val="24"/>
        </w:rPr>
        <w:t>es some</w:t>
      </w:r>
      <w:r w:rsidR="00E7211B" w:rsidRPr="00B701D1">
        <w:rPr>
          <w:rFonts w:ascii="Arial" w:hAnsi="Arial" w:cs="Arial"/>
          <w:sz w:val="24"/>
          <w:szCs w:val="24"/>
        </w:rPr>
        <w:t xml:space="preserve"> </w:t>
      </w:r>
      <w:r w:rsidR="00261BB0" w:rsidRPr="00B701D1">
        <w:rPr>
          <w:rFonts w:ascii="Arial" w:hAnsi="Arial" w:cs="Arial"/>
          <w:sz w:val="24"/>
          <w:szCs w:val="24"/>
        </w:rPr>
        <w:t xml:space="preserve">general principles </w:t>
      </w:r>
      <w:r w:rsidR="00722791" w:rsidRPr="00B701D1">
        <w:rPr>
          <w:rFonts w:ascii="Arial" w:hAnsi="Arial" w:cs="Arial"/>
          <w:sz w:val="24"/>
          <w:szCs w:val="24"/>
        </w:rPr>
        <w:t xml:space="preserve">underlying </w:t>
      </w:r>
      <w:r w:rsidR="00E25B68" w:rsidRPr="00B701D1">
        <w:rPr>
          <w:rFonts w:ascii="Arial" w:hAnsi="Arial" w:cs="Arial"/>
          <w:sz w:val="24"/>
          <w:szCs w:val="24"/>
        </w:rPr>
        <w:t xml:space="preserve">the quality assessment of supervisory data, and </w:t>
      </w:r>
      <w:r w:rsidR="00A17FDD" w:rsidRPr="00B701D1">
        <w:rPr>
          <w:rFonts w:ascii="Arial" w:hAnsi="Arial" w:cs="Arial"/>
          <w:sz w:val="24"/>
          <w:szCs w:val="24"/>
        </w:rPr>
        <w:t>suggests</w:t>
      </w:r>
      <w:r w:rsidR="00E25B68" w:rsidRPr="00B701D1">
        <w:rPr>
          <w:rFonts w:ascii="Arial" w:hAnsi="Arial" w:cs="Arial"/>
          <w:sz w:val="24"/>
          <w:szCs w:val="24"/>
        </w:rPr>
        <w:t xml:space="preserve"> a minimal set of </w:t>
      </w:r>
      <w:r w:rsidR="000F1008" w:rsidRPr="00B701D1">
        <w:rPr>
          <w:rFonts w:ascii="Arial" w:hAnsi="Arial" w:cs="Arial"/>
          <w:sz w:val="24"/>
          <w:szCs w:val="24"/>
        </w:rPr>
        <w:t xml:space="preserve">dimensions </w:t>
      </w:r>
      <w:r w:rsidR="00E25B68" w:rsidRPr="00B701D1">
        <w:rPr>
          <w:rFonts w:ascii="Arial" w:hAnsi="Arial" w:cs="Arial"/>
          <w:sz w:val="24"/>
          <w:szCs w:val="24"/>
        </w:rPr>
        <w:t>th</w:t>
      </w:r>
      <w:r w:rsidR="00722791" w:rsidRPr="00B701D1">
        <w:rPr>
          <w:rFonts w:ascii="Arial" w:hAnsi="Arial" w:cs="Arial"/>
          <w:sz w:val="24"/>
          <w:szCs w:val="24"/>
        </w:rPr>
        <w:t xml:space="preserve">at can help supervisors </w:t>
      </w:r>
      <w:r w:rsidR="00063494" w:rsidRPr="00B701D1">
        <w:rPr>
          <w:rFonts w:ascii="Arial" w:hAnsi="Arial" w:cs="Arial"/>
          <w:sz w:val="24"/>
          <w:szCs w:val="24"/>
        </w:rPr>
        <w:t xml:space="preserve">correctly </w:t>
      </w:r>
      <w:r w:rsidR="00722791" w:rsidRPr="00B701D1">
        <w:rPr>
          <w:rFonts w:ascii="Arial" w:hAnsi="Arial" w:cs="Arial"/>
          <w:sz w:val="24"/>
          <w:szCs w:val="24"/>
        </w:rPr>
        <w:t xml:space="preserve">frame the </w:t>
      </w:r>
      <w:r w:rsidR="00D82ACC" w:rsidRPr="00B701D1">
        <w:rPr>
          <w:rFonts w:ascii="Arial" w:hAnsi="Arial" w:cs="Arial"/>
          <w:sz w:val="24"/>
          <w:szCs w:val="24"/>
        </w:rPr>
        <w:t>assessment.</w:t>
      </w:r>
    </w:p>
    <w:p w:rsidR="00D716F9" w:rsidRPr="00EC5F5A" w:rsidRDefault="00D716F9" w:rsidP="00D716F9">
      <w:pPr>
        <w:spacing w:before="360" w:after="0" w:line="360" w:lineRule="auto"/>
        <w:jc w:val="both"/>
        <w:rPr>
          <w:rFonts w:ascii="Arial" w:hAnsi="Arial" w:cs="Arial"/>
          <w:b/>
          <w:sz w:val="24"/>
          <w:szCs w:val="24"/>
        </w:rPr>
      </w:pPr>
      <w:r>
        <w:rPr>
          <w:rFonts w:ascii="Arial" w:hAnsi="Arial" w:cs="Arial"/>
          <w:b/>
          <w:sz w:val="24"/>
          <w:szCs w:val="24"/>
        </w:rPr>
        <w:t>2</w:t>
      </w:r>
      <w:r w:rsidRPr="00EC5F5A">
        <w:rPr>
          <w:rFonts w:ascii="Arial" w:hAnsi="Arial" w:cs="Arial"/>
          <w:b/>
          <w:sz w:val="24"/>
          <w:szCs w:val="24"/>
        </w:rPr>
        <w:t xml:space="preserve">. </w:t>
      </w:r>
      <w:r w:rsidR="00EF437C">
        <w:rPr>
          <w:rFonts w:ascii="Arial" w:hAnsi="Arial" w:cs="Arial"/>
          <w:b/>
          <w:sz w:val="24"/>
          <w:szCs w:val="24"/>
        </w:rPr>
        <w:t>Principles for</w:t>
      </w:r>
      <w:r>
        <w:rPr>
          <w:rFonts w:ascii="Arial" w:hAnsi="Arial" w:cs="Arial"/>
          <w:b/>
          <w:sz w:val="24"/>
          <w:szCs w:val="24"/>
        </w:rPr>
        <w:t xml:space="preserve"> </w:t>
      </w:r>
      <w:r w:rsidR="00EF437C">
        <w:rPr>
          <w:rFonts w:ascii="Arial" w:hAnsi="Arial" w:cs="Arial"/>
          <w:b/>
          <w:sz w:val="24"/>
          <w:szCs w:val="24"/>
        </w:rPr>
        <w:t xml:space="preserve">a </w:t>
      </w:r>
      <w:r>
        <w:rPr>
          <w:rFonts w:ascii="Arial" w:hAnsi="Arial" w:cs="Arial"/>
          <w:b/>
          <w:sz w:val="24"/>
          <w:szCs w:val="24"/>
        </w:rPr>
        <w:t>Supervis</w:t>
      </w:r>
      <w:r w:rsidR="00EF437C">
        <w:rPr>
          <w:rFonts w:ascii="Arial" w:hAnsi="Arial" w:cs="Arial"/>
          <w:b/>
          <w:sz w:val="24"/>
          <w:szCs w:val="24"/>
        </w:rPr>
        <w:t>ory</w:t>
      </w:r>
      <w:r>
        <w:rPr>
          <w:rFonts w:ascii="Arial" w:hAnsi="Arial" w:cs="Arial"/>
          <w:b/>
          <w:sz w:val="24"/>
          <w:szCs w:val="24"/>
        </w:rPr>
        <w:t xml:space="preserve"> Data Quality Framework</w:t>
      </w:r>
    </w:p>
    <w:p w:rsidR="000F5456" w:rsidRDefault="00C33E7F" w:rsidP="000C07F3">
      <w:pPr>
        <w:spacing w:before="120" w:after="0" w:line="360" w:lineRule="auto"/>
        <w:jc w:val="both"/>
        <w:rPr>
          <w:rFonts w:ascii="Arial" w:hAnsi="Arial" w:cs="Arial"/>
          <w:sz w:val="24"/>
          <w:szCs w:val="24"/>
        </w:rPr>
      </w:pPr>
      <w:r>
        <w:rPr>
          <w:rFonts w:ascii="Arial" w:hAnsi="Arial" w:cs="Arial"/>
          <w:sz w:val="24"/>
          <w:szCs w:val="24"/>
        </w:rPr>
        <w:t xml:space="preserve">From the point of view of </w:t>
      </w:r>
      <w:r w:rsidR="00063494">
        <w:rPr>
          <w:rFonts w:ascii="Arial" w:hAnsi="Arial" w:cs="Arial"/>
          <w:sz w:val="24"/>
          <w:szCs w:val="24"/>
        </w:rPr>
        <w:t>the supervisor-statistician</w:t>
      </w:r>
      <w:r w:rsidR="007651EE">
        <w:rPr>
          <w:rFonts w:ascii="Arial" w:hAnsi="Arial" w:cs="Arial"/>
          <w:sz w:val="24"/>
          <w:szCs w:val="24"/>
        </w:rPr>
        <w:t xml:space="preserve"> in a competent authority</w:t>
      </w:r>
      <w:r>
        <w:rPr>
          <w:rFonts w:ascii="Arial" w:hAnsi="Arial" w:cs="Arial"/>
          <w:sz w:val="24"/>
          <w:szCs w:val="24"/>
        </w:rPr>
        <w:t xml:space="preserve">, the </w:t>
      </w:r>
      <w:r w:rsidR="00063494">
        <w:rPr>
          <w:rFonts w:ascii="Arial" w:hAnsi="Arial" w:cs="Arial"/>
          <w:sz w:val="24"/>
          <w:szCs w:val="24"/>
        </w:rPr>
        <w:t xml:space="preserve">quality assessment process </w:t>
      </w:r>
      <w:r>
        <w:rPr>
          <w:rFonts w:ascii="Arial" w:hAnsi="Arial" w:cs="Arial"/>
          <w:sz w:val="24"/>
          <w:szCs w:val="24"/>
        </w:rPr>
        <w:t>start</w:t>
      </w:r>
      <w:r w:rsidR="00063494">
        <w:rPr>
          <w:rFonts w:ascii="Arial" w:hAnsi="Arial" w:cs="Arial"/>
          <w:sz w:val="24"/>
          <w:szCs w:val="24"/>
        </w:rPr>
        <w:t>s the moment</w:t>
      </w:r>
      <w:r>
        <w:rPr>
          <w:rFonts w:ascii="Arial" w:hAnsi="Arial" w:cs="Arial"/>
          <w:sz w:val="24"/>
          <w:szCs w:val="24"/>
        </w:rPr>
        <w:t xml:space="preserve"> reporting templates </w:t>
      </w:r>
      <w:r w:rsidR="00063494">
        <w:rPr>
          <w:rFonts w:ascii="Arial" w:hAnsi="Arial" w:cs="Arial"/>
          <w:sz w:val="24"/>
          <w:szCs w:val="24"/>
        </w:rPr>
        <w:t>are received from</w:t>
      </w:r>
      <w:r>
        <w:rPr>
          <w:rFonts w:ascii="Arial" w:hAnsi="Arial" w:cs="Arial"/>
          <w:sz w:val="24"/>
          <w:szCs w:val="24"/>
        </w:rPr>
        <w:t xml:space="preserve"> the institutions. Hidden from sight, however, are the many steps of the </w:t>
      </w:r>
      <w:r w:rsidR="00063494">
        <w:rPr>
          <w:rFonts w:ascii="Arial" w:hAnsi="Arial" w:cs="Arial"/>
          <w:sz w:val="24"/>
          <w:szCs w:val="24"/>
        </w:rPr>
        <w:t xml:space="preserve">reporting </w:t>
      </w:r>
      <w:r>
        <w:rPr>
          <w:rFonts w:ascii="Arial" w:hAnsi="Arial" w:cs="Arial"/>
          <w:sz w:val="24"/>
          <w:szCs w:val="24"/>
        </w:rPr>
        <w:t xml:space="preserve">process </w:t>
      </w:r>
      <w:r w:rsidR="00D35A0E">
        <w:rPr>
          <w:rFonts w:ascii="Arial" w:hAnsi="Arial" w:cs="Arial"/>
          <w:sz w:val="24"/>
          <w:szCs w:val="24"/>
        </w:rPr>
        <w:t xml:space="preserve">implemented by the supervised entity </w:t>
      </w:r>
      <w:r>
        <w:rPr>
          <w:rFonts w:ascii="Arial" w:hAnsi="Arial" w:cs="Arial"/>
          <w:sz w:val="24"/>
          <w:szCs w:val="24"/>
        </w:rPr>
        <w:t xml:space="preserve">that contributed to generate the quantitative information submitted to the </w:t>
      </w:r>
      <w:r w:rsidR="007651EE">
        <w:rPr>
          <w:rFonts w:ascii="Arial" w:hAnsi="Arial" w:cs="Arial"/>
          <w:sz w:val="24"/>
          <w:szCs w:val="24"/>
        </w:rPr>
        <w:t>c</w:t>
      </w:r>
      <w:r w:rsidR="00063494">
        <w:rPr>
          <w:rFonts w:ascii="Arial" w:hAnsi="Arial" w:cs="Arial"/>
          <w:sz w:val="24"/>
          <w:szCs w:val="24"/>
        </w:rPr>
        <w:t xml:space="preserve">ompetent </w:t>
      </w:r>
      <w:r w:rsidR="007651EE">
        <w:rPr>
          <w:rFonts w:ascii="Arial" w:hAnsi="Arial" w:cs="Arial"/>
          <w:sz w:val="24"/>
          <w:szCs w:val="24"/>
        </w:rPr>
        <w:t>a</w:t>
      </w:r>
      <w:r>
        <w:rPr>
          <w:rFonts w:ascii="Arial" w:hAnsi="Arial" w:cs="Arial"/>
          <w:sz w:val="24"/>
          <w:szCs w:val="24"/>
        </w:rPr>
        <w:t>uthority</w:t>
      </w:r>
      <w:r w:rsidR="007651EE">
        <w:rPr>
          <w:rFonts w:ascii="Arial" w:hAnsi="Arial" w:cs="Arial"/>
          <w:sz w:val="24"/>
          <w:szCs w:val="24"/>
        </w:rPr>
        <w:t xml:space="preserve">. </w:t>
      </w:r>
      <w:r w:rsidR="007504B2">
        <w:rPr>
          <w:rFonts w:ascii="Arial" w:hAnsi="Arial" w:cs="Arial"/>
          <w:sz w:val="24"/>
          <w:szCs w:val="24"/>
        </w:rPr>
        <w:t>F</w:t>
      </w:r>
      <w:r>
        <w:rPr>
          <w:rFonts w:ascii="Arial" w:hAnsi="Arial" w:cs="Arial"/>
          <w:sz w:val="24"/>
          <w:szCs w:val="24"/>
        </w:rPr>
        <w:t>rom the initial inputs and transactions recorded by the banks</w:t>
      </w:r>
      <w:r w:rsidR="00A17FDD">
        <w:rPr>
          <w:rFonts w:ascii="Arial" w:hAnsi="Arial" w:cs="Arial"/>
          <w:sz w:val="24"/>
          <w:szCs w:val="24"/>
        </w:rPr>
        <w:t>,</w:t>
      </w:r>
      <w:r>
        <w:rPr>
          <w:rFonts w:ascii="Arial" w:hAnsi="Arial" w:cs="Arial"/>
          <w:sz w:val="24"/>
          <w:szCs w:val="24"/>
        </w:rPr>
        <w:t xml:space="preserve"> to the final reports, the </w:t>
      </w:r>
      <w:r w:rsidR="00063494">
        <w:rPr>
          <w:rFonts w:ascii="Arial" w:hAnsi="Arial" w:cs="Arial"/>
          <w:sz w:val="24"/>
          <w:szCs w:val="24"/>
        </w:rPr>
        <w:t>path followed by the data is of</w:t>
      </w:r>
      <w:r>
        <w:rPr>
          <w:rFonts w:ascii="Arial" w:hAnsi="Arial" w:cs="Arial"/>
          <w:sz w:val="24"/>
          <w:szCs w:val="24"/>
        </w:rPr>
        <w:t xml:space="preserve"> staggering complexity. </w:t>
      </w:r>
      <w:r w:rsidR="00063494">
        <w:rPr>
          <w:rFonts w:ascii="Arial" w:hAnsi="Arial" w:cs="Arial"/>
          <w:sz w:val="24"/>
          <w:szCs w:val="24"/>
        </w:rPr>
        <w:t>In fact,</w:t>
      </w:r>
      <w:r w:rsidR="006A4D52">
        <w:rPr>
          <w:rFonts w:ascii="Arial" w:hAnsi="Arial" w:cs="Arial"/>
          <w:sz w:val="24"/>
          <w:szCs w:val="24"/>
        </w:rPr>
        <w:t xml:space="preserve"> the</w:t>
      </w:r>
      <w:r>
        <w:rPr>
          <w:rFonts w:ascii="Arial" w:hAnsi="Arial" w:cs="Arial"/>
          <w:sz w:val="24"/>
          <w:szCs w:val="24"/>
        </w:rPr>
        <w:t xml:space="preserve"> process starts </w:t>
      </w:r>
      <w:r w:rsidR="00063494">
        <w:rPr>
          <w:rFonts w:ascii="Arial" w:hAnsi="Arial" w:cs="Arial"/>
          <w:sz w:val="24"/>
          <w:szCs w:val="24"/>
        </w:rPr>
        <w:t xml:space="preserve">even before, </w:t>
      </w:r>
      <w:r>
        <w:rPr>
          <w:rFonts w:ascii="Arial" w:hAnsi="Arial" w:cs="Arial"/>
          <w:sz w:val="24"/>
          <w:szCs w:val="24"/>
        </w:rPr>
        <w:t xml:space="preserve">with the interpretation of the prudential and reporting regulation, </w:t>
      </w:r>
      <w:r w:rsidR="00063494">
        <w:rPr>
          <w:rFonts w:ascii="Arial" w:hAnsi="Arial" w:cs="Arial"/>
          <w:sz w:val="24"/>
          <w:szCs w:val="24"/>
        </w:rPr>
        <w:t xml:space="preserve">then </w:t>
      </w:r>
      <w:r w:rsidR="006A4D52">
        <w:rPr>
          <w:rFonts w:ascii="Arial" w:hAnsi="Arial" w:cs="Arial"/>
          <w:sz w:val="24"/>
          <w:szCs w:val="24"/>
        </w:rPr>
        <w:t>passes through the definition of appropriate data structures and of IT solutions able to store and organise the granular information</w:t>
      </w:r>
      <w:r w:rsidR="00063494">
        <w:rPr>
          <w:rFonts w:ascii="Arial" w:hAnsi="Arial" w:cs="Arial"/>
          <w:sz w:val="24"/>
          <w:szCs w:val="24"/>
        </w:rPr>
        <w:t xml:space="preserve"> of the bank</w:t>
      </w:r>
      <w:r w:rsidR="006A4D52">
        <w:rPr>
          <w:rFonts w:ascii="Arial" w:hAnsi="Arial" w:cs="Arial"/>
          <w:sz w:val="24"/>
          <w:szCs w:val="24"/>
        </w:rPr>
        <w:t>, and then proceeds in the application of complex transformation and aggregation rules to produce the high-level views that inform the banks’ management boards and fulfil the regulatory reporting obligations. Thi</w:t>
      </w:r>
      <w:r w:rsidR="00460C26">
        <w:rPr>
          <w:rFonts w:ascii="Arial" w:hAnsi="Arial" w:cs="Arial"/>
          <w:sz w:val="24"/>
          <w:szCs w:val="24"/>
        </w:rPr>
        <w:t xml:space="preserve">s </w:t>
      </w:r>
      <w:r w:rsidR="003D03E8">
        <w:rPr>
          <w:rFonts w:ascii="Arial" w:hAnsi="Arial" w:cs="Arial"/>
          <w:sz w:val="24"/>
          <w:szCs w:val="24"/>
        </w:rPr>
        <w:t xml:space="preserve">hidden </w:t>
      </w:r>
      <w:r w:rsidR="00460C26">
        <w:rPr>
          <w:rFonts w:ascii="Arial" w:hAnsi="Arial" w:cs="Arial"/>
          <w:sz w:val="24"/>
          <w:szCs w:val="24"/>
        </w:rPr>
        <w:t xml:space="preserve">complexity makes </w:t>
      </w:r>
      <w:r w:rsidR="006A4D52">
        <w:rPr>
          <w:rFonts w:ascii="Arial" w:hAnsi="Arial" w:cs="Arial"/>
          <w:sz w:val="24"/>
          <w:szCs w:val="24"/>
        </w:rPr>
        <w:t xml:space="preserve">the role of the </w:t>
      </w:r>
      <w:r w:rsidR="007504B2">
        <w:rPr>
          <w:rFonts w:ascii="Arial" w:hAnsi="Arial" w:cs="Arial"/>
          <w:sz w:val="24"/>
          <w:szCs w:val="24"/>
        </w:rPr>
        <w:t xml:space="preserve">authority </w:t>
      </w:r>
      <w:r w:rsidR="006A4D52">
        <w:rPr>
          <w:rFonts w:ascii="Arial" w:hAnsi="Arial" w:cs="Arial"/>
          <w:sz w:val="24"/>
          <w:szCs w:val="24"/>
        </w:rPr>
        <w:t xml:space="preserve">in charge of receiving and assessing supervisory </w:t>
      </w:r>
      <w:r w:rsidR="00460C26">
        <w:rPr>
          <w:rFonts w:ascii="Arial" w:hAnsi="Arial" w:cs="Arial"/>
          <w:sz w:val="24"/>
          <w:szCs w:val="24"/>
        </w:rPr>
        <w:t>data at the same time fundamental and challenging.</w:t>
      </w:r>
    </w:p>
    <w:p w:rsidR="00460C26" w:rsidRDefault="00460C26" w:rsidP="000C07F3">
      <w:pPr>
        <w:spacing w:before="120" w:after="0" w:line="360" w:lineRule="auto"/>
        <w:jc w:val="both"/>
        <w:rPr>
          <w:rFonts w:ascii="Arial" w:hAnsi="Arial" w:cs="Arial"/>
          <w:sz w:val="24"/>
          <w:szCs w:val="24"/>
        </w:rPr>
      </w:pPr>
      <w:r>
        <w:rPr>
          <w:rFonts w:ascii="Arial" w:hAnsi="Arial" w:cs="Arial"/>
          <w:sz w:val="24"/>
          <w:szCs w:val="24"/>
        </w:rPr>
        <w:t>It is fundamental because deficiencies in the risk aggregation and reporting capabilities of a bank pose a serious threat to proper risk governance and risk-based decision making, for both the supervised institution and the supervisor.</w:t>
      </w:r>
    </w:p>
    <w:p w:rsidR="00AD72F1" w:rsidRDefault="00460C26" w:rsidP="000C07F3">
      <w:pPr>
        <w:spacing w:before="120" w:after="0" w:line="360" w:lineRule="auto"/>
        <w:jc w:val="both"/>
        <w:rPr>
          <w:rFonts w:ascii="Arial" w:hAnsi="Arial" w:cs="Arial"/>
          <w:sz w:val="24"/>
          <w:szCs w:val="24"/>
        </w:rPr>
      </w:pPr>
      <w:r>
        <w:rPr>
          <w:rFonts w:ascii="Arial" w:hAnsi="Arial" w:cs="Arial"/>
          <w:sz w:val="24"/>
          <w:szCs w:val="24"/>
        </w:rPr>
        <w:t xml:space="preserve">It is challenging because it requires </w:t>
      </w:r>
      <w:r w:rsidR="00BA09C8">
        <w:rPr>
          <w:rFonts w:ascii="Arial" w:hAnsi="Arial" w:cs="Arial"/>
          <w:sz w:val="24"/>
          <w:szCs w:val="24"/>
        </w:rPr>
        <w:t xml:space="preserve">from </w:t>
      </w:r>
      <w:r>
        <w:rPr>
          <w:rFonts w:ascii="Arial" w:hAnsi="Arial" w:cs="Arial"/>
          <w:sz w:val="24"/>
          <w:szCs w:val="24"/>
        </w:rPr>
        <w:t xml:space="preserve">statisticians faced with the task of assessing the quality of supervisory data to have a strong understanding of the supervisory process, of the applicable prudential and accounting frameworks, and of the banks’ </w:t>
      </w:r>
      <w:r w:rsidR="001367D8">
        <w:rPr>
          <w:rFonts w:ascii="Arial" w:hAnsi="Arial" w:cs="Arial"/>
          <w:sz w:val="24"/>
          <w:szCs w:val="24"/>
        </w:rPr>
        <w:lastRenderedPageBreak/>
        <w:t xml:space="preserve">business and internal organisation. In fact, “the data quality process </w:t>
      </w:r>
      <w:r w:rsidR="00063494">
        <w:rPr>
          <w:rFonts w:ascii="Arial" w:hAnsi="Arial" w:cs="Arial"/>
          <w:sz w:val="24"/>
          <w:szCs w:val="24"/>
        </w:rPr>
        <w:t xml:space="preserve">requires </w:t>
      </w:r>
      <w:r w:rsidR="001367D8">
        <w:rPr>
          <w:rFonts w:ascii="Arial" w:hAnsi="Arial" w:cs="Arial"/>
          <w:sz w:val="24"/>
          <w:szCs w:val="24"/>
        </w:rPr>
        <w:t>a balance of statistical tools and supervisory expertise: statisticians and supervisors are both necessary for ensuring that the reporting is formally correct and accurate in substance, before being released and used” (Chionsini et al., 2017).</w:t>
      </w:r>
    </w:p>
    <w:p w:rsidR="001367D8" w:rsidRDefault="007504B2" w:rsidP="000C07F3">
      <w:pPr>
        <w:spacing w:before="120" w:after="0" w:line="360" w:lineRule="auto"/>
        <w:jc w:val="both"/>
        <w:rPr>
          <w:rFonts w:ascii="Arial" w:hAnsi="Arial" w:cs="Arial"/>
          <w:sz w:val="24"/>
          <w:szCs w:val="24"/>
        </w:rPr>
      </w:pPr>
      <w:r>
        <w:rPr>
          <w:rFonts w:ascii="Arial" w:hAnsi="Arial" w:cs="Arial"/>
          <w:sz w:val="24"/>
          <w:szCs w:val="24"/>
        </w:rPr>
        <w:t>A</w:t>
      </w:r>
      <w:r w:rsidR="001367D8">
        <w:rPr>
          <w:rFonts w:ascii="Arial" w:hAnsi="Arial" w:cs="Arial"/>
          <w:sz w:val="24"/>
          <w:szCs w:val="24"/>
        </w:rPr>
        <w:t xml:space="preserve">utomatic validation rules are the first line of defence in the quest for satisfactory data quality. It is however the role of the supervisor to set higher expectations and to take remedial actions if </w:t>
      </w:r>
      <w:r w:rsidR="00185632">
        <w:rPr>
          <w:rFonts w:ascii="Arial" w:hAnsi="Arial" w:cs="Arial"/>
          <w:sz w:val="24"/>
          <w:szCs w:val="24"/>
        </w:rPr>
        <w:t xml:space="preserve">such expectations are </w:t>
      </w:r>
      <w:r w:rsidR="001367D8">
        <w:rPr>
          <w:rFonts w:ascii="Arial" w:hAnsi="Arial" w:cs="Arial"/>
          <w:sz w:val="24"/>
          <w:szCs w:val="24"/>
        </w:rPr>
        <w:t>not met.</w:t>
      </w:r>
    </w:p>
    <w:p w:rsidR="00A17FDD" w:rsidRDefault="00185632" w:rsidP="000C07F3">
      <w:pPr>
        <w:spacing w:before="120" w:after="0" w:line="360" w:lineRule="auto"/>
        <w:jc w:val="both"/>
        <w:rPr>
          <w:rFonts w:ascii="Arial" w:hAnsi="Arial" w:cs="Arial"/>
          <w:sz w:val="24"/>
          <w:szCs w:val="24"/>
        </w:rPr>
      </w:pPr>
      <w:r>
        <w:rPr>
          <w:rFonts w:ascii="Arial" w:hAnsi="Arial" w:cs="Arial"/>
          <w:sz w:val="24"/>
          <w:szCs w:val="24"/>
        </w:rPr>
        <w:t xml:space="preserve">In terms of supervisory expectations, at the international level the bar is set by the Basel Committee on Banking Supervision (BCBS) </w:t>
      </w:r>
      <w:r w:rsidR="007651EE" w:rsidRPr="000F1008">
        <w:rPr>
          <w:rFonts w:ascii="Arial" w:hAnsi="Arial" w:cs="Arial"/>
          <w:i/>
          <w:sz w:val="24"/>
          <w:szCs w:val="24"/>
        </w:rPr>
        <w:t xml:space="preserve">Principles </w:t>
      </w:r>
      <w:r w:rsidRPr="000F1008">
        <w:rPr>
          <w:rFonts w:ascii="Arial" w:hAnsi="Arial" w:cs="Arial"/>
          <w:i/>
          <w:sz w:val="24"/>
          <w:szCs w:val="24"/>
        </w:rPr>
        <w:t>for effective risk data aggregation and risk reporting</w:t>
      </w:r>
      <w:r>
        <w:rPr>
          <w:rFonts w:ascii="Arial" w:hAnsi="Arial" w:cs="Arial"/>
          <w:sz w:val="24"/>
          <w:szCs w:val="24"/>
        </w:rPr>
        <w:t xml:space="preserve"> (</w:t>
      </w:r>
      <w:r w:rsidR="007651EE">
        <w:rPr>
          <w:rFonts w:ascii="Arial" w:hAnsi="Arial" w:cs="Arial"/>
          <w:sz w:val="24"/>
          <w:szCs w:val="24"/>
        </w:rPr>
        <w:t>BCBS</w:t>
      </w:r>
      <w:r>
        <w:rPr>
          <w:rFonts w:ascii="Arial" w:hAnsi="Arial" w:cs="Arial"/>
          <w:sz w:val="24"/>
          <w:szCs w:val="24"/>
        </w:rPr>
        <w:t xml:space="preserve"> 239). Compliance with the BCBS principles, which has been considered one of the top priorities by the ECB in 2016 and 2017</w:t>
      </w:r>
      <w:r w:rsidR="000F1008">
        <w:rPr>
          <w:rFonts w:ascii="Arial" w:hAnsi="Arial" w:cs="Arial"/>
          <w:sz w:val="24"/>
          <w:szCs w:val="24"/>
        </w:rPr>
        <w:t xml:space="preserve"> (Pellizzari </w:t>
      </w:r>
      <w:r w:rsidR="0035526A">
        <w:rPr>
          <w:rFonts w:ascii="Arial" w:hAnsi="Arial" w:cs="Arial"/>
          <w:sz w:val="24"/>
          <w:szCs w:val="24"/>
        </w:rPr>
        <w:t>and Poloni</w:t>
      </w:r>
      <w:r w:rsidR="000F1008">
        <w:rPr>
          <w:rFonts w:ascii="Arial" w:hAnsi="Arial" w:cs="Arial"/>
          <w:sz w:val="24"/>
          <w:szCs w:val="24"/>
        </w:rPr>
        <w:t>, 2017)</w:t>
      </w:r>
      <w:r w:rsidR="00A744A3">
        <w:rPr>
          <w:rFonts w:ascii="Arial" w:hAnsi="Arial" w:cs="Arial"/>
          <w:sz w:val="24"/>
          <w:szCs w:val="24"/>
        </w:rPr>
        <w:t>, involves not only banks’ internal risk reports</w:t>
      </w:r>
      <w:r w:rsidR="00A17FDD">
        <w:rPr>
          <w:rFonts w:ascii="Arial" w:hAnsi="Arial" w:cs="Arial"/>
          <w:sz w:val="24"/>
          <w:szCs w:val="24"/>
        </w:rPr>
        <w:t>.</w:t>
      </w:r>
      <w:r w:rsidR="00A744A3">
        <w:rPr>
          <w:rFonts w:ascii="Arial" w:hAnsi="Arial" w:cs="Arial"/>
          <w:sz w:val="24"/>
          <w:szCs w:val="24"/>
        </w:rPr>
        <w:t xml:space="preserve"> </w:t>
      </w:r>
      <w:r w:rsidR="00A17FDD">
        <w:rPr>
          <w:rFonts w:ascii="Arial" w:hAnsi="Arial" w:cs="Arial"/>
          <w:sz w:val="24"/>
          <w:szCs w:val="24"/>
        </w:rPr>
        <w:t>I</w:t>
      </w:r>
      <w:r w:rsidR="00A744A3">
        <w:rPr>
          <w:rFonts w:ascii="Arial" w:hAnsi="Arial" w:cs="Arial"/>
          <w:sz w:val="24"/>
          <w:szCs w:val="24"/>
        </w:rPr>
        <w:t xml:space="preserve">nstead, it hinges on a holistic approach to reporting that </w:t>
      </w:r>
      <w:r w:rsidR="00A17FDD">
        <w:rPr>
          <w:rFonts w:ascii="Arial" w:hAnsi="Arial" w:cs="Arial"/>
          <w:sz w:val="24"/>
          <w:szCs w:val="24"/>
        </w:rPr>
        <w:t>encompasses</w:t>
      </w:r>
      <w:r w:rsidR="00A744A3">
        <w:rPr>
          <w:rFonts w:ascii="Arial" w:hAnsi="Arial" w:cs="Arial"/>
          <w:sz w:val="24"/>
          <w:szCs w:val="24"/>
        </w:rPr>
        <w:t xml:space="preserve"> also regulatory and external </w:t>
      </w:r>
      <w:r w:rsidR="007651EE">
        <w:rPr>
          <w:rFonts w:ascii="Arial" w:hAnsi="Arial" w:cs="Arial"/>
          <w:sz w:val="24"/>
          <w:szCs w:val="24"/>
        </w:rPr>
        <w:t>reporting</w:t>
      </w:r>
      <w:r w:rsidR="00A744A3">
        <w:rPr>
          <w:rFonts w:ascii="Arial" w:hAnsi="Arial" w:cs="Arial"/>
          <w:sz w:val="24"/>
          <w:szCs w:val="24"/>
        </w:rPr>
        <w:t>.</w:t>
      </w:r>
    </w:p>
    <w:p w:rsidR="00445366" w:rsidRDefault="009522A2" w:rsidP="000C07F3">
      <w:pPr>
        <w:spacing w:before="120" w:after="0" w:line="360" w:lineRule="auto"/>
        <w:jc w:val="both"/>
        <w:rPr>
          <w:rFonts w:ascii="Arial" w:hAnsi="Arial" w:cs="Arial"/>
          <w:sz w:val="24"/>
          <w:szCs w:val="24"/>
        </w:rPr>
      </w:pPr>
      <w:r>
        <w:rPr>
          <w:rFonts w:ascii="Arial" w:hAnsi="Arial" w:cs="Arial"/>
          <w:sz w:val="24"/>
          <w:szCs w:val="24"/>
        </w:rPr>
        <w:t>In the context set by the BCBS 239 principles, the ECB approach to</w:t>
      </w:r>
      <w:r w:rsidR="00A744A3">
        <w:rPr>
          <w:rFonts w:ascii="Arial" w:hAnsi="Arial" w:cs="Arial"/>
          <w:sz w:val="24"/>
          <w:szCs w:val="24"/>
        </w:rPr>
        <w:t xml:space="preserve"> the quality a</w:t>
      </w:r>
      <w:r w:rsidR="00445366">
        <w:rPr>
          <w:rFonts w:ascii="Arial" w:hAnsi="Arial" w:cs="Arial"/>
          <w:sz w:val="24"/>
          <w:szCs w:val="24"/>
        </w:rPr>
        <w:t xml:space="preserve">ssessment </w:t>
      </w:r>
      <w:r>
        <w:rPr>
          <w:rFonts w:ascii="Arial" w:hAnsi="Arial" w:cs="Arial"/>
          <w:sz w:val="24"/>
          <w:szCs w:val="24"/>
        </w:rPr>
        <w:t>of supervisory data</w:t>
      </w:r>
      <w:r w:rsidR="00445366">
        <w:rPr>
          <w:rFonts w:ascii="Arial" w:hAnsi="Arial" w:cs="Arial"/>
          <w:sz w:val="24"/>
          <w:szCs w:val="24"/>
        </w:rPr>
        <w:t xml:space="preserve"> is twofold. O</w:t>
      </w:r>
      <w:r w:rsidR="00A744A3">
        <w:rPr>
          <w:rFonts w:ascii="Arial" w:hAnsi="Arial" w:cs="Arial"/>
          <w:sz w:val="24"/>
          <w:szCs w:val="24"/>
        </w:rPr>
        <w:t>n one side</w:t>
      </w:r>
      <w:r w:rsidR="00445366">
        <w:rPr>
          <w:rFonts w:ascii="Arial" w:hAnsi="Arial" w:cs="Arial"/>
          <w:sz w:val="24"/>
          <w:szCs w:val="24"/>
        </w:rPr>
        <w:t>, supervisor</w:t>
      </w:r>
      <w:r w:rsidR="00505330">
        <w:rPr>
          <w:rFonts w:ascii="Arial" w:hAnsi="Arial" w:cs="Arial"/>
          <w:sz w:val="24"/>
          <w:szCs w:val="24"/>
        </w:rPr>
        <w:t>s</w:t>
      </w:r>
      <w:r w:rsidR="00445366">
        <w:rPr>
          <w:rFonts w:ascii="Arial" w:hAnsi="Arial" w:cs="Arial"/>
          <w:sz w:val="24"/>
          <w:szCs w:val="24"/>
        </w:rPr>
        <w:t xml:space="preserve"> want to know whether the data provided by the bank </w:t>
      </w:r>
      <w:r w:rsidR="007504B2">
        <w:rPr>
          <w:rFonts w:ascii="Arial" w:hAnsi="Arial" w:cs="Arial"/>
          <w:sz w:val="24"/>
          <w:szCs w:val="24"/>
        </w:rPr>
        <w:t xml:space="preserve">are </w:t>
      </w:r>
      <w:r w:rsidR="00445366">
        <w:rPr>
          <w:rFonts w:ascii="Arial" w:hAnsi="Arial" w:cs="Arial"/>
          <w:sz w:val="24"/>
          <w:szCs w:val="24"/>
        </w:rPr>
        <w:t>a suitable basis to support and inform supervisory decision</w:t>
      </w:r>
      <w:r>
        <w:rPr>
          <w:rFonts w:ascii="Arial" w:hAnsi="Arial" w:cs="Arial"/>
          <w:sz w:val="24"/>
          <w:szCs w:val="24"/>
        </w:rPr>
        <w:t>s</w:t>
      </w:r>
      <w:r w:rsidR="00445366">
        <w:rPr>
          <w:rFonts w:ascii="Arial" w:hAnsi="Arial" w:cs="Arial"/>
          <w:sz w:val="24"/>
          <w:szCs w:val="24"/>
        </w:rPr>
        <w:t xml:space="preserve">. The assessment </w:t>
      </w:r>
      <w:r w:rsidR="00307B23">
        <w:rPr>
          <w:rFonts w:ascii="Arial" w:hAnsi="Arial" w:cs="Arial"/>
          <w:sz w:val="24"/>
          <w:szCs w:val="24"/>
        </w:rPr>
        <w:t xml:space="preserve">should </w:t>
      </w:r>
      <w:r w:rsidR="00445366">
        <w:rPr>
          <w:rFonts w:ascii="Arial" w:hAnsi="Arial" w:cs="Arial"/>
          <w:sz w:val="24"/>
          <w:szCs w:val="24"/>
        </w:rPr>
        <w:t xml:space="preserve">then focus </w:t>
      </w:r>
      <w:r w:rsidR="002231AC">
        <w:rPr>
          <w:rFonts w:ascii="Arial" w:hAnsi="Arial" w:cs="Arial"/>
          <w:sz w:val="24"/>
          <w:szCs w:val="24"/>
        </w:rPr>
        <w:t xml:space="preserve">primarily on </w:t>
      </w:r>
      <w:r w:rsidR="00F81525" w:rsidRPr="00CF62E6">
        <w:rPr>
          <w:rFonts w:ascii="Arial" w:hAnsi="Arial" w:cs="Arial"/>
          <w:i/>
          <w:sz w:val="24"/>
          <w:szCs w:val="24"/>
        </w:rPr>
        <w:t>completeness</w:t>
      </w:r>
      <w:r w:rsidR="00F81525">
        <w:rPr>
          <w:rFonts w:ascii="Arial" w:hAnsi="Arial" w:cs="Arial"/>
          <w:sz w:val="24"/>
          <w:szCs w:val="24"/>
        </w:rPr>
        <w:t xml:space="preserve"> </w:t>
      </w:r>
      <w:r w:rsidR="0091013B">
        <w:rPr>
          <w:rFonts w:ascii="Arial" w:hAnsi="Arial" w:cs="Arial"/>
          <w:sz w:val="24"/>
          <w:szCs w:val="24"/>
        </w:rPr>
        <w:t xml:space="preserve">of the data </w:t>
      </w:r>
      <w:r w:rsidR="00F81525">
        <w:rPr>
          <w:rFonts w:ascii="Arial" w:hAnsi="Arial" w:cs="Arial"/>
          <w:sz w:val="24"/>
          <w:szCs w:val="24"/>
        </w:rPr>
        <w:t>(meaning that all expected information should be available) and on its</w:t>
      </w:r>
      <w:r w:rsidR="00445366">
        <w:rPr>
          <w:rFonts w:ascii="Arial" w:hAnsi="Arial" w:cs="Arial"/>
          <w:sz w:val="24"/>
          <w:szCs w:val="24"/>
        </w:rPr>
        <w:t xml:space="preserve"> </w:t>
      </w:r>
      <w:r w:rsidR="00445366" w:rsidRPr="00CF62E6">
        <w:rPr>
          <w:rFonts w:ascii="Arial" w:hAnsi="Arial" w:cs="Arial"/>
          <w:i/>
          <w:sz w:val="24"/>
          <w:szCs w:val="24"/>
        </w:rPr>
        <w:t>accuracy</w:t>
      </w:r>
      <w:r w:rsidR="00445366">
        <w:rPr>
          <w:rFonts w:ascii="Arial" w:hAnsi="Arial" w:cs="Arial"/>
          <w:sz w:val="24"/>
          <w:szCs w:val="24"/>
        </w:rPr>
        <w:t>, to make sure that potential errors are flagged before they tai</w:t>
      </w:r>
      <w:r w:rsidR="00352270">
        <w:rPr>
          <w:rFonts w:ascii="Arial" w:hAnsi="Arial" w:cs="Arial"/>
          <w:sz w:val="24"/>
          <w:szCs w:val="24"/>
        </w:rPr>
        <w:t xml:space="preserve">nt the decision-making process. </w:t>
      </w:r>
      <w:r w:rsidR="00445366">
        <w:rPr>
          <w:rFonts w:ascii="Arial" w:hAnsi="Arial" w:cs="Arial"/>
          <w:sz w:val="24"/>
          <w:szCs w:val="24"/>
        </w:rPr>
        <w:t xml:space="preserve">On the other side, the data quality assessment </w:t>
      </w:r>
      <w:r w:rsidR="00307B23">
        <w:rPr>
          <w:rFonts w:ascii="Arial" w:hAnsi="Arial" w:cs="Arial"/>
          <w:sz w:val="24"/>
          <w:szCs w:val="24"/>
        </w:rPr>
        <w:t>is an integral part of</w:t>
      </w:r>
      <w:r w:rsidR="00445366">
        <w:rPr>
          <w:rFonts w:ascii="Arial" w:hAnsi="Arial" w:cs="Arial"/>
          <w:sz w:val="24"/>
          <w:szCs w:val="24"/>
        </w:rPr>
        <w:t xml:space="preserve"> the supervisory evaluation</w:t>
      </w:r>
      <w:r w:rsidR="00307B23">
        <w:rPr>
          <w:rFonts w:ascii="Arial" w:hAnsi="Arial" w:cs="Arial"/>
          <w:sz w:val="24"/>
          <w:szCs w:val="24"/>
        </w:rPr>
        <w:t>, providing hints of (non-)</w:t>
      </w:r>
      <w:r w:rsidR="00E71048">
        <w:rPr>
          <w:rFonts w:ascii="Arial" w:hAnsi="Arial" w:cs="Arial"/>
          <w:sz w:val="24"/>
          <w:szCs w:val="24"/>
        </w:rPr>
        <w:t>compliance with the BCBS 239</w:t>
      </w:r>
      <w:r w:rsidR="00307B23">
        <w:rPr>
          <w:rFonts w:ascii="Arial" w:hAnsi="Arial" w:cs="Arial"/>
          <w:sz w:val="24"/>
          <w:szCs w:val="24"/>
        </w:rPr>
        <w:t xml:space="preserve"> principles and</w:t>
      </w:r>
      <w:r w:rsidR="00445366">
        <w:rPr>
          <w:rFonts w:ascii="Arial" w:hAnsi="Arial" w:cs="Arial"/>
          <w:sz w:val="24"/>
          <w:szCs w:val="24"/>
        </w:rPr>
        <w:t xml:space="preserve"> </w:t>
      </w:r>
      <w:r w:rsidR="00307B23">
        <w:rPr>
          <w:rFonts w:ascii="Arial" w:hAnsi="Arial" w:cs="Arial"/>
          <w:sz w:val="24"/>
          <w:szCs w:val="24"/>
        </w:rPr>
        <w:t>u</w:t>
      </w:r>
      <w:r w:rsidR="00445366">
        <w:rPr>
          <w:rFonts w:ascii="Arial" w:hAnsi="Arial" w:cs="Arial"/>
          <w:sz w:val="24"/>
          <w:szCs w:val="24"/>
        </w:rPr>
        <w:t xml:space="preserve">ncovering issues </w:t>
      </w:r>
      <w:r w:rsidR="00307B23">
        <w:rPr>
          <w:rFonts w:ascii="Arial" w:hAnsi="Arial" w:cs="Arial"/>
          <w:sz w:val="24"/>
          <w:szCs w:val="24"/>
        </w:rPr>
        <w:t>in the reporting process</w:t>
      </w:r>
      <w:r w:rsidR="00E71048">
        <w:rPr>
          <w:rFonts w:ascii="Arial" w:hAnsi="Arial" w:cs="Arial"/>
          <w:sz w:val="24"/>
          <w:szCs w:val="24"/>
        </w:rPr>
        <w:t>,</w:t>
      </w:r>
      <w:r w:rsidR="00445366">
        <w:rPr>
          <w:rFonts w:ascii="Arial" w:hAnsi="Arial" w:cs="Arial"/>
          <w:sz w:val="24"/>
          <w:szCs w:val="24"/>
        </w:rPr>
        <w:t xml:space="preserve"> </w:t>
      </w:r>
      <w:r w:rsidR="007756D4">
        <w:rPr>
          <w:rFonts w:ascii="Arial" w:hAnsi="Arial" w:cs="Arial"/>
          <w:sz w:val="24"/>
          <w:szCs w:val="24"/>
        </w:rPr>
        <w:t>which could be symptoms of weaknesses in the banks’ risk management</w:t>
      </w:r>
      <w:r w:rsidR="00581F09">
        <w:rPr>
          <w:rFonts w:ascii="Arial" w:hAnsi="Arial" w:cs="Arial"/>
          <w:sz w:val="24"/>
          <w:szCs w:val="24"/>
        </w:rPr>
        <w:t xml:space="preserve">, systems </w:t>
      </w:r>
      <w:r w:rsidR="007756D4">
        <w:rPr>
          <w:rFonts w:ascii="Arial" w:hAnsi="Arial" w:cs="Arial"/>
          <w:sz w:val="24"/>
          <w:szCs w:val="24"/>
        </w:rPr>
        <w:t>and control</w:t>
      </w:r>
      <w:r w:rsidR="00E71048">
        <w:rPr>
          <w:rFonts w:ascii="Arial" w:hAnsi="Arial" w:cs="Arial"/>
          <w:sz w:val="24"/>
          <w:szCs w:val="24"/>
        </w:rPr>
        <w:t>s.</w:t>
      </w:r>
      <w:r w:rsidR="007756D4">
        <w:rPr>
          <w:rFonts w:ascii="Arial" w:hAnsi="Arial" w:cs="Arial"/>
          <w:sz w:val="24"/>
          <w:szCs w:val="24"/>
        </w:rPr>
        <w:t xml:space="preserve"> </w:t>
      </w:r>
      <w:r w:rsidR="00E71048">
        <w:rPr>
          <w:rFonts w:ascii="Arial" w:hAnsi="Arial" w:cs="Arial"/>
          <w:sz w:val="24"/>
          <w:szCs w:val="24"/>
        </w:rPr>
        <w:t>In</w:t>
      </w:r>
      <w:r w:rsidR="00307B23">
        <w:rPr>
          <w:rFonts w:ascii="Arial" w:hAnsi="Arial" w:cs="Arial"/>
          <w:sz w:val="24"/>
          <w:szCs w:val="24"/>
        </w:rPr>
        <w:t>deed</w:t>
      </w:r>
      <w:r w:rsidR="00E71048">
        <w:rPr>
          <w:rFonts w:ascii="Arial" w:hAnsi="Arial" w:cs="Arial"/>
          <w:sz w:val="24"/>
          <w:szCs w:val="24"/>
        </w:rPr>
        <w:t>, the assessment</w:t>
      </w:r>
      <w:r w:rsidR="002F27D7">
        <w:rPr>
          <w:rFonts w:ascii="Arial" w:hAnsi="Arial" w:cs="Arial"/>
          <w:sz w:val="24"/>
          <w:szCs w:val="24"/>
        </w:rPr>
        <w:t xml:space="preserve">, </w:t>
      </w:r>
      <w:r w:rsidR="00817072">
        <w:rPr>
          <w:rFonts w:ascii="Arial" w:hAnsi="Arial" w:cs="Arial"/>
          <w:sz w:val="24"/>
          <w:szCs w:val="24"/>
        </w:rPr>
        <w:t xml:space="preserve">summarized by a data quality score </w:t>
      </w:r>
      <w:r w:rsidR="002F27D7">
        <w:rPr>
          <w:rFonts w:ascii="Arial" w:hAnsi="Arial" w:cs="Arial"/>
          <w:sz w:val="24"/>
          <w:szCs w:val="24"/>
        </w:rPr>
        <w:t>(</w:t>
      </w:r>
      <w:r w:rsidR="00817072">
        <w:rPr>
          <w:rFonts w:ascii="Arial" w:hAnsi="Arial" w:cs="Arial"/>
          <w:sz w:val="24"/>
          <w:szCs w:val="24"/>
        </w:rPr>
        <w:t>see section 2.3)</w:t>
      </w:r>
      <w:r w:rsidR="002F27D7">
        <w:rPr>
          <w:rFonts w:ascii="Arial" w:hAnsi="Arial" w:cs="Arial"/>
          <w:sz w:val="24"/>
          <w:szCs w:val="24"/>
        </w:rPr>
        <w:t>,</w:t>
      </w:r>
      <w:r w:rsidR="00817072">
        <w:rPr>
          <w:rFonts w:ascii="Arial" w:hAnsi="Arial" w:cs="Arial"/>
          <w:sz w:val="24"/>
          <w:szCs w:val="24"/>
        </w:rPr>
        <w:t xml:space="preserve"> </w:t>
      </w:r>
      <w:r w:rsidR="00445366">
        <w:rPr>
          <w:rFonts w:ascii="Arial" w:hAnsi="Arial" w:cs="Arial"/>
          <w:sz w:val="24"/>
          <w:szCs w:val="24"/>
        </w:rPr>
        <w:t>contribute</w:t>
      </w:r>
      <w:r w:rsidR="00E71048">
        <w:rPr>
          <w:rFonts w:ascii="Arial" w:hAnsi="Arial" w:cs="Arial"/>
          <w:sz w:val="24"/>
          <w:szCs w:val="24"/>
        </w:rPr>
        <w:t>s</w:t>
      </w:r>
      <w:r w:rsidR="00445366">
        <w:rPr>
          <w:rFonts w:ascii="Arial" w:hAnsi="Arial" w:cs="Arial"/>
          <w:sz w:val="24"/>
          <w:szCs w:val="24"/>
        </w:rPr>
        <w:t xml:space="preserve"> directly to the </w:t>
      </w:r>
      <w:r w:rsidR="007756D4">
        <w:rPr>
          <w:rFonts w:ascii="Arial" w:hAnsi="Arial" w:cs="Arial"/>
          <w:sz w:val="24"/>
          <w:szCs w:val="24"/>
        </w:rPr>
        <w:t xml:space="preserve">Supervisory Review and Evaluation Process (SREP) – through the “internal governance and risk management” SREP element. For this </w:t>
      </w:r>
      <w:r w:rsidR="00307B23">
        <w:rPr>
          <w:rFonts w:ascii="Arial" w:hAnsi="Arial" w:cs="Arial"/>
          <w:sz w:val="24"/>
          <w:szCs w:val="24"/>
        </w:rPr>
        <w:t xml:space="preserve">part of the assessment, it is important not </w:t>
      </w:r>
      <w:r w:rsidR="007756D4">
        <w:rPr>
          <w:rFonts w:ascii="Arial" w:hAnsi="Arial" w:cs="Arial"/>
          <w:sz w:val="24"/>
          <w:szCs w:val="24"/>
        </w:rPr>
        <w:t xml:space="preserve">only </w:t>
      </w:r>
      <w:r w:rsidR="00307B23">
        <w:rPr>
          <w:rFonts w:ascii="Arial" w:hAnsi="Arial" w:cs="Arial"/>
          <w:sz w:val="24"/>
          <w:szCs w:val="24"/>
        </w:rPr>
        <w:t xml:space="preserve">to look </w:t>
      </w:r>
      <w:r w:rsidR="007756D4">
        <w:rPr>
          <w:rFonts w:ascii="Arial" w:hAnsi="Arial" w:cs="Arial"/>
          <w:sz w:val="24"/>
          <w:szCs w:val="24"/>
        </w:rPr>
        <w:t>at the latest available data submitted by an institution</w:t>
      </w:r>
      <w:r>
        <w:rPr>
          <w:rFonts w:ascii="Arial" w:hAnsi="Arial" w:cs="Arial"/>
          <w:sz w:val="24"/>
          <w:szCs w:val="24"/>
        </w:rPr>
        <w:t xml:space="preserve"> to highlight possible </w:t>
      </w:r>
      <w:r w:rsidR="00581F09">
        <w:rPr>
          <w:rFonts w:ascii="Arial" w:hAnsi="Arial" w:cs="Arial"/>
          <w:sz w:val="24"/>
          <w:szCs w:val="24"/>
        </w:rPr>
        <w:t>errors</w:t>
      </w:r>
      <w:r w:rsidR="007756D4">
        <w:rPr>
          <w:rFonts w:ascii="Arial" w:hAnsi="Arial" w:cs="Arial"/>
          <w:sz w:val="24"/>
          <w:szCs w:val="24"/>
        </w:rPr>
        <w:t xml:space="preserve"> but </w:t>
      </w:r>
      <w:r>
        <w:rPr>
          <w:rFonts w:ascii="Arial" w:hAnsi="Arial" w:cs="Arial"/>
          <w:sz w:val="24"/>
          <w:szCs w:val="24"/>
        </w:rPr>
        <w:t xml:space="preserve">also </w:t>
      </w:r>
      <w:r w:rsidR="00307B23">
        <w:rPr>
          <w:rFonts w:ascii="Arial" w:hAnsi="Arial" w:cs="Arial"/>
          <w:sz w:val="24"/>
          <w:szCs w:val="24"/>
        </w:rPr>
        <w:t xml:space="preserve">to </w:t>
      </w:r>
      <w:r w:rsidR="007756D4">
        <w:rPr>
          <w:rFonts w:ascii="Arial" w:hAnsi="Arial" w:cs="Arial"/>
          <w:sz w:val="24"/>
          <w:szCs w:val="24"/>
        </w:rPr>
        <w:t>enquire on how the information was provided: was it reported on time? Was it without errors from the be</w:t>
      </w:r>
      <w:r w:rsidR="0091013B">
        <w:rPr>
          <w:rFonts w:ascii="Arial" w:hAnsi="Arial" w:cs="Arial"/>
          <w:sz w:val="24"/>
          <w:szCs w:val="24"/>
        </w:rPr>
        <w:t>ginning</w:t>
      </w:r>
      <w:r w:rsidR="007756D4">
        <w:rPr>
          <w:rFonts w:ascii="Arial" w:hAnsi="Arial" w:cs="Arial"/>
          <w:sz w:val="24"/>
          <w:szCs w:val="24"/>
        </w:rPr>
        <w:t xml:space="preserve">? Were values significantly </w:t>
      </w:r>
      <w:r>
        <w:rPr>
          <w:rFonts w:ascii="Arial" w:hAnsi="Arial" w:cs="Arial"/>
          <w:sz w:val="24"/>
          <w:szCs w:val="24"/>
        </w:rPr>
        <w:t>revised</w:t>
      </w:r>
      <w:r w:rsidR="007756D4">
        <w:rPr>
          <w:rFonts w:ascii="Arial" w:hAnsi="Arial" w:cs="Arial"/>
          <w:sz w:val="24"/>
          <w:szCs w:val="24"/>
        </w:rPr>
        <w:t xml:space="preserve"> without a clear explanation?</w:t>
      </w:r>
      <w:r w:rsidR="00261BB0">
        <w:rPr>
          <w:rFonts w:ascii="Arial" w:hAnsi="Arial" w:cs="Arial"/>
          <w:sz w:val="24"/>
          <w:szCs w:val="24"/>
        </w:rPr>
        <w:t xml:space="preserve"> </w:t>
      </w:r>
      <w:r w:rsidR="0091013B">
        <w:rPr>
          <w:rFonts w:ascii="Arial" w:hAnsi="Arial" w:cs="Arial"/>
          <w:sz w:val="24"/>
          <w:szCs w:val="24"/>
        </w:rPr>
        <w:t>Therefore</w:t>
      </w:r>
      <w:r w:rsidR="00261BB0">
        <w:rPr>
          <w:rFonts w:ascii="Arial" w:hAnsi="Arial" w:cs="Arial"/>
          <w:sz w:val="24"/>
          <w:szCs w:val="24"/>
        </w:rPr>
        <w:t xml:space="preserve">, the analysis of </w:t>
      </w:r>
      <w:r w:rsidR="00F81525">
        <w:rPr>
          <w:rFonts w:ascii="Arial" w:hAnsi="Arial" w:cs="Arial"/>
          <w:sz w:val="24"/>
          <w:szCs w:val="24"/>
        </w:rPr>
        <w:t xml:space="preserve">completeness and </w:t>
      </w:r>
      <w:r w:rsidR="00261BB0">
        <w:rPr>
          <w:rFonts w:ascii="Arial" w:hAnsi="Arial" w:cs="Arial"/>
          <w:sz w:val="24"/>
          <w:szCs w:val="24"/>
        </w:rPr>
        <w:t xml:space="preserve">accuracy should be complemented by a more comprehensive view of the reporting process. We argue that </w:t>
      </w:r>
      <w:r w:rsidR="00352270">
        <w:rPr>
          <w:rFonts w:ascii="Arial" w:hAnsi="Arial" w:cs="Arial"/>
          <w:sz w:val="24"/>
          <w:szCs w:val="24"/>
        </w:rPr>
        <w:t xml:space="preserve">a meaningful </w:t>
      </w:r>
      <w:r w:rsidR="00F53ACB">
        <w:rPr>
          <w:rFonts w:ascii="Arial" w:hAnsi="Arial" w:cs="Arial"/>
          <w:sz w:val="24"/>
          <w:szCs w:val="24"/>
        </w:rPr>
        <w:t xml:space="preserve">off-site </w:t>
      </w:r>
      <w:r>
        <w:rPr>
          <w:rFonts w:ascii="Arial" w:hAnsi="Arial" w:cs="Arial"/>
          <w:sz w:val="24"/>
          <w:szCs w:val="24"/>
        </w:rPr>
        <w:lastRenderedPageBreak/>
        <w:t>analysis</w:t>
      </w:r>
      <w:r w:rsidR="00352270">
        <w:rPr>
          <w:rFonts w:ascii="Arial" w:hAnsi="Arial" w:cs="Arial"/>
          <w:sz w:val="24"/>
          <w:szCs w:val="24"/>
        </w:rPr>
        <w:t xml:space="preserve"> </w:t>
      </w:r>
      <w:r>
        <w:rPr>
          <w:rFonts w:ascii="Arial" w:hAnsi="Arial" w:cs="Arial"/>
          <w:sz w:val="24"/>
          <w:szCs w:val="24"/>
        </w:rPr>
        <w:t>should a</w:t>
      </w:r>
      <w:r w:rsidR="003F55BC">
        <w:rPr>
          <w:rFonts w:ascii="Arial" w:hAnsi="Arial" w:cs="Arial"/>
          <w:sz w:val="24"/>
          <w:szCs w:val="24"/>
        </w:rPr>
        <w:t>t</w:t>
      </w:r>
      <w:r>
        <w:rPr>
          <w:rFonts w:ascii="Arial" w:hAnsi="Arial" w:cs="Arial"/>
          <w:sz w:val="24"/>
          <w:szCs w:val="24"/>
        </w:rPr>
        <w:t xml:space="preserve"> a minimum investigate</w:t>
      </w:r>
      <w:r w:rsidR="00261BB0">
        <w:rPr>
          <w:rFonts w:ascii="Arial" w:hAnsi="Arial" w:cs="Arial"/>
          <w:sz w:val="24"/>
          <w:szCs w:val="24"/>
        </w:rPr>
        <w:t xml:space="preserve"> </w:t>
      </w:r>
      <w:r w:rsidR="00697C64">
        <w:rPr>
          <w:rFonts w:ascii="Arial" w:hAnsi="Arial" w:cs="Arial"/>
          <w:sz w:val="24"/>
          <w:szCs w:val="24"/>
        </w:rPr>
        <w:t xml:space="preserve">whether </w:t>
      </w:r>
      <w:r w:rsidR="009F7F56">
        <w:rPr>
          <w:rFonts w:ascii="Arial" w:hAnsi="Arial" w:cs="Arial"/>
          <w:sz w:val="24"/>
          <w:szCs w:val="24"/>
        </w:rPr>
        <w:t xml:space="preserve">reporting templates </w:t>
      </w:r>
      <w:r w:rsidR="002F27D7">
        <w:rPr>
          <w:rFonts w:ascii="Arial" w:hAnsi="Arial" w:cs="Arial"/>
          <w:sz w:val="24"/>
          <w:szCs w:val="24"/>
        </w:rPr>
        <w:t>are</w:t>
      </w:r>
      <w:r w:rsidR="009F7F56">
        <w:rPr>
          <w:rFonts w:ascii="Arial" w:hAnsi="Arial" w:cs="Arial"/>
          <w:sz w:val="24"/>
          <w:szCs w:val="24"/>
        </w:rPr>
        <w:t xml:space="preserve"> submitted on time (</w:t>
      </w:r>
      <w:r w:rsidR="009F7F56" w:rsidRPr="00CF62E6">
        <w:rPr>
          <w:rFonts w:ascii="Arial" w:hAnsi="Arial" w:cs="Arial"/>
          <w:i/>
          <w:sz w:val="24"/>
          <w:szCs w:val="24"/>
        </w:rPr>
        <w:t>punctuality</w:t>
      </w:r>
      <w:r w:rsidR="009F7F56">
        <w:rPr>
          <w:rFonts w:ascii="Arial" w:hAnsi="Arial" w:cs="Arial"/>
          <w:sz w:val="24"/>
          <w:szCs w:val="24"/>
        </w:rPr>
        <w:t xml:space="preserve"> of the information) and whether later revisions stay close to the initial values reported (</w:t>
      </w:r>
      <w:r w:rsidR="009F7F56" w:rsidRPr="00CF62E6">
        <w:rPr>
          <w:rFonts w:ascii="Arial" w:hAnsi="Arial" w:cs="Arial"/>
          <w:i/>
          <w:sz w:val="24"/>
          <w:szCs w:val="24"/>
        </w:rPr>
        <w:t>reliability</w:t>
      </w:r>
      <w:r w:rsidR="009F7F56">
        <w:rPr>
          <w:rFonts w:ascii="Arial" w:hAnsi="Arial" w:cs="Arial"/>
          <w:sz w:val="24"/>
          <w:szCs w:val="24"/>
        </w:rPr>
        <w:t xml:space="preserve"> of the information – following the terminology of the </w:t>
      </w:r>
      <w:r w:rsidR="009F7F56" w:rsidRPr="00CF62E6">
        <w:rPr>
          <w:rFonts w:ascii="Arial" w:hAnsi="Arial" w:cs="Arial"/>
          <w:i/>
          <w:sz w:val="24"/>
          <w:szCs w:val="24"/>
        </w:rPr>
        <w:t>ECB Statistics Quality Framework</w:t>
      </w:r>
      <w:r w:rsidR="009F7F56">
        <w:rPr>
          <w:rFonts w:ascii="Arial" w:hAnsi="Arial" w:cs="Arial"/>
          <w:sz w:val="24"/>
          <w:szCs w:val="24"/>
        </w:rPr>
        <w:t>)</w:t>
      </w:r>
      <w:r w:rsidR="00E71048">
        <w:rPr>
          <w:rFonts w:ascii="Arial" w:hAnsi="Arial" w:cs="Arial"/>
          <w:sz w:val="24"/>
          <w:szCs w:val="24"/>
        </w:rPr>
        <w:t>.</w:t>
      </w:r>
    </w:p>
    <w:p w:rsidR="00E71048" w:rsidRPr="00811D37" w:rsidRDefault="00E71048" w:rsidP="0067521F">
      <w:pPr>
        <w:spacing w:before="360" w:after="0" w:line="360" w:lineRule="auto"/>
        <w:jc w:val="both"/>
        <w:rPr>
          <w:rFonts w:ascii="Arial" w:hAnsi="Arial" w:cs="Arial"/>
          <w:i/>
          <w:sz w:val="24"/>
          <w:szCs w:val="24"/>
        </w:rPr>
      </w:pPr>
      <w:r w:rsidRPr="00811D37">
        <w:rPr>
          <w:rFonts w:ascii="Arial" w:hAnsi="Arial" w:cs="Arial"/>
          <w:i/>
          <w:sz w:val="24"/>
          <w:szCs w:val="24"/>
        </w:rPr>
        <w:t xml:space="preserve">2.1 </w:t>
      </w:r>
      <w:r w:rsidR="008576D2">
        <w:rPr>
          <w:rFonts w:ascii="Arial" w:hAnsi="Arial" w:cs="Arial"/>
          <w:i/>
          <w:sz w:val="24"/>
          <w:szCs w:val="24"/>
        </w:rPr>
        <w:t>Assessing the quality of the data</w:t>
      </w:r>
      <w:r w:rsidR="00307B23" w:rsidRPr="00811D37">
        <w:rPr>
          <w:rFonts w:ascii="Arial" w:hAnsi="Arial" w:cs="Arial"/>
          <w:i/>
          <w:sz w:val="24"/>
          <w:szCs w:val="24"/>
        </w:rPr>
        <w:t xml:space="preserve">: </w:t>
      </w:r>
      <w:r w:rsidR="00F81525" w:rsidRPr="00811D37">
        <w:rPr>
          <w:rFonts w:ascii="Arial" w:hAnsi="Arial" w:cs="Arial"/>
          <w:i/>
          <w:sz w:val="24"/>
          <w:szCs w:val="24"/>
        </w:rPr>
        <w:t xml:space="preserve">completeness, </w:t>
      </w:r>
      <w:r w:rsidR="00307B23" w:rsidRPr="00811D37">
        <w:rPr>
          <w:rFonts w:ascii="Arial" w:hAnsi="Arial" w:cs="Arial"/>
          <w:i/>
          <w:sz w:val="24"/>
          <w:szCs w:val="24"/>
        </w:rPr>
        <w:t>accuracy and plausibility.</w:t>
      </w:r>
    </w:p>
    <w:p w:rsidR="00F81525" w:rsidRDefault="00F81525" w:rsidP="000C07F3">
      <w:pPr>
        <w:spacing w:before="120" w:after="0" w:line="360" w:lineRule="auto"/>
        <w:jc w:val="both"/>
        <w:rPr>
          <w:rFonts w:ascii="Arial" w:hAnsi="Arial" w:cs="Arial"/>
          <w:sz w:val="24"/>
          <w:szCs w:val="24"/>
        </w:rPr>
      </w:pPr>
      <w:r>
        <w:rPr>
          <w:rFonts w:ascii="Arial" w:hAnsi="Arial" w:cs="Arial"/>
          <w:sz w:val="24"/>
          <w:szCs w:val="24"/>
        </w:rPr>
        <w:t xml:space="preserve">Measuring </w:t>
      </w:r>
      <w:r w:rsidRPr="00043537">
        <w:rPr>
          <w:rFonts w:ascii="Arial" w:hAnsi="Arial" w:cs="Arial"/>
          <w:i/>
          <w:sz w:val="24"/>
          <w:szCs w:val="24"/>
        </w:rPr>
        <w:t>completeness</w:t>
      </w:r>
      <w:r>
        <w:rPr>
          <w:rFonts w:ascii="Arial" w:hAnsi="Arial" w:cs="Arial"/>
          <w:sz w:val="24"/>
          <w:szCs w:val="24"/>
        </w:rPr>
        <w:t xml:space="preserve"> – </w:t>
      </w:r>
      <w:r w:rsidR="0091013B">
        <w:rPr>
          <w:rFonts w:ascii="Arial" w:hAnsi="Arial" w:cs="Arial"/>
          <w:sz w:val="24"/>
          <w:szCs w:val="24"/>
        </w:rPr>
        <w:t xml:space="preserve">that is, </w:t>
      </w:r>
      <w:r>
        <w:rPr>
          <w:rFonts w:ascii="Arial" w:hAnsi="Arial" w:cs="Arial"/>
          <w:sz w:val="24"/>
          <w:szCs w:val="24"/>
        </w:rPr>
        <w:t>identifying missing modules</w:t>
      </w:r>
      <w:r w:rsidR="00354C31">
        <w:rPr>
          <w:rFonts w:ascii="Arial" w:hAnsi="Arial" w:cs="Arial"/>
          <w:sz w:val="24"/>
          <w:szCs w:val="24"/>
        </w:rPr>
        <w:t xml:space="preserve"> </w:t>
      </w:r>
      <w:r w:rsidR="006D724F">
        <w:rPr>
          <w:rFonts w:ascii="Arial" w:hAnsi="Arial" w:cs="Arial"/>
          <w:sz w:val="24"/>
          <w:szCs w:val="24"/>
        </w:rPr>
        <w:t xml:space="preserve">or </w:t>
      </w:r>
      <w:r w:rsidR="009A7B61">
        <w:rPr>
          <w:rFonts w:ascii="Arial" w:hAnsi="Arial" w:cs="Arial"/>
          <w:sz w:val="24"/>
          <w:szCs w:val="24"/>
        </w:rPr>
        <w:t xml:space="preserve">templates </w:t>
      </w:r>
      <w:r>
        <w:rPr>
          <w:rFonts w:ascii="Arial" w:hAnsi="Arial" w:cs="Arial"/>
          <w:sz w:val="24"/>
          <w:szCs w:val="24"/>
        </w:rPr>
        <w:t xml:space="preserve">– is a relatively straightforward </w:t>
      </w:r>
      <w:r w:rsidR="007651EE">
        <w:rPr>
          <w:rFonts w:ascii="Arial" w:hAnsi="Arial" w:cs="Arial"/>
          <w:sz w:val="24"/>
          <w:szCs w:val="24"/>
        </w:rPr>
        <w:t xml:space="preserve">exercise </w:t>
      </w:r>
      <w:r>
        <w:rPr>
          <w:rFonts w:ascii="Arial" w:hAnsi="Arial" w:cs="Arial"/>
          <w:sz w:val="24"/>
          <w:szCs w:val="24"/>
        </w:rPr>
        <w:t>once the reporting obligations have been determined.</w:t>
      </w:r>
    </w:p>
    <w:p w:rsidR="00352270" w:rsidRDefault="00F81525" w:rsidP="000C07F3">
      <w:pPr>
        <w:spacing w:before="120" w:after="0" w:line="360" w:lineRule="auto"/>
        <w:jc w:val="both"/>
        <w:rPr>
          <w:rFonts w:ascii="Arial" w:hAnsi="Arial" w:cs="Arial"/>
          <w:sz w:val="24"/>
          <w:szCs w:val="24"/>
        </w:rPr>
      </w:pPr>
      <w:r>
        <w:rPr>
          <w:rFonts w:ascii="Arial" w:hAnsi="Arial" w:cs="Arial"/>
          <w:sz w:val="24"/>
          <w:szCs w:val="24"/>
        </w:rPr>
        <w:t xml:space="preserve">On the other hand, </w:t>
      </w:r>
      <w:r w:rsidRPr="00043537">
        <w:rPr>
          <w:rFonts w:ascii="Arial" w:hAnsi="Arial" w:cs="Arial"/>
          <w:i/>
          <w:sz w:val="24"/>
          <w:szCs w:val="24"/>
        </w:rPr>
        <w:t>a</w:t>
      </w:r>
      <w:r w:rsidR="00307B23" w:rsidRPr="00043537">
        <w:rPr>
          <w:rFonts w:ascii="Arial" w:hAnsi="Arial" w:cs="Arial"/>
          <w:i/>
          <w:sz w:val="24"/>
          <w:szCs w:val="24"/>
        </w:rPr>
        <w:t>ccuracy</w:t>
      </w:r>
      <w:r w:rsidR="00307B23">
        <w:rPr>
          <w:rFonts w:ascii="Arial" w:hAnsi="Arial" w:cs="Arial"/>
          <w:sz w:val="24"/>
          <w:szCs w:val="24"/>
        </w:rPr>
        <w:t xml:space="preserve"> (defined as the absence of mistakes and exact correspondence of the reported values with the underlying concept)</w:t>
      </w:r>
      <w:r w:rsidR="00057660">
        <w:rPr>
          <w:rFonts w:ascii="Arial" w:hAnsi="Arial" w:cs="Arial"/>
          <w:sz w:val="24"/>
          <w:szCs w:val="24"/>
        </w:rPr>
        <w:t xml:space="preserve"> </w:t>
      </w:r>
      <w:r w:rsidR="008A4C85">
        <w:rPr>
          <w:rFonts w:ascii="Arial" w:hAnsi="Arial" w:cs="Arial"/>
          <w:sz w:val="24"/>
          <w:szCs w:val="24"/>
        </w:rPr>
        <w:t xml:space="preserve">is </w:t>
      </w:r>
      <w:r w:rsidR="00003D7D">
        <w:rPr>
          <w:rFonts w:ascii="Arial" w:hAnsi="Arial" w:cs="Arial"/>
          <w:sz w:val="24"/>
          <w:szCs w:val="24"/>
        </w:rPr>
        <w:t>not so easily captured</w:t>
      </w:r>
      <w:r w:rsidR="00057660">
        <w:rPr>
          <w:rFonts w:ascii="Arial" w:hAnsi="Arial" w:cs="Arial"/>
          <w:sz w:val="24"/>
          <w:szCs w:val="24"/>
        </w:rPr>
        <w:t xml:space="preserve">. </w:t>
      </w:r>
      <w:r w:rsidR="002231AC">
        <w:rPr>
          <w:rFonts w:ascii="Arial" w:hAnsi="Arial" w:cs="Arial"/>
          <w:sz w:val="24"/>
          <w:szCs w:val="24"/>
        </w:rPr>
        <w:t xml:space="preserve">To make it a practical dimension of analysis </w:t>
      </w:r>
      <w:r w:rsidR="006428F0">
        <w:rPr>
          <w:rFonts w:ascii="Arial" w:hAnsi="Arial" w:cs="Arial"/>
          <w:sz w:val="24"/>
          <w:szCs w:val="24"/>
        </w:rPr>
        <w:t xml:space="preserve">we </w:t>
      </w:r>
      <w:r w:rsidR="00247EE7">
        <w:rPr>
          <w:rFonts w:ascii="Arial" w:hAnsi="Arial" w:cs="Arial"/>
          <w:sz w:val="24"/>
          <w:szCs w:val="24"/>
        </w:rPr>
        <w:t>rel</w:t>
      </w:r>
      <w:r w:rsidR="006428F0">
        <w:rPr>
          <w:rFonts w:ascii="Arial" w:hAnsi="Arial" w:cs="Arial"/>
          <w:sz w:val="24"/>
          <w:szCs w:val="24"/>
        </w:rPr>
        <w:t>y</w:t>
      </w:r>
      <w:r w:rsidR="00247EE7">
        <w:rPr>
          <w:rFonts w:ascii="Arial" w:hAnsi="Arial" w:cs="Arial"/>
          <w:sz w:val="24"/>
          <w:szCs w:val="24"/>
        </w:rPr>
        <w:t xml:space="preserve"> </w:t>
      </w:r>
      <w:r w:rsidR="006428F0">
        <w:rPr>
          <w:rFonts w:ascii="Arial" w:hAnsi="Arial" w:cs="Arial"/>
          <w:sz w:val="24"/>
          <w:szCs w:val="24"/>
        </w:rPr>
        <w:t xml:space="preserve">mainly </w:t>
      </w:r>
      <w:r w:rsidR="00247EE7">
        <w:rPr>
          <w:rFonts w:ascii="Arial" w:hAnsi="Arial" w:cs="Arial"/>
          <w:sz w:val="24"/>
          <w:szCs w:val="24"/>
        </w:rPr>
        <w:t xml:space="preserve">on </w:t>
      </w:r>
      <w:r w:rsidR="00057660" w:rsidRPr="00043537">
        <w:rPr>
          <w:rFonts w:ascii="Arial" w:hAnsi="Arial" w:cs="Arial"/>
          <w:sz w:val="24"/>
          <w:szCs w:val="24"/>
        </w:rPr>
        <w:t>validation rules</w:t>
      </w:r>
      <w:r w:rsidR="000C07F3">
        <w:rPr>
          <w:rFonts w:ascii="Arial" w:hAnsi="Arial" w:cs="Arial"/>
          <w:sz w:val="24"/>
          <w:szCs w:val="24"/>
        </w:rPr>
        <w:t>:</w:t>
      </w:r>
      <w:r w:rsidR="006428F0">
        <w:rPr>
          <w:rFonts w:ascii="Arial" w:hAnsi="Arial" w:cs="Arial"/>
          <w:sz w:val="24"/>
          <w:szCs w:val="24"/>
        </w:rPr>
        <w:t xml:space="preserve"> while they cannot guarantee that a reported value is </w:t>
      </w:r>
      <w:r w:rsidR="005C5AE7" w:rsidRPr="00B701D1">
        <w:rPr>
          <w:rFonts w:ascii="Arial" w:hAnsi="Arial" w:cs="Arial"/>
          <w:i/>
          <w:sz w:val="24"/>
          <w:szCs w:val="24"/>
        </w:rPr>
        <w:t>per se</w:t>
      </w:r>
      <w:r w:rsidR="005C5AE7">
        <w:rPr>
          <w:rFonts w:ascii="Arial" w:hAnsi="Arial" w:cs="Arial"/>
          <w:sz w:val="24"/>
          <w:szCs w:val="24"/>
        </w:rPr>
        <w:t xml:space="preserve"> </w:t>
      </w:r>
      <w:r w:rsidR="006428F0">
        <w:rPr>
          <w:rFonts w:ascii="Arial" w:hAnsi="Arial" w:cs="Arial"/>
          <w:sz w:val="24"/>
          <w:szCs w:val="24"/>
        </w:rPr>
        <w:t xml:space="preserve">correct, they can </w:t>
      </w:r>
      <w:r w:rsidR="000C07F3">
        <w:rPr>
          <w:rFonts w:ascii="Arial" w:hAnsi="Arial" w:cs="Arial"/>
          <w:sz w:val="24"/>
          <w:szCs w:val="24"/>
        </w:rPr>
        <w:t xml:space="preserve">at least </w:t>
      </w:r>
      <w:r w:rsidR="006428F0">
        <w:rPr>
          <w:rFonts w:ascii="Arial" w:hAnsi="Arial" w:cs="Arial"/>
          <w:sz w:val="24"/>
          <w:szCs w:val="24"/>
        </w:rPr>
        <w:t xml:space="preserve">single out cases where there is a reasonable suspicion that the value is </w:t>
      </w:r>
      <w:r w:rsidR="006428F0" w:rsidRPr="006428F0">
        <w:rPr>
          <w:rFonts w:ascii="Arial" w:hAnsi="Arial" w:cs="Arial"/>
          <w:i/>
          <w:sz w:val="24"/>
          <w:szCs w:val="24"/>
        </w:rPr>
        <w:t>not</w:t>
      </w:r>
      <w:r w:rsidR="006428F0">
        <w:rPr>
          <w:rFonts w:ascii="Arial" w:hAnsi="Arial" w:cs="Arial"/>
          <w:sz w:val="24"/>
          <w:szCs w:val="24"/>
        </w:rPr>
        <w:t xml:space="preserve"> correct.</w:t>
      </w:r>
      <w:r w:rsidR="00247EE7">
        <w:rPr>
          <w:rFonts w:ascii="Arial" w:hAnsi="Arial" w:cs="Arial"/>
          <w:sz w:val="24"/>
          <w:szCs w:val="24"/>
        </w:rPr>
        <w:t xml:space="preserve"> </w:t>
      </w:r>
      <w:r w:rsidR="006428F0">
        <w:rPr>
          <w:rFonts w:ascii="Arial" w:hAnsi="Arial" w:cs="Arial"/>
          <w:sz w:val="24"/>
          <w:szCs w:val="24"/>
        </w:rPr>
        <w:t xml:space="preserve">In this way, the analysis is able to produce </w:t>
      </w:r>
      <w:r w:rsidR="00247EE7" w:rsidRPr="00247EE7">
        <w:rPr>
          <w:rFonts w:ascii="Arial" w:hAnsi="Arial" w:cs="Arial"/>
          <w:i/>
          <w:sz w:val="24"/>
          <w:szCs w:val="24"/>
        </w:rPr>
        <w:t>actionable findings</w:t>
      </w:r>
      <w:r w:rsidR="006428F0">
        <w:rPr>
          <w:rFonts w:ascii="Arial" w:hAnsi="Arial" w:cs="Arial"/>
          <w:sz w:val="24"/>
          <w:szCs w:val="24"/>
        </w:rPr>
        <w:t>: specific instances of potential errors that are brought to the attention of the reporter, to be eventually corrected or explained.</w:t>
      </w:r>
    </w:p>
    <w:p w:rsidR="003C3747" w:rsidRDefault="00057660" w:rsidP="000C07F3">
      <w:pPr>
        <w:spacing w:before="120" w:after="0" w:line="360" w:lineRule="auto"/>
        <w:jc w:val="both"/>
        <w:rPr>
          <w:rFonts w:ascii="Arial" w:hAnsi="Arial" w:cs="Arial"/>
          <w:sz w:val="24"/>
          <w:szCs w:val="24"/>
        </w:rPr>
      </w:pPr>
      <w:r>
        <w:rPr>
          <w:rFonts w:ascii="Arial" w:hAnsi="Arial" w:cs="Arial"/>
          <w:sz w:val="24"/>
          <w:szCs w:val="24"/>
        </w:rPr>
        <w:t xml:space="preserve">In the context of checking accuracy, </w:t>
      </w:r>
      <w:r w:rsidR="006428F0">
        <w:rPr>
          <w:rFonts w:ascii="Arial" w:hAnsi="Arial" w:cs="Arial"/>
          <w:sz w:val="24"/>
          <w:szCs w:val="24"/>
        </w:rPr>
        <w:t>validation rules</w:t>
      </w:r>
      <w:r>
        <w:rPr>
          <w:rFonts w:ascii="Arial" w:hAnsi="Arial" w:cs="Arial"/>
          <w:sz w:val="24"/>
          <w:szCs w:val="24"/>
        </w:rPr>
        <w:t xml:space="preserve"> </w:t>
      </w:r>
      <w:r w:rsidR="00F81525">
        <w:rPr>
          <w:rFonts w:ascii="Arial" w:hAnsi="Arial" w:cs="Arial"/>
          <w:sz w:val="24"/>
          <w:szCs w:val="24"/>
        </w:rPr>
        <w:t>can be</w:t>
      </w:r>
      <w:r>
        <w:rPr>
          <w:rFonts w:ascii="Arial" w:hAnsi="Arial" w:cs="Arial"/>
          <w:sz w:val="24"/>
          <w:szCs w:val="24"/>
        </w:rPr>
        <w:t xml:space="preserve"> interpreted as </w:t>
      </w:r>
      <w:r w:rsidRPr="00924B36">
        <w:rPr>
          <w:rFonts w:ascii="Arial" w:hAnsi="Arial" w:cs="Arial"/>
          <w:i/>
          <w:sz w:val="24"/>
          <w:szCs w:val="24"/>
        </w:rPr>
        <w:t>hard rules</w:t>
      </w:r>
      <w:r>
        <w:rPr>
          <w:rFonts w:ascii="Arial" w:hAnsi="Arial" w:cs="Arial"/>
          <w:sz w:val="24"/>
          <w:szCs w:val="24"/>
        </w:rPr>
        <w:t xml:space="preserve">, that is, rules for the </w:t>
      </w:r>
      <w:r w:rsidR="003275A9" w:rsidRPr="003275A9">
        <w:rPr>
          <w:rFonts w:ascii="Arial" w:hAnsi="Arial" w:cs="Arial"/>
          <w:i/>
          <w:sz w:val="24"/>
          <w:szCs w:val="24"/>
        </w:rPr>
        <w:t>ex-ante</w:t>
      </w:r>
      <w:r w:rsidR="003275A9">
        <w:rPr>
          <w:rFonts w:ascii="Arial" w:hAnsi="Arial" w:cs="Arial"/>
          <w:sz w:val="24"/>
          <w:szCs w:val="24"/>
        </w:rPr>
        <w:t xml:space="preserve"> </w:t>
      </w:r>
      <w:r>
        <w:rPr>
          <w:rFonts w:ascii="Arial" w:hAnsi="Arial" w:cs="Arial"/>
          <w:sz w:val="24"/>
          <w:szCs w:val="24"/>
        </w:rPr>
        <w:t xml:space="preserve">assessment of the compliance of the reporting entities with legal requirements and </w:t>
      </w:r>
      <w:r w:rsidR="00924B36">
        <w:rPr>
          <w:rFonts w:ascii="Arial" w:hAnsi="Arial" w:cs="Arial"/>
          <w:sz w:val="24"/>
          <w:szCs w:val="24"/>
        </w:rPr>
        <w:t xml:space="preserve">reflecting the basic constraints of the reporting templates. Ideally, </w:t>
      </w:r>
      <w:r w:rsidR="0091013B">
        <w:rPr>
          <w:rFonts w:ascii="Arial" w:hAnsi="Arial" w:cs="Arial"/>
          <w:sz w:val="24"/>
          <w:szCs w:val="24"/>
        </w:rPr>
        <w:t xml:space="preserve">the </w:t>
      </w:r>
      <w:r w:rsidR="00F81525">
        <w:rPr>
          <w:rFonts w:ascii="Arial" w:hAnsi="Arial" w:cs="Arial"/>
          <w:sz w:val="24"/>
          <w:szCs w:val="24"/>
        </w:rPr>
        <w:t xml:space="preserve">hard </w:t>
      </w:r>
      <w:r w:rsidR="00924B36">
        <w:rPr>
          <w:rFonts w:ascii="Arial" w:hAnsi="Arial" w:cs="Arial"/>
          <w:sz w:val="24"/>
          <w:szCs w:val="24"/>
        </w:rPr>
        <w:t xml:space="preserve">rules to measure accuracy applied by the competent authorities should be public, transparent and binding, helping reporters in the interpretation of the applicable regulations and of the structure of the reporting templates. </w:t>
      </w:r>
      <w:r w:rsidR="00CE33E8">
        <w:rPr>
          <w:rFonts w:ascii="Arial" w:hAnsi="Arial" w:cs="Arial"/>
          <w:sz w:val="24"/>
          <w:szCs w:val="24"/>
        </w:rPr>
        <w:t xml:space="preserve">But contributions to accuracy can also come from </w:t>
      </w:r>
      <w:r w:rsidR="00924B36" w:rsidRPr="00924B36">
        <w:rPr>
          <w:rFonts w:ascii="Arial" w:hAnsi="Arial" w:cs="Arial"/>
          <w:i/>
          <w:sz w:val="24"/>
          <w:szCs w:val="24"/>
        </w:rPr>
        <w:t>soft rules</w:t>
      </w:r>
      <w:r w:rsidR="00924B36">
        <w:rPr>
          <w:rFonts w:ascii="Arial" w:hAnsi="Arial" w:cs="Arial"/>
          <w:sz w:val="24"/>
          <w:szCs w:val="24"/>
        </w:rPr>
        <w:t>, interpreted as checks for the detection of situations that are unusual or unlikely to happen</w:t>
      </w:r>
      <w:r w:rsidR="003275A9">
        <w:rPr>
          <w:rFonts w:ascii="Arial" w:hAnsi="Arial" w:cs="Arial"/>
          <w:sz w:val="24"/>
          <w:szCs w:val="24"/>
        </w:rPr>
        <w:t xml:space="preserve">, </w:t>
      </w:r>
      <w:r w:rsidR="00924B36">
        <w:rPr>
          <w:rFonts w:ascii="Arial" w:hAnsi="Arial" w:cs="Arial"/>
          <w:sz w:val="24"/>
          <w:szCs w:val="24"/>
        </w:rPr>
        <w:t xml:space="preserve">serving as an </w:t>
      </w:r>
      <w:r w:rsidR="00924B36" w:rsidRPr="00924B36">
        <w:rPr>
          <w:rFonts w:ascii="Arial" w:hAnsi="Arial" w:cs="Arial"/>
          <w:i/>
          <w:sz w:val="24"/>
          <w:szCs w:val="24"/>
        </w:rPr>
        <w:t>ex-post</w:t>
      </w:r>
      <w:r w:rsidR="00924B36">
        <w:rPr>
          <w:rFonts w:ascii="Arial" w:hAnsi="Arial" w:cs="Arial"/>
          <w:sz w:val="24"/>
          <w:szCs w:val="24"/>
        </w:rPr>
        <w:t xml:space="preserve"> mean for the assessment of the compliance with reporting obligations and </w:t>
      </w:r>
      <w:r w:rsidR="003275A9">
        <w:rPr>
          <w:rFonts w:ascii="Arial" w:hAnsi="Arial" w:cs="Arial"/>
          <w:sz w:val="24"/>
          <w:szCs w:val="24"/>
        </w:rPr>
        <w:t>also for the monitoring of banks’ activities.</w:t>
      </w:r>
    </w:p>
    <w:p w:rsidR="004B2432" w:rsidRDefault="004B2432" w:rsidP="000C07F3">
      <w:pPr>
        <w:spacing w:before="120" w:after="0" w:line="360" w:lineRule="auto"/>
        <w:jc w:val="both"/>
        <w:rPr>
          <w:rFonts w:ascii="Arial" w:hAnsi="Arial" w:cs="Arial"/>
          <w:sz w:val="24"/>
          <w:szCs w:val="24"/>
        </w:rPr>
      </w:pPr>
      <w:r>
        <w:rPr>
          <w:rFonts w:ascii="Arial" w:hAnsi="Arial" w:cs="Arial"/>
          <w:sz w:val="24"/>
          <w:szCs w:val="24"/>
        </w:rPr>
        <w:t xml:space="preserve">Soft checks are used to challenge reporting institutions on the correctness of the data remitted to the ECB, following an </w:t>
      </w:r>
      <w:r w:rsidRPr="004B2432">
        <w:rPr>
          <w:rFonts w:ascii="Arial" w:hAnsi="Arial" w:cs="Arial"/>
          <w:i/>
          <w:sz w:val="24"/>
          <w:szCs w:val="24"/>
        </w:rPr>
        <w:t>explain-or-resubmit</w:t>
      </w:r>
      <w:r>
        <w:rPr>
          <w:rFonts w:ascii="Arial" w:hAnsi="Arial" w:cs="Arial"/>
          <w:sz w:val="24"/>
          <w:szCs w:val="24"/>
        </w:rPr>
        <w:t xml:space="preserve"> approach. It is in the supervisors’ intere</w:t>
      </w:r>
      <w:r w:rsidR="00CE33E8">
        <w:rPr>
          <w:rFonts w:ascii="Arial" w:hAnsi="Arial" w:cs="Arial"/>
          <w:sz w:val="24"/>
          <w:szCs w:val="24"/>
        </w:rPr>
        <w:t>st to not disclose (some of) these</w:t>
      </w:r>
      <w:r>
        <w:rPr>
          <w:rFonts w:ascii="Arial" w:hAnsi="Arial" w:cs="Arial"/>
          <w:sz w:val="24"/>
          <w:szCs w:val="24"/>
        </w:rPr>
        <w:t xml:space="preserve"> checks to the reporters: as many soft checks rely to a certain extent on expert judgement and subjective thresholds, </w:t>
      </w:r>
      <w:r w:rsidR="0089550E">
        <w:rPr>
          <w:rFonts w:ascii="Arial" w:hAnsi="Arial" w:cs="Arial"/>
          <w:sz w:val="24"/>
          <w:szCs w:val="24"/>
        </w:rPr>
        <w:t xml:space="preserve">disclosing the checks can potentially </w:t>
      </w:r>
      <w:r w:rsidR="0099418F">
        <w:rPr>
          <w:rFonts w:ascii="Arial" w:hAnsi="Arial" w:cs="Arial"/>
          <w:sz w:val="24"/>
          <w:szCs w:val="24"/>
        </w:rPr>
        <w:t>convey</w:t>
      </w:r>
      <w:r w:rsidR="0089550E">
        <w:rPr>
          <w:rFonts w:ascii="Arial" w:hAnsi="Arial" w:cs="Arial"/>
          <w:sz w:val="24"/>
          <w:szCs w:val="24"/>
        </w:rPr>
        <w:t xml:space="preserve"> </w:t>
      </w:r>
      <w:r w:rsidR="0099418F">
        <w:rPr>
          <w:rFonts w:ascii="Arial" w:hAnsi="Arial" w:cs="Arial"/>
          <w:sz w:val="24"/>
          <w:szCs w:val="24"/>
        </w:rPr>
        <w:t>the</w:t>
      </w:r>
      <w:r w:rsidR="0089550E">
        <w:rPr>
          <w:rFonts w:ascii="Arial" w:hAnsi="Arial" w:cs="Arial"/>
          <w:sz w:val="24"/>
          <w:szCs w:val="24"/>
        </w:rPr>
        <w:t xml:space="preserve"> message that banks should comply with the threshold specifie</w:t>
      </w:r>
      <w:r w:rsidR="0099418F">
        <w:rPr>
          <w:rFonts w:ascii="Arial" w:hAnsi="Arial" w:cs="Arial"/>
          <w:sz w:val="24"/>
          <w:szCs w:val="24"/>
        </w:rPr>
        <w:t>d</w:t>
      </w:r>
      <w:r w:rsidR="0089550E">
        <w:rPr>
          <w:rFonts w:ascii="Arial" w:hAnsi="Arial" w:cs="Arial"/>
          <w:sz w:val="24"/>
          <w:szCs w:val="24"/>
        </w:rPr>
        <w:t xml:space="preserve"> by the checks, distracting from the main objective of a </w:t>
      </w:r>
      <w:r w:rsidR="0089550E">
        <w:rPr>
          <w:rFonts w:ascii="Arial" w:hAnsi="Arial" w:cs="Arial"/>
          <w:sz w:val="24"/>
          <w:szCs w:val="24"/>
        </w:rPr>
        <w:lastRenderedPageBreak/>
        <w:t>general improvement in the quality of the reported data.</w:t>
      </w:r>
      <w:r w:rsidR="009A7B61">
        <w:rPr>
          <w:rFonts w:ascii="Arial" w:hAnsi="Arial" w:cs="Arial"/>
          <w:sz w:val="24"/>
          <w:szCs w:val="24"/>
        </w:rPr>
        <w:t xml:space="preserve"> </w:t>
      </w:r>
      <w:r w:rsidR="00425B75">
        <w:rPr>
          <w:rFonts w:ascii="Arial" w:hAnsi="Arial" w:cs="Arial"/>
          <w:sz w:val="24"/>
          <w:szCs w:val="24"/>
        </w:rPr>
        <w:t>T</w:t>
      </w:r>
      <w:r w:rsidR="009A7B61">
        <w:rPr>
          <w:rFonts w:ascii="Arial" w:hAnsi="Arial" w:cs="Arial"/>
          <w:sz w:val="24"/>
          <w:szCs w:val="24"/>
        </w:rPr>
        <w:t>he accuracy of the data is assessed on a continuous basis</w:t>
      </w:r>
      <w:r w:rsidR="00425B75">
        <w:rPr>
          <w:rFonts w:ascii="Arial" w:hAnsi="Arial" w:cs="Arial"/>
          <w:sz w:val="24"/>
          <w:szCs w:val="24"/>
        </w:rPr>
        <w:t xml:space="preserve"> by the ECB</w:t>
      </w:r>
      <w:r w:rsidR="009A7B61">
        <w:rPr>
          <w:rFonts w:ascii="Arial" w:hAnsi="Arial" w:cs="Arial"/>
          <w:sz w:val="24"/>
          <w:szCs w:val="24"/>
        </w:rPr>
        <w:t xml:space="preserve">, </w:t>
      </w:r>
      <w:r w:rsidR="00476019">
        <w:rPr>
          <w:rFonts w:ascii="Arial" w:hAnsi="Arial" w:cs="Arial"/>
          <w:sz w:val="24"/>
          <w:szCs w:val="24"/>
        </w:rPr>
        <w:t>so</w:t>
      </w:r>
      <w:r w:rsidR="009A7B61">
        <w:rPr>
          <w:rFonts w:ascii="Arial" w:hAnsi="Arial" w:cs="Arial"/>
          <w:sz w:val="24"/>
          <w:szCs w:val="24"/>
        </w:rPr>
        <w:t xml:space="preserve"> </w:t>
      </w:r>
      <w:r w:rsidR="007651EE">
        <w:rPr>
          <w:rFonts w:ascii="Arial" w:hAnsi="Arial" w:cs="Arial"/>
          <w:sz w:val="24"/>
          <w:szCs w:val="24"/>
        </w:rPr>
        <w:t xml:space="preserve">that </w:t>
      </w:r>
      <w:r w:rsidR="00425B75">
        <w:rPr>
          <w:rFonts w:ascii="Arial" w:hAnsi="Arial" w:cs="Arial"/>
          <w:sz w:val="24"/>
          <w:szCs w:val="24"/>
        </w:rPr>
        <w:t xml:space="preserve">it will be unfeasible to determine aprioristically whether a submission </w:t>
      </w:r>
      <w:r w:rsidR="007651EE">
        <w:rPr>
          <w:rFonts w:ascii="Arial" w:hAnsi="Arial" w:cs="Arial"/>
          <w:sz w:val="24"/>
          <w:szCs w:val="24"/>
        </w:rPr>
        <w:t>will be</w:t>
      </w:r>
      <w:r w:rsidR="00425B75">
        <w:rPr>
          <w:rFonts w:ascii="Arial" w:hAnsi="Arial" w:cs="Arial"/>
          <w:sz w:val="24"/>
          <w:szCs w:val="24"/>
        </w:rPr>
        <w:t xml:space="preserve"> fully correct or not.</w:t>
      </w:r>
      <w:r w:rsidR="007651EE">
        <w:rPr>
          <w:rFonts w:ascii="Arial" w:hAnsi="Arial" w:cs="Arial"/>
          <w:sz w:val="24"/>
          <w:szCs w:val="24"/>
        </w:rPr>
        <w:t xml:space="preserve"> </w:t>
      </w:r>
      <w:r w:rsidR="007651EE" w:rsidRPr="007651EE">
        <w:rPr>
          <w:rFonts w:ascii="Arial" w:hAnsi="Arial" w:cs="Arial"/>
          <w:sz w:val="24"/>
          <w:szCs w:val="24"/>
        </w:rPr>
        <w:t xml:space="preserve">To this end, the approach taken at the ECB is to consider valid a submission without </w:t>
      </w:r>
      <w:r w:rsidR="00693BC5">
        <w:rPr>
          <w:rFonts w:ascii="Arial" w:hAnsi="Arial" w:cs="Arial"/>
          <w:sz w:val="24"/>
          <w:szCs w:val="24"/>
        </w:rPr>
        <w:t xml:space="preserve">failing </w:t>
      </w:r>
      <w:r w:rsidR="007651EE" w:rsidRPr="007651EE">
        <w:rPr>
          <w:rFonts w:ascii="Arial" w:hAnsi="Arial" w:cs="Arial"/>
          <w:sz w:val="24"/>
          <w:szCs w:val="24"/>
        </w:rPr>
        <w:t xml:space="preserve">hard </w:t>
      </w:r>
      <w:r w:rsidR="00790A2B">
        <w:rPr>
          <w:rFonts w:ascii="Arial" w:hAnsi="Arial" w:cs="Arial"/>
          <w:sz w:val="24"/>
          <w:szCs w:val="24"/>
        </w:rPr>
        <w:t>rules</w:t>
      </w:r>
      <w:r w:rsidR="007651EE" w:rsidRPr="007651EE">
        <w:rPr>
          <w:rFonts w:ascii="Arial" w:hAnsi="Arial" w:cs="Arial"/>
          <w:sz w:val="24"/>
          <w:szCs w:val="24"/>
        </w:rPr>
        <w:t xml:space="preserve">, </w:t>
      </w:r>
      <w:r w:rsidR="000A4FC6">
        <w:rPr>
          <w:rFonts w:ascii="Arial" w:hAnsi="Arial" w:cs="Arial"/>
          <w:sz w:val="24"/>
          <w:szCs w:val="24"/>
        </w:rPr>
        <w:t xml:space="preserve">implicitly </w:t>
      </w:r>
      <w:r w:rsidR="007651EE" w:rsidRPr="007651EE">
        <w:rPr>
          <w:rFonts w:ascii="Arial" w:hAnsi="Arial" w:cs="Arial"/>
          <w:sz w:val="24"/>
          <w:szCs w:val="24"/>
        </w:rPr>
        <w:t xml:space="preserve">deemed of a quality </w:t>
      </w:r>
      <w:r w:rsidR="006D1F1D">
        <w:rPr>
          <w:rFonts w:ascii="Arial" w:hAnsi="Arial" w:cs="Arial"/>
          <w:sz w:val="24"/>
          <w:szCs w:val="24"/>
        </w:rPr>
        <w:t xml:space="preserve">level sufficient </w:t>
      </w:r>
      <w:r w:rsidR="007651EE" w:rsidRPr="007651EE">
        <w:rPr>
          <w:rFonts w:ascii="Arial" w:hAnsi="Arial" w:cs="Arial"/>
          <w:sz w:val="24"/>
          <w:szCs w:val="24"/>
        </w:rPr>
        <w:t xml:space="preserve">to take unbiased supervisory decisions. Further analyses based on soft </w:t>
      </w:r>
      <w:r w:rsidR="00790A2B">
        <w:rPr>
          <w:rFonts w:ascii="Arial" w:hAnsi="Arial" w:cs="Arial"/>
          <w:sz w:val="24"/>
          <w:szCs w:val="24"/>
        </w:rPr>
        <w:t>rules</w:t>
      </w:r>
      <w:r w:rsidR="00790A2B" w:rsidRPr="007651EE">
        <w:rPr>
          <w:rFonts w:ascii="Arial" w:hAnsi="Arial" w:cs="Arial"/>
          <w:sz w:val="24"/>
          <w:szCs w:val="24"/>
        </w:rPr>
        <w:t xml:space="preserve"> </w:t>
      </w:r>
      <w:r w:rsidR="007651EE" w:rsidRPr="007651EE">
        <w:rPr>
          <w:rFonts w:ascii="Arial" w:hAnsi="Arial" w:cs="Arial"/>
          <w:sz w:val="24"/>
          <w:szCs w:val="24"/>
        </w:rPr>
        <w:t>are usually left to a later stage.</w:t>
      </w:r>
    </w:p>
    <w:p w:rsidR="00043537" w:rsidRDefault="00476019" w:rsidP="000C07F3">
      <w:pPr>
        <w:spacing w:before="120" w:after="0" w:line="360" w:lineRule="auto"/>
        <w:jc w:val="both"/>
        <w:rPr>
          <w:rFonts w:ascii="Arial" w:hAnsi="Arial" w:cs="Arial"/>
          <w:sz w:val="24"/>
          <w:szCs w:val="24"/>
        </w:rPr>
      </w:pPr>
      <w:r>
        <w:rPr>
          <w:rFonts w:ascii="Arial" w:hAnsi="Arial" w:cs="Arial"/>
          <w:sz w:val="24"/>
          <w:szCs w:val="24"/>
        </w:rPr>
        <w:t xml:space="preserve">This </w:t>
      </w:r>
      <w:r w:rsidR="006D1F1D">
        <w:rPr>
          <w:rFonts w:ascii="Arial" w:hAnsi="Arial" w:cs="Arial"/>
          <w:sz w:val="24"/>
          <w:szCs w:val="24"/>
        </w:rPr>
        <w:t>balance</w:t>
      </w:r>
      <w:r>
        <w:rPr>
          <w:rFonts w:ascii="Arial" w:hAnsi="Arial" w:cs="Arial"/>
          <w:sz w:val="24"/>
          <w:szCs w:val="24"/>
        </w:rPr>
        <w:t xml:space="preserve"> between accuracy and timeliness of information is </w:t>
      </w:r>
      <w:r w:rsidR="006D1F1D">
        <w:rPr>
          <w:rFonts w:ascii="Arial" w:hAnsi="Arial" w:cs="Arial"/>
          <w:sz w:val="24"/>
          <w:szCs w:val="24"/>
        </w:rPr>
        <w:t>enhanced</w:t>
      </w:r>
      <w:r>
        <w:rPr>
          <w:rFonts w:ascii="Arial" w:hAnsi="Arial" w:cs="Arial"/>
          <w:sz w:val="24"/>
          <w:szCs w:val="24"/>
        </w:rPr>
        <w:t xml:space="preserve"> by </w:t>
      </w:r>
      <w:r w:rsidR="007651EE">
        <w:rPr>
          <w:rFonts w:ascii="Arial" w:hAnsi="Arial" w:cs="Arial"/>
          <w:sz w:val="24"/>
          <w:szCs w:val="24"/>
        </w:rPr>
        <w:t>a</w:t>
      </w:r>
      <w:r>
        <w:rPr>
          <w:rFonts w:ascii="Arial" w:hAnsi="Arial" w:cs="Arial"/>
          <w:sz w:val="24"/>
          <w:szCs w:val="24"/>
        </w:rPr>
        <w:t xml:space="preserve"> continuous definition and application of </w:t>
      </w:r>
      <w:r w:rsidR="00367641">
        <w:rPr>
          <w:rFonts w:ascii="Arial" w:hAnsi="Arial" w:cs="Arial"/>
          <w:sz w:val="24"/>
          <w:szCs w:val="24"/>
        </w:rPr>
        <w:t xml:space="preserve">new </w:t>
      </w:r>
      <w:r>
        <w:rPr>
          <w:rFonts w:ascii="Arial" w:hAnsi="Arial" w:cs="Arial"/>
          <w:sz w:val="24"/>
          <w:szCs w:val="24"/>
        </w:rPr>
        <w:t xml:space="preserve">validation rules. </w:t>
      </w:r>
      <w:r w:rsidR="003C3747">
        <w:rPr>
          <w:rFonts w:ascii="Arial" w:hAnsi="Arial" w:cs="Arial"/>
          <w:sz w:val="24"/>
          <w:szCs w:val="24"/>
        </w:rPr>
        <w:t>While the bulk of validation rules are defined by the EBA, the ECB strives to cover additional parts of the reporting templates with new rules</w:t>
      </w:r>
      <w:r w:rsidR="004B2432">
        <w:rPr>
          <w:rFonts w:ascii="Arial" w:hAnsi="Arial" w:cs="Arial"/>
          <w:sz w:val="24"/>
          <w:szCs w:val="24"/>
        </w:rPr>
        <w:t>, developed in collaboration with the NCAs</w:t>
      </w:r>
      <w:r w:rsidR="003C3747">
        <w:rPr>
          <w:rFonts w:ascii="Arial" w:hAnsi="Arial" w:cs="Arial"/>
          <w:sz w:val="24"/>
          <w:szCs w:val="24"/>
        </w:rPr>
        <w:t xml:space="preserve"> in response to specifically identified issues</w:t>
      </w:r>
      <w:r w:rsidR="004B2432">
        <w:rPr>
          <w:rFonts w:ascii="Arial" w:hAnsi="Arial" w:cs="Arial"/>
          <w:sz w:val="24"/>
          <w:szCs w:val="24"/>
        </w:rPr>
        <w:t>,</w:t>
      </w:r>
      <w:r w:rsidR="003C3747">
        <w:rPr>
          <w:rFonts w:ascii="Arial" w:hAnsi="Arial" w:cs="Arial"/>
          <w:sz w:val="24"/>
          <w:szCs w:val="24"/>
        </w:rPr>
        <w:t xml:space="preserve"> or to reflect supervisory priorities. This process has been shown to be effective</w:t>
      </w:r>
      <w:r w:rsidR="004B2432">
        <w:rPr>
          <w:rFonts w:ascii="Arial" w:hAnsi="Arial" w:cs="Arial"/>
          <w:sz w:val="24"/>
          <w:szCs w:val="24"/>
        </w:rPr>
        <w:t xml:space="preserve"> in bringing gr</w:t>
      </w:r>
      <w:r w:rsidR="001B0D79">
        <w:rPr>
          <w:rFonts w:ascii="Arial" w:hAnsi="Arial" w:cs="Arial"/>
          <w:sz w:val="24"/>
          <w:szCs w:val="24"/>
        </w:rPr>
        <w:t>a</w:t>
      </w:r>
      <w:r w:rsidR="00043537">
        <w:rPr>
          <w:rFonts w:ascii="Arial" w:hAnsi="Arial" w:cs="Arial"/>
          <w:sz w:val="24"/>
          <w:szCs w:val="24"/>
        </w:rPr>
        <w:t>dual data quality improvements.</w:t>
      </w:r>
    </w:p>
    <w:p w:rsidR="004B2432" w:rsidRDefault="007651EE" w:rsidP="000C07F3">
      <w:pPr>
        <w:spacing w:before="120" w:after="0" w:line="360" w:lineRule="auto"/>
        <w:jc w:val="both"/>
        <w:rPr>
          <w:rFonts w:ascii="Arial" w:hAnsi="Arial" w:cs="Arial"/>
          <w:sz w:val="24"/>
          <w:szCs w:val="24"/>
        </w:rPr>
      </w:pPr>
      <w:r>
        <w:rPr>
          <w:rFonts w:ascii="Arial" w:hAnsi="Arial" w:cs="Arial"/>
          <w:sz w:val="24"/>
          <w:szCs w:val="24"/>
        </w:rPr>
        <w:t>Finally, t</w:t>
      </w:r>
      <w:r w:rsidR="004B2432">
        <w:rPr>
          <w:rFonts w:ascii="Arial" w:hAnsi="Arial" w:cs="Arial"/>
          <w:sz w:val="24"/>
          <w:szCs w:val="24"/>
        </w:rPr>
        <w:t xml:space="preserve">he </w:t>
      </w:r>
      <w:r w:rsidR="004B2432" w:rsidRPr="00043537">
        <w:rPr>
          <w:rFonts w:ascii="Arial" w:hAnsi="Arial" w:cs="Arial"/>
          <w:i/>
          <w:sz w:val="24"/>
          <w:szCs w:val="24"/>
        </w:rPr>
        <w:t>plausibility</w:t>
      </w:r>
      <w:r w:rsidR="004B2432">
        <w:rPr>
          <w:rFonts w:ascii="Arial" w:hAnsi="Arial" w:cs="Arial"/>
          <w:sz w:val="24"/>
          <w:szCs w:val="24"/>
        </w:rPr>
        <w:t xml:space="preserve"> analysis, </w:t>
      </w:r>
      <w:r w:rsidR="0099418F">
        <w:rPr>
          <w:rFonts w:ascii="Arial" w:hAnsi="Arial" w:cs="Arial"/>
          <w:sz w:val="24"/>
          <w:szCs w:val="24"/>
        </w:rPr>
        <w:t xml:space="preserve">intended as the process to </w:t>
      </w:r>
      <w:r w:rsidR="0099418F" w:rsidRPr="0099418F">
        <w:rPr>
          <w:rFonts w:ascii="Arial" w:hAnsi="Arial" w:cs="Arial"/>
          <w:sz w:val="24"/>
          <w:szCs w:val="24"/>
        </w:rPr>
        <w:t>detect outliers in the</w:t>
      </w:r>
      <w:r w:rsidR="0099418F">
        <w:rPr>
          <w:rFonts w:ascii="Arial" w:hAnsi="Arial" w:cs="Arial"/>
          <w:sz w:val="24"/>
          <w:szCs w:val="24"/>
        </w:rPr>
        <w:t xml:space="preserve"> </w:t>
      </w:r>
      <w:r w:rsidR="0099418F" w:rsidRPr="0099418F">
        <w:rPr>
          <w:rFonts w:ascii="Arial" w:hAnsi="Arial" w:cs="Arial"/>
          <w:sz w:val="24"/>
          <w:szCs w:val="24"/>
        </w:rPr>
        <w:t>reported data</w:t>
      </w:r>
      <w:r w:rsidR="003B7CFC">
        <w:rPr>
          <w:rStyle w:val="FootnoteReference"/>
          <w:rFonts w:ascii="Arial" w:hAnsi="Arial" w:cs="Arial"/>
          <w:sz w:val="24"/>
          <w:szCs w:val="24"/>
        </w:rPr>
        <w:footnoteReference w:id="6"/>
      </w:r>
      <w:r w:rsidR="0099418F">
        <w:rPr>
          <w:rFonts w:ascii="Arial" w:hAnsi="Arial" w:cs="Arial"/>
          <w:sz w:val="24"/>
          <w:szCs w:val="24"/>
        </w:rPr>
        <w:t xml:space="preserve">, </w:t>
      </w:r>
      <w:r w:rsidR="004B2432">
        <w:rPr>
          <w:rFonts w:ascii="Arial" w:hAnsi="Arial" w:cs="Arial"/>
          <w:sz w:val="24"/>
          <w:szCs w:val="24"/>
        </w:rPr>
        <w:t xml:space="preserve">can </w:t>
      </w:r>
      <w:r w:rsidR="0099418F">
        <w:rPr>
          <w:rFonts w:ascii="Arial" w:hAnsi="Arial" w:cs="Arial"/>
          <w:sz w:val="24"/>
          <w:szCs w:val="24"/>
        </w:rPr>
        <w:t xml:space="preserve">also </w:t>
      </w:r>
      <w:r w:rsidR="004B2432">
        <w:rPr>
          <w:rFonts w:ascii="Arial" w:hAnsi="Arial" w:cs="Arial"/>
          <w:sz w:val="24"/>
          <w:szCs w:val="24"/>
        </w:rPr>
        <w:t>be conceptually associated with the soft validation rul</w:t>
      </w:r>
      <w:r w:rsidR="0099418F">
        <w:rPr>
          <w:rFonts w:ascii="Arial" w:hAnsi="Arial" w:cs="Arial"/>
          <w:sz w:val="24"/>
          <w:szCs w:val="24"/>
        </w:rPr>
        <w:t>es.</w:t>
      </w:r>
      <w:r w:rsidR="004B2432">
        <w:rPr>
          <w:rFonts w:ascii="Arial" w:hAnsi="Arial" w:cs="Arial"/>
          <w:sz w:val="24"/>
          <w:szCs w:val="24"/>
        </w:rPr>
        <w:t xml:space="preserve"> </w:t>
      </w:r>
      <w:r w:rsidR="0099418F">
        <w:rPr>
          <w:rFonts w:ascii="Arial" w:hAnsi="Arial" w:cs="Arial"/>
          <w:sz w:val="24"/>
          <w:szCs w:val="24"/>
        </w:rPr>
        <w:t xml:space="preserve">It </w:t>
      </w:r>
      <w:r w:rsidR="004B2432">
        <w:rPr>
          <w:rFonts w:ascii="Arial" w:hAnsi="Arial" w:cs="Arial"/>
          <w:sz w:val="24"/>
          <w:szCs w:val="24"/>
        </w:rPr>
        <w:t xml:space="preserve">is an important piece of the data quality puzzle, </w:t>
      </w:r>
      <w:r w:rsidR="00DD4844">
        <w:rPr>
          <w:rFonts w:ascii="Arial" w:hAnsi="Arial" w:cs="Arial"/>
          <w:sz w:val="24"/>
          <w:szCs w:val="24"/>
        </w:rPr>
        <w:t>with the potential</w:t>
      </w:r>
      <w:r w:rsidR="0099418F">
        <w:rPr>
          <w:rFonts w:ascii="Arial" w:hAnsi="Arial" w:cs="Arial"/>
          <w:sz w:val="24"/>
          <w:szCs w:val="24"/>
        </w:rPr>
        <w:t xml:space="preserve"> to </w:t>
      </w:r>
      <w:r w:rsidR="00CE33E8">
        <w:rPr>
          <w:rFonts w:ascii="Arial" w:hAnsi="Arial" w:cs="Arial"/>
          <w:sz w:val="24"/>
          <w:szCs w:val="24"/>
        </w:rPr>
        <w:t xml:space="preserve">provide </w:t>
      </w:r>
      <w:r w:rsidR="0091013B">
        <w:rPr>
          <w:rFonts w:ascii="Arial" w:hAnsi="Arial" w:cs="Arial"/>
          <w:sz w:val="24"/>
          <w:szCs w:val="24"/>
        </w:rPr>
        <w:t>additional</w:t>
      </w:r>
      <w:r w:rsidR="00CE33E8">
        <w:rPr>
          <w:rFonts w:ascii="Arial" w:hAnsi="Arial" w:cs="Arial"/>
          <w:sz w:val="24"/>
          <w:szCs w:val="24"/>
        </w:rPr>
        <w:t xml:space="preserve"> actionable findings</w:t>
      </w:r>
      <w:r w:rsidR="00DD4844">
        <w:rPr>
          <w:rFonts w:ascii="Arial" w:hAnsi="Arial" w:cs="Arial"/>
          <w:sz w:val="24"/>
          <w:szCs w:val="24"/>
        </w:rPr>
        <w:t xml:space="preserve"> and</w:t>
      </w:r>
      <w:r w:rsidR="0091013B">
        <w:rPr>
          <w:rFonts w:ascii="Arial" w:hAnsi="Arial" w:cs="Arial"/>
          <w:sz w:val="24"/>
          <w:szCs w:val="24"/>
        </w:rPr>
        <w:t xml:space="preserve"> </w:t>
      </w:r>
      <w:r w:rsidR="004B2432">
        <w:rPr>
          <w:rFonts w:ascii="Arial" w:hAnsi="Arial" w:cs="Arial"/>
          <w:sz w:val="24"/>
          <w:szCs w:val="24"/>
        </w:rPr>
        <w:t xml:space="preserve">help </w:t>
      </w:r>
      <w:r w:rsidR="0089550E">
        <w:rPr>
          <w:rFonts w:ascii="Arial" w:hAnsi="Arial" w:cs="Arial"/>
          <w:sz w:val="24"/>
          <w:szCs w:val="24"/>
        </w:rPr>
        <w:t xml:space="preserve">supervisors </w:t>
      </w:r>
      <w:r w:rsidR="0099418F">
        <w:rPr>
          <w:rFonts w:ascii="Arial" w:hAnsi="Arial" w:cs="Arial"/>
          <w:sz w:val="24"/>
          <w:szCs w:val="24"/>
        </w:rPr>
        <w:t xml:space="preserve">investigate and </w:t>
      </w:r>
      <w:r w:rsidR="0089550E">
        <w:rPr>
          <w:rFonts w:ascii="Arial" w:hAnsi="Arial" w:cs="Arial"/>
          <w:sz w:val="24"/>
          <w:szCs w:val="24"/>
        </w:rPr>
        <w:t>better understand the reason</w:t>
      </w:r>
      <w:r w:rsidR="0091013B">
        <w:rPr>
          <w:rFonts w:ascii="Arial" w:hAnsi="Arial" w:cs="Arial"/>
          <w:sz w:val="24"/>
          <w:szCs w:val="24"/>
        </w:rPr>
        <w:t>s</w:t>
      </w:r>
      <w:r w:rsidR="0089550E">
        <w:rPr>
          <w:rFonts w:ascii="Arial" w:hAnsi="Arial" w:cs="Arial"/>
          <w:sz w:val="24"/>
          <w:szCs w:val="24"/>
        </w:rPr>
        <w:t xml:space="preserve"> for large variations observed in the data.</w:t>
      </w:r>
    </w:p>
    <w:p w:rsidR="001B0D79" w:rsidRPr="00811D37" w:rsidRDefault="001B0D79" w:rsidP="0067521F">
      <w:pPr>
        <w:spacing w:before="360" w:after="0" w:line="360" w:lineRule="auto"/>
        <w:jc w:val="both"/>
        <w:rPr>
          <w:rFonts w:ascii="Arial" w:hAnsi="Arial" w:cs="Arial"/>
          <w:i/>
          <w:sz w:val="24"/>
          <w:szCs w:val="24"/>
        </w:rPr>
      </w:pPr>
      <w:r w:rsidRPr="00811D37">
        <w:rPr>
          <w:rFonts w:ascii="Arial" w:hAnsi="Arial" w:cs="Arial"/>
          <w:i/>
          <w:sz w:val="24"/>
          <w:szCs w:val="24"/>
        </w:rPr>
        <w:t xml:space="preserve">2.2 </w:t>
      </w:r>
      <w:r w:rsidR="008576D2">
        <w:rPr>
          <w:rFonts w:ascii="Arial" w:hAnsi="Arial" w:cs="Arial"/>
          <w:i/>
          <w:sz w:val="24"/>
          <w:szCs w:val="24"/>
        </w:rPr>
        <w:t xml:space="preserve">Assessing the quality of the </w:t>
      </w:r>
      <w:r w:rsidR="009C7B05">
        <w:rPr>
          <w:rFonts w:ascii="Arial" w:hAnsi="Arial" w:cs="Arial"/>
          <w:i/>
          <w:sz w:val="24"/>
          <w:szCs w:val="24"/>
        </w:rPr>
        <w:t xml:space="preserve">reporting </w:t>
      </w:r>
      <w:r w:rsidR="008576D2">
        <w:rPr>
          <w:rFonts w:ascii="Arial" w:hAnsi="Arial" w:cs="Arial"/>
          <w:i/>
          <w:sz w:val="24"/>
          <w:szCs w:val="24"/>
        </w:rPr>
        <w:t>process</w:t>
      </w:r>
      <w:r w:rsidRPr="00811D37">
        <w:rPr>
          <w:rFonts w:ascii="Arial" w:hAnsi="Arial" w:cs="Arial"/>
          <w:i/>
          <w:sz w:val="24"/>
          <w:szCs w:val="24"/>
        </w:rPr>
        <w:t xml:space="preserve">: </w:t>
      </w:r>
      <w:r w:rsidR="00CE33E8" w:rsidRPr="00811D37">
        <w:rPr>
          <w:rFonts w:ascii="Arial" w:hAnsi="Arial" w:cs="Arial"/>
          <w:i/>
          <w:sz w:val="24"/>
          <w:szCs w:val="24"/>
        </w:rPr>
        <w:t xml:space="preserve">punctuality and </w:t>
      </w:r>
      <w:r w:rsidR="00697C64">
        <w:rPr>
          <w:rFonts w:ascii="Arial" w:hAnsi="Arial" w:cs="Arial"/>
          <w:i/>
          <w:sz w:val="24"/>
          <w:szCs w:val="24"/>
        </w:rPr>
        <w:t>reliability</w:t>
      </w:r>
    </w:p>
    <w:p w:rsidR="001563CC" w:rsidRDefault="008576D2" w:rsidP="000C07F3">
      <w:pPr>
        <w:spacing w:before="120" w:after="0" w:line="360" w:lineRule="auto"/>
        <w:jc w:val="both"/>
        <w:rPr>
          <w:rFonts w:ascii="Arial" w:hAnsi="Arial" w:cs="Arial"/>
          <w:sz w:val="24"/>
          <w:szCs w:val="24"/>
        </w:rPr>
      </w:pPr>
      <w:r>
        <w:rPr>
          <w:rFonts w:ascii="Arial" w:hAnsi="Arial" w:cs="Arial"/>
          <w:sz w:val="24"/>
          <w:szCs w:val="24"/>
        </w:rPr>
        <w:t>Compared</w:t>
      </w:r>
      <w:r w:rsidR="00CE33E8">
        <w:rPr>
          <w:rFonts w:ascii="Arial" w:hAnsi="Arial" w:cs="Arial"/>
          <w:sz w:val="24"/>
          <w:szCs w:val="24"/>
        </w:rPr>
        <w:t xml:space="preserve"> with the dimensions of analysis described in the previous section, punctuality and </w:t>
      </w:r>
      <w:r w:rsidR="00697C64">
        <w:rPr>
          <w:rFonts w:ascii="Arial" w:hAnsi="Arial" w:cs="Arial"/>
          <w:sz w:val="24"/>
          <w:szCs w:val="24"/>
        </w:rPr>
        <w:t xml:space="preserve">reliability </w:t>
      </w:r>
      <w:r w:rsidR="001563CC">
        <w:rPr>
          <w:rFonts w:ascii="Arial" w:hAnsi="Arial" w:cs="Arial"/>
          <w:sz w:val="24"/>
          <w:szCs w:val="24"/>
        </w:rPr>
        <w:t>provide indications on how the reporting process unfolded</w:t>
      </w:r>
      <w:r w:rsidR="0091013B">
        <w:rPr>
          <w:rFonts w:ascii="Arial" w:hAnsi="Arial" w:cs="Arial"/>
          <w:sz w:val="24"/>
          <w:szCs w:val="24"/>
        </w:rPr>
        <w:t xml:space="preserve">, </w:t>
      </w:r>
      <w:r w:rsidR="00550A14">
        <w:rPr>
          <w:rFonts w:ascii="Arial" w:hAnsi="Arial" w:cs="Arial"/>
          <w:sz w:val="24"/>
          <w:szCs w:val="24"/>
        </w:rPr>
        <w:t>without giving</w:t>
      </w:r>
      <w:r w:rsidR="001563CC">
        <w:rPr>
          <w:rFonts w:ascii="Arial" w:hAnsi="Arial" w:cs="Arial"/>
          <w:sz w:val="24"/>
          <w:szCs w:val="24"/>
        </w:rPr>
        <w:t xml:space="preserve"> a point-in-time evaluation of the available data</w:t>
      </w:r>
      <w:r w:rsidR="0091013B">
        <w:rPr>
          <w:rFonts w:ascii="Arial" w:hAnsi="Arial" w:cs="Arial"/>
          <w:sz w:val="24"/>
          <w:szCs w:val="24"/>
        </w:rPr>
        <w:t>.</w:t>
      </w:r>
      <w:r w:rsidR="005855D8">
        <w:rPr>
          <w:rFonts w:ascii="Arial" w:hAnsi="Arial" w:cs="Arial"/>
          <w:sz w:val="24"/>
          <w:szCs w:val="24"/>
        </w:rPr>
        <w:t xml:space="preserve"> </w:t>
      </w:r>
      <w:r w:rsidR="001563CC" w:rsidRPr="00043537">
        <w:rPr>
          <w:rFonts w:ascii="Arial" w:hAnsi="Arial" w:cs="Arial"/>
          <w:i/>
          <w:sz w:val="24"/>
          <w:szCs w:val="24"/>
        </w:rPr>
        <w:t>Punctuality</w:t>
      </w:r>
      <w:r w:rsidR="001563CC">
        <w:rPr>
          <w:rFonts w:ascii="Arial" w:hAnsi="Arial" w:cs="Arial"/>
          <w:sz w:val="24"/>
          <w:szCs w:val="24"/>
        </w:rPr>
        <w:t xml:space="preserve"> means that the reporting was submitted </w:t>
      </w:r>
      <w:r w:rsidR="00DE0A9F">
        <w:rPr>
          <w:rFonts w:ascii="Arial" w:hAnsi="Arial" w:cs="Arial"/>
          <w:sz w:val="24"/>
          <w:szCs w:val="24"/>
        </w:rPr>
        <w:t xml:space="preserve">by the supervised entity to its supervisor </w:t>
      </w:r>
      <w:r w:rsidR="001563CC">
        <w:rPr>
          <w:rFonts w:ascii="Arial" w:hAnsi="Arial" w:cs="Arial"/>
          <w:sz w:val="24"/>
          <w:szCs w:val="24"/>
        </w:rPr>
        <w:t xml:space="preserve">within the prescribed remittance dates. There are only slight variations in the ways punctuality can be measured: it can be verified whether all data </w:t>
      </w:r>
      <w:r w:rsidR="005B761F">
        <w:rPr>
          <w:rFonts w:ascii="Arial" w:hAnsi="Arial" w:cs="Arial"/>
          <w:sz w:val="24"/>
          <w:szCs w:val="24"/>
        </w:rPr>
        <w:t xml:space="preserve">were </w:t>
      </w:r>
      <w:r w:rsidR="001563CC">
        <w:rPr>
          <w:rFonts w:ascii="Arial" w:hAnsi="Arial" w:cs="Arial"/>
          <w:sz w:val="24"/>
          <w:szCs w:val="24"/>
        </w:rPr>
        <w:t xml:space="preserve">available at the remittance date, or whether all data </w:t>
      </w:r>
      <w:r w:rsidR="001563CC" w:rsidRPr="001563CC">
        <w:rPr>
          <w:rFonts w:ascii="Arial" w:hAnsi="Arial" w:cs="Arial"/>
          <w:i/>
          <w:sz w:val="24"/>
          <w:szCs w:val="24"/>
        </w:rPr>
        <w:t>without errors</w:t>
      </w:r>
      <w:r w:rsidR="001563CC">
        <w:rPr>
          <w:rFonts w:ascii="Arial" w:hAnsi="Arial" w:cs="Arial"/>
          <w:sz w:val="24"/>
          <w:szCs w:val="24"/>
        </w:rPr>
        <w:t xml:space="preserve"> </w:t>
      </w:r>
      <w:r w:rsidR="005B761F">
        <w:rPr>
          <w:rFonts w:ascii="Arial" w:hAnsi="Arial" w:cs="Arial"/>
          <w:sz w:val="24"/>
          <w:szCs w:val="24"/>
        </w:rPr>
        <w:t xml:space="preserve">were </w:t>
      </w:r>
      <w:r w:rsidR="001563CC">
        <w:rPr>
          <w:rFonts w:ascii="Arial" w:hAnsi="Arial" w:cs="Arial"/>
          <w:sz w:val="24"/>
          <w:szCs w:val="24"/>
        </w:rPr>
        <w:t xml:space="preserve">available at the remittance date, or how many days of delays passed until all data, or all data without errors, </w:t>
      </w:r>
      <w:r w:rsidR="007B7C9B">
        <w:rPr>
          <w:rFonts w:ascii="Arial" w:hAnsi="Arial" w:cs="Arial"/>
          <w:sz w:val="24"/>
          <w:szCs w:val="24"/>
        </w:rPr>
        <w:t xml:space="preserve">were </w:t>
      </w:r>
      <w:r w:rsidR="001563CC">
        <w:rPr>
          <w:rFonts w:ascii="Arial" w:hAnsi="Arial" w:cs="Arial"/>
          <w:sz w:val="24"/>
          <w:szCs w:val="24"/>
        </w:rPr>
        <w:t>made available</w:t>
      </w:r>
      <w:r w:rsidR="00FD6862">
        <w:rPr>
          <w:rStyle w:val="FootnoteReference"/>
          <w:rFonts w:ascii="Arial" w:hAnsi="Arial" w:cs="Arial"/>
          <w:sz w:val="24"/>
          <w:szCs w:val="24"/>
        </w:rPr>
        <w:footnoteReference w:id="7"/>
      </w:r>
      <w:r w:rsidR="001563CC">
        <w:rPr>
          <w:rFonts w:ascii="Arial" w:hAnsi="Arial" w:cs="Arial"/>
          <w:sz w:val="24"/>
          <w:szCs w:val="24"/>
        </w:rPr>
        <w:t>.</w:t>
      </w:r>
    </w:p>
    <w:p w:rsidR="001563CC" w:rsidRDefault="00697C64" w:rsidP="000C07F3">
      <w:pPr>
        <w:spacing w:before="120" w:after="0" w:line="360" w:lineRule="auto"/>
        <w:jc w:val="both"/>
        <w:rPr>
          <w:rFonts w:ascii="Arial" w:hAnsi="Arial" w:cs="Arial"/>
          <w:sz w:val="24"/>
          <w:szCs w:val="24"/>
        </w:rPr>
      </w:pPr>
      <w:r>
        <w:rPr>
          <w:rFonts w:ascii="Arial" w:hAnsi="Arial" w:cs="Arial"/>
          <w:i/>
          <w:sz w:val="24"/>
          <w:szCs w:val="24"/>
        </w:rPr>
        <w:lastRenderedPageBreak/>
        <w:t>Reliability</w:t>
      </w:r>
      <w:r>
        <w:rPr>
          <w:rFonts w:ascii="Arial" w:hAnsi="Arial" w:cs="Arial"/>
          <w:sz w:val="24"/>
          <w:szCs w:val="24"/>
        </w:rPr>
        <w:t xml:space="preserve"> </w:t>
      </w:r>
      <w:r w:rsidR="00811D37">
        <w:rPr>
          <w:rFonts w:ascii="Arial" w:hAnsi="Arial" w:cs="Arial"/>
          <w:sz w:val="24"/>
          <w:szCs w:val="24"/>
        </w:rPr>
        <w:t xml:space="preserve">relates </w:t>
      </w:r>
      <w:r w:rsidR="006D1F1D">
        <w:rPr>
          <w:rFonts w:ascii="Arial" w:hAnsi="Arial" w:cs="Arial"/>
          <w:sz w:val="24"/>
          <w:szCs w:val="24"/>
        </w:rPr>
        <w:t xml:space="preserve">instead </w:t>
      </w:r>
      <w:r w:rsidR="00811D37">
        <w:rPr>
          <w:rFonts w:ascii="Arial" w:hAnsi="Arial" w:cs="Arial"/>
          <w:sz w:val="24"/>
          <w:szCs w:val="24"/>
        </w:rPr>
        <w:t xml:space="preserve">to the </w:t>
      </w:r>
      <w:r w:rsidR="009E271C">
        <w:rPr>
          <w:rFonts w:ascii="Arial" w:hAnsi="Arial" w:cs="Arial"/>
          <w:sz w:val="24"/>
          <w:szCs w:val="24"/>
        </w:rPr>
        <w:t xml:space="preserve">principle </w:t>
      </w:r>
      <w:r w:rsidR="00811D37">
        <w:rPr>
          <w:rFonts w:ascii="Arial" w:hAnsi="Arial" w:cs="Arial"/>
          <w:sz w:val="24"/>
          <w:szCs w:val="24"/>
        </w:rPr>
        <w:t xml:space="preserve">that values </w:t>
      </w:r>
      <w:r w:rsidR="009E271C">
        <w:rPr>
          <w:rFonts w:ascii="Arial" w:hAnsi="Arial" w:cs="Arial"/>
          <w:sz w:val="24"/>
          <w:szCs w:val="24"/>
        </w:rPr>
        <w:t xml:space="preserve">should not be </w:t>
      </w:r>
      <w:r w:rsidR="00811D37">
        <w:rPr>
          <w:rFonts w:ascii="Arial" w:hAnsi="Arial" w:cs="Arial"/>
          <w:sz w:val="24"/>
          <w:szCs w:val="24"/>
        </w:rPr>
        <w:t>significantly revised during a reporting cycle</w:t>
      </w:r>
      <w:r w:rsidR="00811D37">
        <w:rPr>
          <w:rStyle w:val="FootnoteReference"/>
          <w:rFonts w:ascii="Arial" w:hAnsi="Arial" w:cs="Arial"/>
          <w:sz w:val="24"/>
          <w:szCs w:val="24"/>
        </w:rPr>
        <w:footnoteReference w:id="8"/>
      </w:r>
      <w:r w:rsidR="00811D37">
        <w:rPr>
          <w:rFonts w:ascii="Arial" w:hAnsi="Arial" w:cs="Arial"/>
          <w:sz w:val="24"/>
          <w:szCs w:val="24"/>
        </w:rPr>
        <w:t xml:space="preserve">. </w:t>
      </w:r>
      <w:r w:rsidR="009E271C">
        <w:rPr>
          <w:rFonts w:ascii="Arial" w:hAnsi="Arial" w:cs="Arial"/>
          <w:sz w:val="24"/>
          <w:szCs w:val="24"/>
        </w:rPr>
        <w:t>I</w:t>
      </w:r>
      <w:r w:rsidR="00811D37">
        <w:rPr>
          <w:rFonts w:ascii="Arial" w:hAnsi="Arial" w:cs="Arial"/>
          <w:sz w:val="24"/>
          <w:szCs w:val="24"/>
        </w:rPr>
        <w:t xml:space="preserve">n the context of supervisory statistics, we can say that if revisions are such that they </w:t>
      </w:r>
      <w:r w:rsidR="00831A0E">
        <w:rPr>
          <w:rFonts w:ascii="Arial" w:hAnsi="Arial" w:cs="Arial"/>
          <w:sz w:val="24"/>
          <w:szCs w:val="24"/>
        </w:rPr>
        <w:t>have the potential to</w:t>
      </w:r>
      <w:r w:rsidR="00811D37">
        <w:rPr>
          <w:rFonts w:ascii="Arial" w:hAnsi="Arial" w:cs="Arial"/>
          <w:sz w:val="24"/>
          <w:szCs w:val="24"/>
        </w:rPr>
        <w:t xml:space="preserve"> </w:t>
      </w:r>
      <w:r w:rsidR="008576D2">
        <w:rPr>
          <w:rFonts w:ascii="Arial" w:hAnsi="Arial" w:cs="Arial"/>
          <w:sz w:val="24"/>
          <w:szCs w:val="24"/>
        </w:rPr>
        <w:t>change</w:t>
      </w:r>
      <w:r w:rsidR="00811D37">
        <w:rPr>
          <w:rFonts w:ascii="Arial" w:hAnsi="Arial" w:cs="Arial"/>
          <w:sz w:val="24"/>
          <w:szCs w:val="24"/>
        </w:rPr>
        <w:t xml:space="preserve"> the assessment of the bank </w:t>
      </w:r>
      <w:r w:rsidR="008576D2">
        <w:rPr>
          <w:rFonts w:ascii="Arial" w:hAnsi="Arial" w:cs="Arial"/>
          <w:sz w:val="24"/>
          <w:szCs w:val="24"/>
        </w:rPr>
        <w:t>made</w:t>
      </w:r>
      <w:r w:rsidR="00811D37">
        <w:rPr>
          <w:rFonts w:ascii="Arial" w:hAnsi="Arial" w:cs="Arial"/>
          <w:sz w:val="24"/>
          <w:szCs w:val="24"/>
        </w:rPr>
        <w:t xml:space="preserve"> </w:t>
      </w:r>
      <w:r w:rsidR="008576D2">
        <w:rPr>
          <w:rFonts w:ascii="Arial" w:hAnsi="Arial" w:cs="Arial"/>
          <w:sz w:val="24"/>
          <w:szCs w:val="24"/>
        </w:rPr>
        <w:t xml:space="preserve">by </w:t>
      </w:r>
      <w:r w:rsidR="00811D37">
        <w:rPr>
          <w:rFonts w:ascii="Arial" w:hAnsi="Arial" w:cs="Arial"/>
          <w:sz w:val="24"/>
          <w:szCs w:val="24"/>
        </w:rPr>
        <w:t>the supervisor,</w:t>
      </w:r>
      <w:r w:rsidR="008576D2">
        <w:rPr>
          <w:rFonts w:ascii="Arial" w:hAnsi="Arial" w:cs="Arial"/>
          <w:sz w:val="24"/>
          <w:szCs w:val="24"/>
        </w:rPr>
        <w:t xml:space="preserve"> then </w:t>
      </w:r>
      <w:r w:rsidR="009F7F56">
        <w:rPr>
          <w:rFonts w:ascii="Arial" w:hAnsi="Arial" w:cs="Arial"/>
          <w:sz w:val="24"/>
          <w:szCs w:val="24"/>
        </w:rPr>
        <w:t xml:space="preserve">reliability </w:t>
      </w:r>
      <w:r w:rsidR="008576D2">
        <w:rPr>
          <w:rFonts w:ascii="Arial" w:hAnsi="Arial" w:cs="Arial"/>
          <w:sz w:val="24"/>
          <w:szCs w:val="24"/>
        </w:rPr>
        <w:t xml:space="preserve">of the data is an issue. </w:t>
      </w:r>
      <w:r w:rsidR="009C7B05">
        <w:rPr>
          <w:rFonts w:ascii="Arial" w:hAnsi="Arial" w:cs="Arial"/>
          <w:sz w:val="24"/>
          <w:szCs w:val="24"/>
        </w:rPr>
        <w:t xml:space="preserve">Making a detailed assessment </w:t>
      </w:r>
      <w:r w:rsidR="00831A0E">
        <w:rPr>
          <w:rFonts w:ascii="Arial" w:hAnsi="Arial" w:cs="Arial"/>
          <w:sz w:val="24"/>
          <w:szCs w:val="24"/>
        </w:rPr>
        <w:t>of the potential effect of revisions</w:t>
      </w:r>
      <w:r w:rsidR="009C7B05">
        <w:rPr>
          <w:rFonts w:ascii="Arial" w:hAnsi="Arial" w:cs="Arial"/>
          <w:sz w:val="24"/>
          <w:szCs w:val="24"/>
        </w:rPr>
        <w:t xml:space="preserve"> is out of reach for the statistician, nonetheless </w:t>
      </w:r>
      <w:r w:rsidR="00831A0E">
        <w:rPr>
          <w:rFonts w:ascii="Arial" w:hAnsi="Arial" w:cs="Arial"/>
          <w:sz w:val="24"/>
          <w:szCs w:val="24"/>
        </w:rPr>
        <w:t>we believe statisticians</w:t>
      </w:r>
      <w:r w:rsidR="009C7B05">
        <w:rPr>
          <w:rFonts w:ascii="Arial" w:hAnsi="Arial" w:cs="Arial"/>
          <w:sz w:val="24"/>
          <w:szCs w:val="24"/>
        </w:rPr>
        <w:t xml:space="preserve"> can provide a valuable service by highlighting </w:t>
      </w:r>
      <w:r w:rsidR="006D1F1D">
        <w:rPr>
          <w:rFonts w:ascii="Arial" w:hAnsi="Arial" w:cs="Arial"/>
          <w:sz w:val="24"/>
          <w:szCs w:val="24"/>
        </w:rPr>
        <w:t xml:space="preserve">to the supervisors </w:t>
      </w:r>
      <w:r w:rsidR="009C7B05">
        <w:rPr>
          <w:rFonts w:ascii="Arial" w:hAnsi="Arial" w:cs="Arial"/>
          <w:sz w:val="24"/>
          <w:szCs w:val="24"/>
        </w:rPr>
        <w:t>th</w:t>
      </w:r>
      <w:r w:rsidR="006D1F1D">
        <w:rPr>
          <w:rFonts w:ascii="Arial" w:hAnsi="Arial" w:cs="Arial"/>
          <w:sz w:val="24"/>
          <w:szCs w:val="24"/>
        </w:rPr>
        <w:t>ose</w:t>
      </w:r>
      <w:r w:rsidR="009C7B05">
        <w:rPr>
          <w:rFonts w:ascii="Arial" w:hAnsi="Arial" w:cs="Arial"/>
          <w:sz w:val="24"/>
          <w:szCs w:val="24"/>
        </w:rPr>
        <w:t xml:space="preserve"> cases of frequent significant resubmissions</w:t>
      </w:r>
      <w:r w:rsidR="007651EE">
        <w:rPr>
          <w:rFonts w:ascii="Arial" w:hAnsi="Arial" w:cs="Arial"/>
          <w:sz w:val="24"/>
          <w:szCs w:val="24"/>
        </w:rPr>
        <w:t xml:space="preserve"> and investigating their roots</w:t>
      </w:r>
      <w:r w:rsidR="009C7B05">
        <w:rPr>
          <w:rFonts w:ascii="Arial" w:hAnsi="Arial" w:cs="Arial"/>
          <w:sz w:val="24"/>
          <w:szCs w:val="24"/>
        </w:rPr>
        <w:t>.</w:t>
      </w:r>
    </w:p>
    <w:p w:rsidR="00AD72F1" w:rsidRPr="009C7B05" w:rsidRDefault="001B0D79" w:rsidP="0067521F">
      <w:pPr>
        <w:spacing w:before="360" w:after="0" w:line="360" w:lineRule="auto"/>
        <w:jc w:val="both"/>
        <w:rPr>
          <w:rFonts w:ascii="Arial" w:hAnsi="Arial" w:cs="Arial"/>
          <w:i/>
          <w:sz w:val="24"/>
          <w:szCs w:val="24"/>
        </w:rPr>
      </w:pPr>
      <w:r w:rsidRPr="009C7B05">
        <w:rPr>
          <w:rFonts w:ascii="Arial" w:hAnsi="Arial" w:cs="Arial"/>
          <w:i/>
          <w:sz w:val="24"/>
          <w:szCs w:val="24"/>
        </w:rPr>
        <w:t>2.3</w:t>
      </w:r>
      <w:r w:rsidR="0089550E" w:rsidRPr="009C7B05">
        <w:rPr>
          <w:rFonts w:ascii="Arial" w:hAnsi="Arial" w:cs="Arial"/>
          <w:i/>
          <w:sz w:val="24"/>
          <w:szCs w:val="24"/>
        </w:rPr>
        <w:t xml:space="preserve"> The </w:t>
      </w:r>
      <w:r w:rsidR="00BD5EE3" w:rsidRPr="009C7B05">
        <w:rPr>
          <w:rFonts w:ascii="Arial" w:hAnsi="Arial" w:cs="Arial"/>
          <w:i/>
          <w:sz w:val="24"/>
          <w:szCs w:val="24"/>
        </w:rPr>
        <w:t xml:space="preserve">data </w:t>
      </w:r>
      <w:r w:rsidR="0089550E" w:rsidRPr="009C7B05">
        <w:rPr>
          <w:rFonts w:ascii="Arial" w:hAnsi="Arial" w:cs="Arial"/>
          <w:i/>
          <w:sz w:val="24"/>
          <w:szCs w:val="24"/>
        </w:rPr>
        <w:t xml:space="preserve">quality </w:t>
      </w:r>
      <w:r w:rsidR="00BD5EE3" w:rsidRPr="009C7B05">
        <w:rPr>
          <w:rFonts w:ascii="Arial" w:hAnsi="Arial" w:cs="Arial"/>
          <w:i/>
          <w:sz w:val="24"/>
          <w:szCs w:val="24"/>
        </w:rPr>
        <w:t>assessment</w:t>
      </w:r>
      <w:r w:rsidR="0089550E" w:rsidRPr="009C7B05">
        <w:rPr>
          <w:rFonts w:ascii="Arial" w:hAnsi="Arial" w:cs="Arial"/>
          <w:i/>
          <w:sz w:val="24"/>
          <w:szCs w:val="24"/>
        </w:rPr>
        <w:t xml:space="preserve">: </w:t>
      </w:r>
      <w:r w:rsidR="00BD5EE3" w:rsidRPr="009C7B05">
        <w:rPr>
          <w:rFonts w:ascii="Arial" w:hAnsi="Arial" w:cs="Arial"/>
          <w:i/>
          <w:sz w:val="24"/>
          <w:szCs w:val="24"/>
        </w:rPr>
        <w:t>from single findings to an overall measure of data quality.</w:t>
      </w:r>
    </w:p>
    <w:p w:rsidR="007D1707" w:rsidRDefault="007A46CA" w:rsidP="000C07F3">
      <w:pPr>
        <w:spacing w:before="120" w:after="0" w:line="360" w:lineRule="auto"/>
        <w:jc w:val="both"/>
        <w:rPr>
          <w:rFonts w:ascii="Arial" w:hAnsi="Arial" w:cs="Arial"/>
          <w:sz w:val="24"/>
          <w:szCs w:val="24"/>
        </w:rPr>
      </w:pPr>
      <w:r>
        <w:rPr>
          <w:rFonts w:ascii="Arial" w:hAnsi="Arial" w:cs="Arial"/>
          <w:sz w:val="24"/>
          <w:szCs w:val="24"/>
        </w:rPr>
        <w:t>D</w:t>
      </w:r>
      <w:r w:rsidR="007D1707">
        <w:rPr>
          <w:rFonts w:ascii="Arial" w:hAnsi="Arial" w:cs="Arial"/>
          <w:sz w:val="24"/>
          <w:szCs w:val="24"/>
        </w:rPr>
        <w:t xml:space="preserve">ata quality assessment </w:t>
      </w:r>
      <w:r w:rsidR="005451B9">
        <w:rPr>
          <w:rFonts w:ascii="Arial" w:hAnsi="Arial" w:cs="Arial"/>
          <w:sz w:val="24"/>
          <w:szCs w:val="24"/>
        </w:rPr>
        <w:t xml:space="preserve">is </w:t>
      </w:r>
      <w:r w:rsidR="007D1707">
        <w:rPr>
          <w:rFonts w:ascii="Arial" w:hAnsi="Arial" w:cs="Arial"/>
          <w:sz w:val="24"/>
          <w:szCs w:val="24"/>
        </w:rPr>
        <w:t>an integral part of the supervisory evaluation</w:t>
      </w:r>
      <w:r w:rsidR="00584767">
        <w:rPr>
          <w:rFonts w:ascii="Arial" w:hAnsi="Arial" w:cs="Arial"/>
          <w:sz w:val="24"/>
          <w:szCs w:val="24"/>
        </w:rPr>
        <w:t xml:space="preserve"> of </w:t>
      </w:r>
      <w:r w:rsidR="00831A0E">
        <w:rPr>
          <w:rFonts w:ascii="Arial" w:hAnsi="Arial" w:cs="Arial"/>
          <w:sz w:val="24"/>
          <w:szCs w:val="24"/>
        </w:rPr>
        <w:t xml:space="preserve">a </w:t>
      </w:r>
      <w:r w:rsidR="00584767">
        <w:rPr>
          <w:rFonts w:ascii="Arial" w:hAnsi="Arial" w:cs="Arial"/>
          <w:sz w:val="24"/>
          <w:szCs w:val="24"/>
        </w:rPr>
        <w:t>bank</w:t>
      </w:r>
      <w:r w:rsidR="000C07F3">
        <w:rPr>
          <w:rFonts w:ascii="Arial" w:hAnsi="Arial" w:cs="Arial"/>
          <w:sz w:val="24"/>
          <w:szCs w:val="24"/>
        </w:rPr>
        <w:t>.</w:t>
      </w:r>
      <w:r w:rsidR="007D1707">
        <w:rPr>
          <w:rFonts w:ascii="Arial" w:hAnsi="Arial" w:cs="Arial"/>
          <w:sz w:val="24"/>
          <w:szCs w:val="24"/>
        </w:rPr>
        <w:t xml:space="preserve"> As such</w:t>
      </w:r>
      <w:r w:rsidR="000C07F3">
        <w:rPr>
          <w:rFonts w:ascii="Arial" w:hAnsi="Arial" w:cs="Arial"/>
          <w:sz w:val="24"/>
          <w:szCs w:val="24"/>
        </w:rPr>
        <w:t>,</w:t>
      </w:r>
      <w:r w:rsidR="007D1707">
        <w:rPr>
          <w:rFonts w:ascii="Arial" w:hAnsi="Arial" w:cs="Arial"/>
          <w:sz w:val="24"/>
          <w:szCs w:val="24"/>
        </w:rPr>
        <w:t xml:space="preserve"> it is crucial that information on data quality is </w:t>
      </w:r>
      <w:r w:rsidR="000C07F3">
        <w:rPr>
          <w:rFonts w:ascii="Arial" w:hAnsi="Arial" w:cs="Arial"/>
          <w:sz w:val="24"/>
          <w:szCs w:val="24"/>
        </w:rPr>
        <w:t xml:space="preserve">collected, </w:t>
      </w:r>
      <w:r w:rsidR="00BD5EE3">
        <w:rPr>
          <w:rFonts w:ascii="Arial" w:hAnsi="Arial" w:cs="Arial"/>
          <w:sz w:val="24"/>
          <w:szCs w:val="24"/>
        </w:rPr>
        <w:t>summariz</w:t>
      </w:r>
      <w:r w:rsidR="007D1707">
        <w:rPr>
          <w:rFonts w:ascii="Arial" w:hAnsi="Arial" w:cs="Arial"/>
          <w:sz w:val="24"/>
          <w:szCs w:val="24"/>
        </w:rPr>
        <w:t>ed</w:t>
      </w:r>
      <w:r w:rsidR="00BD5EE3">
        <w:rPr>
          <w:rFonts w:ascii="Arial" w:hAnsi="Arial" w:cs="Arial"/>
          <w:sz w:val="24"/>
          <w:szCs w:val="24"/>
        </w:rPr>
        <w:t xml:space="preserve"> </w:t>
      </w:r>
      <w:r w:rsidR="007D1707">
        <w:rPr>
          <w:rFonts w:ascii="Arial" w:hAnsi="Arial" w:cs="Arial"/>
          <w:sz w:val="24"/>
          <w:szCs w:val="24"/>
        </w:rPr>
        <w:t>and communicated effectively</w:t>
      </w:r>
      <w:r w:rsidR="005451B9">
        <w:rPr>
          <w:rFonts w:ascii="Arial" w:hAnsi="Arial" w:cs="Arial"/>
          <w:sz w:val="24"/>
          <w:szCs w:val="24"/>
        </w:rPr>
        <w:t xml:space="preserve"> to the supervisors</w:t>
      </w:r>
      <w:r w:rsidR="007D1707">
        <w:rPr>
          <w:rFonts w:ascii="Arial" w:hAnsi="Arial" w:cs="Arial"/>
          <w:sz w:val="24"/>
          <w:szCs w:val="24"/>
        </w:rPr>
        <w:t>.</w:t>
      </w:r>
    </w:p>
    <w:p w:rsidR="00843201" w:rsidRDefault="007D1707" w:rsidP="000C07F3">
      <w:pPr>
        <w:spacing w:before="120" w:after="0" w:line="360" w:lineRule="auto"/>
        <w:jc w:val="both"/>
        <w:rPr>
          <w:rFonts w:ascii="Arial" w:hAnsi="Arial" w:cs="Arial"/>
          <w:sz w:val="24"/>
          <w:szCs w:val="24"/>
        </w:rPr>
      </w:pPr>
      <w:r>
        <w:rPr>
          <w:rFonts w:ascii="Arial" w:hAnsi="Arial" w:cs="Arial"/>
          <w:sz w:val="24"/>
          <w:szCs w:val="24"/>
        </w:rPr>
        <w:t xml:space="preserve">In particular, the results of the data quality assessment should be </w:t>
      </w:r>
      <w:r w:rsidR="00584767">
        <w:rPr>
          <w:rFonts w:ascii="Arial" w:hAnsi="Arial" w:cs="Arial"/>
          <w:sz w:val="24"/>
          <w:szCs w:val="24"/>
        </w:rPr>
        <w:t>made available at different levels of detail. At the higher level, it should be possible to capture the essence of the assessment in simple indicators or s</w:t>
      </w:r>
      <w:r w:rsidR="00843201">
        <w:rPr>
          <w:rFonts w:ascii="Arial" w:hAnsi="Arial" w:cs="Arial"/>
          <w:sz w:val="24"/>
          <w:szCs w:val="24"/>
        </w:rPr>
        <w:t>c</w:t>
      </w:r>
      <w:r w:rsidR="00584767">
        <w:rPr>
          <w:rFonts w:ascii="Arial" w:hAnsi="Arial" w:cs="Arial"/>
          <w:sz w:val="24"/>
          <w:szCs w:val="24"/>
        </w:rPr>
        <w:t xml:space="preserve">ores. This facilitates prioritisation and </w:t>
      </w:r>
      <w:r>
        <w:rPr>
          <w:rFonts w:ascii="Arial" w:hAnsi="Arial" w:cs="Arial"/>
          <w:sz w:val="24"/>
          <w:szCs w:val="24"/>
        </w:rPr>
        <w:t>proportionality</w:t>
      </w:r>
      <w:r w:rsidR="00843201">
        <w:rPr>
          <w:rFonts w:ascii="Arial" w:hAnsi="Arial" w:cs="Arial"/>
          <w:sz w:val="24"/>
          <w:szCs w:val="24"/>
        </w:rPr>
        <w:t xml:space="preserve"> of supervision</w:t>
      </w:r>
      <w:r w:rsidR="00584767">
        <w:rPr>
          <w:rFonts w:ascii="Arial" w:hAnsi="Arial" w:cs="Arial"/>
          <w:sz w:val="24"/>
          <w:szCs w:val="24"/>
        </w:rPr>
        <w:t xml:space="preserve">: </w:t>
      </w:r>
      <w:r w:rsidR="00843201">
        <w:rPr>
          <w:rFonts w:ascii="Arial" w:hAnsi="Arial" w:cs="Arial"/>
          <w:sz w:val="24"/>
          <w:szCs w:val="24"/>
        </w:rPr>
        <w:t>more resources can be devoted to the cases where</w:t>
      </w:r>
      <w:r w:rsidR="00584767">
        <w:rPr>
          <w:rFonts w:ascii="Arial" w:hAnsi="Arial" w:cs="Arial"/>
          <w:sz w:val="24"/>
          <w:szCs w:val="24"/>
        </w:rPr>
        <w:t xml:space="preserve"> </w:t>
      </w:r>
      <w:r w:rsidR="00843201">
        <w:rPr>
          <w:rFonts w:ascii="Arial" w:hAnsi="Arial" w:cs="Arial"/>
          <w:sz w:val="24"/>
          <w:szCs w:val="24"/>
        </w:rPr>
        <w:t>there are indications of d</w:t>
      </w:r>
      <w:r w:rsidR="00584767">
        <w:rPr>
          <w:rFonts w:ascii="Arial" w:hAnsi="Arial" w:cs="Arial"/>
          <w:sz w:val="24"/>
          <w:szCs w:val="24"/>
        </w:rPr>
        <w:t>ata quality issues</w:t>
      </w:r>
      <w:r w:rsidR="00843201">
        <w:rPr>
          <w:rFonts w:ascii="Arial" w:hAnsi="Arial" w:cs="Arial"/>
          <w:sz w:val="24"/>
          <w:szCs w:val="24"/>
        </w:rPr>
        <w:t>, to be further drilled-down to the lower levels (and eventually to the single issues), while the assessment could remain at the aggregate level otherwise</w:t>
      </w:r>
      <w:r>
        <w:rPr>
          <w:rFonts w:ascii="Arial" w:hAnsi="Arial" w:cs="Arial"/>
          <w:sz w:val="24"/>
          <w:szCs w:val="24"/>
        </w:rPr>
        <w:t>.</w:t>
      </w:r>
    </w:p>
    <w:p w:rsidR="007D1707" w:rsidRDefault="00843201" w:rsidP="000C07F3">
      <w:pPr>
        <w:spacing w:before="120" w:after="0" w:line="360" w:lineRule="auto"/>
        <w:jc w:val="both"/>
        <w:rPr>
          <w:rFonts w:ascii="Arial" w:hAnsi="Arial" w:cs="Arial"/>
          <w:sz w:val="24"/>
          <w:szCs w:val="24"/>
        </w:rPr>
      </w:pPr>
      <w:r>
        <w:rPr>
          <w:rFonts w:ascii="Arial" w:hAnsi="Arial" w:cs="Arial"/>
          <w:sz w:val="24"/>
          <w:szCs w:val="24"/>
        </w:rPr>
        <w:t xml:space="preserve">Accordingly, we suggest that the assessment should be structured as a multi-layered approach. </w:t>
      </w:r>
      <w:r w:rsidR="007D1707">
        <w:rPr>
          <w:rFonts w:ascii="Arial" w:hAnsi="Arial" w:cs="Arial"/>
          <w:sz w:val="24"/>
          <w:szCs w:val="24"/>
        </w:rPr>
        <w:t xml:space="preserve">In a first layer, individual findings are communicated to the banks </w:t>
      </w:r>
      <w:r>
        <w:rPr>
          <w:rFonts w:ascii="Arial" w:hAnsi="Arial" w:cs="Arial"/>
          <w:sz w:val="24"/>
          <w:szCs w:val="24"/>
        </w:rPr>
        <w:t>to receive explanations or resubmissions</w:t>
      </w:r>
      <w:r w:rsidR="007D1707">
        <w:rPr>
          <w:rFonts w:ascii="Arial" w:hAnsi="Arial" w:cs="Arial"/>
          <w:sz w:val="24"/>
          <w:szCs w:val="24"/>
        </w:rPr>
        <w:t>. Here</w:t>
      </w:r>
      <w:r w:rsidR="00831A0E">
        <w:rPr>
          <w:rFonts w:ascii="Arial" w:hAnsi="Arial" w:cs="Arial"/>
          <w:sz w:val="24"/>
          <w:szCs w:val="24"/>
        </w:rPr>
        <w:t>,</w:t>
      </w:r>
      <w:r w:rsidR="007D1707">
        <w:rPr>
          <w:rFonts w:ascii="Arial" w:hAnsi="Arial" w:cs="Arial"/>
          <w:sz w:val="24"/>
          <w:szCs w:val="24"/>
        </w:rPr>
        <w:t xml:space="preserve"> we emphasize the importance of a continuous feedback </w:t>
      </w:r>
      <w:r w:rsidR="009C0168">
        <w:rPr>
          <w:rFonts w:ascii="Arial" w:hAnsi="Arial" w:cs="Arial"/>
          <w:sz w:val="24"/>
          <w:szCs w:val="24"/>
        </w:rPr>
        <w:t>between supervisors and reporters</w:t>
      </w:r>
      <w:r w:rsidR="007D1707">
        <w:rPr>
          <w:rFonts w:ascii="Arial" w:hAnsi="Arial" w:cs="Arial"/>
          <w:sz w:val="24"/>
          <w:szCs w:val="24"/>
        </w:rPr>
        <w:t xml:space="preserve"> to clarify and resolve in a timely manner all pending issues, which sometimes require several rounds of interactions</w:t>
      </w:r>
      <w:r w:rsidR="000C07F3">
        <w:rPr>
          <w:rStyle w:val="FootnoteReference"/>
          <w:rFonts w:ascii="Arial" w:hAnsi="Arial" w:cs="Arial"/>
          <w:sz w:val="24"/>
          <w:szCs w:val="24"/>
        </w:rPr>
        <w:footnoteReference w:id="9"/>
      </w:r>
      <w:r w:rsidR="007D1707">
        <w:rPr>
          <w:rFonts w:ascii="Arial" w:hAnsi="Arial" w:cs="Arial"/>
          <w:sz w:val="24"/>
          <w:szCs w:val="24"/>
        </w:rPr>
        <w:t xml:space="preserve">. In a second layer, aggregate measures </w:t>
      </w:r>
      <w:r>
        <w:rPr>
          <w:rFonts w:ascii="Arial" w:hAnsi="Arial" w:cs="Arial"/>
          <w:sz w:val="24"/>
          <w:szCs w:val="24"/>
        </w:rPr>
        <w:t>are produced capturing</w:t>
      </w:r>
      <w:r w:rsidR="00936025">
        <w:rPr>
          <w:rFonts w:ascii="Arial" w:hAnsi="Arial" w:cs="Arial"/>
          <w:sz w:val="24"/>
          <w:szCs w:val="24"/>
        </w:rPr>
        <w:t xml:space="preserve"> </w:t>
      </w:r>
      <w:r>
        <w:rPr>
          <w:rFonts w:ascii="Arial" w:hAnsi="Arial" w:cs="Arial"/>
          <w:sz w:val="24"/>
          <w:szCs w:val="24"/>
        </w:rPr>
        <w:t xml:space="preserve">a picture of </w:t>
      </w:r>
      <w:r w:rsidR="00936025">
        <w:rPr>
          <w:rFonts w:ascii="Arial" w:hAnsi="Arial" w:cs="Arial"/>
          <w:sz w:val="24"/>
          <w:szCs w:val="24"/>
        </w:rPr>
        <w:t xml:space="preserve">data quality at the level of single reporting areas or dimensions. </w:t>
      </w:r>
      <w:r w:rsidR="00505330">
        <w:rPr>
          <w:rFonts w:ascii="Arial" w:hAnsi="Arial" w:cs="Arial"/>
          <w:sz w:val="24"/>
          <w:szCs w:val="24"/>
        </w:rPr>
        <w:t>The following are examples of</w:t>
      </w:r>
      <w:r w:rsidR="000C07F3">
        <w:rPr>
          <w:rFonts w:ascii="Arial" w:hAnsi="Arial" w:cs="Arial"/>
          <w:sz w:val="24"/>
          <w:szCs w:val="24"/>
        </w:rPr>
        <w:t xml:space="preserve"> measures in current use</w:t>
      </w:r>
      <w:r w:rsidR="00936025">
        <w:rPr>
          <w:rFonts w:ascii="Arial" w:hAnsi="Arial" w:cs="Arial"/>
          <w:sz w:val="24"/>
          <w:szCs w:val="24"/>
        </w:rPr>
        <w:t xml:space="preserve">: </w:t>
      </w:r>
      <w:r w:rsidR="0099568D">
        <w:rPr>
          <w:rFonts w:ascii="Arial" w:hAnsi="Arial" w:cs="Arial"/>
          <w:sz w:val="24"/>
          <w:szCs w:val="24"/>
        </w:rPr>
        <w:t>percentage</w:t>
      </w:r>
      <w:r w:rsidR="00936025">
        <w:rPr>
          <w:rFonts w:ascii="Arial" w:hAnsi="Arial" w:cs="Arial"/>
          <w:sz w:val="24"/>
          <w:szCs w:val="24"/>
        </w:rPr>
        <w:t xml:space="preserve"> of missing reporting modules or templates (completeness), number of failing validation rules and of open </w:t>
      </w:r>
      <w:r w:rsidR="00936025">
        <w:rPr>
          <w:rFonts w:ascii="Arial" w:hAnsi="Arial" w:cs="Arial"/>
          <w:sz w:val="24"/>
          <w:szCs w:val="24"/>
        </w:rPr>
        <w:lastRenderedPageBreak/>
        <w:t xml:space="preserve">plausibility findings per module (accuracy and plausibility), compliance or non-compliance with the reporting deadlines </w:t>
      </w:r>
      <w:r w:rsidR="00AE6AC0">
        <w:rPr>
          <w:rFonts w:ascii="Arial" w:hAnsi="Arial" w:cs="Arial"/>
          <w:sz w:val="24"/>
          <w:szCs w:val="24"/>
        </w:rPr>
        <w:t xml:space="preserve">and average days of delay </w:t>
      </w:r>
      <w:r w:rsidR="00936025">
        <w:rPr>
          <w:rFonts w:ascii="Arial" w:hAnsi="Arial" w:cs="Arial"/>
          <w:sz w:val="24"/>
          <w:szCs w:val="24"/>
        </w:rPr>
        <w:t>(punctuality), number of significant resubmissions, number of data points added, removed or changed in resubmissions (</w:t>
      </w:r>
      <w:r w:rsidR="00817072">
        <w:rPr>
          <w:rFonts w:ascii="Arial" w:hAnsi="Arial" w:cs="Arial"/>
          <w:sz w:val="24"/>
          <w:szCs w:val="24"/>
        </w:rPr>
        <w:t>reliability</w:t>
      </w:r>
      <w:r w:rsidR="00936025">
        <w:rPr>
          <w:rFonts w:ascii="Arial" w:hAnsi="Arial" w:cs="Arial"/>
          <w:sz w:val="24"/>
          <w:szCs w:val="24"/>
        </w:rPr>
        <w:t>).</w:t>
      </w:r>
    </w:p>
    <w:p w:rsidR="00BD5EE3" w:rsidRDefault="00936025" w:rsidP="000C07F3">
      <w:pPr>
        <w:spacing w:before="120" w:after="0" w:line="360" w:lineRule="auto"/>
        <w:jc w:val="both"/>
        <w:rPr>
          <w:rFonts w:ascii="Arial" w:hAnsi="Arial" w:cs="Arial"/>
          <w:sz w:val="24"/>
          <w:szCs w:val="24"/>
        </w:rPr>
      </w:pPr>
      <w:r>
        <w:rPr>
          <w:rFonts w:ascii="Arial" w:hAnsi="Arial" w:cs="Arial"/>
          <w:sz w:val="24"/>
          <w:szCs w:val="24"/>
        </w:rPr>
        <w:t xml:space="preserve">In a final layer, the data quality </w:t>
      </w:r>
      <w:r w:rsidR="00843201">
        <w:rPr>
          <w:rFonts w:ascii="Arial" w:hAnsi="Arial" w:cs="Arial"/>
          <w:sz w:val="24"/>
          <w:szCs w:val="24"/>
        </w:rPr>
        <w:t xml:space="preserve">measures are summarized and condensed into a </w:t>
      </w:r>
      <w:r w:rsidR="00843201" w:rsidRPr="00843201">
        <w:rPr>
          <w:rFonts w:ascii="Arial" w:hAnsi="Arial" w:cs="Arial"/>
          <w:i/>
          <w:sz w:val="24"/>
          <w:szCs w:val="24"/>
        </w:rPr>
        <w:t>data quality score</w:t>
      </w:r>
      <w:r w:rsidR="00843201">
        <w:rPr>
          <w:rFonts w:ascii="Arial" w:hAnsi="Arial" w:cs="Arial"/>
          <w:sz w:val="24"/>
          <w:szCs w:val="24"/>
        </w:rPr>
        <w:t xml:space="preserve">. The </w:t>
      </w:r>
      <w:r w:rsidR="00CE37DE">
        <w:rPr>
          <w:rFonts w:ascii="Arial" w:hAnsi="Arial" w:cs="Arial"/>
          <w:sz w:val="24"/>
          <w:szCs w:val="24"/>
        </w:rPr>
        <w:t xml:space="preserve">purpose of the score </w:t>
      </w:r>
      <w:r w:rsidR="00831A0E">
        <w:rPr>
          <w:rFonts w:ascii="Arial" w:hAnsi="Arial" w:cs="Arial"/>
          <w:sz w:val="24"/>
          <w:szCs w:val="24"/>
        </w:rPr>
        <w:t>is</w:t>
      </w:r>
      <w:r w:rsidR="00CE37DE">
        <w:rPr>
          <w:rFonts w:ascii="Arial" w:hAnsi="Arial" w:cs="Arial"/>
          <w:sz w:val="24"/>
          <w:szCs w:val="24"/>
        </w:rPr>
        <w:t xml:space="preserve"> to inform the dialogue between the supervisors and the bank in the context of the SREP, and to guide further investigations</w:t>
      </w:r>
      <w:r w:rsidR="00043537">
        <w:rPr>
          <w:rFonts w:ascii="Arial" w:hAnsi="Arial" w:cs="Arial"/>
          <w:sz w:val="24"/>
          <w:szCs w:val="24"/>
        </w:rPr>
        <w:t>.</w:t>
      </w:r>
      <w:r w:rsidR="007774FF">
        <w:rPr>
          <w:rFonts w:ascii="Arial" w:hAnsi="Arial" w:cs="Arial"/>
          <w:sz w:val="24"/>
          <w:szCs w:val="24"/>
        </w:rPr>
        <w:t xml:space="preserve"> Deficiencies identified during the data quality assessment process</w:t>
      </w:r>
      <w:r w:rsidR="00EC4172">
        <w:rPr>
          <w:rFonts w:ascii="Arial" w:hAnsi="Arial" w:cs="Arial"/>
          <w:sz w:val="24"/>
          <w:szCs w:val="24"/>
        </w:rPr>
        <w:t xml:space="preserve"> – summarized by a </w:t>
      </w:r>
      <w:r w:rsidR="00D023E4">
        <w:rPr>
          <w:rFonts w:ascii="Arial" w:hAnsi="Arial" w:cs="Arial"/>
          <w:sz w:val="24"/>
          <w:szCs w:val="24"/>
        </w:rPr>
        <w:t xml:space="preserve">worse </w:t>
      </w:r>
      <w:r w:rsidR="00EC4172">
        <w:rPr>
          <w:rFonts w:ascii="Arial" w:hAnsi="Arial" w:cs="Arial"/>
          <w:sz w:val="24"/>
          <w:szCs w:val="24"/>
        </w:rPr>
        <w:t xml:space="preserve">score – become then a valuable input to </w:t>
      </w:r>
      <w:r w:rsidR="00CA58E1">
        <w:rPr>
          <w:rFonts w:ascii="Arial" w:hAnsi="Arial" w:cs="Arial"/>
          <w:sz w:val="24"/>
          <w:szCs w:val="24"/>
        </w:rPr>
        <w:t xml:space="preserve">drill deeper into the bank’s </w:t>
      </w:r>
      <w:r w:rsidR="00EC4172">
        <w:rPr>
          <w:rFonts w:ascii="Arial" w:hAnsi="Arial" w:cs="Arial"/>
          <w:sz w:val="24"/>
          <w:szCs w:val="24"/>
        </w:rPr>
        <w:t>risk data aggregation and reporting</w:t>
      </w:r>
      <w:r w:rsidR="00CA58E1">
        <w:rPr>
          <w:rFonts w:ascii="Arial" w:hAnsi="Arial" w:cs="Arial"/>
          <w:sz w:val="24"/>
          <w:szCs w:val="24"/>
        </w:rPr>
        <w:t xml:space="preserve"> capabilities</w:t>
      </w:r>
      <w:r w:rsidR="00EC4172">
        <w:rPr>
          <w:rFonts w:ascii="Arial" w:hAnsi="Arial" w:cs="Arial"/>
          <w:sz w:val="24"/>
          <w:szCs w:val="24"/>
        </w:rPr>
        <w:t>.</w:t>
      </w:r>
      <w:r w:rsidR="00CA58E1" w:rsidRPr="00CA58E1">
        <w:rPr>
          <w:rFonts w:ascii="Arial" w:hAnsi="Arial" w:cs="Arial"/>
          <w:sz w:val="24"/>
          <w:szCs w:val="24"/>
        </w:rPr>
        <w:t xml:space="preserve"> Indeed, the recently released </w:t>
      </w:r>
      <w:r w:rsidR="00CA58E1" w:rsidRPr="00CA58E1">
        <w:rPr>
          <w:rFonts w:ascii="Arial" w:hAnsi="Arial" w:cs="Arial"/>
          <w:i/>
          <w:sz w:val="24"/>
          <w:szCs w:val="24"/>
        </w:rPr>
        <w:t>Report on the Thematic Review on effective risk data aggregation and risk reporting</w:t>
      </w:r>
      <w:r w:rsidR="00CA58E1">
        <w:rPr>
          <w:rFonts w:ascii="Arial" w:hAnsi="Arial" w:cs="Arial"/>
          <w:sz w:val="24"/>
          <w:szCs w:val="24"/>
        </w:rPr>
        <w:t xml:space="preserve"> (ECB, 2018) shows how the level of implementation of the BCBS principles remains to this day unsatisfactory, noting that “</w:t>
      </w:r>
      <w:r w:rsidR="006E1BFD">
        <w:rPr>
          <w:rFonts w:ascii="Arial" w:hAnsi="Arial" w:cs="Arial"/>
          <w:sz w:val="24"/>
          <w:szCs w:val="24"/>
        </w:rPr>
        <w:t>w</w:t>
      </w:r>
      <w:r w:rsidR="00CA58E1" w:rsidRPr="00CA58E1">
        <w:rPr>
          <w:rFonts w:ascii="Arial" w:hAnsi="Arial" w:cs="Arial"/>
          <w:sz w:val="24"/>
          <w:szCs w:val="24"/>
        </w:rPr>
        <w:t>eaknesses stem mainly from a lack of clarity regarding responsibility and accountability for data quality</w:t>
      </w:r>
      <w:r w:rsidR="00CA58E1">
        <w:rPr>
          <w:rFonts w:ascii="Arial" w:hAnsi="Arial" w:cs="Arial"/>
          <w:sz w:val="24"/>
          <w:szCs w:val="24"/>
        </w:rPr>
        <w:t xml:space="preserve">”.  </w:t>
      </w:r>
    </w:p>
    <w:p w:rsidR="0099568D" w:rsidRDefault="00EF437C" w:rsidP="0067521F">
      <w:pPr>
        <w:spacing w:before="360" w:after="0" w:line="360" w:lineRule="auto"/>
        <w:jc w:val="both"/>
        <w:rPr>
          <w:rFonts w:ascii="Arial" w:hAnsi="Arial" w:cs="Arial"/>
          <w:b/>
          <w:sz w:val="24"/>
          <w:szCs w:val="24"/>
        </w:rPr>
      </w:pPr>
      <w:r>
        <w:rPr>
          <w:rFonts w:ascii="Arial" w:hAnsi="Arial" w:cs="Arial"/>
          <w:b/>
          <w:sz w:val="24"/>
          <w:szCs w:val="24"/>
        </w:rPr>
        <w:t>3</w:t>
      </w:r>
      <w:r w:rsidR="000C07F3" w:rsidRPr="00EC5F5A">
        <w:rPr>
          <w:rFonts w:ascii="Arial" w:hAnsi="Arial" w:cs="Arial"/>
          <w:b/>
          <w:sz w:val="24"/>
          <w:szCs w:val="24"/>
        </w:rPr>
        <w:t xml:space="preserve">. </w:t>
      </w:r>
      <w:r w:rsidR="000C07F3">
        <w:rPr>
          <w:rFonts w:ascii="Arial" w:hAnsi="Arial" w:cs="Arial"/>
          <w:b/>
          <w:sz w:val="24"/>
          <w:szCs w:val="24"/>
        </w:rPr>
        <w:t>The Framework in Practice: Data Quality in Figures</w:t>
      </w:r>
    </w:p>
    <w:p w:rsidR="0099568D" w:rsidRPr="00B701D1" w:rsidRDefault="0099568D" w:rsidP="0099568D">
      <w:pPr>
        <w:spacing w:before="120" w:after="0" w:line="360" w:lineRule="auto"/>
        <w:jc w:val="both"/>
        <w:rPr>
          <w:rFonts w:ascii="Arial" w:hAnsi="Arial" w:cs="Arial"/>
          <w:sz w:val="24"/>
          <w:szCs w:val="24"/>
        </w:rPr>
      </w:pPr>
      <w:r w:rsidRPr="00B701D1">
        <w:rPr>
          <w:rFonts w:ascii="Arial" w:hAnsi="Arial" w:cs="Arial"/>
          <w:sz w:val="24"/>
          <w:szCs w:val="24"/>
        </w:rPr>
        <w:t xml:space="preserve">As an example of the application of the principles described in the previous sections, </w:t>
      </w:r>
      <w:r w:rsidR="00AE6AC0" w:rsidRPr="00B701D1">
        <w:rPr>
          <w:rFonts w:ascii="Arial" w:hAnsi="Arial" w:cs="Arial"/>
          <w:sz w:val="24"/>
          <w:szCs w:val="24"/>
        </w:rPr>
        <w:t xml:space="preserve">we show in </w:t>
      </w:r>
      <w:r w:rsidRPr="00B701D1">
        <w:rPr>
          <w:rFonts w:ascii="Arial" w:hAnsi="Arial" w:cs="Arial"/>
          <w:sz w:val="24"/>
          <w:szCs w:val="24"/>
        </w:rPr>
        <w:t xml:space="preserve">the charts below </w:t>
      </w:r>
      <w:r w:rsidR="00AE6AC0" w:rsidRPr="00B701D1">
        <w:rPr>
          <w:rFonts w:ascii="Arial" w:hAnsi="Arial" w:cs="Arial"/>
          <w:sz w:val="24"/>
          <w:szCs w:val="24"/>
        </w:rPr>
        <w:t>two typical metrics useful to monitor general trends in the data quality of supervisory statistics</w:t>
      </w:r>
      <w:r w:rsidR="007A46CA" w:rsidRPr="00B701D1">
        <w:rPr>
          <w:rFonts w:ascii="Arial" w:hAnsi="Arial" w:cs="Arial"/>
          <w:sz w:val="24"/>
          <w:szCs w:val="24"/>
        </w:rPr>
        <w:t>,</w:t>
      </w:r>
      <w:r w:rsidR="00AE6AC0" w:rsidRPr="00B701D1">
        <w:rPr>
          <w:rFonts w:ascii="Arial" w:hAnsi="Arial" w:cs="Arial"/>
          <w:sz w:val="24"/>
          <w:szCs w:val="24"/>
        </w:rPr>
        <w:t xml:space="preserve"> </w:t>
      </w:r>
      <w:r w:rsidR="007A46CA" w:rsidRPr="00B701D1">
        <w:rPr>
          <w:rFonts w:ascii="Arial" w:hAnsi="Arial" w:cs="Arial"/>
          <w:sz w:val="24"/>
          <w:szCs w:val="24"/>
        </w:rPr>
        <w:t>focusing on</w:t>
      </w:r>
      <w:r w:rsidR="00AE6AC0" w:rsidRPr="00B701D1">
        <w:rPr>
          <w:rFonts w:ascii="Arial" w:hAnsi="Arial" w:cs="Arial"/>
          <w:sz w:val="24"/>
          <w:szCs w:val="24"/>
        </w:rPr>
        <w:t xml:space="preserve"> punctuality (Chart 3.1) and accuracy (Chart 3.2).</w:t>
      </w:r>
    </w:p>
    <w:p w:rsidR="001961E0" w:rsidRDefault="00442C35" w:rsidP="007E7ACF">
      <w:pPr>
        <w:spacing w:before="120" w:after="0" w:line="360" w:lineRule="auto"/>
        <w:jc w:val="center"/>
        <w:rPr>
          <w:rFonts w:ascii="Arial" w:hAnsi="Arial" w:cs="Arial"/>
          <w:sz w:val="24"/>
          <w:szCs w:val="24"/>
        </w:rPr>
      </w:pPr>
      <w:r w:rsidRPr="00B701D1">
        <w:rPr>
          <w:rFonts w:ascii="Arial" w:hAnsi="Arial" w:cs="Arial"/>
          <w:b/>
          <w:sz w:val="20"/>
          <w:szCs w:val="20"/>
        </w:rPr>
        <w:t>Chart 3.1</w:t>
      </w:r>
      <w:r w:rsidRPr="00043537">
        <w:rPr>
          <w:rFonts w:ascii="Arial" w:hAnsi="Arial" w:cs="Arial"/>
          <w:sz w:val="20"/>
          <w:szCs w:val="20"/>
        </w:rPr>
        <w:t xml:space="preserve"> Punctuality: </w:t>
      </w:r>
      <w:r w:rsidR="007F320B">
        <w:rPr>
          <w:rFonts w:ascii="Arial" w:hAnsi="Arial" w:cs="Arial"/>
          <w:sz w:val="20"/>
          <w:szCs w:val="20"/>
        </w:rPr>
        <w:t>p</w:t>
      </w:r>
      <w:r w:rsidRPr="00043537">
        <w:rPr>
          <w:rFonts w:ascii="Arial" w:hAnsi="Arial" w:cs="Arial"/>
          <w:sz w:val="20"/>
          <w:szCs w:val="20"/>
        </w:rPr>
        <w:t>ercentage of reports received on time and average delay</w:t>
      </w:r>
      <w:r w:rsidR="001961E0">
        <w:rPr>
          <w:noProof/>
          <w:lang w:eastAsia="en-GB"/>
        </w:rPr>
        <w:drawing>
          <wp:inline distT="0" distB="0" distL="0" distR="0" wp14:anchorId="37F527B7" wp14:editId="5301797C">
            <wp:extent cx="5760720" cy="2223047"/>
            <wp:effectExtent l="0" t="0" r="11430"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521DE" w:rsidRPr="00043537" w:rsidRDefault="002521DE" w:rsidP="007E7ACF">
      <w:pPr>
        <w:spacing w:after="0" w:line="360" w:lineRule="auto"/>
        <w:jc w:val="both"/>
        <w:rPr>
          <w:rFonts w:ascii="Arial" w:hAnsi="Arial" w:cs="Arial"/>
          <w:sz w:val="20"/>
          <w:szCs w:val="20"/>
        </w:rPr>
      </w:pPr>
      <w:r w:rsidRPr="00043537">
        <w:rPr>
          <w:rFonts w:ascii="Arial" w:hAnsi="Arial" w:cs="Arial"/>
          <w:sz w:val="20"/>
          <w:szCs w:val="20"/>
        </w:rPr>
        <w:t xml:space="preserve">Source: ECB </w:t>
      </w:r>
      <w:r w:rsidR="000A4FC6">
        <w:rPr>
          <w:rFonts w:ascii="Arial" w:hAnsi="Arial" w:cs="Arial"/>
          <w:sz w:val="20"/>
          <w:szCs w:val="20"/>
        </w:rPr>
        <w:t>c</w:t>
      </w:r>
      <w:r w:rsidR="000A4FC6" w:rsidRPr="00043537">
        <w:rPr>
          <w:rFonts w:ascii="Arial" w:hAnsi="Arial" w:cs="Arial"/>
          <w:sz w:val="20"/>
          <w:szCs w:val="20"/>
        </w:rPr>
        <w:t>alculations</w:t>
      </w:r>
      <w:r w:rsidR="00336C6E">
        <w:rPr>
          <w:rFonts w:ascii="Arial" w:hAnsi="Arial" w:cs="Arial"/>
          <w:sz w:val="20"/>
          <w:szCs w:val="20"/>
        </w:rPr>
        <w:t xml:space="preserve"> on the basis of submissions </w:t>
      </w:r>
      <w:r w:rsidR="009C0168">
        <w:rPr>
          <w:rFonts w:ascii="Arial" w:hAnsi="Arial" w:cs="Arial"/>
          <w:sz w:val="20"/>
          <w:szCs w:val="20"/>
        </w:rPr>
        <w:t>in scope of Regulation (EU) No 680/2014</w:t>
      </w:r>
      <w:r w:rsidR="000A4FC6">
        <w:rPr>
          <w:rFonts w:ascii="Arial" w:hAnsi="Arial" w:cs="Arial"/>
          <w:sz w:val="20"/>
          <w:szCs w:val="20"/>
        </w:rPr>
        <w:t>.</w:t>
      </w:r>
    </w:p>
    <w:p w:rsidR="003446AB" w:rsidRDefault="002521DE" w:rsidP="00E6218C">
      <w:pPr>
        <w:spacing w:after="0" w:line="360" w:lineRule="auto"/>
        <w:jc w:val="both"/>
        <w:rPr>
          <w:rFonts w:ascii="Arial" w:hAnsi="Arial" w:cs="Arial"/>
          <w:sz w:val="20"/>
          <w:szCs w:val="20"/>
        </w:rPr>
      </w:pPr>
      <w:r w:rsidRPr="00043537">
        <w:rPr>
          <w:rFonts w:ascii="Arial" w:hAnsi="Arial" w:cs="Arial"/>
          <w:sz w:val="20"/>
          <w:szCs w:val="20"/>
        </w:rPr>
        <w:t>Notes: The timeliness is measured with respect to the ECB remittance deadline for each reference period</w:t>
      </w:r>
      <w:r w:rsidR="009C0168">
        <w:rPr>
          <w:rFonts w:ascii="Arial" w:hAnsi="Arial" w:cs="Arial"/>
          <w:sz w:val="20"/>
          <w:szCs w:val="20"/>
        </w:rPr>
        <w:t xml:space="preserve"> (which differs from the deadline for primary reporting to the national authorities)</w:t>
      </w:r>
      <w:r w:rsidRPr="00043537">
        <w:rPr>
          <w:rFonts w:ascii="Arial" w:hAnsi="Arial" w:cs="Arial"/>
          <w:sz w:val="20"/>
          <w:szCs w:val="20"/>
        </w:rPr>
        <w:t>.</w:t>
      </w:r>
      <w:r w:rsidR="000A4FC6">
        <w:rPr>
          <w:rFonts w:ascii="Arial" w:hAnsi="Arial" w:cs="Arial"/>
          <w:sz w:val="20"/>
          <w:szCs w:val="20"/>
        </w:rPr>
        <w:t xml:space="preserve"> Figures are computed using a constant sample of reporting institutions.</w:t>
      </w:r>
    </w:p>
    <w:p w:rsidR="002868D4" w:rsidRDefault="00FA0BC7" w:rsidP="0099568D">
      <w:pPr>
        <w:spacing w:before="120" w:after="0" w:line="360" w:lineRule="auto"/>
        <w:jc w:val="center"/>
        <w:rPr>
          <w:rFonts w:ascii="Arial" w:hAnsi="Arial" w:cs="Arial"/>
          <w:sz w:val="20"/>
          <w:szCs w:val="20"/>
        </w:rPr>
      </w:pPr>
      <w:r>
        <w:rPr>
          <w:noProof/>
          <w:lang w:eastAsia="en-GB"/>
        </w:rPr>
        <w:lastRenderedPageBreak/>
        <w:drawing>
          <wp:anchor distT="0" distB="0" distL="114300" distR="114300" simplePos="0" relativeHeight="251658240" behindDoc="0" locked="0" layoutInCell="1" allowOverlap="1" wp14:anchorId="3B570F7A" wp14:editId="15F98786">
            <wp:simplePos x="0" y="0"/>
            <wp:positionH relativeFrom="column">
              <wp:posOffset>1365250</wp:posOffset>
            </wp:positionH>
            <wp:positionV relativeFrom="paragraph">
              <wp:posOffset>236220</wp:posOffset>
            </wp:positionV>
            <wp:extent cx="4370705" cy="2348230"/>
            <wp:effectExtent l="0" t="0" r="10795" b="1397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3239C752" wp14:editId="6DA057D9">
            <wp:simplePos x="0" y="0"/>
            <wp:positionH relativeFrom="column">
              <wp:posOffset>83820</wp:posOffset>
            </wp:positionH>
            <wp:positionV relativeFrom="paragraph">
              <wp:posOffset>236220</wp:posOffset>
            </wp:positionV>
            <wp:extent cx="1281430" cy="2348230"/>
            <wp:effectExtent l="0" t="0" r="13970" b="1397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5F238B" w:rsidRPr="00B701D1">
        <w:rPr>
          <w:rFonts w:ascii="Arial" w:hAnsi="Arial" w:cs="Arial"/>
          <w:b/>
          <w:sz w:val="20"/>
          <w:szCs w:val="20"/>
        </w:rPr>
        <w:t>Chart 3.2</w:t>
      </w:r>
      <w:r w:rsidR="005F238B" w:rsidRPr="0099568D">
        <w:rPr>
          <w:rFonts w:ascii="Arial" w:hAnsi="Arial" w:cs="Arial"/>
          <w:sz w:val="20"/>
          <w:szCs w:val="20"/>
        </w:rPr>
        <w:t xml:space="preserve"> Validation rule errors by reference period and report type</w:t>
      </w:r>
    </w:p>
    <w:p w:rsidR="00FA0BC7" w:rsidRDefault="00FA0BC7" w:rsidP="00E6218C">
      <w:pPr>
        <w:spacing w:after="0" w:line="360" w:lineRule="auto"/>
        <w:jc w:val="both"/>
        <w:rPr>
          <w:rFonts w:ascii="Arial" w:hAnsi="Arial" w:cs="Arial"/>
          <w:sz w:val="20"/>
          <w:szCs w:val="20"/>
        </w:rPr>
      </w:pPr>
    </w:p>
    <w:p w:rsidR="007E09BA" w:rsidRPr="0099568D" w:rsidRDefault="007E09BA" w:rsidP="00E6218C">
      <w:pPr>
        <w:spacing w:after="0" w:line="360" w:lineRule="auto"/>
        <w:jc w:val="both"/>
        <w:rPr>
          <w:rFonts w:ascii="Arial" w:hAnsi="Arial" w:cs="Arial"/>
          <w:sz w:val="20"/>
          <w:szCs w:val="20"/>
        </w:rPr>
      </w:pPr>
      <w:r w:rsidRPr="0099568D">
        <w:rPr>
          <w:rFonts w:ascii="Arial" w:hAnsi="Arial" w:cs="Arial"/>
          <w:sz w:val="20"/>
          <w:szCs w:val="20"/>
        </w:rPr>
        <w:t xml:space="preserve">Source: ECB </w:t>
      </w:r>
      <w:r w:rsidR="007F320B">
        <w:rPr>
          <w:rFonts w:ascii="Arial" w:hAnsi="Arial" w:cs="Arial"/>
          <w:sz w:val="20"/>
          <w:szCs w:val="20"/>
        </w:rPr>
        <w:t>c</w:t>
      </w:r>
      <w:r w:rsidR="007F320B" w:rsidRPr="0099568D">
        <w:rPr>
          <w:rFonts w:ascii="Arial" w:hAnsi="Arial" w:cs="Arial"/>
          <w:sz w:val="20"/>
          <w:szCs w:val="20"/>
        </w:rPr>
        <w:t>alculations</w:t>
      </w:r>
      <w:r w:rsidR="001A36E8">
        <w:rPr>
          <w:rFonts w:ascii="Arial" w:hAnsi="Arial" w:cs="Arial"/>
          <w:sz w:val="20"/>
          <w:szCs w:val="20"/>
        </w:rPr>
        <w:t xml:space="preserve"> on the basis of submissions supervised entities of NSFR, LE, LCR, FINREP, COREP and AE between 31/12/2014 and 31/12/2017</w:t>
      </w:r>
      <w:r w:rsidR="007F320B">
        <w:rPr>
          <w:rFonts w:ascii="Arial" w:hAnsi="Arial" w:cs="Arial"/>
          <w:sz w:val="20"/>
          <w:szCs w:val="20"/>
        </w:rPr>
        <w:t>.</w:t>
      </w:r>
    </w:p>
    <w:p w:rsidR="00446C65" w:rsidRDefault="007D0753" w:rsidP="00E6218C">
      <w:pPr>
        <w:spacing w:after="0" w:line="360" w:lineRule="auto"/>
        <w:jc w:val="both"/>
        <w:rPr>
          <w:rFonts w:ascii="Arial" w:hAnsi="Arial" w:cs="Arial"/>
          <w:sz w:val="20"/>
          <w:szCs w:val="20"/>
        </w:rPr>
      </w:pPr>
      <w:r w:rsidRPr="0099568D">
        <w:rPr>
          <w:rFonts w:ascii="Arial" w:hAnsi="Arial" w:cs="Arial"/>
          <w:sz w:val="20"/>
          <w:szCs w:val="20"/>
        </w:rPr>
        <w:t>Notes: The</w:t>
      </w:r>
      <w:r w:rsidR="008E089F" w:rsidRPr="0099568D">
        <w:rPr>
          <w:rFonts w:ascii="Arial" w:hAnsi="Arial" w:cs="Arial"/>
          <w:sz w:val="20"/>
          <w:szCs w:val="20"/>
        </w:rPr>
        <w:t xml:space="preserve"> chart </w:t>
      </w:r>
      <w:r w:rsidR="002521DE" w:rsidRPr="0099568D">
        <w:rPr>
          <w:rFonts w:ascii="Arial" w:hAnsi="Arial" w:cs="Arial"/>
          <w:sz w:val="20"/>
          <w:szCs w:val="20"/>
        </w:rPr>
        <w:t xml:space="preserve">focuses on </w:t>
      </w:r>
      <w:r w:rsidR="00D06B68">
        <w:rPr>
          <w:rFonts w:ascii="Arial" w:hAnsi="Arial" w:cs="Arial"/>
          <w:sz w:val="20"/>
          <w:szCs w:val="20"/>
        </w:rPr>
        <w:t>the</w:t>
      </w:r>
      <w:r w:rsidR="00D06B68" w:rsidRPr="0099568D">
        <w:rPr>
          <w:rFonts w:ascii="Arial" w:hAnsi="Arial" w:cs="Arial"/>
          <w:sz w:val="20"/>
          <w:szCs w:val="20"/>
        </w:rPr>
        <w:t xml:space="preserve"> </w:t>
      </w:r>
      <w:r w:rsidR="008E089F" w:rsidRPr="0099568D">
        <w:rPr>
          <w:rFonts w:ascii="Arial" w:hAnsi="Arial" w:cs="Arial"/>
          <w:sz w:val="20"/>
          <w:szCs w:val="20"/>
        </w:rPr>
        <w:t xml:space="preserve">sub-sample of EBA validation rules </w:t>
      </w:r>
      <w:r w:rsidR="007F320B">
        <w:rPr>
          <w:rFonts w:ascii="Arial" w:hAnsi="Arial" w:cs="Arial"/>
          <w:sz w:val="20"/>
          <w:szCs w:val="20"/>
        </w:rPr>
        <w:t xml:space="preserve">applicable to </w:t>
      </w:r>
      <w:r w:rsidR="00D06B68">
        <w:rPr>
          <w:rFonts w:ascii="Arial" w:hAnsi="Arial" w:cs="Arial"/>
          <w:sz w:val="20"/>
          <w:szCs w:val="20"/>
        </w:rPr>
        <w:t xml:space="preserve">each </w:t>
      </w:r>
      <w:r w:rsidR="007F320B">
        <w:rPr>
          <w:rFonts w:ascii="Arial" w:hAnsi="Arial" w:cs="Arial"/>
          <w:sz w:val="20"/>
          <w:szCs w:val="20"/>
        </w:rPr>
        <w:t>reference period from</w:t>
      </w:r>
      <w:r w:rsidRPr="0099568D">
        <w:rPr>
          <w:rFonts w:ascii="Arial" w:hAnsi="Arial" w:cs="Arial"/>
          <w:sz w:val="20"/>
          <w:szCs w:val="20"/>
        </w:rPr>
        <w:t xml:space="preserve"> Q4 2014 </w:t>
      </w:r>
      <w:r w:rsidR="007F320B">
        <w:rPr>
          <w:rFonts w:ascii="Arial" w:hAnsi="Arial" w:cs="Arial"/>
          <w:sz w:val="20"/>
          <w:szCs w:val="20"/>
        </w:rPr>
        <w:t>to Q4 2017</w:t>
      </w:r>
      <w:r w:rsidRPr="0099568D">
        <w:rPr>
          <w:rFonts w:ascii="Arial" w:hAnsi="Arial" w:cs="Arial"/>
          <w:sz w:val="20"/>
          <w:szCs w:val="20"/>
        </w:rPr>
        <w:t xml:space="preserve">. </w:t>
      </w:r>
      <w:r w:rsidR="00D06B68">
        <w:rPr>
          <w:rFonts w:ascii="Arial" w:hAnsi="Arial" w:cs="Arial"/>
          <w:sz w:val="20"/>
          <w:szCs w:val="20"/>
        </w:rPr>
        <w:t>In particular, validation rules applicable to semi-annual templates are not included</w:t>
      </w:r>
      <w:r w:rsidRPr="0099568D">
        <w:rPr>
          <w:rFonts w:ascii="Arial" w:hAnsi="Arial" w:cs="Arial"/>
          <w:sz w:val="20"/>
          <w:szCs w:val="20"/>
        </w:rPr>
        <w:t xml:space="preserve">. </w:t>
      </w:r>
      <w:r w:rsidR="007F320B">
        <w:rPr>
          <w:rFonts w:ascii="Arial" w:hAnsi="Arial" w:cs="Arial"/>
          <w:sz w:val="20"/>
          <w:szCs w:val="20"/>
        </w:rPr>
        <w:t>Figures are computed as</w:t>
      </w:r>
      <w:r w:rsidR="002521DE" w:rsidRPr="0099568D">
        <w:rPr>
          <w:rFonts w:ascii="Arial" w:hAnsi="Arial" w:cs="Arial"/>
          <w:sz w:val="20"/>
          <w:szCs w:val="20"/>
        </w:rPr>
        <w:t xml:space="preserve"> </w:t>
      </w:r>
      <w:r w:rsidR="00B701D1">
        <w:rPr>
          <w:rFonts w:ascii="Arial" w:hAnsi="Arial" w:cs="Arial"/>
          <w:sz w:val="20"/>
          <w:szCs w:val="20"/>
        </w:rPr>
        <w:t xml:space="preserve">of </w:t>
      </w:r>
      <w:r w:rsidR="002521DE" w:rsidRPr="0099568D">
        <w:rPr>
          <w:rFonts w:ascii="Arial" w:hAnsi="Arial" w:cs="Arial"/>
          <w:sz w:val="20"/>
          <w:szCs w:val="20"/>
        </w:rPr>
        <w:t>one month after the ECB remittance deadline for each reference period</w:t>
      </w:r>
      <w:r w:rsidR="00C8148E">
        <w:rPr>
          <w:rFonts w:ascii="Arial" w:hAnsi="Arial" w:cs="Arial"/>
          <w:sz w:val="20"/>
          <w:szCs w:val="20"/>
        </w:rPr>
        <w:t xml:space="preserve">. The following acronyms were used: </w:t>
      </w:r>
      <w:r w:rsidR="00F9578C" w:rsidRPr="00F9578C">
        <w:rPr>
          <w:rFonts w:ascii="Arial" w:hAnsi="Arial" w:cs="Arial"/>
          <w:sz w:val="20"/>
          <w:szCs w:val="20"/>
        </w:rPr>
        <w:t>NSFR</w:t>
      </w:r>
      <w:r w:rsidR="00C8148E">
        <w:rPr>
          <w:rFonts w:ascii="Arial" w:hAnsi="Arial" w:cs="Arial"/>
          <w:sz w:val="20"/>
          <w:szCs w:val="20"/>
        </w:rPr>
        <w:t>,</w:t>
      </w:r>
      <w:r w:rsidR="00F9578C" w:rsidRPr="00F9578C">
        <w:rPr>
          <w:rFonts w:ascii="Arial" w:hAnsi="Arial" w:cs="Arial"/>
          <w:sz w:val="20"/>
          <w:szCs w:val="20"/>
        </w:rPr>
        <w:t xml:space="preserve"> Net Stable Funding Ratio; LE</w:t>
      </w:r>
      <w:r w:rsidR="00C8148E">
        <w:rPr>
          <w:rFonts w:ascii="Arial" w:hAnsi="Arial" w:cs="Arial"/>
          <w:sz w:val="20"/>
          <w:szCs w:val="20"/>
        </w:rPr>
        <w:t>,</w:t>
      </w:r>
      <w:r w:rsidR="00F9578C" w:rsidRPr="00F9578C">
        <w:rPr>
          <w:rFonts w:ascii="Arial" w:hAnsi="Arial" w:cs="Arial"/>
          <w:sz w:val="20"/>
          <w:szCs w:val="20"/>
        </w:rPr>
        <w:t xml:space="preserve"> Large Exposures; LCR</w:t>
      </w:r>
      <w:r w:rsidR="00C8148E">
        <w:rPr>
          <w:rFonts w:ascii="Arial" w:hAnsi="Arial" w:cs="Arial"/>
          <w:sz w:val="20"/>
          <w:szCs w:val="20"/>
        </w:rPr>
        <w:t>,</w:t>
      </w:r>
      <w:r w:rsidR="00F9578C" w:rsidRPr="00F9578C">
        <w:rPr>
          <w:rFonts w:ascii="Arial" w:hAnsi="Arial" w:cs="Arial"/>
          <w:sz w:val="20"/>
          <w:szCs w:val="20"/>
        </w:rPr>
        <w:t xml:space="preserve"> Liquidity Coverage Ratio; FINREP</w:t>
      </w:r>
      <w:r w:rsidR="00C8148E">
        <w:rPr>
          <w:rFonts w:ascii="Arial" w:hAnsi="Arial" w:cs="Arial"/>
          <w:sz w:val="20"/>
          <w:szCs w:val="20"/>
        </w:rPr>
        <w:t>,</w:t>
      </w:r>
      <w:r w:rsidR="00F9578C" w:rsidRPr="00F9578C">
        <w:rPr>
          <w:rFonts w:ascii="Arial" w:hAnsi="Arial" w:cs="Arial"/>
          <w:sz w:val="20"/>
          <w:szCs w:val="20"/>
        </w:rPr>
        <w:t xml:space="preserve"> Financial Reporting; COREP</w:t>
      </w:r>
      <w:r w:rsidR="00C8148E">
        <w:rPr>
          <w:rFonts w:ascii="Arial" w:hAnsi="Arial" w:cs="Arial"/>
          <w:sz w:val="20"/>
          <w:szCs w:val="20"/>
        </w:rPr>
        <w:t>,</w:t>
      </w:r>
      <w:r w:rsidR="00F9578C" w:rsidRPr="00F9578C">
        <w:rPr>
          <w:rFonts w:ascii="Arial" w:hAnsi="Arial" w:cs="Arial"/>
          <w:sz w:val="20"/>
          <w:szCs w:val="20"/>
        </w:rPr>
        <w:t xml:space="preserve"> Common Reporting; AE: Asset Encumbrance</w:t>
      </w:r>
      <w:r w:rsidR="002521DE" w:rsidRPr="0099568D">
        <w:rPr>
          <w:rFonts w:ascii="Arial" w:hAnsi="Arial" w:cs="Arial"/>
          <w:sz w:val="20"/>
          <w:szCs w:val="20"/>
        </w:rPr>
        <w:t>.</w:t>
      </w:r>
    </w:p>
    <w:p w:rsidR="00CA58E1" w:rsidRPr="0099568D" w:rsidRDefault="00CA58E1" w:rsidP="00CA58E1">
      <w:pPr>
        <w:spacing w:before="120" w:after="0" w:line="360" w:lineRule="auto"/>
        <w:jc w:val="both"/>
        <w:rPr>
          <w:rFonts w:ascii="Arial" w:hAnsi="Arial" w:cs="Arial"/>
          <w:sz w:val="24"/>
          <w:szCs w:val="24"/>
        </w:rPr>
      </w:pPr>
      <w:r w:rsidRPr="00B701D1">
        <w:rPr>
          <w:rFonts w:ascii="Arial" w:hAnsi="Arial" w:cs="Arial"/>
          <w:sz w:val="24"/>
          <w:szCs w:val="24"/>
        </w:rPr>
        <w:t>Both charts display a pattern of data quality improvements over time, showing in particular a marked improvement during the first reporting periods. In our experience it is indeed common to witness an “adaptation period” in correspondence with the introduction of new reporting requirements. During this initial phase, reporting institutions adjust and streamline their processes to produce more consistent and accurate reporting.</w:t>
      </w:r>
    </w:p>
    <w:p w:rsidR="00AD72F1" w:rsidRDefault="00EF437C" w:rsidP="0067521F">
      <w:pPr>
        <w:spacing w:before="360" w:after="0" w:line="360" w:lineRule="auto"/>
        <w:jc w:val="both"/>
        <w:rPr>
          <w:rFonts w:ascii="Arial" w:hAnsi="Arial" w:cs="Arial"/>
          <w:b/>
          <w:sz w:val="24"/>
          <w:szCs w:val="24"/>
        </w:rPr>
      </w:pPr>
      <w:r>
        <w:rPr>
          <w:rFonts w:ascii="Arial" w:hAnsi="Arial" w:cs="Arial"/>
          <w:b/>
          <w:sz w:val="24"/>
          <w:szCs w:val="24"/>
        </w:rPr>
        <w:t>4</w:t>
      </w:r>
      <w:r w:rsidR="000C07F3" w:rsidRPr="008F41FF">
        <w:rPr>
          <w:rFonts w:ascii="Arial" w:hAnsi="Arial" w:cs="Arial"/>
          <w:b/>
          <w:sz w:val="24"/>
          <w:szCs w:val="24"/>
        </w:rPr>
        <w:t xml:space="preserve">. </w:t>
      </w:r>
      <w:r w:rsidR="000C07F3">
        <w:rPr>
          <w:rFonts w:ascii="Arial" w:hAnsi="Arial" w:cs="Arial"/>
          <w:b/>
          <w:sz w:val="24"/>
          <w:szCs w:val="24"/>
        </w:rPr>
        <w:t>Conclusions</w:t>
      </w:r>
    </w:p>
    <w:p w:rsidR="00EF437C" w:rsidRDefault="00EF437C" w:rsidP="0067521F">
      <w:pPr>
        <w:spacing w:before="120" w:after="0" w:line="360" w:lineRule="auto"/>
        <w:jc w:val="both"/>
        <w:rPr>
          <w:rFonts w:ascii="Arial" w:hAnsi="Arial" w:cs="Arial"/>
          <w:sz w:val="24"/>
          <w:szCs w:val="24"/>
        </w:rPr>
      </w:pPr>
      <w:r>
        <w:rPr>
          <w:rFonts w:ascii="Arial" w:hAnsi="Arial" w:cs="Arial"/>
          <w:sz w:val="24"/>
          <w:szCs w:val="24"/>
        </w:rPr>
        <w:t xml:space="preserve">In this paper, we </w:t>
      </w:r>
      <w:r w:rsidR="007E7ACF">
        <w:rPr>
          <w:rFonts w:ascii="Arial" w:hAnsi="Arial" w:cs="Arial"/>
          <w:sz w:val="24"/>
          <w:szCs w:val="24"/>
        </w:rPr>
        <w:t>p</w:t>
      </w:r>
      <w:r>
        <w:rPr>
          <w:rFonts w:ascii="Arial" w:hAnsi="Arial" w:cs="Arial"/>
          <w:sz w:val="24"/>
          <w:szCs w:val="24"/>
        </w:rPr>
        <w:t xml:space="preserve">resented a general framework for the quality assessment of supervisory data. We highlighted the twofold purpose of </w:t>
      </w:r>
      <w:r w:rsidR="00505330">
        <w:rPr>
          <w:rFonts w:ascii="Arial" w:hAnsi="Arial" w:cs="Arial"/>
          <w:sz w:val="24"/>
          <w:szCs w:val="24"/>
        </w:rPr>
        <w:t xml:space="preserve">the assessment: </w:t>
      </w:r>
      <w:r w:rsidR="00831A0E">
        <w:rPr>
          <w:rFonts w:ascii="Arial" w:hAnsi="Arial" w:cs="Arial"/>
          <w:sz w:val="24"/>
          <w:szCs w:val="24"/>
        </w:rPr>
        <w:t xml:space="preserve">first </w:t>
      </w:r>
      <w:r w:rsidR="00505330">
        <w:rPr>
          <w:rFonts w:ascii="Arial" w:hAnsi="Arial" w:cs="Arial"/>
          <w:sz w:val="24"/>
          <w:szCs w:val="24"/>
        </w:rPr>
        <w:t xml:space="preserve">to check whether the data </w:t>
      </w:r>
      <w:r w:rsidR="0019582F">
        <w:rPr>
          <w:rFonts w:ascii="Arial" w:hAnsi="Arial" w:cs="Arial"/>
          <w:sz w:val="24"/>
          <w:szCs w:val="24"/>
        </w:rPr>
        <w:t xml:space="preserve">are </w:t>
      </w:r>
      <w:r w:rsidR="00505330">
        <w:rPr>
          <w:rFonts w:ascii="Arial" w:hAnsi="Arial" w:cs="Arial"/>
          <w:sz w:val="24"/>
          <w:szCs w:val="24"/>
        </w:rPr>
        <w:t xml:space="preserve">suitable for informing supervisory decisions, and </w:t>
      </w:r>
      <w:r w:rsidR="00831A0E">
        <w:rPr>
          <w:rFonts w:ascii="Arial" w:hAnsi="Arial" w:cs="Arial"/>
          <w:sz w:val="24"/>
          <w:szCs w:val="24"/>
        </w:rPr>
        <w:t xml:space="preserve">second </w:t>
      </w:r>
      <w:r w:rsidR="00505330">
        <w:rPr>
          <w:rFonts w:ascii="Arial" w:hAnsi="Arial" w:cs="Arial"/>
          <w:sz w:val="24"/>
          <w:szCs w:val="24"/>
        </w:rPr>
        <w:t>to be</w:t>
      </w:r>
      <w:r w:rsidR="00505330" w:rsidRPr="00505330">
        <w:rPr>
          <w:rFonts w:ascii="Arial" w:hAnsi="Arial" w:cs="Arial"/>
          <w:sz w:val="24"/>
          <w:szCs w:val="24"/>
        </w:rPr>
        <w:t xml:space="preserve"> an integral part of the supervisory evaluation, </w:t>
      </w:r>
      <w:r w:rsidR="00505330">
        <w:rPr>
          <w:rFonts w:ascii="Arial" w:hAnsi="Arial" w:cs="Arial"/>
          <w:sz w:val="24"/>
          <w:szCs w:val="24"/>
        </w:rPr>
        <w:t>exposing</w:t>
      </w:r>
      <w:r w:rsidR="00505330" w:rsidRPr="00505330">
        <w:rPr>
          <w:rFonts w:ascii="Arial" w:hAnsi="Arial" w:cs="Arial"/>
          <w:sz w:val="24"/>
          <w:szCs w:val="24"/>
        </w:rPr>
        <w:t xml:space="preserve"> </w:t>
      </w:r>
      <w:r w:rsidR="00446C65">
        <w:rPr>
          <w:rFonts w:ascii="Arial" w:hAnsi="Arial" w:cs="Arial"/>
          <w:sz w:val="24"/>
          <w:szCs w:val="24"/>
        </w:rPr>
        <w:t>deficiencies</w:t>
      </w:r>
      <w:r w:rsidR="00505330" w:rsidRPr="00505330">
        <w:rPr>
          <w:rFonts w:ascii="Arial" w:hAnsi="Arial" w:cs="Arial"/>
          <w:sz w:val="24"/>
          <w:szCs w:val="24"/>
        </w:rPr>
        <w:t xml:space="preserve"> in </w:t>
      </w:r>
      <w:r w:rsidR="00446C65">
        <w:rPr>
          <w:rFonts w:ascii="Arial" w:hAnsi="Arial" w:cs="Arial"/>
          <w:sz w:val="24"/>
          <w:szCs w:val="24"/>
        </w:rPr>
        <w:t>the banks’</w:t>
      </w:r>
      <w:r w:rsidR="00505330">
        <w:rPr>
          <w:rFonts w:ascii="Arial" w:hAnsi="Arial" w:cs="Arial"/>
          <w:sz w:val="24"/>
          <w:szCs w:val="24"/>
        </w:rPr>
        <w:t xml:space="preserve"> risk data aggregation and reporting</w:t>
      </w:r>
      <w:r w:rsidR="00446C65">
        <w:rPr>
          <w:rFonts w:ascii="Arial" w:hAnsi="Arial" w:cs="Arial"/>
          <w:sz w:val="24"/>
          <w:szCs w:val="24"/>
        </w:rPr>
        <w:t xml:space="preserve"> capabilities and possible weaknesses in their risk management</w:t>
      </w:r>
      <w:r w:rsidR="00505330">
        <w:rPr>
          <w:rFonts w:ascii="Arial" w:hAnsi="Arial" w:cs="Arial"/>
          <w:sz w:val="24"/>
          <w:szCs w:val="24"/>
        </w:rPr>
        <w:t>.</w:t>
      </w:r>
    </w:p>
    <w:p w:rsidR="00505330" w:rsidRDefault="00505330" w:rsidP="0067521F">
      <w:pPr>
        <w:spacing w:before="120" w:after="0" w:line="360" w:lineRule="auto"/>
        <w:jc w:val="both"/>
        <w:rPr>
          <w:rFonts w:ascii="Arial" w:hAnsi="Arial" w:cs="Arial"/>
          <w:sz w:val="24"/>
          <w:szCs w:val="24"/>
        </w:rPr>
      </w:pPr>
      <w:r>
        <w:rPr>
          <w:rFonts w:ascii="Arial" w:hAnsi="Arial" w:cs="Arial"/>
          <w:sz w:val="24"/>
          <w:szCs w:val="24"/>
        </w:rPr>
        <w:t xml:space="preserve">This led to the definition of a minimal set of dimensions to frame the data quality analysis (completeness, accuracy, plausibility, punctuality, </w:t>
      </w:r>
      <w:r w:rsidR="009F7F56">
        <w:rPr>
          <w:rFonts w:ascii="Arial" w:hAnsi="Arial" w:cs="Arial"/>
          <w:sz w:val="24"/>
          <w:szCs w:val="24"/>
        </w:rPr>
        <w:t>reliability</w:t>
      </w:r>
      <w:r>
        <w:rPr>
          <w:rFonts w:ascii="Arial" w:hAnsi="Arial" w:cs="Arial"/>
          <w:sz w:val="24"/>
          <w:szCs w:val="24"/>
        </w:rPr>
        <w:t xml:space="preserve">) and to a layered </w:t>
      </w:r>
      <w:r>
        <w:rPr>
          <w:rFonts w:ascii="Arial" w:hAnsi="Arial" w:cs="Arial"/>
          <w:sz w:val="24"/>
          <w:szCs w:val="24"/>
        </w:rPr>
        <w:lastRenderedPageBreak/>
        <w:t xml:space="preserve">approach involving interactions </w:t>
      </w:r>
      <w:r w:rsidR="00831A0E">
        <w:rPr>
          <w:rFonts w:ascii="Arial" w:hAnsi="Arial" w:cs="Arial"/>
          <w:sz w:val="24"/>
          <w:szCs w:val="24"/>
        </w:rPr>
        <w:t xml:space="preserve">with stakeholders </w:t>
      </w:r>
      <w:r>
        <w:rPr>
          <w:rFonts w:ascii="Arial" w:hAnsi="Arial" w:cs="Arial"/>
          <w:sz w:val="24"/>
          <w:szCs w:val="24"/>
        </w:rPr>
        <w:t xml:space="preserve">at </w:t>
      </w:r>
      <w:r w:rsidR="006D1F1D">
        <w:rPr>
          <w:rFonts w:ascii="Arial" w:hAnsi="Arial" w:cs="Arial"/>
          <w:sz w:val="24"/>
          <w:szCs w:val="24"/>
        </w:rPr>
        <w:t xml:space="preserve">different </w:t>
      </w:r>
      <w:r>
        <w:rPr>
          <w:rFonts w:ascii="Arial" w:hAnsi="Arial" w:cs="Arial"/>
          <w:sz w:val="24"/>
          <w:szCs w:val="24"/>
        </w:rPr>
        <w:t>level</w:t>
      </w:r>
      <w:r w:rsidR="006D1F1D">
        <w:rPr>
          <w:rFonts w:ascii="Arial" w:hAnsi="Arial" w:cs="Arial"/>
          <w:sz w:val="24"/>
          <w:szCs w:val="24"/>
        </w:rPr>
        <w:t>s</w:t>
      </w:r>
      <w:r>
        <w:rPr>
          <w:rFonts w:ascii="Arial" w:hAnsi="Arial" w:cs="Arial"/>
          <w:sz w:val="24"/>
          <w:szCs w:val="24"/>
        </w:rPr>
        <w:t>.</w:t>
      </w:r>
      <w:r w:rsidR="006D1F1D">
        <w:rPr>
          <w:rFonts w:ascii="Arial" w:hAnsi="Arial" w:cs="Arial"/>
          <w:sz w:val="24"/>
          <w:szCs w:val="24"/>
        </w:rPr>
        <w:t xml:space="preserve"> </w:t>
      </w:r>
      <w:r w:rsidR="006D1F1D" w:rsidRPr="006D1F1D">
        <w:rPr>
          <w:rFonts w:ascii="Arial" w:hAnsi="Arial" w:cs="Arial"/>
          <w:sz w:val="24"/>
          <w:szCs w:val="24"/>
        </w:rPr>
        <w:t>The dimensions recognise explicitly data quality as a multifaceted concept that needs to be investigated under a holistic approach</w:t>
      </w:r>
      <w:r w:rsidR="006D1F1D">
        <w:rPr>
          <w:rFonts w:ascii="Arial" w:hAnsi="Arial" w:cs="Arial"/>
          <w:sz w:val="24"/>
          <w:szCs w:val="24"/>
        </w:rPr>
        <w:t>,</w:t>
      </w:r>
      <w:r w:rsidR="006D1F1D" w:rsidRPr="006D1F1D">
        <w:rPr>
          <w:rFonts w:ascii="Arial" w:hAnsi="Arial" w:cs="Arial"/>
          <w:sz w:val="24"/>
          <w:szCs w:val="24"/>
        </w:rPr>
        <w:t xml:space="preserve"> conciliating the different needs of the various stakeholders.</w:t>
      </w:r>
    </w:p>
    <w:p w:rsidR="007651EE" w:rsidRDefault="0067521F" w:rsidP="0067521F">
      <w:pPr>
        <w:spacing w:before="120" w:after="0" w:line="360" w:lineRule="auto"/>
        <w:jc w:val="both"/>
        <w:rPr>
          <w:rFonts w:ascii="Arial" w:hAnsi="Arial" w:cs="Arial"/>
          <w:sz w:val="24"/>
          <w:szCs w:val="24"/>
        </w:rPr>
      </w:pPr>
      <w:r>
        <w:rPr>
          <w:rFonts w:ascii="Arial" w:hAnsi="Arial" w:cs="Arial"/>
          <w:sz w:val="24"/>
          <w:szCs w:val="24"/>
        </w:rPr>
        <w:t>Some questions remain</w:t>
      </w:r>
      <w:r w:rsidR="007E7ACF">
        <w:rPr>
          <w:rFonts w:ascii="Arial" w:hAnsi="Arial" w:cs="Arial"/>
          <w:sz w:val="24"/>
          <w:szCs w:val="24"/>
        </w:rPr>
        <w:t xml:space="preserve"> </w:t>
      </w:r>
      <w:r w:rsidR="007F320B">
        <w:rPr>
          <w:rFonts w:ascii="Arial" w:hAnsi="Arial" w:cs="Arial"/>
          <w:sz w:val="24"/>
          <w:szCs w:val="24"/>
        </w:rPr>
        <w:t>open</w:t>
      </w:r>
      <w:r>
        <w:rPr>
          <w:rFonts w:ascii="Arial" w:hAnsi="Arial" w:cs="Arial"/>
          <w:sz w:val="24"/>
          <w:szCs w:val="24"/>
        </w:rPr>
        <w:t xml:space="preserve">, especially in relation to the </w:t>
      </w:r>
      <w:r w:rsidR="00CB1DDA">
        <w:rPr>
          <w:rFonts w:ascii="Arial" w:hAnsi="Arial" w:cs="Arial"/>
          <w:sz w:val="24"/>
          <w:szCs w:val="24"/>
        </w:rPr>
        <w:t xml:space="preserve">harmonisation </w:t>
      </w:r>
      <w:r>
        <w:rPr>
          <w:rFonts w:ascii="Arial" w:hAnsi="Arial" w:cs="Arial"/>
          <w:sz w:val="24"/>
          <w:szCs w:val="24"/>
        </w:rPr>
        <w:t>of procedures at the EU level. Topic</w:t>
      </w:r>
      <w:r w:rsidR="00CB1DDA">
        <w:rPr>
          <w:rFonts w:ascii="Arial" w:hAnsi="Arial" w:cs="Arial"/>
          <w:sz w:val="24"/>
          <w:szCs w:val="24"/>
        </w:rPr>
        <w:t>s</w:t>
      </w:r>
      <w:r>
        <w:rPr>
          <w:rFonts w:ascii="Arial" w:hAnsi="Arial" w:cs="Arial"/>
          <w:sz w:val="24"/>
          <w:szCs w:val="24"/>
        </w:rPr>
        <w:t xml:space="preserve"> to be further explored include </w:t>
      </w:r>
      <w:r w:rsidR="00835259">
        <w:rPr>
          <w:rFonts w:ascii="Arial" w:hAnsi="Arial" w:cs="Arial"/>
          <w:sz w:val="24"/>
          <w:szCs w:val="24"/>
        </w:rPr>
        <w:t>a</w:t>
      </w:r>
      <w:r>
        <w:rPr>
          <w:rFonts w:ascii="Arial" w:hAnsi="Arial" w:cs="Arial"/>
          <w:sz w:val="24"/>
          <w:szCs w:val="24"/>
        </w:rPr>
        <w:t xml:space="preserve"> resubmission policy, the different roles of the ECB and of the NCAs in the data quality process, and the formal involvement of senior management and of the auditing departments </w:t>
      </w:r>
      <w:r w:rsidR="00831A0E">
        <w:rPr>
          <w:rFonts w:ascii="Arial" w:hAnsi="Arial" w:cs="Arial"/>
          <w:sz w:val="24"/>
          <w:szCs w:val="24"/>
        </w:rPr>
        <w:t>in the reporting</w:t>
      </w:r>
      <w:r>
        <w:rPr>
          <w:rFonts w:ascii="Arial" w:hAnsi="Arial" w:cs="Arial"/>
          <w:sz w:val="24"/>
          <w:szCs w:val="24"/>
        </w:rPr>
        <w:t xml:space="preserve"> </w:t>
      </w:r>
      <w:r w:rsidR="00831A0E">
        <w:rPr>
          <w:rFonts w:ascii="Arial" w:hAnsi="Arial" w:cs="Arial"/>
          <w:sz w:val="24"/>
          <w:szCs w:val="24"/>
        </w:rPr>
        <w:t>process</w:t>
      </w:r>
      <w:r>
        <w:rPr>
          <w:rFonts w:ascii="Arial" w:hAnsi="Arial" w:cs="Arial"/>
          <w:sz w:val="24"/>
          <w:szCs w:val="24"/>
        </w:rPr>
        <w:t>.</w:t>
      </w:r>
      <w:r w:rsidR="006D1F1D">
        <w:rPr>
          <w:rFonts w:ascii="Arial" w:hAnsi="Arial" w:cs="Arial"/>
          <w:sz w:val="24"/>
          <w:szCs w:val="24"/>
        </w:rPr>
        <w:t xml:space="preserve"> </w:t>
      </w:r>
      <w:r w:rsidR="00B47561">
        <w:rPr>
          <w:rFonts w:ascii="Arial" w:hAnsi="Arial" w:cs="Arial"/>
          <w:sz w:val="24"/>
          <w:szCs w:val="24"/>
        </w:rPr>
        <w:t>T</w:t>
      </w:r>
      <w:r>
        <w:rPr>
          <w:rFonts w:ascii="Arial" w:hAnsi="Arial" w:cs="Arial"/>
          <w:sz w:val="24"/>
          <w:szCs w:val="24"/>
        </w:rPr>
        <w:t>he future frameworks</w:t>
      </w:r>
      <w:r w:rsidR="00B47561">
        <w:rPr>
          <w:rFonts w:ascii="Arial" w:hAnsi="Arial" w:cs="Arial"/>
          <w:sz w:val="24"/>
          <w:szCs w:val="24"/>
        </w:rPr>
        <w:t xml:space="preserve"> will also benefit from </w:t>
      </w:r>
      <w:r>
        <w:rPr>
          <w:rFonts w:ascii="Arial" w:hAnsi="Arial" w:cs="Arial"/>
          <w:sz w:val="24"/>
          <w:szCs w:val="24"/>
        </w:rPr>
        <w:t xml:space="preserve">the </w:t>
      </w:r>
      <w:r w:rsidR="00DC38DA">
        <w:rPr>
          <w:rFonts w:ascii="Arial" w:hAnsi="Arial" w:cs="Arial"/>
          <w:sz w:val="24"/>
          <w:szCs w:val="24"/>
        </w:rPr>
        <w:t xml:space="preserve">inevitable </w:t>
      </w:r>
      <w:r>
        <w:rPr>
          <w:rFonts w:ascii="Arial" w:hAnsi="Arial" w:cs="Arial"/>
          <w:sz w:val="24"/>
          <w:szCs w:val="24"/>
        </w:rPr>
        <w:t>introduction of new techniques</w:t>
      </w:r>
      <w:r w:rsidR="00835259">
        <w:rPr>
          <w:rFonts w:ascii="Arial" w:hAnsi="Arial" w:cs="Arial"/>
          <w:sz w:val="24"/>
          <w:szCs w:val="24"/>
        </w:rPr>
        <w:t xml:space="preserve"> and more advanced methods</w:t>
      </w:r>
      <w:r w:rsidR="00B47561">
        <w:rPr>
          <w:rFonts w:ascii="Arial" w:hAnsi="Arial" w:cs="Arial"/>
          <w:sz w:val="24"/>
          <w:szCs w:val="24"/>
        </w:rPr>
        <w:t>,</w:t>
      </w:r>
      <w:r w:rsidR="00835259">
        <w:rPr>
          <w:rFonts w:ascii="Arial" w:hAnsi="Arial" w:cs="Arial"/>
          <w:sz w:val="24"/>
          <w:szCs w:val="24"/>
        </w:rPr>
        <w:t xml:space="preserve"> such </w:t>
      </w:r>
      <w:r w:rsidR="007E7ACF">
        <w:rPr>
          <w:rFonts w:ascii="Arial" w:hAnsi="Arial" w:cs="Arial"/>
          <w:sz w:val="24"/>
          <w:szCs w:val="24"/>
        </w:rPr>
        <w:t>as approaches</w:t>
      </w:r>
      <w:r w:rsidR="007F320B">
        <w:rPr>
          <w:rFonts w:ascii="Arial" w:hAnsi="Arial" w:cs="Arial"/>
          <w:sz w:val="24"/>
          <w:szCs w:val="24"/>
        </w:rPr>
        <w:t xml:space="preserve"> suitable </w:t>
      </w:r>
      <w:r w:rsidR="00C314CC">
        <w:rPr>
          <w:rFonts w:ascii="Arial" w:hAnsi="Arial" w:cs="Arial"/>
          <w:sz w:val="24"/>
          <w:szCs w:val="24"/>
        </w:rPr>
        <w:t>for “big data”</w:t>
      </w:r>
      <w:r w:rsidR="00737997">
        <w:rPr>
          <w:rFonts w:ascii="Arial" w:hAnsi="Arial" w:cs="Arial"/>
          <w:sz w:val="24"/>
          <w:szCs w:val="24"/>
        </w:rPr>
        <w:t>,</w:t>
      </w:r>
      <w:r w:rsidR="00B47561">
        <w:rPr>
          <w:rFonts w:ascii="Arial" w:hAnsi="Arial" w:cs="Arial"/>
          <w:sz w:val="24"/>
          <w:szCs w:val="24"/>
        </w:rPr>
        <w:t xml:space="preserve"> </w:t>
      </w:r>
      <w:r w:rsidR="00835259">
        <w:rPr>
          <w:rFonts w:ascii="Arial" w:hAnsi="Arial" w:cs="Arial"/>
          <w:sz w:val="24"/>
          <w:szCs w:val="24"/>
        </w:rPr>
        <w:t>made possible</w:t>
      </w:r>
      <w:r w:rsidR="00DC38DA">
        <w:rPr>
          <w:rFonts w:ascii="Arial" w:hAnsi="Arial" w:cs="Arial"/>
          <w:sz w:val="24"/>
          <w:szCs w:val="24"/>
        </w:rPr>
        <w:t xml:space="preserve"> by the</w:t>
      </w:r>
      <w:r>
        <w:rPr>
          <w:rFonts w:ascii="Arial" w:hAnsi="Arial" w:cs="Arial"/>
          <w:sz w:val="24"/>
          <w:szCs w:val="24"/>
        </w:rPr>
        <w:t xml:space="preserve"> </w:t>
      </w:r>
      <w:r w:rsidR="00B47561">
        <w:rPr>
          <w:rFonts w:ascii="Arial" w:hAnsi="Arial" w:cs="Arial"/>
          <w:sz w:val="24"/>
          <w:szCs w:val="24"/>
        </w:rPr>
        <w:t xml:space="preserve">availability of </w:t>
      </w:r>
      <w:r w:rsidR="00737997">
        <w:rPr>
          <w:rFonts w:ascii="Arial" w:hAnsi="Arial" w:cs="Arial"/>
          <w:sz w:val="24"/>
          <w:szCs w:val="24"/>
        </w:rPr>
        <w:t xml:space="preserve">more </w:t>
      </w:r>
      <w:r w:rsidR="00B47561">
        <w:rPr>
          <w:rFonts w:ascii="Arial" w:hAnsi="Arial" w:cs="Arial"/>
          <w:sz w:val="24"/>
          <w:szCs w:val="24"/>
        </w:rPr>
        <w:t>granular datasets</w:t>
      </w:r>
      <w:r w:rsidR="00DC38DA">
        <w:rPr>
          <w:rFonts w:ascii="Arial" w:hAnsi="Arial" w:cs="Arial"/>
          <w:sz w:val="24"/>
          <w:szCs w:val="24"/>
        </w:rPr>
        <w:t>.</w:t>
      </w:r>
    </w:p>
    <w:p w:rsidR="00DC38DA" w:rsidRPr="00DC38DA" w:rsidRDefault="00CB1DDA" w:rsidP="0067521F">
      <w:pPr>
        <w:spacing w:before="120" w:after="0" w:line="360" w:lineRule="auto"/>
        <w:jc w:val="both"/>
        <w:rPr>
          <w:rFonts w:ascii="Arial" w:hAnsi="Arial" w:cs="Arial"/>
          <w:b/>
          <w:i/>
          <w:sz w:val="24"/>
          <w:szCs w:val="24"/>
        </w:rPr>
      </w:pPr>
      <w:r>
        <w:rPr>
          <w:rFonts w:ascii="Arial" w:hAnsi="Arial" w:cs="Arial"/>
          <w:b/>
          <w:i/>
          <w:sz w:val="24"/>
          <w:szCs w:val="24"/>
        </w:rPr>
        <w:t xml:space="preserve">This paper should not be reported as representing the views of the European Central Bank (ECB). </w:t>
      </w:r>
      <w:r w:rsidR="00DC38DA" w:rsidRPr="00DC38DA">
        <w:rPr>
          <w:rFonts w:ascii="Arial" w:hAnsi="Arial" w:cs="Arial"/>
          <w:b/>
          <w:i/>
          <w:sz w:val="24"/>
          <w:szCs w:val="24"/>
        </w:rPr>
        <w:t>The views expressed are those of the authors and do not necessarily re</w:t>
      </w:r>
      <w:r>
        <w:rPr>
          <w:rFonts w:ascii="Arial" w:hAnsi="Arial" w:cs="Arial"/>
          <w:b/>
          <w:i/>
          <w:sz w:val="24"/>
          <w:szCs w:val="24"/>
        </w:rPr>
        <w:t>flect</w:t>
      </w:r>
      <w:r w:rsidR="00DC38DA" w:rsidRPr="00DC38DA">
        <w:rPr>
          <w:rFonts w:ascii="Arial" w:hAnsi="Arial" w:cs="Arial"/>
          <w:b/>
          <w:i/>
          <w:sz w:val="24"/>
          <w:szCs w:val="24"/>
        </w:rPr>
        <w:t xml:space="preserve"> </w:t>
      </w:r>
      <w:r w:rsidR="007651EE">
        <w:rPr>
          <w:rFonts w:ascii="Arial" w:hAnsi="Arial" w:cs="Arial"/>
          <w:b/>
          <w:i/>
          <w:sz w:val="24"/>
          <w:szCs w:val="24"/>
        </w:rPr>
        <w:t>those</w:t>
      </w:r>
      <w:r w:rsidR="00DC38DA" w:rsidRPr="00DC38DA">
        <w:rPr>
          <w:rFonts w:ascii="Arial" w:hAnsi="Arial" w:cs="Arial"/>
          <w:b/>
          <w:i/>
          <w:sz w:val="24"/>
          <w:szCs w:val="24"/>
        </w:rPr>
        <w:t xml:space="preserve"> of the E</w:t>
      </w:r>
      <w:r>
        <w:rPr>
          <w:rFonts w:ascii="Arial" w:hAnsi="Arial" w:cs="Arial"/>
          <w:b/>
          <w:i/>
          <w:sz w:val="24"/>
          <w:szCs w:val="24"/>
        </w:rPr>
        <w:t>CB</w:t>
      </w:r>
      <w:r w:rsidR="00DC38DA" w:rsidRPr="00DC38DA">
        <w:rPr>
          <w:rFonts w:ascii="Arial" w:hAnsi="Arial" w:cs="Arial"/>
          <w:b/>
          <w:i/>
          <w:sz w:val="24"/>
          <w:szCs w:val="24"/>
        </w:rPr>
        <w:t>.</w:t>
      </w:r>
    </w:p>
    <w:p w:rsidR="009D4EEA" w:rsidRPr="005721E9" w:rsidRDefault="009D4EEA" w:rsidP="00DC38DA">
      <w:pPr>
        <w:spacing w:before="360" w:after="0" w:line="360" w:lineRule="auto"/>
        <w:jc w:val="both"/>
        <w:rPr>
          <w:rFonts w:ascii="Arial" w:hAnsi="Arial" w:cs="Arial"/>
          <w:sz w:val="24"/>
          <w:szCs w:val="24"/>
        </w:rPr>
      </w:pPr>
      <w:r w:rsidRPr="00EC5F5A">
        <w:rPr>
          <w:rFonts w:ascii="Arial" w:hAnsi="Arial" w:cs="Arial"/>
          <w:b/>
          <w:sz w:val="24"/>
          <w:szCs w:val="24"/>
        </w:rPr>
        <w:t>References</w:t>
      </w:r>
    </w:p>
    <w:p w:rsidR="005F65CA" w:rsidRPr="00E605FF" w:rsidRDefault="009D4EEA" w:rsidP="00E605FF">
      <w:pPr>
        <w:spacing w:before="120" w:after="0" w:line="360" w:lineRule="auto"/>
        <w:jc w:val="both"/>
        <w:rPr>
          <w:rFonts w:ascii="Arial" w:hAnsi="Arial" w:cs="Arial"/>
          <w:sz w:val="24"/>
          <w:szCs w:val="24"/>
        </w:rPr>
      </w:pPr>
      <w:r w:rsidRPr="00E605FF">
        <w:rPr>
          <w:rFonts w:ascii="Arial" w:hAnsi="Arial" w:cs="Arial"/>
          <w:sz w:val="24"/>
          <w:szCs w:val="24"/>
        </w:rPr>
        <w:t>Chio</w:t>
      </w:r>
      <w:r w:rsidR="00B701D1">
        <w:rPr>
          <w:rFonts w:ascii="Arial" w:hAnsi="Arial" w:cs="Arial"/>
          <w:sz w:val="24"/>
          <w:szCs w:val="24"/>
        </w:rPr>
        <w:t>n</w:t>
      </w:r>
      <w:r w:rsidRPr="00E605FF">
        <w:rPr>
          <w:rFonts w:ascii="Arial" w:hAnsi="Arial" w:cs="Arial"/>
          <w:sz w:val="24"/>
          <w:szCs w:val="24"/>
        </w:rPr>
        <w:t>sini G., Garcia L. and Quagliar</w:t>
      </w:r>
      <w:r w:rsidR="00B701D1">
        <w:rPr>
          <w:rFonts w:ascii="Arial" w:hAnsi="Arial" w:cs="Arial"/>
          <w:sz w:val="24"/>
          <w:szCs w:val="24"/>
        </w:rPr>
        <w:t>i</w:t>
      </w:r>
      <w:r w:rsidRPr="00E605FF">
        <w:rPr>
          <w:rFonts w:ascii="Arial" w:hAnsi="Arial" w:cs="Arial"/>
          <w:sz w:val="24"/>
          <w:szCs w:val="24"/>
        </w:rPr>
        <w:t>ello M. (201</w:t>
      </w:r>
      <w:r w:rsidR="005F65CA" w:rsidRPr="00E605FF">
        <w:rPr>
          <w:rFonts w:ascii="Arial" w:hAnsi="Arial" w:cs="Arial"/>
          <w:sz w:val="24"/>
          <w:szCs w:val="24"/>
        </w:rPr>
        <w:t>7</w:t>
      </w:r>
      <w:r w:rsidRPr="00E605FF">
        <w:rPr>
          <w:rFonts w:ascii="Arial" w:hAnsi="Arial" w:cs="Arial"/>
          <w:sz w:val="24"/>
          <w:szCs w:val="24"/>
        </w:rPr>
        <w:t xml:space="preserve">), How far have we come on EU banking statistics? Are we there yet? </w:t>
      </w:r>
      <w:r w:rsidR="005F65CA" w:rsidRPr="00E605FF">
        <w:rPr>
          <w:rFonts w:ascii="Arial" w:hAnsi="Arial" w:cs="Arial"/>
          <w:sz w:val="24"/>
          <w:szCs w:val="24"/>
        </w:rPr>
        <w:t xml:space="preserve">In Eurostat, </w:t>
      </w:r>
      <w:r w:rsidR="005F65CA" w:rsidRPr="00E605FF">
        <w:rPr>
          <w:rFonts w:ascii="Arial" w:hAnsi="Arial" w:cs="Arial"/>
          <w:i/>
          <w:sz w:val="24"/>
          <w:szCs w:val="24"/>
        </w:rPr>
        <w:t>Selected papers from the 2016 Conference of European Statistics Stakeholders</w:t>
      </w:r>
      <w:r w:rsidR="005F65CA" w:rsidRPr="00E605FF">
        <w:rPr>
          <w:rFonts w:ascii="Arial" w:hAnsi="Arial" w:cs="Arial"/>
          <w:sz w:val="24"/>
          <w:szCs w:val="24"/>
        </w:rPr>
        <w:t>, pp. 40-49, Publications Office of the European Union: Luxembourg.</w:t>
      </w:r>
    </w:p>
    <w:p w:rsidR="00E605FF" w:rsidRDefault="005721E9" w:rsidP="009D4EEA">
      <w:pPr>
        <w:spacing w:before="120" w:after="0" w:line="360" w:lineRule="auto"/>
        <w:jc w:val="both"/>
        <w:rPr>
          <w:rFonts w:ascii="Arial" w:hAnsi="Arial" w:cs="Arial"/>
          <w:sz w:val="24"/>
          <w:szCs w:val="24"/>
        </w:rPr>
      </w:pPr>
      <w:r>
        <w:rPr>
          <w:rFonts w:ascii="Arial" w:hAnsi="Arial" w:cs="Arial"/>
          <w:sz w:val="24"/>
          <w:szCs w:val="24"/>
        </w:rPr>
        <w:t xml:space="preserve">European Central Bank (2008), </w:t>
      </w:r>
      <w:r w:rsidRPr="00E605FF">
        <w:rPr>
          <w:rFonts w:ascii="Arial" w:hAnsi="Arial" w:cs="Arial"/>
          <w:i/>
          <w:sz w:val="24"/>
          <w:szCs w:val="24"/>
        </w:rPr>
        <w:t>ECB Statistics Quality Framework (SQF)</w:t>
      </w:r>
      <w:r w:rsidR="00E605FF">
        <w:rPr>
          <w:rFonts w:ascii="Arial" w:hAnsi="Arial" w:cs="Arial"/>
          <w:sz w:val="24"/>
          <w:szCs w:val="24"/>
        </w:rPr>
        <w:t xml:space="preserve">. </w:t>
      </w:r>
      <w:r w:rsidR="00E605FF" w:rsidRPr="00EC5F5A">
        <w:rPr>
          <w:rFonts w:ascii="Arial" w:hAnsi="Arial" w:cs="Arial"/>
          <w:sz w:val="24"/>
          <w:szCs w:val="24"/>
        </w:rPr>
        <w:t>Available at</w:t>
      </w:r>
      <w:r w:rsidR="00E605FF">
        <w:rPr>
          <w:rFonts w:ascii="Arial" w:hAnsi="Arial" w:cs="Arial"/>
          <w:sz w:val="24"/>
          <w:szCs w:val="24"/>
        </w:rPr>
        <w:t>:</w:t>
      </w:r>
      <w:r w:rsidR="00EC4172">
        <w:rPr>
          <w:rFonts w:ascii="Arial" w:hAnsi="Arial" w:cs="Arial"/>
          <w:sz w:val="24"/>
          <w:szCs w:val="24"/>
        </w:rPr>
        <w:t xml:space="preserve"> </w:t>
      </w:r>
      <w:hyperlink r:id="rId16" w:history="1">
        <w:r w:rsidR="00E605FF" w:rsidRPr="000B39C9">
          <w:rPr>
            <w:rStyle w:val="Hyperlink"/>
            <w:rFonts w:ascii="Arial" w:hAnsi="Arial" w:cs="Arial"/>
            <w:sz w:val="24"/>
            <w:szCs w:val="24"/>
          </w:rPr>
          <w:t>https://www.ecb.europa.eu/pub/pdf/other/ecbstatisticsqualityframework200804en.pdf</w:t>
        </w:r>
      </w:hyperlink>
    </w:p>
    <w:p w:rsidR="007774FF" w:rsidRDefault="007774FF" w:rsidP="00EC4172">
      <w:pPr>
        <w:spacing w:before="120" w:after="0" w:line="360" w:lineRule="auto"/>
        <w:rPr>
          <w:rFonts w:ascii="Arial" w:hAnsi="Arial" w:cs="Arial"/>
          <w:sz w:val="24"/>
          <w:szCs w:val="24"/>
        </w:rPr>
      </w:pPr>
      <w:r>
        <w:rPr>
          <w:rFonts w:ascii="Arial" w:hAnsi="Arial" w:cs="Arial"/>
          <w:sz w:val="24"/>
          <w:szCs w:val="24"/>
        </w:rPr>
        <w:t xml:space="preserve">European Central Bank (2018), </w:t>
      </w:r>
      <w:r w:rsidRPr="00EC4172">
        <w:rPr>
          <w:rFonts w:ascii="Arial" w:hAnsi="Arial" w:cs="Arial"/>
          <w:i/>
          <w:sz w:val="24"/>
          <w:szCs w:val="24"/>
        </w:rPr>
        <w:t>Report on the Thematic Review on effective risk data aggregation and risk reporting</w:t>
      </w:r>
      <w:r>
        <w:rPr>
          <w:rFonts w:ascii="Arial" w:hAnsi="Arial" w:cs="Arial"/>
          <w:sz w:val="24"/>
          <w:szCs w:val="24"/>
        </w:rPr>
        <w:t xml:space="preserve">. </w:t>
      </w:r>
      <w:r w:rsidRPr="00EC5F5A">
        <w:rPr>
          <w:rFonts w:ascii="Arial" w:hAnsi="Arial" w:cs="Arial"/>
          <w:sz w:val="24"/>
          <w:szCs w:val="24"/>
        </w:rPr>
        <w:t>Available at</w:t>
      </w:r>
      <w:r>
        <w:rPr>
          <w:rFonts w:ascii="Arial" w:hAnsi="Arial" w:cs="Arial"/>
          <w:sz w:val="24"/>
          <w:szCs w:val="24"/>
        </w:rPr>
        <w:t>:</w:t>
      </w:r>
      <w:r w:rsidR="00EC4172">
        <w:rPr>
          <w:rFonts w:ascii="Arial" w:hAnsi="Arial" w:cs="Arial"/>
          <w:sz w:val="24"/>
          <w:szCs w:val="24"/>
        </w:rPr>
        <w:t xml:space="preserve"> </w:t>
      </w:r>
      <w:hyperlink r:id="rId17" w:history="1">
        <w:r w:rsidR="00EC4172" w:rsidRPr="009613AF">
          <w:rPr>
            <w:rStyle w:val="Hyperlink"/>
            <w:rFonts w:ascii="Arial" w:hAnsi="Arial" w:cs="Arial"/>
            <w:sz w:val="24"/>
            <w:szCs w:val="24"/>
          </w:rPr>
          <w:t>https://www.bankingsupervision.europa.eu/ecb/pub/pdf/ssm.BCBS_239_report_201805.pdf</w:t>
        </w:r>
      </w:hyperlink>
    </w:p>
    <w:p w:rsidR="005F65CA" w:rsidRDefault="005F65CA" w:rsidP="009D4EEA">
      <w:pPr>
        <w:spacing w:before="120" w:after="0" w:line="360" w:lineRule="auto"/>
        <w:jc w:val="both"/>
        <w:rPr>
          <w:rFonts w:ascii="Arial" w:hAnsi="Arial" w:cs="Arial"/>
          <w:sz w:val="24"/>
          <w:szCs w:val="24"/>
        </w:rPr>
      </w:pPr>
      <w:r>
        <w:rPr>
          <w:rFonts w:ascii="Arial" w:hAnsi="Arial" w:cs="Arial"/>
          <w:sz w:val="24"/>
          <w:szCs w:val="24"/>
        </w:rPr>
        <w:t xml:space="preserve">Pellizzari G. and Poloni, P. (2017), Risk data aggregation and risk reporting: A regulatory perspective. In </w:t>
      </w:r>
      <w:r w:rsidR="005721E9">
        <w:rPr>
          <w:rFonts w:ascii="Arial" w:hAnsi="Arial" w:cs="Arial"/>
          <w:sz w:val="24"/>
          <w:szCs w:val="24"/>
        </w:rPr>
        <w:t xml:space="preserve">Haines P., </w:t>
      </w:r>
      <w:r w:rsidR="005721E9" w:rsidRPr="001F2713">
        <w:rPr>
          <w:rFonts w:ascii="Arial" w:hAnsi="Arial" w:cs="Arial"/>
          <w:i/>
          <w:sz w:val="24"/>
          <w:szCs w:val="24"/>
        </w:rPr>
        <w:t>BCBS 239: Guiding principles for compliance</w:t>
      </w:r>
      <w:r w:rsidR="005721E9">
        <w:rPr>
          <w:rFonts w:ascii="Arial" w:hAnsi="Arial" w:cs="Arial"/>
          <w:sz w:val="24"/>
          <w:szCs w:val="24"/>
        </w:rPr>
        <w:t xml:space="preserve">, </w:t>
      </w:r>
      <w:r w:rsidR="005721E9" w:rsidRPr="00C40A67">
        <w:rPr>
          <w:rFonts w:ascii="Arial" w:hAnsi="Arial" w:cs="Arial"/>
          <w:sz w:val="24"/>
          <w:szCs w:val="24"/>
        </w:rPr>
        <w:t>pp.</w:t>
      </w:r>
      <w:r w:rsidR="005721E9">
        <w:rPr>
          <w:rFonts w:ascii="Arial" w:hAnsi="Arial" w:cs="Arial"/>
          <w:sz w:val="24"/>
          <w:szCs w:val="24"/>
        </w:rPr>
        <w:t xml:space="preserve"> </w:t>
      </w:r>
      <w:r w:rsidR="00C40A67">
        <w:rPr>
          <w:rFonts w:ascii="Arial" w:hAnsi="Arial" w:cs="Arial"/>
          <w:sz w:val="24"/>
          <w:szCs w:val="24"/>
        </w:rPr>
        <w:t>13</w:t>
      </w:r>
      <w:r w:rsidR="00C40A67" w:rsidRPr="00E605FF">
        <w:rPr>
          <w:rFonts w:ascii="Arial" w:hAnsi="Arial" w:cs="Arial"/>
          <w:sz w:val="24"/>
          <w:szCs w:val="24"/>
        </w:rPr>
        <w:t>-</w:t>
      </w:r>
      <w:r w:rsidR="00C40A67">
        <w:rPr>
          <w:rFonts w:ascii="Arial" w:hAnsi="Arial" w:cs="Arial"/>
          <w:sz w:val="24"/>
          <w:szCs w:val="24"/>
        </w:rPr>
        <w:t>32</w:t>
      </w:r>
      <w:r w:rsidR="005721E9">
        <w:rPr>
          <w:rFonts w:ascii="Arial" w:hAnsi="Arial" w:cs="Arial"/>
          <w:sz w:val="24"/>
          <w:szCs w:val="24"/>
        </w:rPr>
        <w:t xml:space="preserve">, Risk Books: London, UK. </w:t>
      </w:r>
    </w:p>
    <w:p w:rsidR="00F66311" w:rsidRDefault="00F66311" w:rsidP="009D4EEA">
      <w:pPr>
        <w:spacing w:before="120" w:after="0" w:line="360" w:lineRule="auto"/>
        <w:jc w:val="both"/>
        <w:rPr>
          <w:rFonts w:ascii="Arial" w:hAnsi="Arial" w:cs="Arial"/>
          <w:sz w:val="24"/>
          <w:szCs w:val="24"/>
        </w:rPr>
      </w:pPr>
      <w:r>
        <w:rPr>
          <w:rFonts w:ascii="Arial" w:hAnsi="Arial" w:cs="Arial"/>
          <w:sz w:val="24"/>
          <w:szCs w:val="24"/>
        </w:rPr>
        <w:t xml:space="preserve">Rimmanen M. (2015), The Single EU Supervisory Reporting. In Quagliariello M., </w:t>
      </w:r>
      <w:r w:rsidRPr="00B701D1">
        <w:rPr>
          <w:rFonts w:ascii="Arial" w:hAnsi="Arial" w:cs="Arial"/>
          <w:i/>
          <w:sz w:val="24"/>
          <w:szCs w:val="24"/>
        </w:rPr>
        <w:t>Europe’s New Supervisory Toolkit</w:t>
      </w:r>
      <w:r>
        <w:rPr>
          <w:rFonts w:ascii="Arial" w:hAnsi="Arial" w:cs="Arial"/>
          <w:sz w:val="24"/>
          <w:szCs w:val="24"/>
        </w:rPr>
        <w:t>, pp. 29-59, Risk Books: London, UK.</w:t>
      </w:r>
    </w:p>
    <w:sectPr w:rsidR="00F66311" w:rsidSect="0023623C">
      <w:headerReference w:type="even" r:id="rId18"/>
      <w:headerReference w:type="default" r:id="rId19"/>
      <w:footerReference w:type="default" r:id="rId20"/>
      <w:headerReference w:type="first" r:id="rId21"/>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67F" w:rsidRDefault="005B267F" w:rsidP="00E82B25">
      <w:pPr>
        <w:spacing w:after="0" w:line="240" w:lineRule="auto"/>
      </w:pPr>
      <w:r>
        <w:separator/>
      </w:r>
    </w:p>
  </w:endnote>
  <w:endnote w:type="continuationSeparator" w:id="0">
    <w:p w:rsidR="005B267F" w:rsidRDefault="005B267F"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36665"/>
      <w:docPartObj>
        <w:docPartGallery w:val="Page Numbers (Bottom of Page)"/>
        <w:docPartUnique/>
      </w:docPartObj>
    </w:sdtPr>
    <w:sdtEndPr>
      <w:rPr>
        <w:rFonts w:ascii="Arial" w:hAnsi="Arial" w:cs="Arial"/>
        <w:sz w:val="24"/>
        <w:szCs w:val="24"/>
      </w:rPr>
    </w:sdtEndPr>
    <w:sdtContent>
      <w:p w:rsidR="009378F5" w:rsidRPr="009378F5" w:rsidRDefault="009378F5" w:rsidP="0035694D">
        <w:pPr>
          <w:pStyle w:val="Footer"/>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8E0545">
          <w:rPr>
            <w:rFonts w:ascii="Arial" w:hAnsi="Arial" w:cs="Arial"/>
            <w:noProof/>
            <w:sz w:val="24"/>
            <w:szCs w:val="24"/>
          </w:rPr>
          <w:t>1</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67F" w:rsidRDefault="005B267F" w:rsidP="00E82B25">
      <w:pPr>
        <w:spacing w:after="0" w:line="240" w:lineRule="auto"/>
      </w:pPr>
      <w:r>
        <w:separator/>
      </w:r>
    </w:p>
  </w:footnote>
  <w:footnote w:type="continuationSeparator" w:id="0">
    <w:p w:rsidR="005B267F" w:rsidRDefault="005B267F" w:rsidP="00E82B25">
      <w:pPr>
        <w:spacing w:after="0" w:line="240" w:lineRule="auto"/>
      </w:pPr>
      <w:r>
        <w:continuationSeparator/>
      </w:r>
    </w:p>
  </w:footnote>
  <w:footnote w:id="1">
    <w:p w:rsidR="00B67E1F" w:rsidRPr="00B701D1" w:rsidRDefault="00B67E1F" w:rsidP="00B67E1F">
      <w:pPr>
        <w:pStyle w:val="FootnoteText"/>
        <w:jc w:val="both"/>
      </w:pPr>
      <w:r w:rsidRPr="00B701D1">
        <w:rPr>
          <w:rStyle w:val="FootnoteReference"/>
        </w:rPr>
        <w:footnoteRef/>
      </w:r>
      <w:r w:rsidRPr="00B701D1">
        <w:t xml:space="preserve"> Commission Implementing Regulation (EU) No 680/2014.</w:t>
      </w:r>
      <w:r w:rsidR="00367641">
        <w:t xml:space="preserve"> Earlier versions of the COREP and FINREP frameworks were in use since 2008 on a voluntary basis at national level.</w:t>
      </w:r>
    </w:p>
  </w:footnote>
  <w:footnote w:id="2">
    <w:p w:rsidR="005245ED" w:rsidRDefault="005245ED">
      <w:pPr>
        <w:pStyle w:val="FootnoteText"/>
      </w:pPr>
      <w:r>
        <w:rPr>
          <w:rStyle w:val="FootnoteReference"/>
        </w:rPr>
        <w:footnoteRef/>
      </w:r>
      <w:r>
        <w:t xml:space="preserve"> See </w:t>
      </w:r>
      <w:hyperlink r:id="rId1" w:history="1">
        <w:r w:rsidRPr="00D03877">
          <w:rPr>
            <w:rStyle w:val="Hyperlink"/>
          </w:rPr>
          <w:t>https://www.eba.europa.eu/regulation-and-policy/supervisory-reporting</w:t>
        </w:r>
      </w:hyperlink>
      <w:r>
        <w:t>.</w:t>
      </w:r>
    </w:p>
  </w:footnote>
  <w:footnote w:id="3">
    <w:p w:rsidR="00301C28" w:rsidRPr="00B701D1" w:rsidRDefault="00301C28" w:rsidP="00301C28">
      <w:pPr>
        <w:pStyle w:val="FootnoteText"/>
        <w:jc w:val="both"/>
      </w:pPr>
      <w:r w:rsidRPr="00B701D1">
        <w:rPr>
          <w:rStyle w:val="FootnoteReference"/>
        </w:rPr>
        <w:footnoteRef/>
      </w:r>
      <w:r w:rsidRPr="00B701D1">
        <w:t xml:space="preserve"> Regulation (EU) No 468/2014 of the European Central Bank.</w:t>
      </w:r>
    </w:p>
  </w:footnote>
  <w:footnote w:id="4">
    <w:p w:rsidR="00C92F29" w:rsidRPr="00C92F29" w:rsidRDefault="00C92F29">
      <w:pPr>
        <w:pStyle w:val="FootnoteText"/>
      </w:pPr>
      <w:r w:rsidRPr="00B701D1">
        <w:rPr>
          <w:rStyle w:val="FootnoteReference"/>
        </w:rPr>
        <w:footnoteRef/>
      </w:r>
      <w:r w:rsidRPr="00B701D1">
        <w:t xml:space="preserve"> Principles 9 and 11 of the </w:t>
      </w:r>
      <w:r w:rsidRPr="00B701D1">
        <w:rPr>
          <w:i/>
        </w:rPr>
        <w:t>ECB Statistics Quality Framework</w:t>
      </w:r>
      <w:r w:rsidRPr="00B701D1">
        <w:t>.</w:t>
      </w:r>
    </w:p>
  </w:footnote>
  <w:footnote w:id="5">
    <w:p w:rsidR="00C92F29" w:rsidRPr="00C92F29" w:rsidRDefault="00C92F29">
      <w:pPr>
        <w:pStyle w:val="FootnoteText"/>
      </w:pPr>
      <w:r>
        <w:rPr>
          <w:rStyle w:val="FootnoteReference"/>
        </w:rPr>
        <w:footnoteRef/>
      </w:r>
      <w:r>
        <w:t xml:space="preserve"> </w:t>
      </w:r>
      <w:r w:rsidR="002231AC" w:rsidRPr="00A37C6C">
        <w:t xml:space="preserve">Principles 10 and 12 of the </w:t>
      </w:r>
      <w:r w:rsidR="002231AC" w:rsidRPr="00A37C6C">
        <w:rPr>
          <w:i/>
        </w:rPr>
        <w:t>ECB Statistics Quality Framework</w:t>
      </w:r>
      <w:r w:rsidR="002231AC" w:rsidRPr="00A37C6C">
        <w:t>.</w:t>
      </w:r>
    </w:p>
  </w:footnote>
  <w:footnote w:id="6">
    <w:p w:rsidR="003B7CFC" w:rsidRPr="00FD6862" w:rsidRDefault="003B7CFC" w:rsidP="00CF62E6">
      <w:pPr>
        <w:pStyle w:val="FootnoteText"/>
        <w:jc w:val="both"/>
      </w:pPr>
      <w:r>
        <w:rPr>
          <w:rStyle w:val="FootnoteReference"/>
        </w:rPr>
        <w:footnoteRef/>
      </w:r>
      <w:r>
        <w:t xml:space="preserve"> </w:t>
      </w:r>
      <w:r w:rsidR="00817072" w:rsidRPr="00FD6862">
        <w:t>T</w:t>
      </w:r>
      <w:r w:rsidRPr="00FD6862">
        <w:t xml:space="preserve">ypical </w:t>
      </w:r>
      <w:r w:rsidR="00817072" w:rsidRPr="00FD6862">
        <w:t>plausibility findings include</w:t>
      </w:r>
      <w:r w:rsidRPr="00FD6862">
        <w:t xml:space="preserve"> values that changed </w:t>
      </w:r>
      <w:r w:rsidR="00817072" w:rsidRPr="00FD6862">
        <w:t>unexpectedly</w:t>
      </w:r>
      <w:r w:rsidRPr="00FD6862">
        <w:t xml:space="preserve"> in comparison to previous reporting periods</w:t>
      </w:r>
      <w:r w:rsidR="00693BC5">
        <w:t xml:space="preserve"> or across peers</w:t>
      </w:r>
      <w:r w:rsidRPr="00FD6862">
        <w:t xml:space="preserve">, as well as </w:t>
      </w:r>
      <w:r w:rsidR="00817072" w:rsidRPr="00FD6862">
        <w:t xml:space="preserve">unexpected </w:t>
      </w:r>
      <w:r w:rsidRPr="00FD6862">
        <w:t xml:space="preserve">changes in the number of templates and data points reported. </w:t>
      </w:r>
    </w:p>
  </w:footnote>
  <w:footnote w:id="7">
    <w:p w:rsidR="00FD6862" w:rsidRPr="00FD6862" w:rsidRDefault="00FD6862" w:rsidP="00CF62E6">
      <w:pPr>
        <w:pStyle w:val="FootnoteText"/>
        <w:jc w:val="both"/>
      </w:pPr>
      <w:r w:rsidRPr="00FD6862">
        <w:rPr>
          <w:rStyle w:val="FootnoteReference"/>
        </w:rPr>
        <w:footnoteRef/>
      </w:r>
      <w:r w:rsidRPr="00FD6862">
        <w:t xml:space="preserve"> Measuring punctuality can be problematic because of the time lag between primary reporting (to the national authorities) and secondary reporting (to the ECB)</w:t>
      </w:r>
      <w:r>
        <w:t>.</w:t>
      </w:r>
    </w:p>
  </w:footnote>
  <w:footnote w:id="8">
    <w:p w:rsidR="00811D37" w:rsidRPr="00811D37" w:rsidRDefault="00811D37">
      <w:pPr>
        <w:pStyle w:val="FootnoteText"/>
      </w:pPr>
      <w:r>
        <w:rPr>
          <w:rStyle w:val="FootnoteReference"/>
        </w:rPr>
        <w:footnoteRef/>
      </w:r>
      <w:r>
        <w:t xml:space="preserve"> See Principle 10 of the </w:t>
      </w:r>
      <w:r w:rsidRPr="00811D37">
        <w:rPr>
          <w:i/>
        </w:rPr>
        <w:t>ECB Statistics Quality Framework</w:t>
      </w:r>
      <w:r w:rsidR="009E271C">
        <w:t>.</w:t>
      </w:r>
    </w:p>
  </w:footnote>
  <w:footnote w:id="9">
    <w:p w:rsidR="000C07F3" w:rsidRPr="000C07F3" w:rsidRDefault="000C07F3" w:rsidP="0099568D">
      <w:pPr>
        <w:pStyle w:val="FootnoteText"/>
        <w:jc w:val="both"/>
      </w:pPr>
      <w:r>
        <w:rPr>
          <w:rStyle w:val="FootnoteReference"/>
        </w:rPr>
        <w:footnoteRef/>
      </w:r>
      <w:r>
        <w:t xml:space="preserve"> </w:t>
      </w:r>
      <w:r w:rsidRPr="0099568D">
        <w:t xml:space="preserve">An open question concerns the expectation of resubmissions for errors found in past reporting periods. This is particularly relevant as the audience of supervisory </w:t>
      </w:r>
      <w:r w:rsidR="00835259">
        <w:t xml:space="preserve">data expands from just </w:t>
      </w:r>
      <w:r w:rsidRPr="0099568D">
        <w:t xml:space="preserve">supervisors </w:t>
      </w:r>
      <w:r w:rsidR="00835259">
        <w:t>to</w:t>
      </w:r>
      <w:r w:rsidRPr="0099568D">
        <w:t xml:space="preserve"> other business areas, more reliant on consistent time series (e.g. financial stability, economic research).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5B267F">
    <w:pPr>
      <w:pStyle w:val="Header"/>
    </w:pPr>
    <w:r>
      <w:rPr>
        <w:noProof/>
        <w:lang w:val="pl-PL"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5B267F">
    <w:pPr>
      <w:pStyle w:val="Header"/>
    </w:pPr>
    <w:r>
      <w:rPr>
        <w:noProof/>
        <w:lang w:val="pl-PL"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5B267F">
    <w:pPr>
      <w:pStyle w:val="Header"/>
    </w:pPr>
    <w:r>
      <w:rPr>
        <w:noProof/>
        <w:lang w:val="pl-PL"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C62E5"/>
    <w:multiLevelType w:val="hybridMultilevel"/>
    <w:tmpl w:val="7638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D7270E"/>
    <w:multiLevelType w:val="hybridMultilevel"/>
    <w:tmpl w:val="FAC87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884E3A"/>
    <w:multiLevelType w:val="hybridMultilevel"/>
    <w:tmpl w:val="BA62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942AD0"/>
    <w:multiLevelType w:val="hybridMultilevel"/>
    <w:tmpl w:val="A190A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D56E30"/>
    <w:multiLevelType w:val="hybridMultilevel"/>
    <w:tmpl w:val="F1784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trackRevisions/>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E369C"/>
    <w:rsid w:val="00000BCA"/>
    <w:rsid w:val="00003D7D"/>
    <w:rsid w:val="00006CB0"/>
    <w:rsid w:val="00010BEB"/>
    <w:rsid w:val="00026CD3"/>
    <w:rsid w:val="00043537"/>
    <w:rsid w:val="00047C24"/>
    <w:rsid w:val="00057660"/>
    <w:rsid w:val="00063494"/>
    <w:rsid w:val="00064F85"/>
    <w:rsid w:val="0007032C"/>
    <w:rsid w:val="00070925"/>
    <w:rsid w:val="0007704A"/>
    <w:rsid w:val="00082D8E"/>
    <w:rsid w:val="0008777D"/>
    <w:rsid w:val="00092F6C"/>
    <w:rsid w:val="000957CC"/>
    <w:rsid w:val="0009679B"/>
    <w:rsid w:val="000A4FC6"/>
    <w:rsid w:val="000C07F3"/>
    <w:rsid w:val="000C6472"/>
    <w:rsid w:val="000D0F2D"/>
    <w:rsid w:val="000D705A"/>
    <w:rsid w:val="000E4A61"/>
    <w:rsid w:val="000F1008"/>
    <w:rsid w:val="000F337F"/>
    <w:rsid w:val="000F53DC"/>
    <w:rsid w:val="000F5456"/>
    <w:rsid w:val="00121381"/>
    <w:rsid w:val="00133E07"/>
    <w:rsid w:val="001367D8"/>
    <w:rsid w:val="00142A8D"/>
    <w:rsid w:val="001563CC"/>
    <w:rsid w:val="00157DAD"/>
    <w:rsid w:val="00160406"/>
    <w:rsid w:val="0016743D"/>
    <w:rsid w:val="00182357"/>
    <w:rsid w:val="00183E28"/>
    <w:rsid w:val="00185632"/>
    <w:rsid w:val="001906FA"/>
    <w:rsid w:val="00193ED6"/>
    <w:rsid w:val="00194A2B"/>
    <w:rsid w:val="0019582F"/>
    <w:rsid w:val="001961E0"/>
    <w:rsid w:val="001A1CE9"/>
    <w:rsid w:val="001A2760"/>
    <w:rsid w:val="001A36E8"/>
    <w:rsid w:val="001B0D79"/>
    <w:rsid w:val="001C0E22"/>
    <w:rsid w:val="001E43DC"/>
    <w:rsid w:val="001E43EF"/>
    <w:rsid w:val="001F2713"/>
    <w:rsid w:val="00201B9B"/>
    <w:rsid w:val="00207BD5"/>
    <w:rsid w:val="00213A54"/>
    <w:rsid w:val="00216F6D"/>
    <w:rsid w:val="00221F17"/>
    <w:rsid w:val="002231AC"/>
    <w:rsid w:val="002324C8"/>
    <w:rsid w:val="00234927"/>
    <w:rsid w:val="0023623C"/>
    <w:rsid w:val="00242620"/>
    <w:rsid w:val="00247EE7"/>
    <w:rsid w:val="00250CF4"/>
    <w:rsid w:val="002521DE"/>
    <w:rsid w:val="00261BB0"/>
    <w:rsid w:val="0028150C"/>
    <w:rsid w:val="00282B53"/>
    <w:rsid w:val="00284E4B"/>
    <w:rsid w:val="002868D4"/>
    <w:rsid w:val="00293580"/>
    <w:rsid w:val="00297850"/>
    <w:rsid w:val="002B6D33"/>
    <w:rsid w:val="002F27D7"/>
    <w:rsid w:val="00301C28"/>
    <w:rsid w:val="003045ED"/>
    <w:rsid w:val="00307B23"/>
    <w:rsid w:val="00314B3A"/>
    <w:rsid w:val="003275A9"/>
    <w:rsid w:val="00336C6E"/>
    <w:rsid w:val="00336E21"/>
    <w:rsid w:val="00343852"/>
    <w:rsid w:val="003446AB"/>
    <w:rsid w:val="00352270"/>
    <w:rsid w:val="00354C31"/>
    <w:rsid w:val="0035526A"/>
    <w:rsid w:val="0035694D"/>
    <w:rsid w:val="00362815"/>
    <w:rsid w:val="00367641"/>
    <w:rsid w:val="003916B4"/>
    <w:rsid w:val="003A1D16"/>
    <w:rsid w:val="003B047E"/>
    <w:rsid w:val="003B7CFC"/>
    <w:rsid w:val="003C3747"/>
    <w:rsid w:val="003D03E8"/>
    <w:rsid w:val="003F55BC"/>
    <w:rsid w:val="004043A4"/>
    <w:rsid w:val="004150F5"/>
    <w:rsid w:val="00415201"/>
    <w:rsid w:val="00425B75"/>
    <w:rsid w:val="00442C35"/>
    <w:rsid w:val="00445366"/>
    <w:rsid w:val="00446C65"/>
    <w:rsid w:val="00451ACD"/>
    <w:rsid w:val="00452163"/>
    <w:rsid w:val="00460C26"/>
    <w:rsid w:val="00463782"/>
    <w:rsid w:val="00466EFF"/>
    <w:rsid w:val="004740F1"/>
    <w:rsid w:val="00476019"/>
    <w:rsid w:val="00493026"/>
    <w:rsid w:val="004A12A7"/>
    <w:rsid w:val="004A1A99"/>
    <w:rsid w:val="004B2432"/>
    <w:rsid w:val="004B39C1"/>
    <w:rsid w:val="004B6729"/>
    <w:rsid w:val="004C5048"/>
    <w:rsid w:val="004D098F"/>
    <w:rsid w:val="004D2DED"/>
    <w:rsid w:val="004D6448"/>
    <w:rsid w:val="004F04B4"/>
    <w:rsid w:val="004F2C83"/>
    <w:rsid w:val="00505330"/>
    <w:rsid w:val="005215E8"/>
    <w:rsid w:val="005236C4"/>
    <w:rsid w:val="005245ED"/>
    <w:rsid w:val="00530FD6"/>
    <w:rsid w:val="005451B9"/>
    <w:rsid w:val="00550A14"/>
    <w:rsid w:val="00571923"/>
    <w:rsid w:val="005721E9"/>
    <w:rsid w:val="005812C5"/>
    <w:rsid w:val="00581F09"/>
    <w:rsid w:val="005824E1"/>
    <w:rsid w:val="00582867"/>
    <w:rsid w:val="00582F57"/>
    <w:rsid w:val="00584767"/>
    <w:rsid w:val="005855D8"/>
    <w:rsid w:val="005906B0"/>
    <w:rsid w:val="005A1F57"/>
    <w:rsid w:val="005B267F"/>
    <w:rsid w:val="005B6971"/>
    <w:rsid w:val="005B761F"/>
    <w:rsid w:val="005C2719"/>
    <w:rsid w:val="005C5AE7"/>
    <w:rsid w:val="005E4801"/>
    <w:rsid w:val="005E6DEB"/>
    <w:rsid w:val="005F2140"/>
    <w:rsid w:val="005F238B"/>
    <w:rsid w:val="005F65CA"/>
    <w:rsid w:val="00602912"/>
    <w:rsid w:val="006052BF"/>
    <w:rsid w:val="00632167"/>
    <w:rsid w:val="0063697E"/>
    <w:rsid w:val="006428F0"/>
    <w:rsid w:val="00653D6C"/>
    <w:rsid w:val="006557B2"/>
    <w:rsid w:val="00667788"/>
    <w:rsid w:val="00670386"/>
    <w:rsid w:val="0067521F"/>
    <w:rsid w:val="0068587F"/>
    <w:rsid w:val="0069009D"/>
    <w:rsid w:val="00691571"/>
    <w:rsid w:val="00693BC5"/>
    <w:rsid w:val="00697934"/>
    <w:rsid w:val="00697C64"/>
    <w:rsid w:val="006A25C0"/>
    <w:rsid w:val="006A4D52"/>
    <w:rsid w:val="006B5A4A"/>
    <w:rsid w:val="006C5879"/>
    <w:rsid w:val="006D1F1D"/>
    <w:rsid w:val="006D6D90"/>
    <w:rsid w:val="006D724F"/>
    <w:rsid w:val="006E1BFD"/>
    <w:rsid w:val="00722791"/>
    <w:rsid w:val="00735949"/>
    <w:rsid w:val="00737997"/>
    <w:rsid w:val="007437EB"/>
    <w:rsid w:val="007447B7"/>
    <w:rsid w:val="007504B2"/>
    <w:rsid w:val="007651EE"/>
    <w:rsid w:val="007730C4"/>
    <w:rsid w:val="00774CAF"/>
    <w:rsid w:val="007756D4"/>
    <w:rsid w:val="00776C97"/>
    <w:rsid w:val="007774FF"/>
    <w:rsid w:val="00790A2B"/>
    <w:rsid w:val="007A46CA"/>
    <w:rsid w:val="007A5750"/>
    <w:rsid w:val="007B7C9B"/>
    <w:rsid w:val="007C2F3F"/>
    <w:rsid w:val="007D0753"/>
    <w:rsid w:val="007D1707"/>
    <w:rsid w:val="007E09BA"/>
    <w:rsid w:val="007E5415"/>
    <w:rsid w:val="007E6D8C"/>
    <w:rsid w:val="007E7ACF"/>
    <w:rsid w:val="007F1C16"/>
    <w:rsid w:val="007F320B"/>
    <w:rsid w:val="00802063"/>
    <w:rsid w:val="00811D37"/>
    <w:rsid w:val="00816793"/>
    <w:rsid w:val="00817072"/>
    <w:rsid w:val="0082373C"/>
    <w:rsid w:val="00830B88"/>
    <w:rsid w:val="00830EF4"/>
    <w:rsid w:val="00831A0E"/>
    <w:rsid w:val="00835259"/>
    <w:rsid w:val="008375B1"/>
    <w:rsid w:val="00843201"/>
    <w:rsid w:val="008519CB"/>
    <w:rsid w:val="008576D2"/>
    <w:rsid w:val="00867B2C"/>
    <w:rsid w:val="00873330"/>
    <w:rsid w:val="00875E28"/>
    <w:rsid w:val="00883326"/>
    <w:rsid w:val="00890AA9"/>
    <w:rsid w:val="0089550E"/>
    <w:rsid w:val="008A4C85"/>
    <w:rsid w:val="008A71D2"/>
    <w:rsid w:val="008B0009"/>
    <w:rsid w:val="008B0935"/>
    <w:rsid w:val="008D56E1"/>
    <w:rsid w:val="008D6094"/>
    <w:rsid w:val="008D7670"/>
    <w:rsid w:val="008E0545"/>
    <w:rsid w:val="008E089F"/>
    <w:rsid w:val="008E1BC8"/>
    <w:rsid w:val="008E34F3"/>
    <w:rsid w:val="008E5EC0"/>
    <w:rsid w:val="008F41FF"/>
    <w:rsid w:val="00902A7F"/>
    <w:rsid w:val="00906750"/>
    <w:rsid w:val="00906C12"/>
    <w:rsid w:val="0091013B"/>
    <w:rsid w:val="00917B89"/>
    <w:rsid w:val="00920375"/>
    <w:rsid w:val="0092431E"/>
    <w:rsid w:val="00924B36"/>
    <w:rsid w:val="00930E05"/>
    <w:rsid w:val="00936025"/>
    <w:rsid w:val="009378F5"/>
    <w:rsid w:val="009522A2"/>
    <w:rsid w:val="00960675"/>
    <w:rsid w:val="00973B8D"/>
    <w:rsid w:val="00977C78"/>
    <w:rsid w:val="0099418F"/>
    <w:rsid w:val="00994510"/>
    <w:rsid w:val="0099568D"/>
    <w:rsid w:val="009A4B1A"/>
    <w:rsid w:val="009A7B61"/>
    <w:rsid w:val="009C0168"/>
    <w:rsid w:val="009C7B05"/>
    <w:rsid w:val="009D4EEA"/>
    <w:rsid w:val="009E271C"/>
    <w:rsid w:val="009E4DCF"/>
    <w:rsid w:val="009E5156"/>
    <w:rsid w:val="009F7084"/>
    <w:rsid w:val="009F7F56"/>
    <w:rsid w:val="00A1041E"/>
    <w:rsid w:val="00A17FDD"/>
    <w:rsid w:val="00A23066"/>
    <w:rsid w:val="00A23816"/>
    <w:rsid w:val="00A31670"/>
    <w:rsid w:val="00A37C6C"/>
    <w:rsid w:val="00A454B6"/>
    <w:rsid w:val="00A531F2"/>
    <w:rsid w:val="00A6013E"/>
    <w:rsid w:val="00A621AA"/>
    <w:rsid w:val="00A64636"/>
    <w:rsid w:val="00A744A3"/>
    <w:rsid w:val="00A93367"/>
    <w:rsid w:val="00AC7473"/>
    <w:rsid w:val="00AD1423"/>
    <w:rsid w:val="00AD2051"/>
    <w:rsid w:val="00AD4AEE"/>
    <w:rsid w:val="00AD72F1"/>
    <w:rsid w:val="00AE6AC0"/>
    <w:rsid w:val="00AF0D00"/>
    <w:rsid w:val="00B13B81"/>
    <w:rsid w:val="00B16953"/>
    <w:rsid w:val="00B215DF"/>
    <w:rsid w:val="00B47197"/>
    <w:rsid w:val="00B47561"/>
    <w:rsid w:val="00B53AAC"/>
    <w:rsid w:val="00B66D61"/>
    <w:rsid w:val="00B67E1F"/>
    <w:rsid w:val="00B701D1"/>
    <w:rsid w:val="00B72169"/>
    <w:rsid w:val="00B74218"/>
    <w:rsid w:val="00B77A7F"/>
    <w:rsid w:val="00B86FC7"/>
    <w:rsid w:val="00B912C3"/>
    <w:rsid w:val="00B934B7"/>
    <w:rsid w:val="00BA09C8"/>
    <w:rsid w:val="00BB19AC"/>
    <w:rsid w:val="00BC26CE"/>
    <w:rsid w:val="00BC4C16"/>
    <w:rsid w:val="00BD3241"/>
    <w:rsid w:val="00BD5EE3"/>
    <w:rsid w:val="00BE3C80"/>
    <w:rsid w:val="00BF6389"/>
    <w:rsid w:val="00BF6DBC"/>
    <w:rsid w:val="00C02F97"/>
    <w:rsid w:val="00C11280"/>
    <w:rsid w:val="00C16E8E"/>
    <w:rsid w:val="00C261EA"/>
    <w:rsid w:val="00C314CC"/>
    <w:rsid w:val="00C33E7F"/>
    <w:rsid w:val="00C40213"/>
    <w:rsid w:val="00C40A67"/>
    <w:rsid w:val="00C42515"/>
    <w:rsid w:val="00C444A7"/>
    <w:rsid w:val="00C50AD3"/>
    <w:rsid w:val="00C5404A"/>
    <w:rsid w:val="00C55909"/>
    <w:rsid w:val="00C55AEE"/>
    <w:rsid w:val="00C726EA"/>
    <w:rsid w:val="00C74A1D"/>
    <w:rsid w:val="00C8148E"/>
    <w:rsid w:val="00C92F29"/>
    <w:rsid w:val="00C97D81"/>
    <w:rsid w:val="00CA0987"/>
    <w:rsid w:val="00CA58E1"/>
    <w:rsid w:val="00CB1DDA"/>
    <w:rsid w:val="00CB2B44"/>
    <w:rsid w:val="00CB4074"/>
    <w:rsid w:val="00CC1C1D"/>
    <w:rsid w:val="00CE1EDA"/>
    <w:rsid w:val="00CE33E8"/>
    <w:rsid w:val="00CE37DE"/>
    <w:rsid w:val="00CF33AD"/>
    <w:rsid w:val="00CF62E6"/>
    <w:rsid w:val="00CF656A"/>
    <w:rsid w:val="00D023E4"/>
    <w:rsid w:val="00D0258C"/>
    <w:rsid w:val="00D0270E"/>
    <w:rsid w:val="00D06B68"/>
    <w:rsid w:val="00D1105C"/>
    <w:rsid w:val="00D20550"/>
    <w:rsid w:val="00D35A0E"/>
    <w:rsid w:val="00D3638C"/>
    <w:rsid w:val="00D36EE9"/>
    <w:rsid w:val="00D45D1E"/>
    <w:rsid w:val="00D45FD0"/>
    <w:rsid w:val="00D46D43"/>
    <w:rsid w:val="00D52194"/>
    <w:rsid w:val="00D65C24"/>
    <w:rsid w:val="00D716F9"/>
    <w:rsid w:val="00D82ACC"/>
    <w:rsid w:val="00DA4472"/>
    <w:rsid w:val="00DA74F6"/>
    <w:rsid w:val="00DB02F9"/>
    <w:rsid w:val="00DC38DA"/>
    <w:rsid w:val="00DC66C5"/>
    <w:rsid w:val="00DD4526"/>
    <w:rsid w:val="00DD4844"/>
    <w:rsid w:val="00DD4977"/>
    <w:rsid w:val="00DD70BC"/>
    <w:rsid w:val="00DD7FDB"/>
    <w:rsid w:val="00DE01B4"/>
    <w:rsid w:val="00DE0A9F"/>
    <w:rsid w:val="00DE411E"/>
    <w:rsid w:val="00DF27A8"/>
    <w:rsid w:val="00E16089"/>
    <w:rsid w:val="00E25B68"/>
    <w:rsid w:val="00E261EB"/>
    <w:rsid w:val="00E605FF"/>
    <w:rsid w:val="00E6218C"/>
    <w:rsid w:val="00E71048"/>
    <w:rsid w:val="00E7211B"/>
    <w:rsid w:val="00E7228E"/>
    <w:rsid w:val="00E82B25"/>
    <w:rsid w:val="00E92831"/>
    <w:rsid w:val="00E9313B"/>
    <w:rsid w:val="00EB3E53"/>
    <w:rsid w:val="00EB7A63"/>
    <w:rsid w:val="00EC4172"/>
    <w:rsid w:val="00EC5F5A"/>
    <w:rsid w:val="00ED3B5E"/>
    <w:rsid w:val="00EE10EC"/>
    <w:rsid w:val="00EE4A70"/>
    <w:rsid w:val="00EF437C"/>
    <w:rsid w:val="00F063C8"/>
    <w:rsid w:val="00F10C49"/>
    <w:rsid w:val="00F12BE5"/>
    <w:rsid w:val="00F30C27"/>
    <w:rsid w:val="00F4536E"/>
    <w:rsid w:val="00F4564B"/>
    <w:rsid w:val="00F51570"/>
    <w:rsid w:val="00F53ACB"/>
    <w:rsid w:val="00F55B93"/>
    <w:rsid w:val="00F5790A"/>
    <w:rsid w:val="00F66311"/>
    <w:rsid w:val="00F722FD"/>
    <w:rsid w:val="00F74EA2"/>
    <w:rsid w:val="00F81525"/>
    <w:rsid w:val="00F9578C"/>
    <w:rsid w:val="00FA0BC7"/>
    <w:rsid w:val="00FA69EB"/>
    <w:rsid w:val="00FA6C0D"/>
    <w:rsid w:val="00FC0571"/>
    <w:rsid w:val="00FD6862"/>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7197"/>
    <w:pPr>
      <w:spacing w:after="0" w:line="240" w:lineRule="auto"/>
    </w:pPr>
  </w:style>
  <w:style w:type="paragraph" w:styleId="BalloonText">
    <w:name w:val="Balloon Text"/>
    <w:basedOn w:val="Normal"/>
    <w:link w:val="BalloonTextChar"/>
    <w:uiPriority w:val="99"/>
    <w:semiHidden/>
    <w:unhideWhenUsed/>
    <w:rsid w:val="00B4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basedOn w:val="Normal"/>
    <w:link w:val="FootnoteTextChar"/>
    <w:uiPriority w:val="99"/>
    <w:semiHidden/>
    <w:unhideWhenUsed/>
    <w:rsid w:val="00F30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C27"/>
    <w:rPr>
      <w:sz w:val="20"/>
      <w:szCs w:val="20"/>
    </w:rPr>
  </w:style>
  <w:style w:type="character" w:styleId="FootnoteReference">
    <w:name w:val="footnote reference"/>
    <w:basedOn w:val="DefaultParagraphFont"/>
    <w:uiPriority w:val="99"/>
    <w:semiHidden/>
    <w:unhideWhenUsed/>
    <w:rsid w:val="00F30C27"/>
    <w:rPr>
      <w:vertAlign w:val="superscript"/>
    </w:rPr>
  </w:style>
  <w:style w:type="paragraph" w:styleId="Caption">
    <w:name w:val="caption"/>
    <w:basedOn w:val="Normal"/>
    <w:next w:val="Normal"/>
    <w:uiPriority w:val="35"/>
    <w:unhideWhenUsed/>
    <w:qFormat/>
    <w:rsid w:val="00AD4AEE"/>
    <w:pPr>
      <w:spacing w:after="200" w:line="240" w:lineRule="auto"/>
    </w:pPr>
    <w:rPr>
      <w:i/>
      <w:iCs/>
      <w:color w:val="44546A" w:themeColor="text2"/>
      <w:sz w:val="18"/>
      <w:szCs w:val="18"/>
    </w:rPr>
  </w:style>
  <w:style w:type="paragraph" w:styleId="ListParagraph">
    <w:name w:val="List Paragraph"/>
    <w:basedOn w:val="Normal"/>
    <w:uiPriority w:val="34"/>
    <w:qFormat/>
    <w:rsid w:val="00D1105C"/>
    <w:pPr>
      <w:ind w:left="720"/>
      <w:contextualSpacing/>
    </w:pPr>
  </w:style>
  <w:style w:type="paragraph" w:styleId="PlainText">
    <w:name w:val="Plain Text"/>
    <w:basedOn w:val="Normal"/>
    <w:link w:val="PlainTextChar"/>
    <w:uiPriority w:val="99"/>
    <w:semiHidden/>
    <w:unhideWhenUsed/>
    <w:rsid w:val="00082D8E"/>
    <w:pPr>
      <w:spacing w:after="0" w:line="240" w:lineRule="auto"/>
    </w:pPr>
    <w:rPr>
      <w:rFonts w:ascii="Arial" w:eastAsia="Times New Roman" w:hAnsi="Arial" w:cs="Times New Roman"/>
      <w:sz w:val="20"/>
      <w:szCs w:val="21"/>
    </w:rPr>
  </w:style>
  <w:style w:type="character" w:customStyle="1" w:styleId="PlainTextChar">
    <w:name w:val="Plain Text Char"/>
    <w:basedOn w:val="DefaultParagraphFont"/>
    <w:link w:val="PlainText"/>
    <w:uiPriority w:val="99"/>
    <w:semiHidden/>
    <w:rsid w:val="00082D8E"/>
    <w:rPr>
      <w:rFonts w:ascii="Arial" w:eastAsia="Times New Roman" w:hAnsi="Arial" w:cs="Times New Roman"/>
      <w:sz w:val="20"/>
      <w:szCs w:val="21"/>
      <w:lang w:val="en-GB"/>
    </w:rPr>
  </w:style>
  <w:style w:type="character" w:styleId="FollowedHyperlink">
    <w:name w:val="FollowedHyperlink"/>
    <w:basedOn w:val="DefaultParagraphFont"/>
    <w:uiPriority w:val="99"/>
    <w:semiHidden/>
    <w:unhideWhenUsed/>
    <w:rsid w:val="00E605FF"/>
    <w:rPr>
      <w:color w:val="954F72" w:themeColor="followedHyperlink"/>
      <w:u w:val="single"/>
    </w:rPr>
  </w:style>
  <w:style w:type="paragraph" w:styleId="Revision">
    <w:name w:val="Revision"/>
    <w:hidden/>
    <w:uiPriority w:val="99"/>
    <w:semiHidden/>
    <w:rsid w:val="00D45F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7197"/>
    <w:pPr>
      <w:spacing w:after="0" w:line="240" w:lineRule="auto"/>
    </w:pPr>
  </w:style>
  <w:style w:type="paragraph" w:styleId="BalloonText">
    <w:name w:val="Balloon Text"/>
    <w:basedOn w:val="Normal"/>
    <w:link w:val="BalloonTextChar"/>
    <w:uiPriority w:val="99"/>
    <w:semiHidden/>
    <w:unhideWhenUsed/>
    <w:rsid w:val="00B4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basedOn w:val="Normal"/>
    <w:link w:val="FootnoteTextChar"/>
    <w:uiPriority w:val="99"/>
    <w:semiHidden/>
    <w:unhideWhenUsed/>
    <w:rsid w:val="00F30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C27"/>
    <w:rPr>
      <w:sz w:val="20"/>
      <w:szCs w:val="20"/>
    </w:rPr>
  </w:style>
  <w:style w:type="character" w:styleId="FootnoteReference">
    <w:name w:val="footnote reference"/>
    <w:basedOn w:val="DefaultParagraphFont"/>
    <w:uiPriority w:val="99"/>
    <w:semiHidden/>
    <w:unhideWhenUsed/>
    <w:rsid w:val="00F30C27"/>
    <w:rPr>
      <w:vertAlign w:val="superscript"/>
    </w:rPr>
  </w:style>
  <w:style w:type="paragraph" w:styleId="Caption">
    <w:name w:val="caption"/>
    <w:basedOn w:val="Normal"/>
    <w:next w:val="Normal"/>
    <w:uiPriority w:val="35"/>
    <w:unhideWhenUsed/>
    <w:qFormat/>
    <w:rsid w:val="00AD4AEE"/>
    <w:pPr>
      <w:spacing w:after="200" w:line="240" w:lineRule="auto"/>
    </w:pPr>
    <w:rPr>
      <w:i/>
      <w:iCs/>
      <w:color w:val="44546A" w:themeColor="text2"/>
      <w:sz w:val="18"/>
      <w:szCs w:val="18"/>
    </w:rPr>
  </w:style>
  <w:style w:type="paragraph" w:styleId="ListParagraph">
    <w:name w:val="List Paragraph"/>
    <w:basedOn w:val="Normal"/>
    <w:uiPriority w:val="34"/>
    <w:qFormat/>
    <w:rsid w:val="00D1105C"/>
    <w:pPr>
      <w:ind w:left="720"/>
      <w:contextualSpacing/>
    </w:pPr>
  </w:style>
  <w:style w:type="paragraph" w:styleId="PlainText">
    <w:name w:val="Plain Text"/>
    <w:basedOn w:val="Normal"/>
    <w:link w:val="PlainTextChar"/>
    <w:uiPriority w:val="99"/>
    <w:semiHidden/>
    <w:unhideWhenUsed/>
    <w:rsid w:val="00082D8E"/>
    <w:pPr>
      <w:spacing w:after="0" w:line="240" w:lineRule="auto"/>
    </w:pPr>
    <w:rPr>
      <w:rFonts w:ascii="Arial" w:eastAsia="Times New Roman" w:hAnsi="Arial" w:cs="Times New Roman"/>
      <w:sz w:val="20"/>
      <w:szCs w:val="21"/>
    </w:rPr>
  </w:style>
  <w:style w:type="character" w:customStyle="1" w:styleId="PlainTextChar">
    <w:name w:val="Plain Text Char"/>
    <w:basedOn w:val="DefaultParagraphFont"/>
    <w:link w:val="PlainText"/>
    <w:uiPriority w:val="99"/>
    <w:semiHidden/>
    <w:rsid w:val="00082D8E"/>
    <w:rPr>
      <w:rFonts w:ascii="Arial" w:eastAsia="Times New Roman" w:hAnsi="Arial" w:cs="Times New Roman"/>
      <w:sz w:val="20"/>
      <w:szCs w:val="21"/>
      <w:lang w:val="en-GB"/>
    </w:rPr>
  </w:style>
  <w:style w:type="character" w:styleId="FollowedHyperlink">
    <w:name w:val="FollowedHyperlink"/>
    <w:basedOn w:val="DefaultParagraphFont"/>
    <w:uiPriority w:val="99"/>
    <w:semiHidden/>
    <w:unhideWhenUsed/>
    <w:rsid w:val="00E605FF"/>
    <w:rPr>
      <w:color w:val="954F72" w:themeColor="followedHyperlink"/>
      <w:u w:val="single"/>
    </w:rPr>
  </w:style>
  <w:style w:type="paragraph" w:styleId="Revision">
    <w:name w:val="Revision"/>
    <w:hidden/>
    <w:uiPriority w:val="99"/>
    <w:semiHidden/>
    <w:rsid w:val="00D45F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290824413">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Luis.Suarez_Tumi@ecb.europa.eu" TargetMode="External"/><Relationship Id="rId17" Type="http://schemas.openxmlformats.org/officeDocument/2006/relationships/hyperlink" Target="https://www.bankingsupervision.europa.eu/ecb/pub/pdf/ssm.BCBS_239_report_201805.pdf" TargetMode="External"/><Relationship Id="rId2" Type="http://schemas.openxmlformats.org/officeDocument/2006/relationships/numbering" Target="numbering.xml"/><Relationship Id="rId16" Type="http://schemas.openxmlformats.org/officeDocument/2006/relationships/hyperlink" Target="https://www.ecb.europa.eu/pub/pdf/other/ecbstatisticsqualityframework200804e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ulia.Tintea@ecb.europa.eu" TargetMode="Externa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hyperlink" Target="mailto:Francesco.Donat@ecb.europa.e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Gregorio.Guidi@ecb.europa.eu" TargetMode="External"/><Relationship Id="rId14" Type="http://schemas.openxmlformats.org/officeDocument/2006/relationships/chart" Target="charts/chart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ba.europa.eu/regulation-and-policy/supervisory-report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iuliati\Desktop\Data%20paper%20punctuality.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7.0169635914757486E-2"/>
          <c:y val="6.2437480377860954E-2"/>
          <c:w val="0.88384077724142385"/>
          <c:h val="0.54909021372328459"/>
        </c:manualLayout>
      </c:layout>
      <c:lineChart>
        <c:grouping val="standard"/>
        <c:varyColors val="0"/>
        <c:ser>
          <c:idx val="0"/>
          <c:order val="0"/>
          <c:tx>
            <c:strRef>
              <c:f>Charts!$P$2</c:f>
              <c:strCache>
                <c:ptCount val="1"/>
                <c:pt idx="0">
                  <c:v>Accepted on time / Expected (lhs)</c:v>
                </c:pt>
              </c:strCache>
            </c:strRef>
          </c:tx>
          <c:marker>
            <c:symbol val="none"/>
          </c:marker>
          <c:cat>
            <c:strRef>
              <c:f>Charts!$O$3:$O$15</c:f>
              <c:strCache>
                <c:ptCount val="13"/>
                <c:pt idx="0">
                  <c:v>31/12/2014</c:v>
                </c:pt>
                <c:pt idx="1">
                  <c:v>31/03/2015</c:v>
                </c:pt>
                <c:pt idx="2">
                  <c:v>30/06/2015</c:v>
                </c:pt>
                <c:pt idx="3">
                  <c:v>30/09/2015</c:v>
                </c:pt>
                <c:pt idx="4">
                  <c:v>31/12/2015</c:v>
                </c:pt>
                <c:pt idx="5">
                  <c:v>31/03/2016</c:v>
                </c:pt>
                <c:pt idx="6">
                  <c:v>30/06/2016</c:v>
                </c:pt>
                <c:pt idx="7">
                  <c:v>30/09/2016</c:v>
                </c:pt>
                <c:pt idx="8">
                  <c:v>31/12/2016</c:v>
                </c:pt>
                <c:pt idx="9">
                  <c:v>31/03/2017</c:v>
                </c:pt>
                <c:pt idx="10">
                  <c:v>30/06/2017</c:v>
                </c:pt>
                <c:pt idx="11">
                  <c:v>30/09/2017</c:v>
                </c:pt>
                <c:pt idx="12">
                  <c:v>31/12/2017</c:v>
                </c:pt>
              </c:strCache>
            </c:strRef>
          </c:cat>
          <c:val>
            <c:numRef>
              <c:f>Charts!$P$3:$P$15</c:f>
              <c:numCache>
                <c:formatCode>0%</c:formatCode>
                <c:ptCount val="13"/>
                <c:pt idx="0">
                  <c:v>0.75635738831615118</c:v>
                </c:pt>
                <c:pt idx="1">
                  <c:v>0.82789115646258482</c:v>
                </c:pt>
                <c:pt idx="2">
                  <c:v>0.92154882154882112</c:v>
                </c:pt>
                <c:pt idx="3">
                  <c:v>0.96568627450980382</c:v>
                </c:pt>
                <c:pt idx="4">
                  <c:v>0.961165048543689</c:v>
                </c:pt>
                <c:pt idx="5">
                  <c:v>0.97087378640776667</c:v>
                </c:pt>
                <c:pt idx="6">
                  <c:v>0.97198879551820783</c:v>
                </c:pt>
                <c:pt idx="7">
                  <c:v>0.98459383753501417</c:v>
                </c:pt>
                <c:pt idx="8">
                  <c:v>0.97664835164835151</c:v>
                </c:pt>
                <c:pt idx="9">
                  <c:v>0.97304582210242607</c:v>
                </c:pt>
                <c:pt idx="10">
                  <c:v>1</c:v>
                </c:pt>
                <c:pt idx="11">
                  <c:v>1</c:v>
                </c:pt>
                <c:pt idx="12">
                  <c:v>1</c:v>
                </c:pt>
              </c:numCache>
            </c:numRef>
          </c:val>
          <c:smooth val="0"/>
        </c:ser>
        <c:ser>
          <c:idx val="1"/>
          <c:order val="1"/>
          <c:tx>
            <c:strRef>
              <c:f>Charts!$Q$2</c:f>
              <c:strCache>
                <c:ptCount val="1"/>
                <c:pt idx="0">
                  <c:v>Accepted Fully Valid on time / Expected (lhs)</c:v>
                </c:pt>
              </c:strCache>
            </c:strRef>
          </c:tx>
          <c:marker>
            <c:symbol val="none"/>
          </c:marker>
          <c:cat>
            <c:strRef>
              <c:f>Charts!$O$3:$O$15</c:f>
              <c:strCache>
                <c:ptCount val="13"/>
                <c:pt idx="0">
                  <c:v>31/12/2014</c:v>
                </c:pt>
                <c:pt idx="1">
                  <c:v>31/03/2015</c:v>
                </c:pt>
                <c:pt idx="2">
                  <c:v>30/06/2015</c:v>
                </c:pt>
                <c:pt idx="3">
                  <c:v>30/09/2015</c:v>
                </c:pt>
                <c:pt idx="4">
                  <c:v>31/12/2015</c:v>
                </c:pt>
                <c:pt idx="5">
                  <c:v>31/03/2016</c:v>
                </c:pt>
                <c:pt idx="6">
                  <c:v>30/06/2016</c:v>
                </c:pt>
                <c:pt idx="7">
                  <c:v>30/09/2016</c:v>
                </c:pt>
                <c:pt idx="8">
                  <c:v>31/12/2016</c:v>
                </c:pt>
                <c:pt idx="9">
                  <c:v>31/03/2017</c:v>
                </c:pt>
                <c:pt idx="10">
                  <c:v>30/06/2017</c:v>
                </c:pt>
                <c:pt idx="11">
                  <c:v>30/09/2017</c:v>
                </c:pt>
                <c:pt idx="12">
                  <c:v>31/12/2017</c:v>
                </c:pt>
              </c:strCache>
            </c:strRef>
          </c:cat>
          <c:val>
            <c:numRef>
              <c:f>Charts!$Q$3:$Q$15</c:f>
              <c:numCache>
                <c:formatCode>0%</c:formatCode>
                <c:ptCount val="13"/>
                <c:pt idx="0">
                  <c:v>0.51580756013745699</c:v>
                </c:pt>
                <c:pt idx="1">
                  <c:v>0.63673469387755088</c:v>
                </c:pt>
                <c:pt idx="2">
                  <c:v>0.83501683501683488</c:v>
                </c:pt>
                <c:pt idx="3">
                  <c:v>0.91307189542483613</c:v>
                </c:pt>
                <c:pt idx="4">
                  <c:v>0.92071197411003192</c:v>
                </c:pt>
                <c:pt idx="5">
                  <c:v>0.93689320388349484</c:v>
                </c:pt>
                <c:pt idx="6">
                  <c:v>0.94257703081232513</c:v>
                </c:pt>
                <c:pt idx="7">
                  <c:v>0.92156862745098034</c:v>
                </c:pt>
                <c:pt idx="8">
                  <c:v>0.909340659340659</c:v>
                </c:pt>
                <c:pt idx="9">
                  <c:v>0.90431266846361213</c:v>
                </c:pt>
                <c:pt idx="10">
                  <c:v>0.90161725067385479</c:v>
                </c:pt>
                <c:pt idx="11">
                  <c:v>0.97035040431266872</c:v>
                </c:pt>
                <c:pt idx="12">
                  <c:v>0.9434229137199438</c:v>
                </c:pt>
              </c:numCache>
            </c:numRef>
          </c:val>
          <c:smooth val="0"/>
        </c:ser>
        <c:dLbls>
          <c:showLegendKey val="0"/>
          <c:showVal val="0"/>
          <c:showCatName val="0"/>
          <c:showSerName val="0"/>
          <c:showPercent val="0"/>
          <c:showBubbleSize val="0"/>
        </c:dLbls>
        <c:marker val="1"/>
        <c:smooth val="0"/>
        <c:axId val="38657408"/>
        <c:axId val="129500288"/>
      </c:lineChart>
      <c:lineChart>
        <c:grouping val="standard"/>
        <c:varyColors val="0"/>
        <c:ser>
          <c:idx val="2"/>
          <c:order val="2"/>
          <c:tx>
            <c:strRef>
              <c:f>Charts!$R$2</c:f>
              <c:strCache>
                <c:ptCount val="1"/>
                <c:pt idx="0">
                  <c:v>Average days of delay (rhs)</c:v>
                </c:pt>
              </c:strCache>
            </c:strRef>
          </c:tx>
          <c:marker>
            <c:symbol val="diamond"/>
            <c:size val="7"/>
          </c:marker>
          <c:cat>
            <c:strRef>
              <c:f>Charts!$O$3:$O$15</c:f>
              <c:strCache>
                <c:ptCount val="13"/>
                <c:pt idx="0">
                  <c:v>31/12/2014</c:v>
                </c:pt>
                <c:pt idx="1">
                  <c:v>31/03/2015</c:v>
                </c:pt>
                <c:pt idx="2">
                  <c:v>30/06/2015</c:v>
                </c:pt>
                <c:pt idx="3">
                  <c:v>30/09/2015</c:v>
                </c:pt>
                <c:pt idx="4">
                  <c:v>31/12/2015</c:v>
                </c:pt>
                <c:pt idx="5">
                  <c:v>31/03/2016</c:v>
                </c:pt>
                <c:pt idx="6">
                  <c:v>30/06/2016</c:v>
                </c:pt>
                <c:pt idx="7">
                  <c:v>30/09/2016</c:v>
                </c:pt>
                <c:pt idx="8">
                  <c:v>31/12/2016</c:v>
                </c:pt>
                <c:pt idx="9">
                  <c:v>31/03/2017</c:v>
                </c:pt>
                <c:pt idx="10">
                  <c:v>30/06/2017</c:v>
                </c:pt>
                <c:pt idx="11">
                  <c:v>30/09/2017</c:v>
                </c:pt>
                <c:pt idx="12">
                  <c:v>31/12/2017</c:v>
                </c:pt>
              </c:strCache>
            </c:strRef>
          </c:cat>
          <c:val>
            <c:numRef>
              <c:f>Charts!$R$3:$R$15</c:f>
              <c:numCache>
                <c:formatCode>General</c:formatCode>
                <c:ptCount val="13"/>
                <c:pt idx="0">
                  <c:v>3.3814432989690708</c:v>
                </c:pt>
                <c:pt idx="1">
                  <c:v>3.157142857142857</c:v>
                </c:pt>
                <c:pt idx="2">
                  <c:v>1.6014141414141416</c:v>
                </c:pt>
                <c:pt idx="3">
                  <c:v>1.3133333333333335</c:v>
                </c:pt>
                <c:pt idx="4">
                  <c:v>1.415631067961165</c:v>
                </c:pt>
                <c:pt idx="5">
                  <c:v>1.5901941747572814</c:v>
                </c:pt>
                <c:pt idx="6">
                  <c:v>1.5581372549019608</c:v>
                </c:pt>
                <c:pt idx="7">
                  <c:v>1.3363725490196081</c:v>
                </c:pt>
                <c:pt idx="8">
                  <c:v>1.6504807692307688</c:v>
                </c:pt>
                <c:pt idx="9">
                  <c:v>1.5712264150943391</c:v>
                </c:pt>
                <c:pt idx="10">
                  <c:v>1.4711320754716981</c:v>
                </c:pt>
                <c:pt idx="11">
                  <c:v>0.68650943396226416</c:v>
                </c:pt>
                <c:pt idx="12">
                  <c:v>0.80792079207920797</c:v>
                </c:pt>
              </c:numCache>
            </c:numRef>
          </c:val>
          <c:smooth val="0"/>
        </c:ser>
        <c:dLbls>
          <c:showLegendKey val="0"/>
          <c:showVal val="0"/>
          <c:showCatName val="0"/>
          <c:showSerName val="0"/>
          <c:showPercent val="0"/>
          <c:showBubbleSize val="0"/>
        </c:dLbls>
        <c:marker val="1"/>
        <c:smooth val="0"/>
        <c:axId val="129507712"/>
        <c:axId val="129501824"/>
      </c:lineChart>
      <c:catAx>
        <c:axId val="38657408"/>
        <c:scaling>
          <c:orientation val="minMax"/>
        </c:scaling>
        <c:delete val="0"/>
        <c:axPos val="b"/>
        <c:numFmt formatCode="@" sourceLinked="1"/>
        <c:majorTickMark val="out"/>
        <c:minorTickMark val="none"/>
        <c:tickLblPos val="nextTo"/>
        <c:txPr>
          <a:bodyPr/>
          <a:lstStyle/>
          <a:p>
            <a:pPr>
              <a:defRPr sz="800"/>
            </a:pPr>
            <a:endParaRPr lang="en-US"/>
          </a:p>
        </c:txPr>
        <c:crossAx val="129500288"/>
        <c:crosses val="autoZero"/>
        <c:auto val="1"/>
        <c:lblAlgn val="ctr"/>
        <c:lblOffset val="100"/>
        <c:noMultiLvlLbl val="1"/>
      </c:catAx>
      <c:valAx>
        <c:axId val="129500288"/>
        <c:scaling>
          <c:orientation val="minMax"/>
          <c:max val="1"/>
          <c:min val="0"/>
        </c:scaling>
        <c:delete val="0"/>
        <c:axPos val="l"/>
        <c:majorGridlines/>
        <c:numFmt formatCode="0%" sourceLinked="1"/>
        <c:majorTickMark val="out"/>
        <c:minorTickMark val="none"/>
        <c:tickLblPos val="nextTo"/>
        <c:txPr>
          <a:bodyPr/>
          <a:lstStyle/>
          <a:p>
            <a:pPr>
              <a:defRPr sz="800"/>
            </a:pPr>
            <a:endParaRPr lang="en-US"/>
          </a:p>
        </c:txPr>
        <c:crossAx val="38657408"/>
        <c:crosses val="autoZero"/>
        <c:crossBetween val="between"/>
        <c:majorUnit val="0.2"/>
      </c:valAx>
      <c:valAx>
        <c:axId val="129501824"/>
        <c:scaling>
          <c:orientation val="minMax"/>
          <c:max val="4"/>
          <c:min val="0"/>
        </c:scaling>
        <c:delete val="0"/>
        <c:axPos val="r"/>
        <c:numFmt formatCode="General" sourceLinked="1"/>
        <c:majorTickMark val="out"/>
        <c:minorTickMark val="none"/>
        <c:tickLblPos val="nextTo"/>
        <c:txPr>
          <a:bodyPr/>
          <a:lstStyle/>
          <a:p>
            <a:pPr>
              <a:defRPr sz="800"/>
            </a:pPr>
            <a:endParaRPr lang="en-US"/>
          </a:p>
        </c:txPr>
        <c:crossAx val="129507712"/>
        <c:crosses val="max"/>
        <c:crossBetween val="between"/>
        <c:majorUnit val="0.5"/>
        <c:minorUnit val="0.2"/>
      </c:valAx>
      <c:catAx>
        <c:axId val="129507712"/>
        <c:scaling>
          <c:orientation val="minMax"/>
        </c:scaling>
        <c:delete val="1"/>
        <c:axPos val="b"/>
        <c:numFmt formatCode="@" sourceLinked="1"/>
        <c:majorTickMark val="out"/>
        <c:minorTickMark val="none"/>
        <c:tickLblPos val="nextTo"/>
        <c:crossAx val="129501824"/>
        <c:crosses val="autoZero"/>
        <c:auto val="1"/>
        <c:lblAlgn val="ctr"/>
        <c:lblOffset val="100"/>
        <c:noMultiLvlLbl val="1"/>
      </c:catAx>
    </c:plotArea>
    <c:legend>
      <c:legendPos val="b"/>
      <c:layout>
        <c:manualLayout>
          <c:xMode val="edge"/>
          <c:yMode val="edge"/>
          <c:x val="5.4750971388201975E-4"/>
          <c:y val="0.88978071676967152"/>
          <c:w val="0.993606499470152"/>
          <c:h val="8.275932899691886E-2"/>
        </c:manualLayout>
      </c:layout>
      <c:overlay val="0"/>
      <c:txPr>
        <a:bodyPr/>
        <a:lstStyle/>
        <a:p>
          <a:pPr>
            <a:defRPr sz="80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3552493438320214E-2"/>
          <c:y val="0.1162153689122193"/>
          <c:w val="0.73135126859142607"/>
          <c:h val="0.6263032225138524"/>
        </c:manualLayout>
      </c:layout>
      <c:barChart>
        <c:barDir val="col"/>
        <c:grouping val="stacked"/>
        <c:varyColors val="0"/>
        <c:ser>
          <c:idx val="0"/>
          <c:order val="0"/>
          <c:tx>
            <c:strRef>
              <c:f>Charts!$L$20</c:f>
              <c:strCache>
                <c:ptCount val="1"/>
                <c:pt idx="0">
                  <c:v>AE</c:v>
                </c:pt>
              </c:strCache>
            </c:strRef>
          </c:tx>
          <c:spPr>
            <a:solidFill>
              <a:schemeClr val="tx2">
                <a:lumMod val="60000"/>
                <a:lumOff val="40000"/>
              </a:schemeClr>
            </a:solidFill>
            <a:ln>
              <a:noFill/>
            </a:ln>
          </c:spPr>
          <c:invertIfNegative val="0"/>
          <c:cat>
            <c:strRef>
              <c:f>Charts!$K$22:$K$33</c:f>
              <c:strCache>
                <c:ptCount val="12"/>
                <c:pt idx="0">
                  <c:v>31/03/2015</c:v>
                </c:pt>
                <c:pt idx="1">
                  <c:v>30/06/2015</c:v>
                </c:pt>
                <c:pt idx="2">
                  <c:v>30/09/2015</c:v>
                </c:pt>
                <c:pt idx="3">
                  <c:v>31/12/2015</c:v>
                </c:pt>
                <c:pt idx="4">
                  <c:v>31/03/2016</c:v>
                </c:pt>
                <c:pt idx="5">
                  <c:v>30/06/2016</c:v>
                </c:pt>
                <c:pt idx="6">
                  <c:v>30/09/2016</c:v>
                </c:pt>
                <c:pt idx="7">
                  <c:v>31/12/2016</c:v>
                </c:pt>
                <c:pt idx="8">
                  <c:v>31/03/2017</c:v>
                </c:pt>
                <c:pt idx="9">
                  <c:v>30/06/2017</c:v>
                </c:pt>
                <c:pt idx="10">
                  <c:v>30/09/2017</c:v>
                </c:pt>
                <c:pt idx="11">
                  <c:v>31/12/2017</c:v>
                </c:pt>
              </c:strCache>
            </c:strRef>
          </c:cat>
          <c:val>
            <c:numRef>
              <c:f>Charts!$L$22:$L$33</c:f>
              <c:numCache>
                <c:formatCode>General</c:formatCode>
                <c:ptCount val="12"/>
                <c:pt idx="0">
                  <c:v>49</c:v>
                </c:pt>
                <c:pt idx="1">
                  <c:v>21</c:v>
                </c:pt>
                <c:pt idx="3">
                  <c:v>2</c:v>
                </c:pt>
                <c:pt idx="5">
                  <c:v>2</c:v>
                </c:pt>
                <c:pt idx="6">
                  <c:v>24</c:v>
                </c:pt>
                <c:pt idx="9">
                  <c:v>11</c:v>
                </c:pt>
              </c:numCache>
            </c:numRef>
          </c:val>
        </c:ser>
        <c:ser>
          <c:idx val="1"/>
          <c:order val="1"/>
          <c:tx>
            <c:strRef>
              <c:f>Charts!$M$20</c:f>
              <c:strCache>
                <c:ptCount val="1"/>
                <c:pt idx="0">
                  <c:v>COREP</c:v>
                </c:pt>
              </c:strCache>
            </c:strRef>
          </c:tx>
          <c:spPr>
            <a:solidFill>
              <a:schemeClr val="accent6">
                <a:lumMod val="75000"/>
              </a:schemeClr>
            </a:solidFill>
            <a:ln>
              <a:noFill/>
            </a:ln>
          </c:spPr>
          <c:invertIfNegative val="0"/>
          <c:cat>
            <c:strRef>
              <c:f>Charts!$K$22:$K$33</c:f>
              <c:strCache>
                <c:ptCount val="12"/>
                <c:pt idx="0">
                  <c:v>31/03/2015</c:v>
                </c:pt>
                <c:pt idx="1">
                  <c:v>30/06/2015</c:v>
                </c:pt>
                <c:pt idx="2">
                  <c:v>30/09/2015</c:v>
                </c:pt>
                <c:pt idx="3">
                  <c:v>31/12/2015</c:v>
                </c:pt>
                <c:pt idx="4">
                  <c:v>31/03/2016</c:v>
                </c:pt>
                <c:pt idx="5">
                  <c:v>30/06/2016</c:v>
                </c:pt>
                <c:pt idx="6">
                  <c:v>30/09/2016</c:v>
                </c:pt>
                <c:pt idx="7">
                  <c:v>31/12/2016</c:v>
                </c:pt>
                <c:pt idx="8">
                  <c:v>31/03/2017</c:v>
                </c:pt>
                <c:pt idx="9">
                  <c:v>30/06/2017</c:v>
                </c:pt>
                <c:pt idx="10">
                  <c:v>30/09/2017</c:v>
                </c:pt>
                <c:pt idx="11">
                  <c:v>31/12/2017</c:v>
                </c:pt>
              </c:strCache>
            </c:strRef>
          </c:cat>
          <c:val>
            <c:numRef>
              <c:f>Charts!$M$22:$M$33</c:f>
              <c:numCache>
                <c:formatCode>General</c:formatCode>
                <c:ptCount val="12"/>
                <c:pt idx="0">
                  <c:v>11</c:v>
                </c:pt>
                <c:pt idx="1">
                  <c:v>198</c:v>
                </c:pt>
                <c:pt idx="2">
                  <c:v>5</c:v>
                </c:pt>
                <c:pt idx="3">
                  <c:v>1</c:v>
                </c:pt>
                <c:pt idx="4">
                  <c:v>5</c:v>
                </c:pt>
                <c:pt idx="5">
                  <c:v>0</c:v>
                </c:pt>
                <c:pt idx="6">
                  <c:v>3</c:v>
                </c:pt>
                <c:pt idx="7">
                  <c:v>12</c:v>
                </c:pt>
                <c:pt idx="8">
                  <c:v>25</c:v>
                </c:pt>
                <c:pt idx="9">
                  <c:v>9</c:v>
                </c:pt>
                <c:pt idx="10">
                  <c:v>2</c:v>
                </c:pt>
                <c:pt idx="11">
                  <c:v>10</c:v>
                </c:pt>
              </c:numCache>
            </c:numRef>
          </c:val>
        </c:ser>
        <c:ser>
          <c:idx val="2"/>
          <c:order val="2"/>
          <c:tx>
            <c:strRef>
              <c:f>Charts!$N$20</c:f>
              <c:strCache>
                <c:ptCount val="1"/>
                <c:pt idx="0">
                  <c:v>FINREP</c:v>
                </c:pt>
              </c:strCache>
            </c:strRef>
          </c:tx>
          <c:spPr>
            <a:solidFill>
              <a:schemeClr val="accent3">
                <a:lumMod val="60000"/>
                <a:lumOff val="40000"/>
              </a:schemeClr>
            </a:solidFill>
          </c:spPr>
          <c:invertIfNegative val="0"/>
          <c:cat>
            <c:strRef>
              <c:f>Charts!$K$22:$K$33</c:f>
              <c:strCache>
                <c:ptCount val="12"/>
                <c:pt idx="0">
                  <c:v>31/03/2015</c:v>
                </c:pt>
                <c:pt idx="1">
                  <c:v>30/06/2015</c:v>
                </c:pt>
                <c:pt idx="2">
                  <c:v>30/09/2015</c:v>
                </c:pt>
                <c:pt idx="3">
                  <c:v>31/12/2015</c:v>
                </c:pt>
                <c:pt idx="4">
                  <c:v>31/03/2016</c:v>
                </c:pt>
                <c:pt idx="5">
                  <c:v>30/06/2016</c:v>
                </c:pt>
                <c:pt idx="6">
                  <c:v>30/09/2016</c:v>
                </c:pt>
                <c:pt idx="7">
                  <c:v>31/12/2016</c:v>
                </c:pt>
                <c:pt idx="8">
                  <c:v>31/03/2017</c:v>
                </c:pt>
                <c:pt idx="9">
                  <c:v>30/06/2017</c:v>
                </c:pt>
                <c:pt idx="10">
                  <c:v>30/09/2017</c:v>
                </c:pt>
                <c:pt idx="11">
                  <c:v>31/12/2017</c:v>
                </c:pt>
              </c:strCache>
            </c:strRef>
          </c:cat>
          <c:val>
            <c:numRef>
              <c:f>Charts!$N$22:$N$33</c:f>
              <c:numCache>
                <c:formatCode>General</c:formatCode>
                <c:ptCount val="12"/>
                <c:pt idx="0">
                  <c:v>144</c:v>
                </c:pt>
                <c:pt idx="1">
                  <c:v>14</c:v>
                </c:pt>
                <c:pt idx="2">
                  <c:v>5</c:v>
                </c:pt>
                <c:pt idx="3">
                  <c:v>5</c:v>
                </c:pt>
                <c:pt idx="4">
                  <c:v>3</c:v>
                </c:pt>
                <c:pt idx="5">
                  <c:v>2</c:v>
                </c:pt>
                <c:pt idx="6">
                  <c:v>5</c:v>
                </c:pt>
                <c:pt idx="7">
                  <c:v>15</c:v>
                </c:pt>
                <c:pt idx="8">
                  <c:v>5</c:v>
                </c:pt>
                <c:pt idx="9">
                  <c:v>2</c:v>
                </c:pt>
                <c:pt idx="10">
                  <c:v>7</c:v>
                </c:pt>
                <c:pt idx="11">
                  <c:v>2</c:v>
                </c:pt>
              </c:numCache>
            </c:numRef>
          </c:val>
        </c:ser>
        <c:ser>
          <c:idx val="3"/>
          <c:order val="3"/>
          <c:tx>
            <c:strRef>
              <c:f>Charts!$O$20</c:f>
              <c:strCache>
                <c:ptCount val="1"/>
                <c:pt idx="0">
                  <c:v>LCR</c:v>
                </c:pt>
              </c:strCache>
            </c:strRef>
          </c:tx>
          <c:invertIfNegative val="0"/>
          <c:cat>
            <c:strRef>
              <c:f>Charts!$K$22:$K$33</c:f>
              <c:strCache>
                <c:ptCount val="12"/>
                <c:pt idx="0">
                  <c:v>31/03/2015</c:v>
                </c:pt>
                <c:pt idx="1">
                  <c:v>30/06/2015</c:v>
                </c:pt>
                <c:pt idx="2">
                  <c:v>30/09/2015</c:v>
                </c:pt>
                <c:pt idx="3">
                  <c:v>31/12/2015</c:v>
                </c:pt>
                <c:pt idx="4">
                  <c:v>31/03/2016</c:v>
                </c:pt>
                <c:pt idx="5">
                  <c:v>30/06/2016</c:v>
                </c:pt>
                <c:pt idx="6">
                  <c:v>30/09/2016</c:v>
                </c:pt>
                <c:pt idx="7">
                  <c:v>31/12/2016</c:v>
                </c:pt>
                <c:pt idx="8">
                  <c:v>31/03/2017</c:v>
                </c:pt>
                <c:pt idx="9">
                  <c:v>30/06/2017</c:v>
                </c:pt>
                <c:pt idx="10">
                  <c:v>30/09/2017</c:v>
                </c:pt>
                <c:pt idx="11">
                  <c:v>31/12/2017</c:v>
                </c:pt>
              </c:strCache>
            </c:strRef>
          </c:cat>
          <c:val>
            <c:numRef>
              <c:f>Charts!$O$22:$O$33</c:f>
              <c:numCache>
                <c:formatCode>General</c:formatCode>
                <c:ptCount val="12"/>
                <c:pt idx="4">
                  <c:v>2</c:v>
                </c:pt>
              </c:numCache>
            </c:numRef>
          </c:val>
        </c:ser>
        <c:ser>
          <c:idx val="4"/>
          <c:order val="4"/>
          <c:tx>
            <c:strRef>
              <c:f>Charts!$P$20</c:f>
              <c:strCache>
                <c:ptCount val="1"/>
                <c:pt idx="0">
                  <c:v>LE</c:v>
                </c:pt>
              </c:strCache>
            </c:strRef>
          </c:tx>
          <c:spPr>
            <a:solidFill>
              <a:schemeClr val="accent5"/>
            </a:solidFill>
            <a:ln>
              <a:noFill/>
            </a:ln>
          </c:spPr>
          <c:invertIfNegative val="0"/>
          <c:cat>
            <c:strRef>
              <c:f>Charts!$K$22:$K$33</c:f>
              <c:strCache>
                <c:ptCount val="12"/>
                <c:pt idx="0">
                  <c:v>31/03/2015</c:v>
                </c:pt>
                <c:pt idx="1">
                  <c:v>30/06/2015</c:v>
                </c:pt>
                <c:pt idx="2">
                  <c:v>30/09/2015</c:v>
                </c:pt>
                <c:pt idx="3">
                  <c:v>31/12/2015</c:v>
                </c:pt>
                <c:pt idx="4">
                  <c:v>31/03/2016</c:v>
                </c:pt>
                <c:pt idx="5">
                  <c:v>30/06/2016</c:v>
                </c:pt>
                <c:pt idx="6">
                  <c:v>30/09/2016</c:v>
                </c:pt>
                <c:pt idx="7">
                  <c:v>31/12/2016</c:v>
                </c:pt>
                <c:pt idx="8">
                  <c:v>31/03/2017</c:v>
                </c:pt>
                <c:pt idx="9">
                  <c:v>30/06/2017</c:v>
                </c:pt>
                <c:pt idx="10">
                  <c:v>30/09/2017</c:v>
                </c:pt>
                <c:pt idx="11">
                  <c:v>31/12/2017</c:v>
                </c:pt>
              </c:strCache>
            </c:strRef>
          </c:cat>
          <c:val>
            <c:numRef>
              <c:f>Charts!$P$22:$P$33</c:f>
              <c:numCache>
                <c:formatCode>General</c:formatCode>
                <c:ptCount val="12"/>
                <c:pt idx="0">
                  <c:v>1</c:v>
                </c:pt>
                <c:pt idx="1">
                  <c:v>8</c:v>
                </c:pt>
                <c:pt idx="2">
                  <c:v>1</c:v>
                </c:pt>
              </c:numCache>
            </c:numRef>
          </c:val>
        </c:ser>
        <c:ser>
          <c:idx val="5"/>
          <c:order val="5"/>
          <c:tx>
            <c:strRef>
              <c:f>Charts!$Q$20</c:f>
              <c:strCache>
                <c:ptCount val="1"/>
                <c:pt idx="0">
                  <c:v>NSFR</c:v>
                </c:pt>
              </c:strCache>
            </c:strRef>
          </c:tx>
          <c:spPr>
            <a:solidFill>
              <a:schemeClr val="accent4">
                <a:lumMod val="40000"/>
                <a:lumOff val="60000"/>
              </a:schemeClr>
            </a:solidFill>
          </c:spPr>
          <c:invertIfNegative val="0"/>
          <c:cat>
            <c:strRef>
              <c:f>Charts!$K$22:$K$33</c:f>
              <c:strCache>
                <c:ptCount val="12"/>
                <c:pt idx="0">
                  <c:v>31/03/2015</c:v>
                </c:pt>
                <c:pt idx="1">
                  <c:v>30/06/2015</c:v>
                </c:pt>
                <c:pt idx="2">
                  <c:v>30/09/2015</c:v>
                </c:pt>
                <c:pt idx="3">
                  <c:v>31/12/2015</c:v>
                </c:pt>
                <c:pt idx="4">
                  <c:v>31/03/2016</c:v>
                </c:pt>
                <c:pt idx="5">
                  <c:v>30/06/2016</c:v>
                </c:pt>
                <c:pt idx="6">
                  <c:v>30/09/2016</c:v>
                </c:pt>
                <c:pt idx="7">
                  <c:v>31/12/2016</c:v>
                </c:pt>
                <c:pt idx="8">
                  <c:v>31/03/2017</c:v>
                </c:pt>
                <c:pt idx="9">
                  <c:v>30/06/2017</c:v>
                </c:pt>
                <c:pt idx="10">
                  <c:v>30/09/2017</c:v>
                </c:pt>
                <c:pt idx="11">
                  <c:v>31/12/2017</c:v>
                </c:pt>
              </c:strCache>
            </c:strRef>
          </c:cat>
          <c:val>
            <c:numRef>
              <c:f>Charts!$Q$22:$Q$33</c:f>
              <c:numCache>
                <c:formatCode>General</c:formatCode>
                <c:ptCount val="12"/>
                <c:pt idx="7">
                  <c:v>1</c:v>
                </c:pt>
              </c:numCache>
            </c:numRef>
          </c:val>
        </c:ser>
        <c:dLbls>
          <c:showLegendKey val="0"/>
          <c:showVal val="0"/>
          <c:showCatName val="0"/>
          <c:showSerName val="0"/>
          <c:showPercent val="0"/>
          <c:showBubbleSize val="0"/>
        </c:dLbls>
        <c:gapWidth val="150"/>
        <c:overlap val="100"/>
        <c:axId val="129523712"/>
        <c:axId val="129525248"/>
      </c:barChart>
      <c:catAx>
        <c:axId val="129523712"/>
        <c:scaling>
          <c:orientation val="minMax"/>
        </c:scaling>
        <c:delete val="0"/>
        <c:axPos val="b"/>
        <c:majorTickMark val="out"/>
        <c:minorTickMark val="none"/>
        <c:tickLblPos val="nextTo"/>
        <c:txPr>
          <a:bodyPr/>
          <a:lstStyle/>
          <a:p>
            <a:pPr>
              <a:defRPr sz="900"/>
            </a:pPr>
            <a:endParaRPr lang="en-US"/>
          </a:p>
        </c:txPr>
        <c:crossAx val="129525248"/>
        <c:crosses val="autoZero"/>
        <c:auto val="1"/>
        <c:lblAlgn val="ctr"/>
        <c:lblOffset val="100"/>
        <c:noMultiLvlLbl val="0"/>
      </c:catAx>
      <c:valAx>
        <c:axId val="129525248"/>
        <c:scaling>
          <c:orientation val="minMax"/>
          <c:max val="300"/>
          <c:min val="0"/>
        </c:scaling>
        <c:delete val="0"/>
        <c:axPos val="l"/>
        <c:majorGridlines/>
        <c:numFmt formatCode="General" sourceLinked="1"/>
        <c:majorTickMark val="out"/>
        <c:minorTickMark val="none"/>
        <c:tickLblPos val="nextTo"/>
        <c:crossAx val="129523712"/>
        <c:crosses val="autoZero"/>
        <c:crossBetween val="between"/>
        <c:majorUnit val="50"/>
        <c:minorUnit val="10"/>
      </c:valAx>
    </c:plotArea>
    <c:legend>
      <c:legendPos val="r"/>
      <c:layout>
        <c:manualLayout>
          <c:xMode val="edge"/>
          <c:yMode val="edge"/>
          <c:x val="0.84990376202974616"/>
          <c:y val="0.14172930249592247"/>
          <c:w val="0.12787401574803151"/>
          <c:h val="0.58676131488346051"/>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8244906886639168"/>
          <c:y val="0.11032721912626252"/>
          <c:w val="0.50842394700662419"/>
          <c:h val="0.64833269408659167"/>
        </c:manualLayout>
      </c:layout>
      <c:barChart>
        <c:barDir val="col"/>
        <c:grouping val="stacked"/>
        <c:varyColors val="0"/>
        <c:ser>
          <c:idx val="0"/>
          <c:order val="0"/>
          <c:tx>
            <c:strRef>
              <c:f>Charts!$L$20</c:f>
              <c:strCache>
                <c:ptCount val="1"/>
                <c:pt idx="0">
                  <c:v>AE</c:v>
                </c:pt>
              </c:strCache>
            </c:strRef>
          </c:tx>
          <c:spPr>
            <a:solidFill>
              <a:schemeClr val="tx2">
                <a:lumMod val="60000"/>
                <a:lumOff val="40000"/>
              </a:schemeClr>
            </a:solidFill>
          </c:spPr>
          <c:invertIfNegative val="0"/>
          <c:cat>
            <c:strRef>
              <c:f>Charts!$K$21</c:f>
              <c:strCache>
                <c:ptCount val="1"/>
                <c:pt idx="0">
                  <c:v>31/12/2014</c:v>
                </c:pt>
              </c:strCache>
            </c:strRef>
          </c:cat>
          <c:val>
            <c:numRef>
              <c:f>Charts!$L$21</c:f>
              <c:numCache>
                <c:formatCode>General</c:formatCode>
                <c:ptCount val="1"/>
                <c:pt idx="0">
                  <c:v>237</c:v>
                </c:pt>
              </c:numCache>
            </c:numRef>
          </c:val>
        </c:ser>
        <c:ser>
          <c:idx val="1"/>
          <c:order val="1"/>
          <c:tx>
            <c:strRef>
              <c:f>Charts!$M$20</c:f>
              <c:strCache>
                <c:ptCount val="1"/>
                <c:pt idx="0">
                  <c:v>COREP</c:v>
                </c:pt>
              </c:strCache>
            </c:strRef>
          </c:tx>
          <c:spPr>
            <a:solidFill>
              <a:schemeClr val="accent6">
                <a:lumMod val="75000"/>
              </a:schemeClr>
            </a:solidFill>
          </c:spPr>
          <c:invertIfNegative val="0"/>
          <c:cat>
            <c:strRef>
              <c:f>Charts!$K$21</c:f>
              <c:strCache>
                <c:ptCount val="1"/>
                <c:pt idx="0">
                  <c:v>31/12/2014</c:v>
                </c:pt>
              </c:strCache>
            </c:strRef>
          </c:cat>
          <c:val>
            <c:numRef>
              <c:f>Charts!$M$21</c:f>
              <c:numCache>
                <c:formatCode>General</c:formatCode>
                <c:ptCount val="1"/>
                <c:pt idx="0">
                  <c:v>155</c:v>
                </c:pt>
              </c:numCache>
            </c:numRef>
          </c:val>
        </c:ser>
        <c:ser>
          <c:idx val="2"/>
          <c:order val="2"/>
          <c:tx>
            <c:strRef>
              <c:f>Charts!$N$20</c:f>
              <c:strCache>
                <c:ptCount val="1"/>
                <c:pt idx="0">
                  <c:v>FINREP</c:v>
                </c:pt>
              </c:strCache>
            </c:strRef>
          </c:tx>
          <c:spPr>
            <a:solidFill>
              <a:schemeClr val="accent3">
                <a:lumMod val="60000"/>
                <a:lumOff val="40000"/>
              </a:schemeClr>
            </a:solidFill>
          </c:spPr>
          <c:invertIfNegative val="0"/>
          <c:cat>
            <c:strRef>
              <c:f>Charts!$K$21</c:f>
              <c:strCache>
                <c:ptCount val="1"/>
                <c:pt idx="0">
                  <c:v>31/12/2014</c:v>
                </c:pt>
              </c:strCache>
            </c:strRef>
          </c:cat>
          <c:val>
            <c:numRef>
              <c:f>Charts!$N$21</c:f>
              <c:numCache>
                <c:formatCode>General</c:formatCode>
                <c:ptCount val="1"/>
                <c:pt idx="0">
                  <c:v>631</c:v>
                </c:pt>
              </c:numCache>
            </c:numRef>
          </c:val>
        </c:ser>
        <c:ser>
          <c:idx val="3"/>
          <c:order val="3"/>
          <c:tx>
            <c:strRef>
              <c:f>Charts!$O$20</c:f>
              <c:strCache>
                <c:ptCount val="1"/>
                <c:pt idx="0">
                  <c:v>LCR</c:v>
                </c:pt>
              </c:strCache>
            </c:strRef>
          </c:tx>
          <c:invertIfNegative val="0"/>
          <c:cat>
            <c:strRef>
              <c:f>Charts!$K$21</c:f>
              <c:strCache>
                <c:ptCount val="1"/>
                <c:pt idx="0">
                  <c:v>31/12/2014</c:v>
                </c:pt>
              </c:strCache>
            </c:strRef>
          </c:cat>
          <c:val>
            <c:numRef>
              <c:f>Charts!$O$21</c:f>
              <c:numCache>
                <c:formatCode>General</c:formatCode>
                <c:ptCount val="1"/>
                <c:pt idx="0">
                  <c:v>0</c:v>
                </c:pt>
              </c:numCache>
            </c:numRef>
          </c:val>
        </c:ser>
        <c:ser>
          <c:idx val="4"/>
          <c:order val="4"/>
          <c:tx>
            <c:strRef>
              <c:f>Charts!$P$20</c:f>
              <c:strCache>
                <c:ptCount val="1"/>
                <c:pt idx="0">
                  <c:v>LE</c:v>
                </c:pt>
              </c:strCache>
            </c:strRef>
          </c:tx>
          <c:spPr>
            <a:solidFill>
              <a:srgbClr val="00B0F0"/>
            </a:solidFill>
          </c:spPr>
          <c:invertIfNegative val="0"/>
          <c:cat>
            <c:strRef>
              <c:f>Charts!$K$21</c:f>
              <c:strCache>
                <c:ptCount val="1"/>
                <c:pt idx="0">
                  <c:v>31/12/2014</c:v>
                </c:pt>
              </c:strCache>
            </c:strRef>
          </c:cat>
          <c:val>
            <c:numRef>
              <c:f>Charts!$P$21</c:f>
              <c:numCache>
                <c:formatCode>General</c:formatCode>
                <c:ptCount val="1"/>
                <c:pt idx="0">
                  <c:v>16</c:v>
                </c:pt>
              </c:numCache>
            </c:numRef>
          </c:val>
        </c:ser>
        <c:ser>
          <c:idx val="5"/>
          <c:order val="5"/>
          <c:tx>
            <c:strRef>
              <c:f>Charts!$Q$20</c:f>
              <c:strCache>
                <c:ptCount val="1"/>
                <c:pt idx="0">
                  <c:v>NSFR</c:v>
                </c:pt>
              </c:strCache>
            </c:strRef>
          </c:tx>
          <c:invertIfNegative val="0"/>
          <c:cat>
            <c:strRef>
              <c:f>Charts!$K$21</c:f>
              <c:strCache>
                <c:ptCount val="1"/>
                <c:pt idx="0">
                  <c:v>31/12/2014</c:v>
                </c:pt>
              </c:strCache>
            </c:strRef>
          </c:cat>
          <c:val>
            <c:numRef>
              <c:f>Charts!$Q$21</c:f>
              <c:numCache>
                <c:formatCode>General</c:formatCode>
                <c:ptCount val="1"/>
              </c:numCache>
            </c:numRef>
          </c:val>
        </c:ser>
        <c:dLbls>
          <c:showLegendKey val="0"/>
          <c:showVal val="0"/>
          <c:showCatName val="0"/>
          <c:showSerName val="0"/>
          <c:showPercent val="0"/>
          <c:showBubbleSize val="0"/>
        </c:dLbls>
        <c:gapWidth val="379"/>
        <c:overlap val="100"/>
        <c:axId val="130135168"/>
        <c:axId val="130136704"/>
      </c:barChart>
      <c:catAx>
        <c:axId val="130135168"/>
        <c:scaling>
          <c:orientation val="minMax"/>
        </c:scaling>
        <c:delete val="0"/>
        <c:axPos val="b"/>
        <c:majorTickMark val="out"/>
        <c:minorTickMark val="none"/>
        <c:tickLblPos val="nextTo"/>
        <c:txPr>
          <a:bodyPr rot="-2100000"/>
          <a:lstStyle/>
          <a:p>
            <a:pPr>
              <a:defRPr/>
            </a:pPr>
            <a:endParaRPr lang="en-US"/>
          </a:p>
        </c:txPr>
        <c:crossAx val="130136704"/>
        <c:crosses val="autoZero"/>
        <c:auto val="1"/>
        <c:lblAlgn val="ctr"/>
        <c:lblOffset val="100"/>
        <c:noMultiLvlLbl val="0"/>
      </c:catAx>
      <c:valAx>
        <c:axId val="130136704"/>
        <c:scaling>
          <c:orientation val="minMax"/>
        </c:scaling>
        <c:delete val="0"/>
        <c:axPos val="l"/>
        <c:majorGridlines/>
        <c:numFmt formatCode="#,##0" sourceLinked="0"/>
        <c:majorTickMark val="out"/>
        <c:minorTickMark val="none"/>
        <c:tickLblPos val="nextTo"/>
        <c:crossAx val="13013516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8867D-339E-4ACD-A2AB-600F9D60A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2408</TotalTime>
  <Pages>10</Pages>
  <Words>3340</Words>
  <Characters>19043</Characters>
  <Application>Microsoft Office Word</Application>
  <DocSecurity>0</DocSecurity>
  <Lines>158</Lines>
  <Paragraphs>44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Central Bank</Company>
  <LinksUpToDate>false</LinksUpToDate>
  <CharactersWithSpaces>22339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Guidi, Gregorio</cp:lastModifiedBy>
  <cp:revision>110</cp:revision>
  <cp:lastPrinted>2018-05-15T13:17:00Z</cp:lastPrinted>
  <dcterms:created xsi:type="dcterms:W3CDTF">2018-04-04T16:17:00Z</dcterms:created>
  <dcterms:modified xsi:type="dcterms:W3CDTF">2018-05-15T14:08:00Z</dcterms:modified>
</cp:coreProperties>
</file>