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A8" w:rsidRPr="00306AA8" w:rsidRDefault="00306AA8" w:rsidP="00306AA8">
      <w:pPr>
        <w:spacing w:before="480" w:after="480" w:line="360" w:lineRule="auto"/>
        <w:jc w:val="center"/>
        <w:rPr>
          <w:rFonts w:ascii="Arial" w:hAnsi="Arial" w:cs="Arial"/>
          <w:b/>
          <w:sz w:val="48"/>
          <w:szCs w:val="48"/>
          <w:lang w:val="en-GB"/>
        </w:rPr>
      </w:pPr>
      <w:r w:rsidRPr="00306AA8">
        <w:rPr>
          <w:rFonts w:ascii="Arial" w:hAnsi="Arial" w:cs="Arial"/>
          <w:b/>
          <w:sz w:val="48"/>
          <w:szCs w:val="48"/>
          <w:lang w:val="en-GB"/>
        </w:rPr>
        <w:t>Innovation to improve data quality: the case of Italian Household Budget Survey</w:t>
      </w:r>
    </w:p>
    <w:p w:rsidR="00306AA8" w:rsidRPr="00306AA8" w:rsidRDefault="00306AA8" w:rsidP="00306AA8">
      <w:pPr>
        <w:spacing w:after="0" w:line="360" w:lineRule="auto"/>
        <w:jc w:val="both"/>
        <w:rPr>
          <w:rFonts w:ascii="Arial" w:hAnsi="Arial" w:cs="Arial"/>
          <w:sz w:val="24"/>
          <w:szCs w:val="24"/>
          <w:lang w:val="en-GB"/>
        </w:rPr>
      </w:pPr>
      <w:r w:rsidRPr="00306AA8">
        <w:rPr>
          <w:rFonts w:ascii="Arial" w:hAnsi="Arial" w:cs="Arial"/>
          <w:sz w:val="24"/>
          <w:szCs w:val="24"/>
          <w:lang w:val="en-GB"/>
        </w:rPr>
        <w:t xml:space="preserve">Achille Lemmi, </w:t>
      </w:r>
      <w:r w:rsidR="00CC4E0C" w:rsidRPr="00CC4E0C">
        <w:rPr>
          <w:rFonts w:ascii="Arial" w:hAnsi="Arial" w:cs="Arial"/>
          <w:sz w:val="24"/>
          <w:szCs w:val="24"/>
          <w:lang w:val="en-GB"/>
        </w:rPr>
        <w:t>ASESD- Tuscan Universities Research Centre ‘Camilo Dagum’</w:t>
      </w:r>
      <w:r>
        <w:rPr>
          <w:rFonts w:ascii="Arial" w:hAnsi="Arial" w:cs="Arial"/>
          <w:sz w:val="24"/>
          <w:szCs w:val="24"/>
          <w:lang w:val="en-GB"/>
        </w:rPr>
        <w:t>,</w:t>
      </w:r>
      <w:r w:rsidRPr="00306AA8">
        <w:rPr>
          <w:rFonts w:ascii="Arial" w:hAnsi="Arial" w:cs="Arial"/>
          <w:sz w:val="24"/>
          <w:szCs w:val="24"/>
          <w:lang w:val="en-GB"/>
        </w:rPr>
        <w:t xml:space="preserve"> </w:t>
      </w:r>
      <w:hyperlink r:id="rId9" w:history="1">
        <w:r w:rsidRPr="00306AA8">
          <w:rPr>
            <w:rFonts w:ascii="Arial" w:hAnsi="Arial" w:cs="Arial"/>
            <w:sz w:val="24"/>
            <w:szCs w:val="24"/>
            <w:lang w:val="en-GB"/>
          </w:rPr>
          <w:t>lemmiachille@virgilio.it</w:t>
        </w:r>
      </w:hyperlink>
    </w:p>
    <w:p w:rsidR="00306AA8" w:rsidRPr="00306AA8" w:rsidRDefault="00306AA8" w:rsidP="00306AA8">
      <w:pPr>
        <w:spacing w:after="0" w:line="360" w:lineRule="auto"/>
        <w:jc w:val="both"/>
        <w:rPr>
          <w:rFonts w:ascii="Arial" w:hAnsi="Arial" w:cs="Arial"/>
          <w:sz w:val="24"/>
          <w:szCs w:val="24"/>
          <w:lang w:val="en-GB"/>
        </w:rPr>
      </w:pPr>
      <w:r w:rsidRPr="00306AA8">
        <w:rPr>
          <w:rFonts w:ascii="Arial" w:hAnsi="Arial" w:cs="Arial"/>
          <w:sz w:val="24"/>
          <w:szCs w:val="24"/>
          <w:lang w:val="en-GB"/>
        </w:rPr>
        <w:t>Donatella Grassi, Italian National Institute of Statistics</w:t>
      </w:r>
      <w:r>
        <w:rPr>
          <w:rFonts w:ascii="Arial" w:hAnsi="Arial" w:cs="Arial"/>
          <w:sz w:val="24"/>
          <w:szCs w:val="24"/>
          <w:lang w:val="en-GB"/>
        </w:rPr>
        <w:t xml:space="preserve">, </w:t>
      </w:r>
      <w:r w:rsidRPr="00306AA8">
        <w:rPr>
          <w:rFonts w:ascii="Arial" w:hAnsi="Arial" w:cs="Arial"/>
          <w:sz w:val="24"/>
          <w:szCs w:val="24"/>
          <w:lang w:val="en-GB"/>
        </w:rPr>
        <w:t>donatella.grassi@istat.it</w:t>
      </w:r>
    </w:p>
    <w:p w:rsidR="00306AA8" w:rsidRPr="00306AA8" w:rsidRDefault="00306AA8" w:rsidP="00306AA8">
      <w:pPr>
        <w:rPr>
          <w:rFonts w:ascii="Arial" w:hAnsi="Arial" w:cs="Arial"/>
          <w:sz w:val="24"/>
          <w:szCs w:val="24"/>
          <w:lang w:val="en-GB"/>
        </w:rPr>
      </w:pPr>
      <w:r w:rsidRPr="00306AA8">
        <w:rPr>
          <w:rFonts w:ascii="Arial" w:hAnsi="Arial" w:cs="Arial"/>
          <w:sz w:val="24"/>
          <w:szCs w:val="24"/>
          <w:lang w:val="en-GB"/>
        </w:rPr>
        <w:t>Alessandra Masi, Italian National Institute of Statistics</w:t>
      </w:r>
      <w:r>
        <w:rPr>
          <w:rFonts w:ascii="Arial" w:hAnsi="Arial" w:cs="Arial"/>
          <w:sz w:val="24"/>
          <w:szCs w:val="24"/>
          <w:lang w:val="en-GB"/>
        </w:rPr>
        <w:t>, alessandra.masi@istat.it</w:t>
      </w:r>
    </w:p>
    <w:p w:rsidR="00306AA8" w:rsidRPr="00306AA8" w:rsidRDefault="00306AA8" w:rsidP="00306AA8">
      <w:pPr>
        <w:rPr>
          <w:rFonts w:ascii="Arial" w:hAnsi="Arial" w:cs="Arial"/>
          <w:sz w:val="24"/>
          <w:szCs w:val="24"/>
          <w:lang w:val="en-GB"/>
        </w:rPr>
      </w:pPr>
      <w:r w:rsidRPr="00306AA8">
        <w:rPr>
          <w:rFonts w:ascii="Arial" w:hAnsi="Arial" w:cs="Arial"/>
          <w:sz w:val="24"/>
          <w:szCs w:val="24"/>
          <w:lang w:val="en-GB"/>
        </w:rPr>
        <w:t>Nicoletta Pannuzi, Italian National Institute of Statistics</w:t>
      </w:r>
      <w:r>
        <w:rPr>
          <w:rFonts w:ascii="Arial" w:hAnsi="Arial" w:cs="Arial"/>
          <w:sz w:val="24"/>
          <w:szCs w:val="24"/>
          <w:lang w:val="en-GB"/>
        </w:rPr>
        <w:t xml:space="preserve">, </w:t>
      </w:r>
      <w:hyperlink r:id="rId10" w:history="1">
        <w:r w:rsidRPr="00306AA8">
          <w:rPr>
            <w:rFonts w:ascii="Arial" w:hAnsi="Arial" w:cs="Arial"/>
            <w:sz w:val="24"/>
            <w:szCs w:val="24"/>
            <w:lang w:val="en-GB"/>
          </w:rPr>
          <w:t>nicoletta.pannuzi@istat.it</w:t>
        </w:r>
      </w:hyperlink>
    </w:p>
    <w:p w:rsidR="00306AA8" w:rsidRPr="00306AA8" w:rsidRDefault="00306AA8" w:rsidP="00306AA8">
      <w:pPr>
        <w:rPr>
          <w:rFonts w:ascii="Arial" w:hAnsi="Arial" w:cs="Arial"/>
          <w:sz w:val="24"/>
          <w:szCs w:val="24"/>
          <w:lang w:val="en-GB"/>
        </w:rPr>
      </w:pPr>
      <w:r w:rsidRPr="00306AA8">
        <w:rPr>
          <w:rFonts w:ascii="Arial" w:hAnsi="Arial" w:cs="Arial"/>
          <w:sz w:val="24"/>
          <w:szCs w:val="24"/>
          <w:lang w:val="en-GB"/>
        </w:rPr>
        <w:t xml:space="preserve">Andrea Regoli, University of Naples Parthenope, </w:t>
      </w:r>
      <w:hyperlink r:id="rId11" w:history="1">
        <w:r w:rsidRPr="00306AA8">
          <w:rPr>
            <w:rFonts w:ascii="Arial" w:hAnsi="Arial" w:cs="Arial"/>
            <w:sz w:val="24"/>
            <w:szCs w:val="24"/>
            <w:lang w:val="en-GB"/>
          </w:rPr>
          <w:t>andrea.regoli@uniparthenope.it</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306AA8" w:rsidP="00C726EA">
      <w:pPr>
        <w:spacing w:after="0" w:line="240" w:lineRule="auto"/>
        <w:jc w:val="both"/>
        <w:rPr>
          <w:rFonts w:ascii="Arial" w:hAnsi="Arial" w:cs="Arial"/>
          <w:i/>
          <w:sz w:val="20"/>
          <w:szCs w:val="20"/>
          <w:lang w:val="en-GB"/>
        </w:rPr>
      </w:pPr>
      <w:r w:rsidRPr="00306AA8">
        <w:rPr>
          <w:rFonts w:ascii="Arial" w:hAnsi="Arial" w:cs="Arial"/>
          <w:i/>
          <w:sz w:val="20"/>
          <w:szCs w:val="20"/>
          <w:lang w:val="en-GB"/>
        </w:rPr>
        <w:t>The recent redesign of the Italian Household Budget Survey (HBS) represents the starting point of this contribution whose aim is to assess the impact of both methodological changes and innovation in data collection on the estimates of household consumption expenditures. In 2014, many innovations were introduced in the HBS, in response to changes in European recommendations and purchasing behaviours (in terms of habits and with respect to the choice of goods, services and places of purchase), and to an increased demand for information in the context of social and economic research. New instruments and techniques have been introduced, together with more accurate methodologies, with the aim of improving the estimation quality of household consumption expenditures and of other derived statistics (as the Italian measures of relative and absolute poverty). Because the old and new HBS were conducted in parallel during the last two quarters of 2012 and during all quarters of 2013, it has been possible to compare the effects of the abovementioned changes on the consumption expenditure estimates. The aim of the paper is not only devoted to the impact of different methodological choices but rather to the implications of differences in data collection and variables definition. Moreover, the impact is evaluated not only in terms of levels, but also taking into account the whole distribution. Finally the paper contains an error profile analysis, with the aim of distinguishing changes due to innovations from possible bias linked to sampling coverage or households' selection. Although our considerations refer to the Italian situation, some evidence and, in particular, the models and analytical procedures may be extended to other realities.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77D7E" w:rsidRPr="00C81EE6">
        <w:rPr>
          <w:rFonts w:ascii="Arial" w:hAnsi="Arial" w:cs="Arial"/>
          <w:sz w:val="20"/>
          <w:szCs w:val="20"/>
          <w:lang w:val="en-GB"/>
        </w:rPr>
        <w:t>Consumption expenditure</w:t>
      </w:r>
      <w:r w:rsidR="00C81EE6" w:rsidRPr="00C81EE6">
        <w:rPr>
          <w:rFonts w:ascii="Arial" w:hAnsi="Arial" w:cs="Arial"/>
          <w:sz w:val="20"/>
          <w:szCs w:val="20"/>
          <w:lang w:val="en-GB"/>
        </w:rPr>
        <w:t>,</w:t>
      </w:r>
      <w:r w:rsidR="00177D7E" w:rsidRPr="00C81EE6">
        <w:rPr>
          <w:rFonts w:ascii="Arial" w:hAnsi="Arial" w:cs="Arial"/>
          <w:sz w:val="20"/>
          <w:szCs w:val="20"/>
          <w:lang w:val="en-GB"/>
        </w:rPr>
        <w:t xml:space="preserve"> </w:t>
      </w:r>
      <w:r w:rsidR="001C5CDC" w:rsidRPr="00C81EE6">
        <w:rPr>
          <w:rFonts w:ascii="Arial" w:hAnsi="Arial" w:cs="Arial"/>
          <w:sz w:val="20"/>
          <w:szCs w:val="20"/>
          <w:lang w:val="en-GB"/>
        </w:rPr>
        <w:t>Data Quality;</w:t>
      </w:r>
      <w:r w:rsidR="00177D7E" w:rsidRPr="00C81EE6">
        <w:rPr>
          <w:rFonts w:ascii="Arial" w:hAnsi="Arial" w:cs="Arial"/>
          <w:sz w:val="20"/>
          <w:szCs w:val="20"/>
          <w:lang w:val="en-GB"/>
        </w:rPr>
        <w:t xml:space="preserve"> Survey instruments</w:t>
      </w:r>
      <w:r w:rsidR="00C81EE6">
        <w:rPr>
          <w:rFonts w:ascii="Arial" w:hAnsi="Arial" w:cs="Arial"/>
          <w:sz w:val="20"/>
          <w:szCs w:val="20"/>
          <w:lang w:val="en-GB"/>
        </w:rPr>
        <w:t xml:space="preserve">, Survey </w:t>
      </w:r>
      <w:r w:rsidR="00177D7E" w:rsidRPr="00C81EE6">
        <w:rPr>
          <w:rFonts w:ascii="Arial" w:hAnsi="Arial" w:cs="Arial"/>
          <w:sz w:val="20"/>
          <w:szCs w:val="20"/>
          <w:lang w:val="en-GB"/>
        </w:rPr>
        <w:t>techniques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306AA8" w:rsidRPr="00306AA8">
        <w:rPr>
          <w:rFonts w:ascii="Arial" w:hAnsi="Arial" w:cs="Arial"/>
          <w:b/>
          <w:sz w:val="24"/>
          <w:szCs w:val="24"/>
          <w:lang w:val="en-GB"/>
        </w:rPr>
        <w:t>Introduction</w:t>
      </w:r>
    </w:p>
    <w:p w:rsidR="00CA3B67" w:rsidRDefault="00306AA8" w:rsidP="00306AA8">
      <w:pPr>
        <w:spacing w:before="120" w:after="0" w:line="360" w:lineRule="auto"/>
        <w:jc w:val="both"/>
        <w:rPr>
          <w:rFonts w:ascii="Arial" w:hAnsi="Arial" w:cs="Arial"/>
          <w:sz w:val="24"/>
          <w:szCs w:val="24"/>
          <w:lang w:val="en-GB"/>
        </w:rPr>
      </w:pPr>
      <w:r w:rsidRPr="00306AA8">
        <w:rPr>
          <w:rFonts w:ascii="Arial" w:hAnsi="Arial" w:cs="Arial"/>
          <w:sz w:val="24"/>
          <w:szCs w:val="24"/>
          <w:lang w:val="en-GB"/>
        </w:rPr>
        <w:t xml:space="preserve">Household consumption expenditure constitutes a relevant source of statistical information for: i) estimating the weighting system of the consumer price index; ii) estimating the final consumption component within the National Account System and iii) the analysis of living standards and behaviours of households and individuals. </w:t>
      </w:r>
    </w:p>
    <w:p w:rsidR="00306AA8" w:rsidRPr="00306AA8" w:rsidRDefault="00306AA8" w:rsidP="00306AA8">
      <w:pPr>
        <w:spacing w:before="120" w:after="0" w:line="360" w:lineRule="auto"/>
        <w:jc w:val="both"/>
        <w:rPr>
          <w:rFonts w:ascii="Arial" w:hAnsi="Arial" w:cs="Arial"/>
          <w:sz w:val="24"/>
          <w:szCs w:val="24"/>
          <w:lang w:val="en-GB"/>
        </w:rPr>
      </w:pPr>
      <w:r w:rsidRPr="00306AA8">
        <w:rPr>
          <w:rFonts w:ascii="Arial" w:hAnsi="Arial" w:cs="Arial"/>
          <w:sz w:val="24"/>
          <w:szCs w:val="24"/>
          <w:lang w:val="en-GB"/>
        </w:rPr>
        <w:lastRenderedPageBreak/>
        <w:t xml:space="preserve">In Italy, even if regularly conducted since the 1960’s, the </w:t>
      </w:r>
      <w:r w:rsidR="002B010E">
        <w:rPr>
          <w:rFonts w:ascii="Arial" w:hAnsi="Arial" w:cs="Arial"/>
          <w:sz w:val="24"/>
          <w:szCs w:val="24"/>
          <w:lang w:val="en-GB"/>
        </w:rPr>
        <w:t>Household Budget Survey (</w:t>
      </w:r>
      <w:r w:rsidRPr="00306AA8">
        <w:rPr>
          <w:rFonts w:ascii="Arial" w:hAnsi="Arial" w:cs="Arial"/>
          <w:sz w:val="24"/>
          <w:szCs w:val="24"/>
          <w:lang w:val="en-GB"/>
        </w:rPr>
        <w:t>HBS</w:t>
      </w:r>
      <w:r w:rsidR="002B010E">
        <w:rPr>
          <w:rFonts w:ascii="Arial" w:hAnsi="Arial" w:cs="Arial"/>
          <w:sz w:val="24"/>
          <w:szCs w:val="24"/>
          <w:lang w:val="en-GB"/>
        </w:rPr>
        <w:t>)</w:t>
      </w:r>
      <w:r w:rsidRPr="00306AA8">
        <w:rPr>
          <w:rFonts w:ascii="Arial" w:hAnsi="Arial" w:cs="Arial"/>
          <w:sz w:val="24"/>
          <w:szCs w:val="24"/>
          <w:lang w:val="en-GB"/>
        </w:rPr>
        <w:t xml:space="preserve"> has been deeply redesigned in 2014, in response to changes in European recommendations and in people purchasing behaviours, and to the increased demand for information in the context of social and economic research. </w:t>
      </w:r>
    </w:p>
    <w:p w:rsidR="00306AA8" w:rsidRPr="00306AA8" w:rsidRDefault="00306AA8" w:rsidP="00306AA8">
      <w:pPr>
        <w:spacing w:before="120" w:after="0" w:line="360" w:lineRule="auto"/>
        <w:jc w:val="both"/>
        <w:rPr>
          <w:rFonts w:ascii="Arial" w:hAnsi="Arial" w:cs="Arial"/>
          <w:sz w:val="24"/>
          <w:szCs w:val="24"/>
          <w:lang w:val="en-GB"/>
        </w:rPr>
      </w:pPr>
      <w:r w:rsidRPr="00306AA8">
        <w:rPr>
          <w:rFonts w:ascii="Arial" w:hAnsi="Arial" w:cs="Arial"/>
          <w:sz w:val="24"/>
          <w:szCs w:val="24"/>
          <w:lang w:val="en-GB"/>
        </w:rPr>
        <w:t xml:space="preserve">The redesign of Italian HBS introduced new instruments and techniques, together with more accurate methodologies, with the aim of improving the estimation quality of household consumption expenditures and of other derived statistics (as the measures of poverty). </w:t>
      </w:r>
      <w:r w:rsidR="00277954">
        <w:rPr>
          <w:rFonts w:ascii="Arial" w:hAnsi="Arial" w:cs="Arial"/>
          <w:sz w:val="24"/>
          <w:szCs w:val="24"/>
          <w:lang w:val="en-GB"/>
        </w:rPr>
        <w:t>Af</w:t>
      </w:r>
      <w:r w:rsidR="008F4106">
        <w:rPr>
          <w:rFonts w:ascii="Arial" w:hAnsi="Arial" w:cs="Arial"/>
          <w:sz w:val="24"/>
          <w:szCs w:val="24"/>
          <w:lang w:val="en-GB"/>
        </w:rPr>
        <w:t>t</w:t>
      </w:r>
      <w:r w:rsidR="00277954">
        <w:rPr>
          <w:rFonts w:ascii="Arial" w:hAnsi="Arial" w:cs="Arial"/>
          <w:sz w:val="24"/>
          <w:szCs w:val="24"/>
          <w:lang w:val="en-GB"/>
        </w:rPr>
        <w:t xml:space="preserve">er </w:t>
      </w:r>
      <w:r w:rsidR="00277954" w:rsidRPr="0015112D">
        <w:rPr>
          <w:rFonts w:ascii="Arial" w:hAnsi="Arial" w:cs="Arial"/>
          <w:sz w:val="24"/>
          <w:szCs w:val="24"/>
          <w:lang w:val="en-GB"/>
        </w:rPr>
        <w:t>a system of experimental surveys,</w:t>
      </w:r>
      <w:r w:rsidR="00277954">
        <w:rPr>
          <w:rFonts w:ascii="Arial" w:hAnsi="Arial" w:cs="Arial"/>
          <w:sz w:val="24"/>
          <w:szCs w:val="24"/>
          <w:lang w:val="en-GB"/>
        </w:rPr>
        <w:t xml:space="preserve"> t</w:t>
      </w:r>
      <w:r w:rsidR="002B010E" w:rsidRPr="00CA3B67">
        <w:rPr>
          <w:rFonts w:ascii="Arial" w:hAnsi="Arial" w:cs="Arial"/>
          <w:sz w:val="24"/>
          <w:szCs w:val="24"/>
          <w:lang w:val="en-GB"/>
        </w:rPr>
        <w:t xml:space="preserve">he </w:t>
      </w:r>
      <w:r w:rsidR="002B010E" w:rsidRPr="00C34CB9">
        <w:rPr>
          <w:rFonts w:ascii="Arial" w:hAnsi="Arial" w:cs="Arial"/>
          <w:i/>
          <w:sz w:val="24"/>
          <w:szCs w:val="24"/>
          <w:lang w:val="en-GB"/>
        </w:rPr>
        <w:t>Former</w:t>
      </w:r>
      <w:r w:rsidR="002B010E" w:rsidRPr="00CA3B67">
        <w:rPr>
          <w:rFonts w:ascii="Arial" w:hAnsi="Arial" w:cs="Arial"/>
          <w:sz w:val="24"/>
          <w:szCs w:val="24"/>
          <w:lang w:val="en-GB"/>
        </w:rPr>
        <w:t xml:space="preserve"> and</w:t>
      </w:r>
      <w:r w:rsidR="002B010E">
        <w:rPr>
          <w:rFonts w:ascii="Arial" w:hAnsi="Arial" w:cs="Arial"/>
          <w:sz w:val="24"/>
          <w:szCs w:val="24"/>
          <w:lang w:val="en-GB"/>
        </w:rPr>
        <w:t xml:space="preserve"> the </w:t>
      </w:r>
      <w:r w:rsidR="002B010E" w:rsidRPr="00CA54FC">
        <w:rPr>
          <w:rFonts w:ascii="Arial" w:hAnsi="Arial" w:cs="Arial"/>
          <w:i/>
          <w:sz w:val="24"/>
          <w:szCs w:val="24"/>
          <w:lang w:val="en-GB"/>
        </w:rPr>
        <w:t>New HBS</w:t>
      </w:r>
      <w:r w:rsidR="002B010E" w:rsidRPr="00CA3B67">
        <w:rPr>
          <w:rFonts w:ascii="Arial" w:hAnsi="Arial" w:cs="Arial"/>
          <w:sz w:val="24"/>
          <w:szCs w:val="24"/>
          <w:lang w:val="en-GB"/>
        </w:rPr>
        <w:t xml:space="preserve"> were conducted in parallel during the last two quarters of 2012 and during all quarters of 2013</w:t>
      </w:r>
      <w:r w:rsidR="002F3111">
        <w:rPr>
          <w:rFonts w:ascii="Arial" w:hAnsi="Arial" w:cs="Arial"/>
          <w:sz w:val="24"/>
          <w:szCs w:val="24"/>
          <w:lang w:val="en-GB"/>
        </w:rPr>
        <w:t xml:space="preserve"> (</w:t>
      </w:r>
      <w:r w:rsidR="002F3111" w:rsidRPr="00320258">
        <w:rPr>
          <w:rFonts w:ascii="Arial" w:hAnsi="Arial" w:cs="Arial"/>
          <w:sz w:val="24"/>
          <w:szCs w:val="24"/>
          <w:lang w:val="en-GB"/>
        </w:rPr>
        <w:t>Grassi et al. 2015),</w:t>
      </w:r>
      <w:r w:rsidR="002F3111" w:rsidRPr="00320258">
        <w:rPr>
          <w:rFonts w:ascii="Times New Roman" w:hAnsi="Times New Roman" w:cs="Times New Roman"/>
          <w:sz w:val="20"/>
          <w:szCs w:val="20"/>
        </w:rPr>
        <w:t xml:space="preserve"> </w:t>
      </w:r>
      <w:r w:rsidR="002F3111" w:rsidRPr="00320258">
        <w:rPr>
          <w:rFonts w:ascii="Arial" w:hAnsi="Arial" w:cs="Arial"/>
          <w:sz w:val="24"/>
          <w:szCs w:val="24"/>
          <w:lang w:val="en-GB"/>
        </w:rPr>
        <w:t>as suggested by the specific literature (</w:t>
      </w:r>
      <w:r w:rsidR="006C3EBB" w:rsidRPr="00320258">
        <w:rPr>
          <w:rFonts w:ascii="Arial" w:hAnsi="Arial" w:cs="Arial"/>
          <w:sz w:val="24"/>
          <w:szCs w:val="24"/>
          <w:lang w:val="en-GB"/>
        </w:rPr>
        <w:t>van den Brakel et al 2017</w:t>
      </w:r>
      <w:r w:rsidR="002F3111" w:rsidRPr="00320258">
        <w:rPr>
          <w:rFonts w:ascii="Arial" w:hAnsi="Arial" w:cs="Arial"/>
          <w:sz w:val="24"/>
          <w:szCs w:val="24"/>
          <w:lang w:val="en-GB"/>
        </w:rPr>
        <w:t>)</w:t>
      </w:r>
      <w:r w:rsidR="002B010E" w:rsidRPr="00320258">
        <w:rPr>
          <w:rFonts w:ascii="Arial" w:hAnsi="Arial" w:cs="Arial"/>
          <w:sz w:val="24"/>
          <w:szCs w:val="24"/>
          <w:lang w:val="en-GB"/>
        </w:rPr>
        <w:t>.</w:t>
      </w:r>
    </w:p>
    <w:p w:rsidR="00306AA8" w:rsidRPr="00306AA8" w:rsidRDefault="00306AA8" w:rsidP="00306AA8">
      <w:pPr>
        <w:spacing w:before="120" w:after="0" w:line="360" w:lineRule="auto"/>
        <w:jc w:val="both"/>
        <w:rPr>
          <w:rFonts w:ascii="Arial" w:hAnsi="Arial" w:cs="Arial"/>
          <w:sz w:val="24"/>
          <w:szCs w:val="24"/>
          <w:lang w:val="en-GB"/>
        </w:rPr>
      </w:pPr>
      <w:r w:rsidRPr="00306AA8">
        <w:rPr>
          <w:rFonts w:ascii="Arial" w:hAnsi="Arial" w:cs="Arial"/>
          <w:sz w:val="24"/>
          <w:szCs w:val="24"/>
          <w:lang w:val="en-GB"/>
        </w:rPr>
        <w:t>In this paper, we concentrate on the specific effect of each introduced innovation on the estimates of consumption expenditures, inequality and poverty.</w:t>
      </w:r>
    </w:p>
    <w:p w:rsidR="00CA3B67" w:rsidRDefault="00CA3B67" w:rsidP="00306AA8">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sidRPr="00E11CF8">
        <w:rPr>
          <w:rFonts w:ascii="Arial" w:hAnsi="Arial" w:cs="Arial"/>
          <w:b/>
          <w:sz w:val="24"/>
          <w:szCs w:val="24"/>
          <w:lang w:val="en-GB"/>
        </w:rPr>
        <w:t xml:space="preserve">The </w:t>
      </w:r>
      <w:r w:rsidR="00277954">
        <w:rPr>
          <w:rFonts w:ascii="Arial" w:hAnsi="Arial" w:cs="Arial"/>
          <w:b/>
          <w:sz w:val="24"/>
          <w:szCs w:val="24"/>
          <w:lang w:val="en-GB"/>
        </w:rPr>
        <w:t>Former and New HBS</w:t>
      </w:r>
    </w:p>
    <w:p w:rsidR="00CA3B67" w:rsidRDefault="00F844A2" w:rsidP="006F0B33">
      <w:pPr>
        <w:spacing w:before="120" w:after="0" w:line="360" w:lineRule="auto"/>
        <w:jc w:val="both"/>
        <w:rPr>
          <w:rFonts w:ascii="Arial" w:hAnsi="Arial" w:cs="Arial"/>
          <w:sz w:val="24"/>
          <w:szCs w:val="24"/>
          <w:lang w:val="en-GB"/>
        </w:rPr>
      </w:pPr>
      <w:r>
        <w:rPr>
          <w:rFonts w:ascii="Arial" w:hAnsi="Arial" w:cs="Arial"/>
          <w:sz w:val="24"/>
          <w:szCs w:val="24"/>
          <w:lang w:val="en-GB"/>
        </w:rPr>
        <w:t>The HBS, i</w:t>
      </w:r>
      <w:r w:rsidR="00306AA8" w:rsidRPr="00306AA8">
        <w:rPr>
          <w:rFonts w:ascii="Arial" w:hAnsi="Arial" w:cs="Arial"/>
          <w:sz w:val="24"/>
          <w:szCs w:val="24"/>
          <w:lang w:val="en-GB"/>
        </w:rPr>
        <w:t>n Italy, represents one of the primary sources for estimating</w:t>
      </w:r>
      <w:r w:rsidR="00CA3B67">
        <w:rPr>
          <w:rFonts w:ascii="Arial" w:hAnsi="Arial" w:cs="Arial"/>
          <w:sz w:val="24"/>
          <w:szCs w:val="24"/>
          <w:lang w:val="en-GB"/>
        </w:rPr>
        <w:t xml:space="preserve"> </w:t>
      </w:r>
      <w:r w:rsidR="00306AA8" w:rsidRPr="00306AA8">
        <w:rPr>
          <w:rFonts w:ascii="Arial" w:hAnsi="Arial" w:cs="Arial"/>
          <w:sz w:val="24"/>
          <w:szCs w:val="24"/>
          <w:lang w:val="en-GB"/>
        </w:rPr>
        <w:t>the households’ final consumption in the National Accounts System. This requirement determines the need to estimate the expenses for all the items included in the 5-digit international Classification of Individual Consumption by Purpose (Coicop), during time increasingly detailed, on a quarterly basis. Timeliness and detail are therefore the basic requirements.</w:t>
      </w:r>
      <w:r>
        <w:rPr>
          <w:rFonts w:ascii="Arial" w:hAnsi="Arial" w:cs="Arial"/>
          <w:sz w:val="24"/>
          <w:szCs w:val="24"/>
          <w:lang w:val="en-GB"/>
        </w:rPr>
        <w:t xml:space="preserve"> </w:t>
      </w:r>
    </w:p>
    <w:p w:rsidR="00306AA8" w:rsidRDefault="00306AA8" w:rsidP="006F0B33">
      <w:pPr>
        <w:spacing w:before="120" w:after="0" w:line="360" w:lineRule="auto"/>
        <w:jc w:val="both"/>
        <w:rPr>
          <w:rFonts w:ascii="Arial" w:hAnsi="Arial" w:cs="Arial"/>
          <w:sz w:val="24"/>
          <w:szCs w:val="24"/>
          <w:lang w:val="en-GB"/>
        </w:rPr>
      </w:pPr>
      <w:r w:rsidRPr="00306AA8">
        <w:rPr>
          <w:rFonts w:ascii="Arial" w:hAnsi="Arial" w:cs="Arial"/>
          <w:sz w:val="24"/>
          <w:szCs w:val="24"/>
          <w:lang w:val="en-GB"/>
        </w:rPr>
        <w:t>In order to achieve these goals</w:t>
      </w:r>
      <w:r w:rsidR="00CA3B67">
        <w:rPr>
          <w:rFonts w:ascii="Arial" w:hAnsi="Arial" w:cs="Arial"/>
          <w:sz w:val="24"/>
          <w:szCs w:val="24"/>
          <w:lang w:val="en-GB"/>
        </w:rPr>
        <w:t>,</w:t>
      </w:r>
      <w:r w:rsidRPr="00306AA8">
        <w:rPr>
          <w:rFonts w:ascii="Arial" w:hAnsi="Arial" w:cs="Arial"/>
          <w:sz w:val="24"/>
          <w:szCs w:val="24"/>
          <w:lang w:val="en-GB"/>
        </w:rPr>
        <w:t xml:space="preserve"> the survey has been deeply modified</w:t>
      </w:r>
      <w:r w:rsidR="00C34CB9">
        <w:rPr>
          <w:rFonts w:ascii="Arial" w:hAnsi="Arial" w:cs="Arial"/>
          <w:sz w:val="24"/>
          <w:szCs w:val="24"/>
          <w:lang w:val="en-GB"/>
        </w:rPr>
        <w:t xml:space="preserve"> </w:t>
      </w:r>
      <w:r w:rsidRPr="00306AA8">
        <w:rPr>
          <w:rFonts w:ascii="Arial" w:hAnsi="Arial" w:cs="Arial"/>
          <w:sz w:val="24"/>
          <w:szCs w:val="24"/>
          <w:lang w:val="en-GB"/>
        </w:rPr>
        <w:t>in al</w:t>
      </w:r>
      <w:r w:rsidR="00CA3B67">
        <w:rPr>
          <w:rFonts w:ascii="Arial" w:hAnsi="Arial" w:cs="Arial"/>
          <w:sz w:val="24"/>
          <w:szCs w:val="24"/>
          <w:lang w:val="en-GB"/>
        </w:rPr>
        <w:t>l the aspects listed in table 1.</w:t>
      </w:r>
    </w:p>
    <w:p w:rsidR="00CA3B67" w:rsidRDefault="00CA3B67"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The consumption expenditure levels in the </w:t>
      </w:r>
      <w:r w:rsidRPr="00CA54FC">
        <w:rPr>
          <w:rFonts w:ascii="Arial" w:hAnsi="Arial" w:cs="Arial"/>
          <w:i/>
          <w:sz w:val="24"/>
          <w:szCs w:val="24"/>
          <w:lang w:val="en-GB"/>
        </w:rPr>
        <w:t>New HBS</w:t>
      </w:r>
      <w:r w:rsidRPr="00653ABB">
        <w:rPr>
          <w:rFonts w:ascii="Arial" w:hAnsi="Arial" w:cs="Arial"/>
          <w:sz w:val="24"/>
          <w:szCs w:val="24"/>
          <w:lang w:val="en-GB"/>
        </w:rPr>
        <w:t xml:space="preserve"> are higher than in the </w:t>
      </w:r>
      <w:r w:rsidRPr="00ED62B3">
        <w:rPr>
          <w:rFonts w:ascii="Arial" w:hAnsi="Arial" w:cs="Arial"/>
          <w:i/>
          <w:sz w:val="24"/>
          <w:szCs w:val="24"/>
          <w:lang w:val="en-GB"/>
        </w:rPr>
        <w:t>Former HBS</w:t>
      </w:r>
      <w:r w:rsidRPr="00653ABB">
        <w:rPr>
          <w:rFonts w:ascii="Arial" w:hAnsi="Arial" w:cs="Arial"/>
          <w:sz w:val="24"/>
          <w:szCs w:val="24"/>
          <w:lang w:val="en-GB"/>
        </w:rPr>
        <w:t>: in 2013, the difference in the average monthly household consumption expenditure is 4.7% and is 3.1% in equivalent terms</w:t>
      </w:r>
      <w:r w:rsidRPr="00B12BBF">
        <w:rPr>
          <w:rStyle w:val="Rimandonotaapidipagina"/>
        </w:rPr>
        <w:footnoteReference w:id="1"/>
      </w:r>
      <w:r>
        <w:rPr>
          <w:rFonts w:ascii="Arial" w:hAnsi="Arial" w:cs="Arial"/>
          <w:sz w:val="24"/>
          <w:szCs w:val="24"/>
          <w:lang w:val="en-GB"/>
        </w:rPr>
        <w:t>.</w:t>
      </w:r>
      <w:r w:rsidRPr="00653ABB">
        <w:rPr>
          <w:rFonts w:ascii="Arial" w:hAnsi="Arial" w:cs="Arial"/>
          <w:sz w:val="24"/>
          <w:szCs w:val="24"/>
          <w:lang w:val="en-GB"/>
        </w:rPr>
        <w:t xml:space="preserve"> The coefficient of variation reduces of about 2% and 8% respectively.</w:t>
      </w:r>
    </w:p>
    <w:p w:rsidR="000B1125" w:rsidRPr="00EC5F5A" w:rsidRDefault="000B1125" w:rsidP="000B1125">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The density curve for the </w:t>
      </w:r>
      <w:r w:rsidRPr="00CA54FC">
        <w:rPr>
          <w:rFonts w:ascii="Arial" w:hAnsi="Arial" w:cs="Arial"/>
          <w:i/>
          <w:sz w:val="24"/>
          <w:szCs w:val="24"/>
          <w:lang w:val="en-GB"/>
        </w:rPr>
        <w:t>New HBS</w:t>
      </w:r>
      <w:r w:rsidRPr="00653ABB">
        <w:rPr>
          <w:rFonts w:ascii="Arial" w:hAnsi="Arial" w:cs="Arial"/>
          <w:sz w:val="24"/>
          <w:szCs w:val="24"/>
          <w:lang w:val="en-GB"/>
        </w:rPr>
        <w:t xml:space="preserve"> (Figure </w:t>
      </w:r>
      <w:r>
        <w:rPr>
          <w:rFonts w:ascii="Arial" w:hAnsi="Arial" w:cs="Arial"/>
          <w:sz w:val="24"/>
          <w:szCs w:val="24"/>
          <w:lang w:val="en-GB"/>
        </w:rPr>
        <w:t>1</w:t>
      </w:r>
      <w:r w:rsidRPr="00653ABB">
        <w:rPr>
          <w:rFonts w:ascii="Arial" w:hAnsi="Arial" w:cs="Arial"/>
          <w:sz w:val="24"/>
          <w:szCs w:val="24"/>
          <w:lang w:val="en-GB"/>
        </w:rPr>
        <w:t xml:space="preserve">) has more mass to the right than the density curve for the </w:t>
      </w:r>
      <w:r w:rsidRPr="00ED62B3">
        <w:rPr>
          <w:rFonts w:ascii="Arial" w:hAnsi="Arial" w:cs="Arial"/>
          <w:i/>
          <w:sz w:val="24"/>
          <w:szCs w:val="24"/>
          <w:lang w:val="en-GB"/>
        </w:rPr>
        <w:t>Former HBS</w:t>
      </w:r>
      <w:r w:rsidRPr="00653ABB">
        <w:rPr>
          <w:rFonts w:ascii="Arial" w:hAnsi="Arial" w:cs="Arial"/>
          <w:sz w:val="24"/>
          <w:szCs w:val="24"/>
          <w:lang w:val="en-GB"/>
        </w:rPr>
        <w:t>. Indeed, the first distribution clearly dominates the second distribution from the 7th decile onwards</w:t>
      </w:r>
      <w:r>
        <w:rPr>
          <w:rFonts w:ascii="Arial" w:hAnsi="Arial" w:cs="Arial"/>
          <w:sz w:val="24"/>
          <w:szCs w:val="24"/>
          <w:lang w:val="en-GB"/>
        </w:rPr>
        <w:t>.</w:t>
      </w:r>
    </w:p>
    <w:p w:rsidR="00E11CF8" w:rsidRPr="000B1125" w:rsidRDefault="00E11CF8" w:rsidP="000B1125">
      <w:pPr>
        <w:pStyle w:val="Didascalia"/>
        <w:keepNext/>
        <w:rPr>
          <w:rFonts w:ascii="Arial" w:hAnsi="Arial" w:cs="Arial"/>
          <w:b/>
          <w:i w:val="0"/>
          <w:color w:val="auto"/>
          <w:sz w:val="20"/>
          <w:szCs w:val="20"/>
          <w:lang w:val="en-GB"/>
        </w:rPr>
      </w:pPr>
      <w:r w:rsidRPr="000B1125">
        <w:rPr>
          <w:rFonts w:ascii="Arial" w:hAnsi="Arial" w:cs="Arial"/>
          <w:b/>
          <w:i w:val="0"/>
          <w:color w:val="auto"/>
          <w:sz w:val="20"/>
          <w:szCs w:val="20"/>
          <w:lang w:val="en-GB"/>
        </w:rPr>
        <w:lastRenderedPageBreak/>
        <w:t>Table 1 –</w:t>
      </w:r>
      <w:r w:rsidR="00BC174D">
        <w:rPr>
          <w:rFonts w:ascii="Arial" w:hAnsi="Arial" w:cs="Arial"/>
          <w:b/>
          <w:i w:val="0"/>
          <w:color w:val="auto"/>
          <w:sz w:val="20"/>
          <w:szCs w:val="20"/>
          <w:lang w:val="en-GB"/>
        </w:rPr>
        <w:t xml:space="preserve"> </w:t>
      </w:r>
      <w:r w:rsidRPr="000B1125">
        <w:rPr>
          <w:rFonts w:ascii="Arial" w:hAnsi="Arial" w:cs="Arial"/>
          <w:b/>
          <w:i w:val="0"/>
          <w:color w:val="auto"/>
          <w:sz w:val="20"/>
          <w:szCs w:val="20"/>
          <w:lang w:val="en-GB"/>
        </w:rPr>
        <w:t>Main characteristics of the Former and New Italian HBS</w:t>
      </w:r>
    </w:p>
    <w:tbl>
      <w:tblPr>
        <w:tblW w:w="5073" w:type="pct"/>
        <w:tblCellMar>
          <w:left w:w="70" w:type="dxa"/>
          <w:right w:w="70" w:type="dxa"/>
        </w:tblCellMar>
        <w:tblLook w:val="04A0" w:firstRow="1" w:lastRow="0" w:firstColumn="1" w:lastColumn="0" w:noHBand="0" w:noVBand="1"/>
      </w:tblPr>
      <w:tblGrid>
        <w:gridCol w:w="1903"/>
        <w:gridCol w:w="1794"/>
        <w:gridCol w:w="1923"/>
        <w:gridCol w:w="1794"/>
        <w:gridCol w:w="1932"/>
      </w:tblGrid>
      <w:tr w:rsidR="00E11CF8" w:rsidRPr="00724947" w:rsidTr="002D45AF">
        <w:trPr>
          <w:trHeight w:val="411"/>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Former HBS</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New HBS</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Sampling design</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iCs/>
                <w:sz w:val="14"/>
                <w:szCs w:val="14"/>
              </w:rPr>
              <w:t>Stratified two</w:t>
            </w:r>
            <w:r w:rsidRPr="00724947">
              <w:rPr>
                <w:rFonts w:ascii="Times New Roman" w:hAnsi="Times New Roman" w:cs="Times New Roman"/>
                <w:sz w:val="14"/>
                <w:szCs w:val="14"/>
              </w:rPr>
              <w:t>-</w:t>
            </w:r>
            <w:r w:rsidRPr="00724947">
              <w:rPr>
                <w:rFonts w:ascii="Times New Roman" w:hAnsi="Times New Roman" w:cs="Times New Roman"/>
                <w:iCs/>
                <w:sz w:val="14"/>
                <w:szCs w:val="14"/>
              </w:rPr>
              <w:t>stage</w:t>
            </w:r>
            <w:r w:rsidRPr="00724947">
              <w:rPr>
                <w:rFonts w:ascii="Times New Roman" w:hAnsi="Times New Roman" w:cs="Times New Roman"/>
                <w:sz w:val="14"/>
                <w:szCs w:val="14"/>
              </w:rPr>
              <w:t xml:space="preserve"> random sample, with </w:t>
            </w:r>
            <w:r w:rsidRPr="00724947">
              <w:rPr>
                <w:rFonts w:ascii="Times New Roman" w:hAnsi="Times New Roman" w:cs="Times New Roman"/>
                <w:iCs/>
                <w:sz w:val="14"/>
                <w:szCs w:val="14"/>
              </w:rPr>
              <w:t>stratification</w:t>
            </w:r>
            <w:r w:rsidRPr="00724947">
              <w:rPr>
                <w:rFonts w:ascii="Times New Roman" w:hAnsi="Times New Roman" w:cs="Times New Roman"/>
                <w:sz w:val="14"/>
                <w:szCs w:val="14"/>
              </w:rPr>
              <w:t xml:space="preserve"> at the </w:t>
            </w:r>
            <w:r w:rsidRPr="00724947">
              <w:rPr>
                <w:rFonts w:ascii="Times New Roman" w:hAnsi="Times New Roman" w:cs="Times New Roman"/>
                <w:iCs/>
                <w:sz w:val="14"/>
                <w:szCs w:val="14"/>
              </w:rPr>
              <w:t xml:space="preserve">first stage (480 municipalities). </w:t>
            </w:r>
            <w:r w:rsidRPr="00724947">
              <w:rPr>
                <w:rFonts w:ascii="Times New Roman" w:hAnsi="Times New Roman" w:cs="Times New Roman"/>
                <w:sz w:val="14"/>
                <w:szCs w:val="14"/>
              </w:rPr>
              <w:t>Within each region, municipalities are stratified by demographic size. Substitutions allowed.</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iCs/>
                <w:sz w:val="14"/>
                <w:szCs w:val="14"/>
              </w:rPr>
              <w:t>Stratified two</w:t>
            </w:r>
            <w:r w:rsidRPr="00724947">
              <w:rPr>
                <w:rFonts w:ascii="Times New Roman" w:hAnsi="Times New Roman" w:cs="Times New Roman"/>
                <w:sz w:val="14"/>
                <w:szCs w:val="14"/>
              </w:rPr>
              <w:t>-</w:t>
            </w:r>
            <w:r w:rsidRPr="00724947">
              <w:rPr>
                <w:rFonts w:ascii="Times New Roman" w:hAnsi="Times New Roman" w:cs="Times New Roman"/>
                <w:iCs/>
                <w:sz w:val="14"/>
                <w:szCs w:val="14"/>
              </w:rPr>
              <w:t>stage</w:t>
            </w:r>
            <w:r w:rsidRPr="00724947">
              <w:rPr>
                <w:rFonts w:ascii="Times New Roman" w:hAnsi="Times New Roman" w:cs="Times New Roman"/>
                <w:sz w:val="14"/>
                <w:szCs w:val="14"/>
              </w:rPr>
              <w:t xml:space="preserve"> random sample, with </w:t>
            </w:r>
            <w:r w:rsidRPr="00724947">
              <w:rPr>
                <w:rFonts w:ascii="Times New Roman" w:hAnsi="Times New Roman" w:cs="Times New Roman"/>
                <w:iCs/>
                <w:sz w:val="14"/>
                <w:szCs w:val="14"/>
              </w:rPr>
              <w:t>stratification</w:t>
            </w:r>
            <w:r w:rsidRPr="00724947">
              <w:rPr>
                <w:rFonts w:ascii="Times New Roman" w:hAnsi="Times New Roman" w:cs="Times New Roman"/>
                <w:sz w:val="14"/>
                <w:szCs w:val="14"/>
              </w:rPr>
              <w:t xml:space="preserve"> at the </w:t>
            </w:r>
            <w:r w:rsidRPr="00724947">
              <w:rPr>
                <w:rFonts w:ascii="Times New Roman" w:hAnsi="Times New Roman" w:cs="Times New Roman"/>
                <w:iCs/>
                <w:sz w:val="14"/>
                <w:szCs w:val="14"/>
              </w:rPr>
              <w:t>first stage (502 municipalities).</w:t>
            </w:r>
            <w:r w:rsidRPr="00724947">
              <w:rPr>
                <w:rFonts w:ascii="Times New Roman" w:hAnsi="Times New Roman" w:cs="Times New Roman"/>
                <w:sz w:val="14"/>
                <w:szCs w:val="14"/>
              </w:rPr>
              <w:t xml:space="preserve"> Within each region, municipalities are stratified by municipality typology and demographic size. Substitutions allowed.</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Survey units</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Household- it includes all people living together with marriage, kinship, affinity, adoption, protection or affective ties.</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Household –it includes all people living together with marriage, kinship, affinity, adoption, protection or affective ties, also sharing income or consumption expenditures.</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Survey technique</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Mixed mode PAPI (1 direct interview) -CADI (of self filled diary)</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Mixed mode CAPI (2 direct interviews) -CADI (of self filled diary)</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Interviewers network</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Interviewers selected by municipalities’ statistical offices, trained by regional ISTAT offices.</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Professional interviewers selected by a private company, trained by the central ISTAT office.</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b/>
                <w:sz w:val="14"/>
                <w:szCs w:val="14"/>
              </w:rPr>
            </w:pPr>
            <w:r w:rsidRPr="00724947">
              <w:rPr>
                <w:rFonts w:ascii="Times New Roman" w:hAnsi="Times New Roman" w:cs="Times New Roman"/>
                <w:b/>
                <w:sz w:val="14"/>
                <w:szCs w:val="14"/>
              </w:rPr>
              <w:t>Collected information</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All the expenditures incurred to directly satisfy household’s member’s needs (including self-consumption, imputed rent and gifts).</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15" w:right="-57"/>
              <w:jc w:val="both"/>
              <w:rPr>
                <w:rFonts w:ascii="Times New Roman" w:hAnsi="Times New Roman" w:cs="Times New Roman"/>
                <w:sz w:val="14"/>
                <w:szCs w:val="14"/>
              </w:rPr>
            </w:pPr>
            <w:r w:rsidRPr="00724947">
              <w:rPr>
                <w:rFonts w:ascii="Times New Roman" w:hAnsi="Times New Roman" w:cs="Times New Roman"/>
                <w:sz w:val="14"/>
                <w:szCs w:val="14"/>
              </w:rPr>
              <w:t>All the expenditures incurred to directly satisfy household’s member’s needs (including self-consumption, imputed rent and gifts), together with purchasing month and place.</w:t>
            </w:r>
          </w:p>
        </w:tc>
      </w:tr>
      <w:tr w:rsidR="00E11CF8" w:rsidRPr="00724947" w:rsidTr="002D45AF">
        <w:trPr>
          <w:trHeight w:val="300"/>
        </w:trPr>
        <w:tc>
          <w:tcPr>
            <w:tcW w:w="2007" w:type="dxa"/>
            <w:tcBorders>
              <w:top w:val="single" w:sz="4" w:space="0" w:color="auto"/>
              <w:bottom w:val="single" w:sz="4" w:space="0" w:color="auto"/>
            </w:tcBorders>
            <w:shd w:val="clear" w:color="auto" w:fill="auto"/>
            <w:vAlign w:val="center"/>
          </w:tcPr>
          <w:p w:rsidR="00E11CF8" w:rsidRPr="00724947" w:rsidRDefault="00E11CF8" w:rsidP="002D45AF">
            <w:pPr>
              <w:spacing w:before="75" w:after="75" w:line="240" w:lineRule="auto"/>
              <w:ind w:left="-15" w:right="-30"/>
              <w:jc w:val="both"/>
              <w:rPr>
                <w:rFonts w:ascii="Times New Roman" w:hAnsi="Times New Roman" w:cs="Times New Roman"/>
                <w:b/>
                <w:sz w:val="14"/>
                <w:szCs w:val="14"/>
              </w:rPr>
            </w:pPr>
            <w:r w:rsidRPr="00724947">
              <w:rPr>
                <w:rFonts w:ascii="Times New Roman" w:hAnsi="Times New Roman" w:cs="Times New Roman"/>
                <w:b/>
                <w:sz w:val="14"/>
                <w:szCs w:val="14"/>
              </w:rPr>
              <w:t>Coicop classification</w:t>
            </w:r>
          </w:p>
        </w:tc>
        <w:tc>
          <w:tcPr>
            <w:tcW w:w="3954" w:type="dxa"/>
            <w:gridSpan w:val="2"/>
            <w:tcBorders>
              <w:top w:val="single" w:sz="4" w:space="0" w:color="auto"/>
              <w:bottom w:val="single" w:sz="4" w:space="0" w:color="auto"/>
            </w:tcBorders>
            <w:shd w:val="clear" w:color="auto" w:fill="auto"/>
            <w:vAlign w:val="center"/>
          </w:tcPr>
          <w:p w:rsidR="00E11CF8" w:rsidRPr="00724947" w:rsidRDefault="00E11CF8" w:rsidP="002D45AF">
            <w:pPr>
              <w:spacing w:before="75" w:after="75" w:line="240" w:lineRule="auto"/>
              <w:ind w:left="-15" w:right="-30"/>
              <w:jc w:val="both"/>
              <w:rPr>
                <w:rFonts w:ascii="Times New Roman" w:hAnsi="Times New Roman" w:cs="Times New Roman"/>
                <w:sz w:val="14"/>
                <w:szCs w:val="14"/>
              </w:rPr>
            </w:pPr>
            <w:r w:rsidRPr="00724947">
              <w:rPr>
                <w:rFonts w:ascii="Times New Roman" w:hAnsi="Times New Roman" w:cs="Times New Roman"/>
                <w:sz w:val="14"/>
                <w:szCs w:val="14"/>
              </w:rPr>
              <w:t>COICOP 1993 (producing 265 expenditures items)</w:t>
            </w:r>
          </w:p>
        </w:tc>
        <w:tc>
          <w:tcPr>
            <w:tcW w:w="3960" w:type="dxa"/>
            <w:gridSpan w:val="2"/>
            <w:tcBorders>
              <w:top w:val="single" w:sz="4" w:space="0" w:color="auto"/>
              <w:bottom w:val="single" w:sz="4" w:space="0" w:color="auto"/>
            </w:tcBorders>
            <w:shd w:val="clear" w:color="auto" w:fill="auto"/>
            <w:vAlign w:val="center"/>
          </w:tcPr>
          <w:p w:rsidR="00E11CF8" w:rsidRPr="00724947" w:rsidRDefault="00E11CF8" w:rsidP="002D45AF">
            <w:pPr>
              <w:spacing w:before="75" w:after="75" w:line="240" w:lineRule="auto"/>
              <w:ind w:left="-15" w:right="-30"/>
              <w:jc w:val="both"/>
              <w:rPr>
                <w:rFonts w:ascii="Times New Roman" w:hAnsi="Times New Roman" w:cs="Times New Roman"/>
                <w:sz w:val="14"/>
                <w:szCs w:val="14"/>
              </w:rPr>
            </w:pPr>
            <w:r w:rsidRPr="00724947">
              <w:rPr>
                <w:rFonts w:ascii="Times New Roman" w:hAnsi="Times New Roman" w:cs="Times New Roman"/>
                <w:sz w:val="14"/>
                <w:szCs w:val="14"/>
              </w:rPr>
              <w:t>COICOP 2013 (producing 48</w:t>
            </w:r>
            <w:r>
              <w:rPr>
                <w:rFonts w:ascii="Times New Roman" w:hAnsi="Times New Roman" w:cs="Times New Roman"/>
                <w:sz w:val="14"/>
                <w:szCs w:val="14"/>
              </w:rPr>
              <w:t>2</w:t>
            </w:r>
            <w:r w:rsidRPr="00724947">
              <w:rPr>
                <w:rFonts w:ascii="Times New Roman" w:hAnsi="Times New Roman" w:cs="Times New Roman"/>
                <w:sz w:val="14"/>
                <w:szCs w:val="14"/>
              </w:rPr>
              <w:t xml:space="preserve"> expenditures items)</w:t>
            </w:r>
          </w:p>
        </w:tc>
      </w:tr>
      <w:tr w:rsidR="00E11CF8" w:rsidRPr="00724947" w:rsidTr="002D45AF">
        <w:trPr>
          <w:trHeight w:val="126"/>
        </w:trPr>
        <w:tc>
          <w:tcPr>
            <w:tcW w:w="2007" w:type="dxa"/>
            <w:vMerge w:val="restart"/>
            <w:tcBorders>
              <w:top w:val="single" w:sz="4" w:space="0" w:color="auto"/>
              <w:bottom w:val="single" w:sz="4" w:space="0" w:color="auto"/>
            </w:tcBorders>
            <w:vAlign w:val="center"/>
          </w:tcPr>
          <w:p w:rsidR="00E11CF8" w:rsidRPr="00724947" w:rsidRDefault="00E11CF8" w:rsidP="002D45AF">
            <w:pPr>
              <w:ind w:left="-57" w:right="-57"/>
              <w:jc w:val="both"/>
              <w:rPr>
                <w:rFonts w:ascii="Times New Roman" w:hAnsi="Times New Roman" w:cs="Times New Roman"/>
                <w:b/>
                <w:sz w:val="14"/>
                <w:szCs w:val="14"/>
              </w:rPr>
            </w:pPr>
            <w:r w:rsidRPr="00724947">
              <w:rPr>
                <w:rFonts w:ascii="Times New Roman" w:hAnsi="Times New Roman" w:cs="Times New Roman"/>
                <w:b/>
                <w:sz w:val="14"/>
                <w:szCs w:val="14"/>
              </w:rPr>
              <w:t>Reference periods</w:t>
            </w:r>
          </w:p>
        </w:tc>
        <w:tc>
          <w:tcPr>
            <w:tcW w:w="1932" w:type="dxa"/>
            <w:tcBorders>
              <w:top w:val="single" w:sz="4" w:space="0" w:color="auto"/>
              <w:bottom w:val="dashSmallGap"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7 days</w:t>
            </w:r>
          </w:p>
        </w:tc>
        <w:tc>
          <w:tcPr>
            <w:tcW w:w="2022" w:type="dxa"/>
            <w:tcBorders>
              <w:top w:val="single" w:sz="4" w:space="0" w:color="auto"/>
              <w:bottom w:val="dashSmallGap"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Food, self-consumption, catering services (including canteen), non-food goods and services  frequently purchased (110 items).</w:t>
            </w:r>
          </w:p>
        </w:tc>
        <w:tc>
          <w:tcPr>
            <w:tcW w:w="1932" w:type="dxa"/>
            <w:tcBorders>
              <w:top w:val="single" w:sz="4" w:space="0" w:color="auto"/>
              <w:bottom w:val="dashSmallGap"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14 days</w:t>
            </w:r>
          </w:p>
        </w:tc>
        <w:tc>
          <w:tcPr>
            <w:tcW w:w="2028" w:type="dxa"/>
            <w:tcBorders>
              <w:top w:val="single" w:sz="4" w:space="0" w:color="auto"/>
              <w:bottom w:val="dashSmallGap"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Food, self-consumption, catering services, non-food goods and services  frequently purchased (168 items)</w:t>
            </w:r>
          </w:p>
        </w:tc>
      </w:tr>
      <w:tr w:rsidR="00E11CF8" w:rsidRPr="00724947" w:rsidTr="002D45AF">
        <w:trPr>
          <w:trHeight w:val="123"/>
        </w:trPr>
        <w:tc>
          <w:tcPr>
            <w:tcW w:w="2007" w:type="dxa"/>
            <w:vMerge/>
            <w:tcBorders>
              <w:top w:val="single" w:sz="4" w:space="0" w:color="auto"/>
            </w:tcBorders>
            <w:vAlign w:val="center"/>
          </w:tcPr>
          <w:p w:rsidR="00E11CF8" w:rsidRPr="00724947" w:rsidRDefault="00E11CF8" w:rsidP="002D45AF">
            <w:pPr>
              <w:ind w:left="-57" w:right="-57"/>
              <w:jc w:val="both"/>
              <w:rPr>
                <w:rFonts w:ascii="Times New Roman" w:hAnsi="Times New Roman" w:cs="Times New Roman"/>
                <w:b/>
                <w:sz w:val="14"/>
                <w:szCs w:val="14"/>
              </w:rPr>
            </w:pPr>
          </w:p>
        </w:tc>
        <w:tc>
          <w:tcPr>
            <w:tcW w:w="1932" w:type="dxa"/>
            <w:tcBorders>
              <w:top w:val="dashSmallGap" w:sz="4" w:space="0" w:color="auto"/>
              <w:bottom w:val="dashSmallGap"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month</w:t>
            </w:r>
          </w:p>
        </w:tc>
        <w:tc>
          <w:tcPr>
            <w:tcW w:w="2022" w:type="dxa"/>
            <w:tcBorders>
              <w:top w:val="dashSmallGap" w:sz="4" w:space="0" w:color="auto"/>
              <w:bottom w:val="dashSmallGap"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Clothing, furniture, household items, health, holidays, sport, culture, education, transport (90 items)</w:t>
            </w:r>
          </w:p>
        </w:tc>
        <w:tc>
          <w:tcPr>
            <w:tcW w:w="1932" w:type="dxa"/>
            <w:tcBorders>
              <w:top w:val="dashSmallGap" w:sz="4" w:space="0" w:color="auto"/>
              <w:bottom w:val="dashSmallGap"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month</w:t>
            </w:r>
          </w:p>
        </w:tc>
        <w:tc>
          <w:tcPr>
            <w:tcW w:w="2028" w:type="dxa"/>
            <w:tcBorders>
              <w:top w:val="dashSmallGap" w:sz="4" w:space="0" w:color="auto"/>
              <w:bottom w:val="dashSmallGap"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Clothing, canteens, sport, household items and small appliances, vehicle maintenance (54 items)</w:t>
            </w:r>
          </w:p>
        </w:tc>
      </w:tr>
      <w:tr w:rsidR="00E11CF8" w:rsidRPr="00724947" w:rsidTr="002D45AF">
        <w:trPr>
          <w:trHeight w:val="123"/>
        </w:trPr>
        <w:tc>
          <w:tcPr>
            <w:tcW w:w="2007" w:type="dxa"/>
            <w:vMerge/>
            <w:vAlign w:val="center"/>
          </w:tcPr>
          <w:p w:rsidR="00E11CF8" w:rsidRPr="00724947" w:rsidRDefault="00E11CF8" w:rsidP="002D45AF">
            <w:pPr>
              <w:ind w:left="-57" w:right="-57"/>
              <w:jc w:val="both"/>
              <w:rPr>
                <w:rFonts w:ascii="Times New Roman" w:hAnsi="Times New Roman" w:cs="Times New Roman"/>
                <w:b/>
                <w:sz w:val="14"/>
                <w:szCs w:val="14"/>
              </w:rPr>
            </w:pPr>
          </w:p>
        </w:tc>
        <w:tc>
          <w:tcPr>
            <w:tcW w:w="1932" w:type="dxa"/>
            <w:tcBorders>
              <w:top w:val="dashSmallGap" w:sz="4" w:space="0" w:color="auto"/>
              <w:bottom w:val="dashSmallGap"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3 months</w:t>
            </w:r>
          </w:p>
        </w:tc>
        <w:tc>
          <w:tcPr>
            <w:tcW w:w="2022" w:type="dxa"/>
            <w:tcBorders>
              <w:top w:val="dashSmallGap" w:sz="4" w:space="0" w:color="auto"/>
              <w:bottom w:val="dashSmallGap" w:sz="4" w:space="0" w:color="auto"/>
            </w:tcBorders>
            <w:shd w:val="clear" w:color="auto" w:fill="auto"/>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Fuels and utilities, housing maintenance, durable goods, means of transport and of communication (</w:t>
            </w:r>
            <w:r>
              <w:rPr>
                <w:rFonts w:ascii="Times New Roman" w:hAnsi="Times New Roman" w:cs="Times New Roman"/>
                <w:sz w:val="14"/>
                <w:szCs w:val="14"/>
              </w:rPr>
              <w:t>62</w:t>
            </w:r>
            <w:r w:rsidRPr="00724947">
              <w:rPr>
                <w:rFonts w:ascii="Times New Roman" w:hAnsi="Times New Roman" w:cs="Times New Roman"/>
                <w:sz w:val="14"/>
                <w:szCs w:val="14"/>
              </w:rPr>
              <w:t xml:space="preserve"> items)</w:t>
            </w:r>
          </w:p>
        </w:tc>
        <w:tc>
          <w:tcPr>
            <w:tcW w:w="1932" w:type="dxa"/>
            <w:tcBorders>
              <w:top w:val="dashSmallGap" w:sz="4" w:space="0" w:color="auto"/>
              <w:bottom w:val="dashSmallGap" w:sz="4" w:space="0" w:color="auto"/>
            </w:tcBorders>
            <w:shd w:val="clear" w:color="auto" w:fill="auto"/>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3 months</w:t>
            </w:r>
          </w:p>
        </w:tc>
        <w:tc>
          <w:tcPr>
            <w:tcW w:w="2028" w:type="dxa"/>
            <w:tcBorders>
              <w:top w:val="dashSmallGap" w:sz="4" w:space="0" w:color="auto"/>
              <w:bottom w:val="dashSmallGap" w:sz="4" w:space="0" w:color="auto"/>
            </w:tcBorders>
            <w:shd w:val="clear" w:color="auto" w:fill="auto"/>
            <w:vAlign w:val="center"/>
          </w:tcPr>
          <w:p w:rsidR="00E11CF8" w:rsidRPr="00724947" w:rsidRDefault="00E11CF8" w:rsidP="002D45AF">
            <w:pPr>
              <w:spacing w:before="75" w:after="75" w:line="240" w:lineRule="auto"/>
              <w:ind w:left="-30" w:right="-30"/>
              <w:jc w:val="both"/>
              <w:rPr>
                <w:rFonts w:ascii="Times New Roman" w:hAnsi="Times New Roman" w:cs="Times New Roman"/>
                <w:strike/>
                <w:sz w:val="14"/>
                <w:szCs w:val="14"/>
              </w:rPr>
            </w:pPr>
            <w:r w:rsidRPr="00724947">
              <w:rPr>
                <w:rFonts w:ascii="Times New Roman" w:hAnsi="Times New Roman" w:cs="Times New Roman"/>
                <w:sz w:val="14"/>
                <w:szCs w:val="14"/>
              </w:rPr>
              <w:t>Furnishings, health, holidays and transport services (68 items)</w:t>
            </w:r>
          </w:p>
        </w:tc>
      </w:tr>
      <w:tr w:rsidR="00E11CF8" w:rsidRPr="00724947" w:rsidTr="002D45AF">
        <w:trPr>
          <w:trHeight w:val="123"/>
        </w:trPr>
        <w:tc>
          <w:tcPr>
            <w:tcW w:w="2007" w:type="dxa"/>
            <w:vMerge/>
            <w:tcBorders>
              <w:bottom w:val="single" w:sz="4" w:space="0" w:color="auto"/>
            </w:tcBorders>
            <w:vAlign w:val="center"/>
          </w:tcPr>
          <w:p w:rsidR="00E11CF8" w:rsidRPr="00724947" w:rsidRDefault="00E11CF8" w:rsidP="002D45AF">
            <w:pPr>
              <w:ind w:left="-57" w:right="-57"/>
              <w:jc w:val="both"/>
              <w:rPr>
                <w:rFonts w:ascii="Times New Roman" w:hAnsi="Times New Roman" w:cs="Times New Roman"/>
                <w:b/>
                <w:sz w:val="14"/>
                <w:szCs w:val="14"/>
              </w:rPr>
            </w:pPr>
          </w:p>
        </w:tc>
        <w:tc>
          <w:tcPr>
            <w:tcW w:w="1932" w:type="dxa"/>
            <w:tcBorders>
              <w:top w:val="dashSmallGap" w:sz="4" w:space="0" w:color="auto"/>
              <w:bottom w:val="single"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12 months</w:t>
            </w:r>
          </w:p>
        </w:tc>
        <w:tc>
          <w:tcPr>
            <w:tcW w:w="2022" w:type="dxa"/>
            <w:tcBorders>
              <w:top w:val="dashSmallGap"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Exceptional expenditures and vehicles insurance (3 items)</w:t>
            </w:r>
          </w:p>
        </w:tc>
        <w:tc>
          <w:tcPr>
            <w:tcW w:w="1932" w:type="dxa"/>
            <w:tcBorders>
              <w:top w:val="dashSmallGap" w:sz="4" w:space="0" w:color="auto"/>
              <w:bottom w:val="single" w:sz="4" w:space="0" w:color="auto"/>
            </w:tcBorders>
            <w:vAlign w:val="center"/>
          </w:tcPr>
          <w:p w:rsidR="00E11CF8" w:rsidRPr="00724947" w:rsidRDefault="00E11CF8" w:rsidP="002D45AF">
            <w:pPr>
              <w:spacing w:before="75" w:after="75" w:line="240" w:lineRule="auto"/>
              <w:ind w:left="-57" w:right="-57"/>
              <w:jc w:val="both"/>
              <w:rPr>
                <w:rFonts w:ascii="Times New Roman" w:hAnsi="Times New Roman" w:cs="Times New Roman"/>
                <w:sz w:val="14"/>
                <w:szCs w:val="14"/>
              </w:rPr>
            </w:pPr>
            <w:r w:rsidRPr="00724947">
              <w:rPr>
                <w:rFonts w:ascii="Times New Roman" w:hAnsi="Times New Roman" w:cs="Times New Roman"/>
                <w:sz w:val="14"/>
                <w:szCs w:val="14"/>
              </w:rPr>
              <w:t>Last 12 months</w:t>
            </w:r>
          </w:p>
        </w:tc>
        <w:tc>
          <w:tcPr>
            <w:tcW w:w="2028" w:type="dxa"/>
            <w:tcBorders>
              <w:top w:val="dashSmallGap"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Fuels and utilities, housing maintenance, means of transport and of communication, education, vehicles insurance, durable goods (19</w:t>
            </w:r>
            <w:r>
              <w:rPr>
                <w:rFonts w:ascii="Times New Roman" w:hAnsi="Times New Roman" w:cs="Times New Roman"/>
                <w:sz w:val="14"/>
                <w:szCs w:val="14"/>
              </w:rPr>
              <w:t>2</w:t>
            </w:r>
            <w:r w:rsidRPr="00724947">
              <w:rPr>
                <w:rFonts w:ascii="Times New Roman" w:hAnsi="Times New Roman" w:cs="Times New Roman"/>
                <w:sz w:val="14"/>
                <w:szCs w:val="14"/>
              </w:rPr>
              <w:t xml:space="preserve"> items)</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b/>
                <w:sz w:val="14"/>
                <w:szCs w:val="14"/>
              </w:rPr>
            </w:pPr>
            <w:r w:rsidRPr="00724947">
              <w:rPr>
                <w:rFonts w:ascii="Times New Roman" w:hAnsi="Times New Roman" w:cs="Times New Roman"/>
                <w:b/>
                <w:sz w:val="14"/>
                <w:szCs w:val="14"/>
              </w:rPr>
              <w:t>Self-consumption</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Amount of produced goods daily consumed and self-assessment of its monetary value, collected by a separate diary delivered only to households declaring self-consumption.</w:t>
            </w:r>
          </w:p>
        </w:tc>
        <w:tc>
          <w:tcPr>
            <w:tcW w:w="3960"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Amount of produced goods daily consumed, collected by a specific section included in the expenditures diary. The monetary value is estimated by the market prices available from consumption prices ISTAT Unit.</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b/>
                <w:sz w:val="14"/>
                <w:szCs w:val="14"/>
              </w:rPr>
            </w:pPr>
            <w:r w:rsidRPr="00724947">
              <w:rPr>
                <w:rFonts w:ascii="Times New Roman" w:hAnsi="Times New Roman" w:cs="Times New Roman"/>
                <w:b/>
                <w:sz w:val="14"/>
                <w:szCs w:val="14"/>
              </w:rPr>
              <w:t xml:space="preserve">Missing expenditures values </w:t>
            </w:r>
            <w:r w:rsidRPr="00724947">
              <w:rPr>
                <w:rFonts w:ascii="Times New Roman" w:hAnsi="Times New Roman" w:cs="Times New Roman"/>
                <w:i/>
                <w:sz w:val="14"/>
                <w:szCs w:val="14"/>
              </w:rPr>
              <w:t>(zero expenditures)</w:t>
            </w:r>
          </w:p>
        </w:tc>
        <w:tc>
          <w:tcPr>
            <w:tcW w:w="3954" w:type="dxa"/>
            <w:gridSpan w:val="2"/>
            <w:tcBorders>
              <w:top w:val="single" w:sz="4" w:space="0" w:color="auto"/>
              <w:bottom w:val="single" w:sz="4" w:space="0" w:color="auto"/>
            </w:tcBorders>
            <w:vAlign w:val="center"/>
          </w:tcPr>
          <w:p w:rsidR="00E11CF8" w:rsidRPr="00724947" w:rsidRDefault="00E11CF8" w:rsidP="002D45AF">
            <w:pPr>
              <w:spacing w:before="75" w:after="75" w:line="240" w:lineRule="auto"/>
              <w:ind w:left="-30" w:right="-30"/>
              <w:jc w:val="both"/>
              <w:rPr>
                <w:rFonts w:ascii="Times New Roman" w:hAnsi="Times New Roman" w:cs="Times New Roman"/>
                <w:b/>
                <w:sz w:val="14"/>
                <w:szCs w:val="14"/>
              </w:rPr>
            </w:pPr>
            <w:r w:rsidRPr="00724947">
              <w:rPr>
                <w:rFonts w:ascii="Times New Roman" w:hAnsi="Times New Roman" w:cs="Times New Roman"/>
                <w:sz w:val="14"/>
                <w:szCs w:val="14"/>
              </w:rPr>
              <w:t>No imputation</w:t>
            </w:r>
            <w:r w:rsidRPr="00724947">
              <w:rPr>
                <w:rFonts w:ascii="Times New Roman" w:hAnsi="Times New Roman" w:cs="Times New Roman"/>
                <w:b/>
                <w:sz w:val="14"/>
                <w:szCs w:val="14"/>
              </w:rPr>
              <w:t xml:space="preserve"> </w:t>
            </w:r>
          </w:p>
        </w:tc>
        <w:tc>
          <w:tcPr>
            <w:tcW w:w="3960" w:type="dxa"/>
            <w:gridSpan w:val="2"/>
            <w:tcBorders>
              <w:top w:val="single" w:sz="4" w:space="0" w:color="auto"/>
              <w:bottom w:val="single" w:sz="4" w:space="0" w:color="auto"/>
            </w:tcBorders>
            <w:vAlign w:val="center"/>
          </w:tcPr>
          <w:p w:rsidR="00E11CF8" w:rsidRPr="00724947" w:rsidRDefault="00E11CF8" w:rsidP="002D45AF">
            <w:pPr>
              <w:tabs>
                <w:tab w:val="left" w:pos="0"/>
              </w:tabs>
              <w:spacing w:before="75" w:after="75" w:line="240" w:lineRule="auto"/>
              <w:ind w:left="-30" w:right="-30"/>
              <w:jc w:val="both"/>
              <w:rPr>
                <w:rFonts w:ascii="Times New Roman" w:hAnsi="Times New Roman" w:cs="Times New Roman"/>
                <w:b/>
                <w:sz w:val="14"/>
                <w:szCs w:val="14"/>
              </w:rPr>
            </w:pPr>
            <w:r w:rsidRPr="00724947">
              <w:rPr>
                <w:rFonts w:ascii="Times New Roman" w:hAnsi="Times New Roman" w:cs="Times New Roman"/>
                <w:sz w:val="14"/>
                <w:szCs w:val="14"/>
              </w:rPr>
              <w:t>Imputation of missing expenditures when the purchasing month and/or place are collected.</w:t>
            </w:r>
          </w:p>
        </w:tc>
      </w:tr>
      <w:tr w:rsidR="00E11CF8" w:rsidRPr="00724947" w:rsidTr="002D45AF">
        <w:trPr>
          <w:trHeight w:val="300"/>
        </w:trPr>
        <w:tc>
          <w:tcPr>
            <w:tcW w:w="2007" w:type="dxa"/>
            <w:tcBorders>
              <w:top w:val="single" w:sz="4" w:space="0" w:color="auto"/>
              <w:bottom w:val="single" w:sz="4" w:space="0" w:color="auto"/>
            </w:tcBorders>
            <w:vAlign w:val="center"/>
          </w:tcPr>
          <w:p w:rsidR="00E11CF8" w:rsidRPr="00724947" w:rsidRDefault="00E11CF8" w:rsidP="002D45AF">
            <w:pPr>
              <w:ind w:left="-57" w:right="-57"/>
              <w:jc w:val="both"/>
              <w:rPr>
                <w:rFonts w:ascii="Times New Roman" w:hAnsi="Times New Roman" w:cs="Times New Roman"/>
                <w:b/>
                <w:sz w:val="14"/>
                <w:szCs w:val="14"/>
              </w:rPr>
            </w:pPr>
            <w:r w:rsidRPr="00724947">
              <w:rPr>
                <w:rFonts w:ascii="Times New Roman" w:hAnsi="Times New Roman" w:cs="Times New Roman"/>
                <w:b/>
                <w:sz w:val="14"/>
                <w:szCs w:val="14"/>
              </w:rPr>
              <w:t>Weighting system</w:t>
            </w:r>
          </w:p>
        </w:tc>
        <w:tc>
          <w:tcPr>
            <w:tcW w:w="3954" w:type="dxa"/>
            <w:gridSpan w:val="2"/>
            <w:tcBorders>
              <w:top w:val="single" w:sz="4" w:space="0" w:color="auto"/>
              <w:bottom w:val="single" w:sz="4" w:space="0" w:color="auto"/>
            </w:tcBorders>
            <w:vAlign w:val="center"/>
          </w:tcPr>
          <w:p w:rsidR="00E11CF8" w:rsidRPr="00724947" w:rsidRDefault="00E11CF8" w:rsidP="002D45AF">
            <w:pPr>
              <w:spacing w:after="0"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 xml:space="preserve">Calibration estimator. </w:t>
            </w:r>
          </w:p>
          <w:p w:rsidR="00E11CF8" w:rsidRPr="00724947" w:rsidRDefault="00E11CF8" w:rsidP="002D45AF">
            <w:pPr>
              <w:spacing w:after="0"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 xml:space="preserve">The final coefficients are obtained in three steps: </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 xml:space="preserve">1. basic coefficient (or direct weight) is given by the reciprocal of the inclusion probability (extraction probability of the residence municipality and extraction probability of the household among the eligible </w:t>
            </w:r>
            <w:r w:rsidR="00BC174D">
              <w:rPr>
                <w:rFonts w:ascii="Times New Roman" w:hAnsi="Times New Roman" w:cs="Times New Roman"/>
                <w:sz w:val="14"/>
                <w:szCs w:val="14"/>
              </w:rPr>
              <w:t>households of the municipality);</w:t>
            </w:r>
            <w:r w:rsidRPr="00724947">
              <w:rPr>
                <w:rFonts w:ascii="Times New Roman" w:hAnsi="Times New Roman" w:cs="Times New Roman"/>
                <w:sz w:val="14"/>
                <w:szCs w:val="14"/>
              </w:rPr>
              <w:t xml:space="preserve"> </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2. corrective factor for non-response as inverse of the response rate;</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3. corrective factor to match known population totals:</w:t>
            </w:r>
          </w:p>
          <w:p w:rsidR="00E11CF8" w:rsidRPr="00724947" w:rsidRDefault="00E11CF8" w:rsidP="002D45AF">
            <w:pPr>
              <w:pStyle w:val="Paragrafoelenco"/>
              <w:numPr>
                <w:ilvl w:val="0"/>
                <w:numId w:val="1"/>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population by geographical area, sex and age class (0-14, 15-29, 30-59, 60-74, 75 and over);</w:t>
            </w:r>
          </w:p>
          <w:p w:rsidR="00E11CF8" w:rsidRPr="00724947" w:rsidRDefault="00E11CF8" w:rsidP="002D45AF">
            <w:pPr>
              <w:pStyle w:val="Paragrafoelenco"/>
              <w:numPr>
                <w:ilvl w:val="0"/>
                <w:numId w:val="1"/>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population by region;</w:t>
            </w:r>
          </w:p>
          <w:p w:rsidR="00E11CF8" w:rsidRPr="00724947" w:rsidRDefault="00E11CF8" w:rsidP="002D45AF">
            <w:pPr>
              <w:pStyle w:val="Paragrafoelenco"/>
              <w:numPr>
                <w:ilvl w:val="0"/>
                <w:numId w:val="1"/>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households by region.</w:t>
            </w:r>
          </w:p>
          <w:p w:rsidR="00E11CF8" w:rsidRPr="00724947" w:rsidRDefault="00E11CF8" w:rsidP="002D45AF">
            <w:pPr>
              <w:spacing w:before="75" w:after="0" w:line="240" w:lineRule="auto"/>
              <w:jc w:val="both"/>
              <w:rPr>
                <w:rFonts w:ascii="Times New Roman" w:hAnsi="Times New Roman" w:cs="Times New Roman"/>
                <w:sz w:val="14"/>
                <w:szCs w:val="14"/>
              </w:rPr>
            </w:pPr>
            <w:r w:rsidRPr="00724947">
              <w:rPr>
                <w:rFonts w:ascii="Times New Roman" w:hAnsi="Times New Roman" w:cs="Times New Roman"/>
                <w:sz w:val="14"/>
                <w:szCs w:val="14"/>
              </w:rPr>
              <w:t>The final weight is obtained by multiplying the direct weights by the corrective factors.</w:t>
            </w:r>
          </w:p>
          <w:p w:rsidR="00E11CF8" w:rsidRPr="00724947" w:rsidRDefault="00E11CF8" w:rsidP="002D45AF">
            <w:pPr>
              <w:spacing w:after="0" w:line="240" w:lineRule="auto"/>
              <w:ind w:right="-30"/>
              <w:jc w:val="both"/>
              <w:rPr>
                <w:rFonts w:ascii="Times New Roman" w:hAnsi="Times New Roman" w:cs="Times New Roman"/>
                <w:sz w:val="14"/>
                <w:szCs w:val="14"/>
              </w:rPr>
            </w:pPr>
          </w:p>
        </w:tc>
        <w:tc>
          <w:tcPr>
            <w:tcW w:w="3960" w:type="dxa"/>
            <w:gridSpan w:val="2"/>
            <w:tcBorders>
              <w:top w:val="single" w:sz="4" w:space="0" w:color="auto"/>
              <w:bottom w:val="single" w:sz="4" w:space="0" w:color="auto"/>
            </w:tcBorders>
            <w:vAlign w:val="center"/>
          </w:tcPr>
          <w:p w:rsidR="00E11CF8" w:rsidRPr="00724947" w:rsidRDefault="00E11CF8" w:rsidP="002D45AF">
            <w:pPr>
              <w:spacing w:after="0"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 xml:space="preserve">Calibration estimator. </w:t>
            </w:r>
          </w:p>
          <w:p w:rsidR="00E11CF8" w:rsidRPr="00724947" w:rsidRDefault="00E11CF8" w:rsidP="002D45AF">
            <w:pPr>
              <w:spacing w:after="0" w:line="240" w:lineRule="auto"/>
              <w:ind w:left="-30" w:right="-30"/>
              <w:jc w:val="both"/>
              <w:rPr>
                <w:rFonts w:ascii="Times New Roman" w:hAnsi="Times New Roman" w:cs="Times New Roman"/>
                <w:sz w:val="14"/>
                <w:szCs w:val="14"/>
              </w:rPr>
            </w:pPr>
            <w:r w:rsidRPr="00724947">
              <w:rPr>
                <w:rFonts w:ascii="Times New Roman" w:hAnsi="Times New Roman" w:cs="Times New Roman"/>
                <w:sz w:val="14"/>
                <w:szCs w:val="14"/>
              </w:rPr>
              <w:t xml:space="preserve">The final coefficients calculation includes three steps: </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 xml:space="preserve">1. basic coefficient (or direct weight) of each individual is given by the reciprocal of the inclusion probability (extraction probability of his residence municipality and extraction probability of his household among the eligible households of the municipality). </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2. corrective factor for non-response as inverse of the response rate;</w:t>
            </w:r>
          </w:p>
          <w:p w:rsidR="00E11CF8" w:rsidRPr="00724947" w:rsidRDefault="00E11CF8" w:rsidP="002D45AF">
            <w:pPr>
              <w:spacing w:before="75" w:after="0" w:line="240" w:lineRule="auto"/>
              <w:ind w:left="-15" w:right="-15"/>
              <w:jc w:val="both"/>
              <w:rPr>
                <w:rFonts w:ascii="Times New Roman" w:hAnsi="Times New Roman" w:cs="Times New Roman"/>
                <w:sz w:val="14"/>
                <w:szCs w:val="14"/>
              </w:rPr>
            </w:pPr>
            <w:r w:rsidRPr="00724947">
              <w:rPr>
                <w:rFonts w:ascii="Times New Roman" w:hAnsi="Times New Roman" w:cs="Times New Roman"/>
                <w:sz w:val="14"/>
                <w:szCs w:val="14"/>
              </w:rPr>
              <w:t>3. corrective factor to match known population totals:</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population by geographical area, sex and age class (0-14, 15-29, 30-44, 45-59, 60-74, 75 and over);</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population by region;</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households by region;</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population by geographical area and municipality typology;</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Resident households by geographical area and municipality typology;</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Foreign population by geographical area and sex;</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Population of 15 years and over by geographical area, employment status and position;</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Population by geographical area and participation month;</w:t>
            </w:r>
          </w:p>
          <w:p w:rsidR="00E11CF8" w:rsidRPr="00724947" w:rsidRDefault="00E11CF8" w:rsidP="00E11CF8">
            <w:pPr>
              <w:pStyle w:val="Paragrafoelenco"/>
              <w:numPr>
                <w:ilvl w:val="0"/>
                <w:numId w:val="2"/>
              </w:numPr>
              <w:spacing w:after="0" w:line="240" w:lineRule="auto"/>
              <w:ind w:left="311" w:right="-30" w:hanging="284"/>
              <w:jc w:val="both"/>
              <w:rPr>
                <w:rFonts w:ascii="Times New Roman" w:hAnsi="Times New Roman" w:cs="Times New Roman"/>
                <w:sz w:val="14"/>
                <w:szCs w:val="14"/>
              </w:rPr>
            </w:pPr>
            <w:r w:rsidRPr="00724947">
              <w:rPr>
                <w:rFonts w:ascii="Times New Roman" w:hAnsi="Times New Roman" w:cs="Times New Roman"/>
                <w:sz w:val="14"/>
                <w:szCs w:val="14"/>
              </w:rPr>
              <w:t>Households by geographical area and participation month.</w:t>
            </w:r>
          </w:p>
          <w:p w:rsidR="00E11CF8" w:rsidRPr="00724947" w:rsidRDefault="00E11CF8" w:rsidP="002D45AF">
            <w:pPr>
              <w:spacing w:before="75" w:after="0" w:line="240" w:lineRule="auto"/>
              <w:jc w:val="both"/>
              <w:rPr>
                <w:rFonts w:ascii="Times New Roman" w:hAnsi="Times New Roman" w:cs="Times New Roman"/>
                <w:sz w:val="14"/>
                <w:szCs w:val="14"/>
              </w:rPr>
            </w:pPr>
            <w:r w:rsidRPr="00724947">
              <w:rPr>
                <w:rFonts w:ascii="Times New Roman" w:hAnsi="Times New Roman" w:cs="Times New Roman"/>
                <w:sz w:val="14"/>
                <w:szCs w:val="14"/>
              </w:rPr>
              <w:t>The final weight is obtained by multiplying the direct weights by the corrective factors.</w:t>
            </w:r>
          </w:p>
        </w:tc>
      </w:tr>
    </w:tbl>
    <w:p w:rsidR="00653ABB" w:rsidRDefault="00144B9C" w:rsidP="006F0B33">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w:t>
      </w:r>
      <w:r w:rsidRPr="00653ABB">
        <w:rPr>
          <w:rFonts w:ascii="Arial" w:hAnsi="Arial" w:cs="Arial"/>
          <w:sz w:val="24"/>
          <w:szCs w:val="24"/>
          <w:lang w:val="en-GB"/>
        </w:rPr>
        <w:t>he differences emerge along the whole distribution although the effect is more marked in the bottom part: for the first two deciles</w:t>
      </w:r>
      <w:r>
        <w:rPr>
          <w:rFonts w:ascii="Arial" w:hAnsi="Arial" w:cs="Arial"/>
          <w:sz w:val="24"/>
          <w:szCs w:val="24"/>
          <w:lang w:val="en-GB"/>
        </w:rPr>
        <w:t>,</w:t>
      </w:r>
      <w:r w:rsidRPr="00653ABB">
        <w:rPr>
          <w:rFonts w:ascii="Arial" w:hAnsi="Arial" w:cs="Arial"/>
          <w:sz w:val="24"/>
          <w:szCs w:val="24"/>
          <w:lang w:val="en-GB"/>
        </w:rPr>
        <w:t xml:space="preserve"> the variations are 13% and 9.8%, respectively</w:t>
      </w:r>
      <w:r>
        <w:rPr>
          <w:rFonts w:ascii="Arial" w:hAnsi="Arial" w:cs="Arial"/>
          <w:sz w:val="24"/>
          <w:szCs w:val="24"/>
          <w:lang w:val="en-GB"/>
        </w:rPr>
        <w:t xml:space="preserve">, while in the other deciles </w:t>
      </w:r>
      <w:r w:rsidR="002B010E">
        <w:rPr>
          <w:rFonts w:ascii="Arial" w:hAnsi="Arial" w:cs="Arial"/>
          <w:sz w:val="24"/>
          <w:szCs w:val="24"/>
          <w:lang w:val="en-GB"/>
        </w:rPr>
        <w:t xml:space="preserve">they </w:t>
      </w:r>
      <w:r>
        <w:rPr>
          <w:rFonts w:ascii="Arial" w:hAnsi="Arial" w:cs="Arial"/>
          <w:sz w:val="24"/>
          <w:szCs w:val="24"/>
          <w:lang w:val="en-GB"/>
        </w:rPr>
        <w:t>do not reach 9% (</w:t>
      </w:r>
      <w:r w:rsidR="002B010E">
        <w:rPr>
          <w:rFonts w:ascii="Arial" w:hAnsi="Arial" w:cs="Arial"/>
          <w:sz w:val="24"/>
          <w:szCs w:val="24"/>
          <w:lang w:val="en-GB"/>
        </w:rPr>
        <w:t xml:space="preserve">it </w:t>
      </w:r>
      <w:r>
        <w:rPr>
          <w:rFonts w:ascii="Arial" w:hAnsi="Arial" w:cs="Arial"/>
          <w:sz w:val="24"/>
          <w:szCs w:val="24"/>
          <w:lang w:val="en-GB"/>
        </w:rPr>
        <w:t>is 3.6% in the last one)</w:t>
      </w:r>
      <w:r w:rsidR="00EE14C2">
        <w:rPr>
          <w:rFonts w:ascii="Arial" w:hAnsi="Arial" w:cs="Arial"/>
          <w:sz w:val="24"/>
          <w:szCs w:val="24"/>
          <w:lang w:val="en-GB"/>
        </w:rPr>
        <w:t>.</w:t>
      </w:r>
    </w:p>
    <w:p w:rsidR="000B1125" w:rsidRPr="00653ABB" w:rsidRDefault="000B1125" w:rsidP="006F0B33">
      <w:pPr>
        <w:spacing w:before="120" w:after="0" w:line="360" w:lineRule="auto"/>
        <w:jc w:val="both"/>
        <w:rPr>
          <w:rFonts w:ascii="Arial" w:hAnsi="Arial" w:cs="Arial"/>
          <w:sz w:val="24"/>
          <w:szCs w:val="24"/>
          <w:lang w:val="en-GB"/>
        </w:rPr>
      </w:pPr>
    </w:p>
    <w:p w:rsidR="00653ABB" w:rsidRPr="000B1125" w:rsidRDefault="00653ABB" w:rsidP="000B1125">
      <w:pPr>
        <w:pStyle w:val="Didascalia"/>
        <w:keepNext/>
        <w:rPr>
          <w:rFonts w:ascii="Arial" w:hAnsi="Arial" w:cs="Arial"/>
          <w:b/>
          <w:i w:val="0"/>
          <w:color w:val="auto"/>
          <w:sz w:val="20"/>
          <w:szCs w:val="20"/>
          <w:lang w:val="en-GB"/>
        </w:rPr>
      </w:pPr>
      <w:r w:rsidRPr="000B1125">
        <w:rPr>
          <w:rFonts w:ascii="Arial" w:hAnsi="Arial" w:cs="Arial"/>
          <w:b/>
          <w:i w:val="0"/>
          <w:color w:val="auto"/>
          <w:sz w:val="20"/>
          <w:szCs w:val="20"/>
          <w:lang w:val="en-GB"/>
        </w:rPr>
        <w:t>Figure 1 - Equivalent consumption expenditure distribution in Former HBS and New HBS. Year 2013 (values in euros)</w:t>
      </w:r>
    </w:p>
    <w:p w:rsidR="00653ABB" w:rsidRDefault="00653ABB" w:rsidP="00653ABB">
      <w:pPr>
        <w:pStyle w:val="Ann14TavolaFiguratitolo"/>
        <w:spacing w:before="0" w:after="0"/>
        <w:ind w:left="0" w:firstLine="0"/>
        <w:jc w:val="left"/>
        <w:rPr>
          <w:rFonts w:cstheme="minorHAnsi"/>
          <w:b w:val="0"/>
          <w:i/>
          <w:iCs/>
          <w:sz w:val="12"/>
          <w:szCs w:val="12"/>
        </w:rPr>
      </w:pPr>
      <w:r>
        <w:rPr>
          <w:rFonts w:cstheme="minorHAnsi"/>
          <w:i/>
          <w:iCs/>
          <w:noProof/>
          <w:sz w:val="12"/>
          <w:szCs w:val="12"/>
          <w:lang w:val="en-US" w:eastAsia="en-US"/>
        </w:rPr>
        <w:drawing>
          <wp:inline distT="0" distB="0" distL="0" distR="0" wp14:anchorId="231D8523" wp14:editId="3E895181">
            <wp:extent cx="2494280" cy="1818640"/>
            <wp:effectExtent l="0" t="0" r="1270" b="0"/>
            <wp:docPr id="13" name="Immagine 13" descr="C:\Users\pannuzi\AppData\Local\Temp\Graph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nnuzi\AppData\Local\Temp\Graph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818640"/>
                    </a:xfrm>
                    <a:prstGeom prst="rect">
                      <a:avLst/>
                    </a:prstGeom>
                    <a:noFill/>
                    <a:ln>
                      <a:noFill/>
                    </a:ln>
                  </pic:spPr>
                </pic:pic>
              </a:graphicData>
            </a:graphic>
          </wp:inline>
        </w:drawing>
      </w:r>
    </w:p>
    <w:p w:rsidR="00653ABB" w:rsidRPr="00BC174D" w:rsidRDefault="00653ABB" w:rsidP="00653ABB">
      <w:pPr>
        <w:pStyle w:val="Ann14TavolaFiguratitolo"/>
        <w:spacing w:before="0" w:after="210"/>
        <w:ind w:left="0" w:firstLine="0"/>
        <w:rPr>
          <w:rFonts w:ascii="Arial" w:eastAsiaTheme="minorHAnsi" w:hAnsi="Arial"/>
          <w:b w:val="0"/>
          <w:i/>
          <w:szCs w:val="20"/>
          <w:lang w:val="pl-PL" w:eastAsia="en-US"/>
        </w:rPr>
      </w:pPr>
      <w:r w:rsidRPr="00BC174D">
        <w:rPr>
          <w:rFonts w:ascii="Arial" w:eastAsiaTheme="minorHAnsi" w:hAnsi="Arial"/>
          <w:b w:val="0"/>
          <w:i/>
          <w:szCs w:val="20"/>
          <w:lang w:val="pl-PL" w:eastAsia="en-US"/>
        </w:rPr>
        <w:t>Source: own calculations based on Former HBS and New HBS data</w:t>
      </w:r>
    </w:p>
    <w:p w:rsidR="00277954" w:rsidRPr="0034093A" w:rsidRDefault="00E02C26" w:rsidP="00277954">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277954" w:rsidRPr="0034093A">
        <w:rPr>
          <w:rFonts w:ascii="Arial" w:hAnsi="Arial" w:cs="Arial"/>
          <w:b/>
          <w:sz w:val="24"/>
          <w:szCs w:val="24"/>
          <w:lang w:val="en-GB"/>
        </w:rPr>
        <w:t xml:space="preserve"> Response rate and error profile</w:t>
      </w:r>
    </w:p>
    <w:p w:rsidR="00144B9C"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The above mentioned evidences could be due to a selection bias, that is to say that the final sample of the </w:t>
      </w:r>
      <w:r w:rsidRPr="00CA54FC">
        <w:rPr>
          <w:rFonts w:ascii="Arial" w:hAnsi="Arial" w:cs="Arial"/>
          <w:i/>
          <w:sz w:val="24"/>
          <w:szCs w:val="24"/>
          <w:lang w:val="en-GB"/>
        </w:rPr>
        <w:t>New HBS</w:t>
      </w:r>
      <w:r w:rsidRPr="00653ABB">
        <w:rPr>
          <w:rFonts w:ascii="Arial" w:hAnsi="Arial" w:cs="Arial"/>
          <w:sz w:val="24"/>
          <w:szCs w:val="24"/>
          <w:lang w:val="en-GB"/>
        </w:rPr>
        <w:t xml:space="preserve"> could have not been representative of the population with the lowest consumption levels. First of all, the sample size of the </w:t>
      </w:r>
      <w:r w:rsidRPr="00CA54FC">
        <w:rPr>
          <w:rFonts w:ascii="Arial" w:hAnsi="Arial" w:cs="Arial"/>
          <w:i/>
          <w:sz w:val="24"/>
          <w:szCs w:val="24"/>
          <w:lang w:val="en-GB"/>
        </w:rPr>
        <w:t>New HBS</w:t>
      </w:r>
      <w:r w:rsidRPr="00653ABB">
        <w:rPr>
          <w:rFonts w:ascii="Arial" w:hAnsi="Arial" w:cs="Arial"/>
          <w:sz w:val="24"/>
          <w:szCs w:val="24"/>
          <w:lang w:val="en-GB"/>
        </w:rPr>
        <w:t xml:space="preserve"> is markedly lower than the </w:t>
      </w:r>
      <w:r w:rsidRPr="00ED62B3">
        <w:rPr>
          <w:rFonts w:ascii="Arial" w:hAnsi="Arial" w:cs="Arial"/>
          <w:i/>
          <w:sz w:val="24"/>
          <w:szCs w:val="24"/>
          <w:lang w:val="en-GB"/>
        </w:rPr>
        <w:t>Former HBS</w:t>
      </w:r>
      <w:r w:rsidRPr="00653ABB">
        <w:rPr>
          <w:rFonts w:ascii="Arial" w:hAnsi="Arial" w:cs="Arial"/>
          <w:sz w:val="24"/>
          <w:szCs w:val="24"/>
          <w:lang w:val="en-GB"/>
        </w:rPr>
        <w:t xml:space="preserve">: the ratio of final sample size (including substitutions) to the theoretical sample is 58.6%, against a value of 74% for the second one. </w:t>
      </w:r>
      <w:r w:rsidR="000E02FE">
        <w:rPr>
          <w:rFonts w:ascii="Arial" w:hAnsi="Arial" w:cs="Arial"/>
          <w:sz w:val="24"/>
          <w:szCs w:val="24"/>
          <w:lang w:val="en-GB"/>
        </w:rPr>
        <w:t xml:space="preserve">However </w:t>
      </w:r>
      <w:r w:rsidRPr="00653ABB">
        <w:rPr>
          <w:rFonts w:ascii="Arial" w:hAnsi="Arial" w:cs="Arial"/>
          <w:sz w:val="24"/>
          <w:szCs w:val="24"/>
          <w:lang w:val="en-GB"/>
        </w:rPr>
        <w:t xml:space="preserve">the response rate of the </w:t>
      </w:r>
      <w:r w:rsidRPr="00ED62B3">
        <w:rPr>
          <w:rFonts w:ascii="Arial" w:hAnsi="Arial" w:cs="Arial"/>
          <w:i/>
          <w:sz w:val="24"/>
          <w:szCs w:val="24"/>
          <w:lang w:val="en-GB"/>
        </w:rPr>
        <w:t>Former HBS</w:t>
      </w:r>
      <w:r w:rsidRPr="00653ABB">
        <w:rPr>
          <w:rFonts w:ascii="Arial" w:hAnsi="Arial" w:cs="Arial"/>
          <w:sz w:val="24"/>
          <w:szCs w:val="24"/>
          <w:lang w:val="en-GB"/>
        </w:rPr>
        <w:t xml:space="preserve"> was markedly higher in Italy than in the other European Countries</w:t>
      </w:r>
      <w:r w:rsidR="000E02FE">
        <w:rPr>
          <w:rFonts w:ascii="Arial" w:hAnsi="Arial" w:cs="Arial"/>
          <w:sz w:val="24"/>
          <w:szCs w:val="24"/>
          <w:lang w:val="en-GB"/>
        </w:rPr>
        <w:t xml:space="preserve"> (i</w:t>
      </w:r>
      <w:r w:rsidRPr="00653ABB">
        <w:rPr>
          <w:rFonts w:ascii="Arial" w:hAnsi="Arial" w:cs="Arial"/>
          <w:sz w:val="24"/>
          <w:szCs w:val="24"/>
          <w:lang w:val="en-GB"/>
        </w:rPr>
        <w:t>n 2010</w:t>
      </w:r>
      <w:r w:rsidR="000E02FE">
        <w:rPr>
          <w:rFonts w:ascii="Arial" w:hAnsi="Arial" w:cs="Arial"/>
          <w:sz w:val="24"/>
          <w:szCs w:val="24"/>
          <w:lang w:val="en-GB"/>
        </w:rPr>
        <w:t>, it ranged</w:t>
      </w:r>
      <w:r w:rsidRPr="00653ABB">
        <w:rPr>
          <w:rFonts w:ascii="Arial" w:hAnsi="Arial" w:cs="Arial"/>
          <w:sz w:val="24"/>
          <w:szCs w:val="24"/>
          <w:lang w:val="en-GB"/>
        </w:rPr>
        <w:t xml:space="preserve"> from 5.6% in Belgium and 20% in The Netherlands to 76.4% in Cyprus and 87.6% in Romania</w:t>
      </w:r>
      <w:r w:rsidR="000E02FE">
        <w:rPr>
          <w:rFonts w:ascii="Arial" w:hAnsi="Arial" w:cs="Arial"/>
          <w:sz w:val="24"/>
          <w:szCs w:val="24"/>
          <w:lang w:val="en-GB"/>
        </w:rPr>
        <w:t xml:space="preserve">). </w:t>
      </w:r>
      <w:r w:rsidRPr="00653ABB">
        <w:rPr>
          <w:rFonts w:ascii="Arial" w:hAnsi="Arial" w:cs="Arial"/>
          <w:sz w:val="24"/>
          <w:szCs w:val="24"/>
          <w:lang w:val="en-GB"/>
        </w:rPr>
        <w:t>This evidence also characterises the comparison with other households surveys conducted in Italy; in particular the Bank of Italy Survey on Household Income and Wealth (SHIW</w:t>
      </w:r>
      <w:r w:rsidR="00241561">
        <w:rPr>
          <w:rFonts w:ascii="Arial" w:hAnsi="Arial" w:cs="Arial"/>
          <w:sz w:val="24"/>
          <w:szCs w:val="24"/>
          <w:lang w:val="en-GB"/>
        </w:rPr>
        <w:t xml:space="preserve">), </w:t>
      </w:r>
      <w:r w:rsidRPr="00653ABB">
        <w:rPr>
          <w:rFonts w:ascii="Arial" w:hAnsi="Arial" w:cs="Arial"/>
          <w:sz w:val="24"/>
          <w:szCs w:val="24"/>
          <w:lang w:val="en-GB"/>
        </w:rPr>
        <w:t xml:space="preserve">conducted every two years, </w:t>
      </w:r>
      <w:r w:rsidR="00241561">
        <w:rPr>
          <w:rFonts w:ascii="Arial" w:hAnsi="Arial" w:cs="Arial"/>
          <w:sz w:val="24"/>
          <w:szCs w:val="24"/>
          <w:lang w:val="en-GB"/>
        </w:rPr>
        <w:t>show</w:t>
      </w:r>
      <w:r w:rsidR="002B010E">
        <w:rPr>
          <w:rFonts w:ascii="Arial" w:hAnsi="Arial" w:cs="Arial"/>
          <w:sz w:val="24"/>
          <w:szCs w:val="24"/>
          <w:lang w:val="en-GB"/>
        </w:rPr>
        <w:t>s</w:t>
      </w:r>
      <w:r w:rsidR="00241561">
        <w:rPr>
          <w:rFonts w:ascii="Arial" w:hAnsi="Arial" w:cs="Arial"/>
          <w:sz w:val="24"/>
          <w:szCs w:val="24"/>
          <w:lang w:val="en-GB"/>
        </w:rPr>
        <w:t xml:space="preserve"> a response rate</w:t>
      </w:r>
      <w:r w:rsidRPr="00653ABB">
        <w:rPr>
          <w:rFonts w:ascii="Arial" w:hAnsi="Arial" w:cs="Arial"/>
          <w:sz w:val="24"/>
          <w:szCs w:val="24"/>
          <w:lang w:val="en-GB"/>
        </w:rPr>
        <w:t xml:space="preserve"> equal to 52.7% in 2010, 52.6% in 2012 and 53.3% in 2014; </w:t>
      </w:r>
      <w:r w:rsidR="00144B9C">
        <w:rPr>
          <w:rFonts w:ascii="Arial" w:hAnsi="Arial" w:cs="Arial"/>
          <w:sz w:val="24"/>
          <w:szCs w:val="24"/>
          <w:lang w:val="en-GB"/>
        </w:rPr>
        <w:t xml:space="preserve">it must be noted that </w:t>
      </w:r>
      <w:r w:rsidRPr="00653ABB">
        <w:rPr>
          <w:rFonts w:ascii="Arial" w:hAnsi="Arial" w:cs="Arial"/>
          <w:sz w:val="24"/>
          <w:szCs w:val="24"/>
          <w:lang w:val="en-GB"/>
        </w:rPr>
        <w:t>the survey has a panel component, so that the response rate reduces to about 36% for non-panel households.</w:t>
      </w:r>
      <w:r w:rsidR="00241561">
        <w:rPr>
          <w:rFonts w:ascii="Arial" w:hAnsi="Arial" w:cs="Arial"/>
          <w:sz w:val="24"/>
          <w:szCs w:val="24"/>
          <w:lang w:val="en-GB"/>
        </w:rPr>
        <w:t xml:space="preserve"> </w:t>
      </w:r>
    </w:p>
    <w:p w:rsidR="00653ABB" w:rsidRP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The adoption of a computer-assisted system, which tends to eliminate interviewer discretion in managing survey time constraints and substitution rules seem to be the main cause of the reduced response rate</w:t>
      </w:r>
      <w:r w:rsidR="00241561">
        <w:rPr>
          <w:rFonts w:ascii="Arial" w:hAnsi="Arial" w:cs="Arial"/>
          <w:sz w:val="24"/>
          <w:szCs w:val="24"/>
          <w:lang w:val="en-GB"/>
        </w:rPr>
        <w:t>.</w:t>
      </w:r>
      <w:r w:rsidRPr="00653ABB">
        <w:rPr>
          <w:rFonts w:ascii="Arial" w:hAnsi="Arial" w:cs="Arial"/>
          <w:sz w:val="24"/>
          <w:szCs w:val="24"/>
          <w:lang w:val="en-GB"/>
        </w:rPr>
        <w:t xml:space="preserve"> </w:t>
      </w:r>
    </w:p>
    <w:p w:rsidR="00653ABB" w:rsidRP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lastRenderedPageBreak/>
        <w:t xml:space="preserve">By construction, in the </w:t>
      </w:r>
      <w:r w:rsidRPr="00CA54FC">
        <w:rPr>
          <w:rFonts w:ascii="Arial" w:hAnsi="Arial" w:cs="Arial"/>
          <w:i/>
          <w:sz w:val="24"/>
          <w:szCs w:val="24"/>
          <w:lang w:val="en-GB"/>
        </w:rPr>
        <w:t>New HBS</w:t>
      </w:r>
      <w:r w:rsidRPr="00653ABB">
        <w:rPr>
          <w:rFonts w:ascii="Arial" w:hAnsi="Arial" w:cs="Arial"/>
          <w:sz w:val="24"/>
          <w:szCs w:val="24"/>
          <w:lang w:val="en-GB"/>
        </w:rPr>
        <w:t xml:space="preserve"> the final weighted sample is representative of households and population by region and municipality typology, but also of population by sex and age, citizenship and occupational/professional status. Even if all these variables are associated with consumption levels, the main thing to check was the representativeness of different subpopulations in terms of expenditure levels.</w:t>
      </w:r>
      <w:r w:rsidR="00144B9C">
        <w:rPr>
          <w:rFonts w:ascii="Arial" w:hAnsi="Arial" w:cs="Arial"/>
          <w:sz w:val="24"/>
          <w:szCs w:val="24"/>
          <w:lang w:val="en-GB"/>
        </w:rPr>
        <w:t xml:space="preserve"> </w:t>
      </w:r>
      <w:r w:rsidRPr="00653ABB">
        <w:rPr>
          <w:rFonts w:ascii="Arial" w:hAnsi="Arial" w:cs="Arial"/>
          <w:sz w:val="24"/>
          <w:szCs w:val="24"/>
          <w:lang w:val="en-GB"/>
        </w:rPr>
        <w:t xml:space="preserve">For this aim, through the comparison of </w:t>
      </w:r>
      <w:r w:rsidRPr="00CA54FC">
        <w:rPr>
          <w:rFonts w:ascii="Arial" w:hAnsi="Arial" w:cs="Arial"/>
          <w:i/>
          <w:sz w:val="24"/>
          <w:szCs w:val="24"/>
          <w:lang w:val="en-GB"/>
        </w:rPr>
        <w:t>New HBS</w:t>
      </w:r>
      <w:r w:rsidRPr="00653ABB">
        <w:rPr>
          <w:rFonts w:ascii="Arial" w:hAnsi="Arial" w:cs="Arial"/>
          <w:sz w:val="24"/>
          <w:szCs w:val="24"/>
          <w:lang w:val="en-GB"/>
        </w:rPr>
        <w:t xml:space="preserve"> results with the universe of tax returns, we investigated whether households with different levels of income were likely to be differently represented in the </w:t>
      </w:r>
      <w:r w:rsidRPr="00CA54FC">
        <w:rPr>
          <w:rFonts w:ascii="Arial" w:hAnsi="Arial" w:cs="Arial"/>
          <w:i/>
          <w:sz w:val="24"/>
          <w:szCs w:val="24"/>
          <w:lang w:val="en-GB"/>
        </w:rPr>
        <w:t>New HBS</w:t>
      </w:r>
      <w:r w:rsidR="00144B9C" w:rsidRPr="00B12BBF">
        <w:rPr>
          <w:rStyle w:val="Rimandonotaapidipagina"/>
          <w:rFonts w:ascii="Arial" w:hAnsi="Arial" w:cs="Arial"/>
          <w:sz w:val="24"/>
          <w:szCs w:val="24"/>
          <w:lang w:val="en-GB"/>
        </w:rPr>
        <w:footnoteReference w:id="2"/>
      </w:r>
      <w:r w:rsidRPr="00653ABB">
        <w:rPr>
          <w:rFonts w:ascii="Arial" w:hAnsi="Arial" w:cs="Arial"/>
          <w:sz w:val="24"/>
          <w:szCs w:val="24"/>
          <w:lang w:val="en-GB"/>
        </w:rPr>
        <w:t xml:space="preserve">. </w:t>
      </w:r>
    </w:p>
    <w:p w:rsidR="000B1125" w:rsidRDefault="00653ABB" w:rsidP="000B1125">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Through an exact linkage, by individual fiscal code (tax identification number), between the fiscal archive and each of the HBSs, two main aspects have been tested: i) the sample representativeness of population in terms of tax income in the </w:t>
      </w:r>
      <w:r w:rsidRPr="00CA54FC">
        <w:rPr>
          <w:rFonts w:ascii="Arial" w:hAnsi="Arial" w:cs="Arial"/>
          <w:i/>
          <w:sz w:val="24"/>
          <w:szCs w:val="24"/>
          <w:lang w:val="en-GB"/>
        </w:rPr>
        <w:t>New HBS</w:t>
      </w:r>
      <w:r w:rsidRPr="00653ABB">
        <w:rPr>
          <w:rFonts w:ascii="Arial" w:hAnsi="Arial" w:cs="Arial"/>
          <w:sz w:val="24"/>
          <w:szCs w:val="24"/>
          <w:lang w:val="en-GB"/>
        </w:rPr>
        <w:t xml:space="preserve"> (columns A and B in Table </w:t>
      </w:r>
      <w:r w:rsidR="00144B9C">
        <w:rPr>
          <w:rFonts w:ascii="Arial" w:hAnsi="Arial" w:cs="Arial"/>
          <w:sz w:val="24"/>
          <w:szCs w:val="24"/>
          <w:lang w:val="en-GB"/>
        </w:rPr>
        <w:t>2</w:t>
      </w:r>
      <w:r w:rsidRPr="00653ABB">
        <w:rPr>
          <w:rFonts w:ascii="Arial" w:hAnsi="Arial" w:cs="Arial"/>
          <w:sz w:val="24"/>
          <w:szCs w:val="24"/>
          <w:lang w:val="en-GB"/>
        </w:rPr>
        <w:t xml:space="preserve">); and ii) the presence of bias in the distribution of households by equivalent fiscal income class, also in comparison to the </w:t>
      </w:r>
      <w:r w:rsidRPr="00ED62B3">
        <w:rPr>
          <w:rFonts w:ascii="Arial" w:hAnsi="Arial" w:cs="Arial"/>
          <w:i/>
          <w:sz w:val="24"/>
          <w:szCs w:val="24"/>
          <w:lang w:val="en-GB"/>
        </w:rPr>
        <w:t>Former HBS</w:t>
      </w:r>
      <w:r w:rsidRPr="00653ABB">
        <w:rPr>
          <w:rFonts w:ascii="Arial" w:hAnsi="Arial" w:cs="Arial"/>
          <w:sz w:val="24"/>
          <w:szCs w:val="24"/>
          <w:lang w:val="en-GB"/>
        </w:rPr>
        <w:t xml:space="preserve"> final samp</w:t>
      </w:r>
      <w:r w:rsidR="000E02FE">
        <w:rPr>
          <w:rFonts w:ascii="Arial" w:hAnsi="Arial" w:cs="Arial"/>
          <w:sz w:val="24"/>
          <w:szCs w:val="24"/>
          <w:lang w:val="en-GB"/>
        </w:rPr>
        <w:t xml:space="preserve">le (columns B and C in Table </w:t>
      </w:r>
      <w:r w:rsidR="00144B9C">
        <w:rPr>
          <w:rFonts w:ascii="Arial" w:hAnsi="Arial" w:cs="Arial"/>
          <w:sz w:val="24"/>
          <w:szCs w:val="24"/>
          <w:lang w:val="en-GB"/>
        </w:rPr>
        <w:t>2</w:t>
      </w:r>
      <w:r w:rsidR="000E02FE">
        <w:rPr>
          <w:rFonts w:ascii="Arial" w:hAnsi="Arial" w:cs="Arial"/>
          <w:sz w:val="24"/>
          <w:szCs w:val="24"/>
          <w:lang w:val="en-GB"/>
        </w:rPr>
        <w:t>)</w:t>
      </w:r>
      <w:r w:rsidRPr="00653ABB">
        <w:rPr>
          <w:rFonts w:ascii="Arial" w:hAnsi="Arial" w:cs="Arial"/>
          <w:sz w:val="24"/>
          <w:szCs w:val="24"/>
          <w:lang w:val="en-GB"/>
        </w:rPr>
        <w:t xml:space="preserve">. </w:t>
      </w:r>
    </w:p>
    <w:p w:rsidR="000B1125" w:rsidRPr="00EC5F5A" w:rsidRDefault="000B1125" w:rsidP="000B1125">
      <w:pPr>
        <w:spacing w:before="120" w:after="0" w:line="360" w:lineRule="auto"/>
        <w:jc w:val="both"/>
        <w:rPr>
          <w:rFonts w:ascii="Arial" w:hAnsi="Arial" w:cs="Arial"/>
          <w:sz w:val="24"/>
          <w:szCs w:val="24"/>
          <w:lang w:val="en-GB"/>
        </w:rPr>
      </w:pPr>
    </w:p>
    <w:p w:rsidR="00EC7A73" w:rsidRPr="000B1125" w:rsidRDefault="00EC7A73" w:rsidP="000B1125">
      <w:pPr>
        <w:pStyle w:val="Didascalia"/>
        <w:keepNext/>
        <w:rPr>
          <w:rFonts w:ascii="Arial" w:hAnsi="Arial" w:cs="Arial"/>
          <w:b/>
          <w:i w:val="0"/>
          <w:color w:val="auto"/>
          <w:sz w:val="20"/>
          <w:szCs w:val="20"/>
          <w:lang w:val="en-GB"/>
        </w:rPr>
      </w:pPr>
      <w:r w:rsidRPr="000B1125">
        <w:rPr>
          <w:rFonts w:ascii="Arial" w:hAnsi="Arial" w:cs="Arial"/>
          <w:b/>
          <w:i w:val="0"/>
          <w:color w:val="auto"/>
          <w:sz w:val="20"/>
          <w:szCs w:val="20"/>
          <w:lang w:val="en-GB"/>
        </w:rPr>
        <w:t xml:space="preserve">Table </w:t>
      </w:r>
      <w:r w:rsidR="00144B9C" w:rsidRPr="000B1125">
        <w:rPr>
          <w:rFonts w:ascii="Arial" w:hAnsi="Arial" w:cs="Arial"/>
          <w:b/>
          <w:i w:val="0"/>
          <w:color w:val="auto"/>
          <w:sz w:val="20"/>
          <w:szCs w:val="20"/>
          <w:lang w:val="en-GB"/>
        </w:rPr>
        <w:t>2</w:t>
      </w:r>
      <w:r w:rsidR="00BC174D">
        <w:rPr>
          <w:rFonts w:ascii="Arial" w:hAnsi="Arial" w:cs="Arial"/>
          <w:b/>
          <w:i w:val="0"/>
          <w:color w:val="auto"/>
          <w:sz w:val="20"/>
          <w:szCs w:val="20"/>
          <w:lang w:val="en-GB"/>
        </w:rPr>
        <w:t xml:space="preserve"> </w:t>
      </w:r>
      <w:r w:rsidRPr="000B1125">
        <w:rPr>
          <w:rFonts w:ascii="Arial" w:hAnsi="Arial" w:cs="Arial"/>
          <w:b/>
          <w:i w:val="0"/>
          <w:color w:val="auto"/>
          <w:sz w:val="20"/>
          <w:szCs w:val="20"/>
          <w:lang w:val="en-GB"/>
        </w:rPr>
        <w:t>- Distribution of resident and sample households by equivalent fiscal income class. Year 2013-2014 (percentage values)</w:t>
      </w:r>
    </w:p>
    <w:tbl>
      <w:tblPr>
        <w:tblW w:w="5000" w:type="pct"/>
        <w:tblLook w:val="04A0" w:firstRow="1" w:lastRow="0" w:firstColumn="1" w:lastColumn="0" w:noHBand="0" w:noVBand="1"/>
      </w:tblPr>
      <w:tblGrid>
        <w:gridCol w:w="2109"/>
        <w:gridCol w:w="1795"/>
        <w:gridCol w:w="1796"/>
        <w:gridCol w:w="1794"/>
        <w:gridCol w:w="1794"/>
      </w:tblGrid>
      <w:tr w:rsidR="00EC7A73" w:rsidRPr="00AB7495" w:rsidTr="002D45AF">
        <w:trPr>
          <w:cantSplit/>
        </w:trPr>
        <w:tc>
          <w:tcPr>
            <w:tcW w:w="1135" w:type="pct"/>
            <w:tcBorders>
              <w:top w:val="single" w:sz="4" w:space="0" w:color="auto"/>
              <w:bottom w:val="single" w:sz="4" w:space="0" w:color="auto"/>
            </w:tcBorders>
          </w:tcPr>
          <w:p w:rsidR="00EC7A73" w:rsidRPr="00AB7495" w:rsidRDefault="00EC7A73" w:rsidP="002D45AF">
            <w:pPr>
              <w:spacing w:after="0" w:line="240" w:lineRule="auto"/>
              <w:rPr>
                <w:rFonts w:cstheme="minorHAnsi"/>
                <w:sz w:val="16"/>
                <w:szCs w:val="16"/>
              </w:rPr>
            </w:pPr>
            <w:r w:rsidRPr="00AB7495">
              <w:rPr>
                <w:rFonts w:cstheme="minorHAnsi"/>
                <w:b/>
                <w:sz w:val="16"/>
                <w:szCs w:val="16"/>
              </w:rPr>
              <w:t>Equivalent fiscal income class</w:t>
            </w:r>
          </w:p>
        </w:tc>
        <w:tc>
          <w:tcPr>
            <w:tcW w:w="966" w:type="pct"/>
            <w:tcBorders>
              <w:top w:val="single" w:sz="4" w:space="0" w:color="auto"/>
              <w:bottom w:val="single" w:sz="4" w:space="0" w:color="auto"/>
            </w:tcBorders>
            <w:vAlign w:val="center"/>
          </w:tcPr>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Resident households</w:t>
            </w:r>
            <w:r>
              <w:rPr>
                <w:rFonts w:cstheme="minorHAnsi"/>
                <w:b/>
                <w:sz w:val="16"/>
                <w:szCs w:val="16"/>
              </w:rPr>
              <w:t xml:space="preserve"> </w:t>
            </w:r>
          </w:p>
        </w:tc>
        <w:tc>
          <w:tcPr>
            <w:tcW w:w="967" w:type="pct"/>
            <w:tcBorders>
              <w:top w:val="single" w:sz="4" w:space="0" w:color="auto"/>
              <w:bottom w:val="single" w:sz="4" w:space="0" w:color="auto"/>
            </w:tcBorders>
            <w:vAlign w:val="center"/>
          </w:tcPr>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 xml:space="preserve">New HBS </w:t>
            </w:r>
            <w:r>
              <w:rPr>
                <w:rFonts w:cstheme="minorHAnsi"/>
                <w:b/>
                <w:sz w:val="16"/>
                <w:szCs w:val="16"/>
              </w:rPr>
              <w:t>2014</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 xml:space="preserve">Theoretical sample </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(A)</w:t>
            </w:r>
          </w:p>
        </w:tc>
        <w:tc>
          <w:tcPr>
            <w:tcW w:w="966" w:type="pct"/>
            <w:tcBorders>
              <w:top w:val="single" w:sz="4" w:space="0" w:color="auto"/>
              <w:bottom w:val="single" w:sz="4" w:space="0" w:color="auto"/>
            </w:tcBorders>
            <w:vAlign w:val="center"/>
          </w:tcPr>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 xml:space="preserve">New HBS </w:t>
            </w:r>
            <w:r>
              <w:rPr>
                <w:rFonts w:cstheme="minorHAnsi"/>
                <w:b/>
                <w:sz w:val="16"/>
                <w:szCs w:val="16"/>
              </w:rPr>
              <w:t>2014</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 xml:space="preserve">Final sample </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(B)</w:t>
            </w:r>
          </w:p>
        </w:tc>
        <w:tc>
          <w:tcPr>
            <w:tcW w:w="966" w:type="pct"/>
            <w:tcBorders>
              <w:top w:val="single" w:sz="4" w:space="0" w:color="auto"/>
              <w:bottom w:val="single" w:sz="4" w:space="0" w:color="auto"/>
            </w:tcBorders>
          </w:tcPr>
          <w:p w:rsidR="00EC7A73" w:rsidRPr="00AB7495" w:rsidRDefault="00EC7A73" w:rsidP="002D45AF">
            <w:pPr>
              <w:spacing w:after="0" w:line="240" w:lineRule="auto"/>
              <w:jc w:val="center"/>
              <w:rPr>
                <w:rFonts w:cstheme="minorHAnsi"/>
                <w:b/>
                <w:sz w:val="16"/>
                <w:szCs w:val="16"/>
              </w:rPr>
            </w:pPr>
            <w:r w:rsidRPr="00ED62B3">
              <w:rPr>
                <w:rFonts w:cstheme="minorHAnsi"/>
                <w:b/>
                <w:sz w:val="16"/>
                <w:szCs w:val="16"/>
              </w:rPr>
              <w:t>Former HBS</w:t>
            </w:r>
            <w:r w:rsidRPr="00AB7495">
              <w:rPr>
                <w:rFonts w:cstheme="minorHAnsi"/>
                <w:b/>
                <w:sz w:val="16"/>
                <w:szCs w:val="16"/>
              </w:rPr>
              <w:t xml:space="preserve"> </w:t>
            </w:r>
            <w:r>
              <w:rPr>
                <w:rFonts w:cstheme="minorHAnsi"/>
                <w:b/>
                <w:sz w:val="16"/>
                <w:szCs w:val="16"/>
              </w:rPr>
              <w:t>2013</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Final sample</w:t>
            </w:r>
          </w:p>
          <w:p w:rsidR="00EC7A73" w:rsidRPr="00AB7495" w:rsidRDefault="00EC7A73" w:rsidP="002D45AF">
            <w:pPr>
              <w:spacing w:after="0" w:line="240" w:lineRule="auto"/>
              <w:jc w:val="center"/>
              <w:rPr>
                <w:rFonts w:cstheme="minorHAnsi"/>
                <w:b/>
                <w:sz w:val="16"/>
                <w:szCs w:val="16"/>
              </w:rPr>
            </w:pPr>
            <w:r w:rsidRPr="00AB7495">
              <w:rPr>
                <w:rFonts w:cstheme="minorHAnsi"/>
                <w:b/>
                <w:sz w:val="16"/>
                <w:szCs w:val="16"/>
              </w:rPr>
              <w:t>(C)</w:t>
            </w:r>
          </w:p>
        </w:tc>
      </w:tr>
      <w:tr w:rsidR="00EC7A73" w:rsidRPr="00AB7495" w:rsidTr="002D45AF">
        <w:trPr>
          <w:cantSplit/>
        </w:trPr>
        <w:tc>
          <w:tcPr>
            <w:tcW w:w="1135" w:type="pct"/>
            <w:tcBorders>
              <w:top w:val="single" w:sz="4" w:space="0" w:color="auto"/>
            </w:tcBorders>
          </w:tcPr>
          <w:p w:rsidR="00EC7A73" w:rsidRPr="00AB7495" w:rsidRDefault="00EC7A73" w:rsidP="002D45AF">
            <w:pPr>
              <w:spacing w:after="0" w:line="240" w:lineRule="auto"/>
              <w:rPr>
                <w:rFonts w:cstheme="minorHAnsi"/>
                <w:sz w:val="16"/>
                <w:szCs w:val="16"/>
              </w:rPr>
            </w:pPr>
            <w:r w:rsidRPr="00AB7495">
              <w:rPr>
                <w:rFonts w:cstheme="minorHAnsi"/>
                <w:sz w:val="16"/>
                <w:szCs w:val="16"/>
              </w:rPr>
              <w:t>I</w:t>
            </w:r>
          </w:p>
        </w:tc>
        <w:tc>
          <w:tcPr>
            <w:tcW w:w="966" w:type="pct"/>
            <w:tcBorders>
              <w:top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tcBorders>
              <w:top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9.7</w:t>
            </w:r>
          </w:p>
        </w:tc>
        <w:tc>
          <w:tcPr>
            <w:tcW w:w="966" w:type="pct"/>
            <w:tcBorders>
              <w:top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8.0</w:t>
            </w:r>
          </w:p>
        </w:tc>
        <w:tc>
          <w:tcPr>
            <w:tcW w:w="966" w:type="pct"/>
            <w:tcBorders>
              <w:top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7.2</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II</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9.9</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9.7</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9.2</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III</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10.6</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9.8</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IV</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9.6</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9.6</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10.1</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V</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10.1</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10.7</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10.7</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VI</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10.1</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10.1</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9.8</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VII</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10.4</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10.3</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VIII</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10.3</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10.4</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10.5</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IX</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10.2</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10.8</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10.4</w:t>
            </w:r>
          </w:p>
        </w:tc>
      </w:tr>
      <w:tr w:rsidR="00EC7A73" w:rsidRPr="00AB7495" w:rsidTr="002D45AF">
        <w:trPr>
          <w:cantSplit/>
        </w:trPr>
        <w:tc>
          <w:tcPr>
            <w:tcW w:w="1135" w:type="pct"/>
          </w:tcPr>
          <w:p w:rsidR="00EC7A73" w:rsidRPr="00AB7495" w:rsidRDefault="00EC7A73" w:rsidP="002D45AF">
            <w:pPr>
              <w:spacing w:after="0" w:line="240" w:lineRule="auto"/>
              <w:rPr>
                <w:rFonts w:cstheme="minorHAnsi"/>
                <w:sz w:val="16"/>
                <w:szCs w:val="16"/>
              </w:rPr>
            </w:pPr>
            <w:r w:rsidRPr="00AB7495">
              <w:rPr>
                <w:rFonts w:cstheme="minorHAnsi"/>
                <w:sz w:val="16"/>
                <w:szCs w:val="16"/>
              </w:rPr>
              <w:t>X</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7"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9.8</w:t>
            </w:r>
          </w:p>
        </w:tc>
        <w:tc>
          <w:tcPr>
            <w:tcW w:w="966" w:type="pct"/>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11.0</w:t>
            </w:r>
          </w:p>
        </w:tc>
      </w:tr>
      <w:tr w:rsidR="00EC7A73" w:rsidRPr="00AB7495" w:rsidTr="002D45AF">
        <w:trPr>
          <w:cantSplit/>
        </w:trPr>
        <w:tc>
          <w:tcPr>
            <w:tcW w:w="1135" w:type="pct"/>
            <w:tcBorders>
              <w:bottom w:val="single" w:sz="4" w:space="0" w:color="auto"/>
            </w:tcBorders>
          </w:tcPr>
          <w:p w:rsidR="00EC7A73" w:rsidRPr="00AB7495" w:rsidRDefault="00EC7A73" w:rsidP="002D45AF">
            <w:pPr>
              <w:spacing w:after="0" w:line="240" w:lineRule="auto"/>
              <w:rPr>
                <w:rFonts w:cstheme="minorHAnsi"/>
                <w:b/>
                <w:sz w:val="16"/>
                <w:szCs w:val="16"/>
              </w:rPr>
            </w:pPr>
            <w:r w:rsidRPr="00AB7495">
              <w:rPr>
                <w:rFonts w:cstheme="minorHAnsi"/>
                <w:b/>
                <w:sz w:val="16"/>
                <w:szCs w:val="16"/>
              </w:rPr>
              <w:t>TOTAL</w:t>
            </w:r>
          </w:p>
        </w:tc>
        <w:tc>
          <w:tcPr>
            <w:tcW w:w="966" w:type="pct"/>
            <w:tcBorders>
              <w:bottom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100.0</w:t>
            </w:r>
          </w:p>
        </w:tc>
        <w:tc>
          <w:tcPr>
            <w:tcW w:w="967" w:type="pct"/>
            <w:tcBorders>
              <w:bottom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100.0</w:t>
            </w:r>
          </w:p>
        </w:tc>
        <w:tc>
          <w:tcPr>
            <w:tcW w:w="966" w:type="pct"/>
            <w:tcBorders>
              <w:bottom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w:t>
            </w:r>
          </w:p>
        </w:tc>
        <w:tc>
          <w:tcPr>
            <w:tcW w:w="966" w:type="pct"/>
            <w:tcBorders>
              <w:bottom w:val="single" w:sz="4" w:space="0" w:color="auto"/>
            </w:tcBorders>
            <w:vAlign w:val="center"/>
          </w:tcPr>
          <w:p w:rsidR="00EC7A73" w:rsidRPr="00AB7495" w:rsidRDefault="00EC7A73" w:rsidP="002D45AF">
            <w:pPr>
              <w:spacing w:after="0" w:line="240" w:lineRule="auto"/>
              <w:jc w:val="center"/>
              <w:rPr>
                <w:rFonts w:cstheme="minorHAnsi"/>
                <w:sz w:val="16"/>
                <w:szCs w:val="16"/>
              </w:rPr>
            </w:pPr>
            <w:r w:rsidRPr="00AB7495">
              <w:rPr>
                <w:rFonts w:cstheme="minorHAnsi"/>
                <w:sz w:val="16"/>
                <w:szCs w:val="16"/>
              </w:rPr>
              <w:t>100.0</w:t>
            </w:r>
          </w:p>
        </w:tc>
      </w:tr>
    </w:tbl>
    <w:p w:rsidR="00C338D2" w:rsidRPr="00C338D2" w:rsidRDefault="00EC7A73" w:rsidP="00C338D2">
      <w:pPr>
        <w:rPr>
          <w:rFonts w:ascii="Arial" w:hAnsi="Arial" w:cs="Arial"/>
          <w:i/>
          <w:iCs/>
          <w:sz w:val="20"/>
          <w:szCs w:val="20"/>
        </w:rPr>
      </w:pPr>
      <w:r w:rsidRPr="00EA5759">
        <w:rPr>
          <w:rFonts w:ascii="Arial" w:hAnsi="Arial" w:cs="Arial"/>
          <w:i/>
          <w:iCs/>
          <w:sz w:val="20"/>
          <w:szCs w:val="20"/>
        </w:rPr>
        <w:t xml:space="preserve">Source: </w:t>
      </w:r>
      <w:r w:rsidR="00C338D2" w:rsidRPr="00C338D2">
        <w:rPr>
          <w:rFonts w:ascii="Arial" w:hAnsi="Arial" w:cs="Arial"/>
          <w:i/>
          <w:iCs/>
          <w:sz w:val="20"/>
          <w:szCs w:val="20"/>
        </w:rPr>
        <w:t>Ceccarelli, C. and Cutillo, A. (2016),</w:t>
      </w:r>
      <w:r w:rsidR="00C338D2" w:rsidRPr="00C338D2">
        <w:rPr>
          <w:rFonts w:ascii="Arial" w:hAnsi="Arial" w:cs="Arial"/>
          <w:sz w:val="20"/>
          <w:szCs w:val="20"/>
        </w:rPr>
        <w:t xml:space="preserve"> </w:t>
      </w:r>
      <w:r w:rsidR="00C338D2" w:rsidRPr="00C338D2">
        <w:rPr>
          <w:rFonts w:ascii="Arial" w:hAnsi="Arial" w:cs="Arial"/>
          <w:i/>
          <w:iCs/>
          <w:sz w:val="20"/>
          <w:szCs w:val="20"/>
        </w:rPr>
        <w:t>Representativeness of the 2014 NHBS and 2013 HBS samples in comparison to the universe of households residing in Italy using fiscal tax income data. Unpublished paper.</w:t>
      </w:r>
    </w:p>
    <w:p w:rsidR="00EA5759" w:rsidRPr="00EA5759" w:rsidRDefault="00EA5759" w:rsidP="00EC7A73">
      <w:pPr>
        <w:tabs>
          <w:tab w:val="left" w:pos="0"/>
        </w:tabs>
        <w:spacing w:line="254" w:lineRule="exact"/>
        <w:jc w:val="both"/>
        <w:rPr>
          <w:rFonts w:ascii="Arial" w:hAnsi="Arial" w:cs="Arial"/>
          <w:sz w:val="20"/>
          <w:szCs w:val="20"/>
        </w:rPr>
      </w:pPr>
    </w:p>
    <w:p w:rsidR="00653ABB" w:rsidRPr="00653ABB" w:rsidRDefault="002B010E" w:rsidP="006F0B33">
      <w:pPr>
        <w:spacing w:before="120" w:after="0" w:line="360" w:lineRule="auto"/>
        <w:jc w:val="both"/>
        <w:rPr>
          <w:rFonts w:ascii="Arial" w:hAnsi="Arial" w:cs="Arial"/>
          <w:sz w:val="24"/>
          <w:szCs w:val="24"/>
          <w:lang w:val="en-GB"/>
        </w:rPr>
      </w:pPr>
      <w:r w:rsidRPr="006F0B33">
        <w:rPr>
          <w:rFonts w:ascii="Arial" w:hAnsi="Arial" w:cs="Arial"/>
          <w:sz w:val="24"/>
          <w:szCs w:val="24"/>
          <w:lang w:val="en-GB"/>
        </w:rPr>
        <w:t>T</w:t>
      </w:r>
      <w:r>
        <w:rPr>
          <w:rFonts w:ascii="Arial" w:hAnsi="Arial" w:cs="Arial"/>
          <w:sz w:val="24"/>
          <w:szCs w:val="24"/>
          <w:lang w:val="en-GB"/>
        </w:rPr>
        <w:t xml:space="preserve">here is evidence that the theoretical sample of the </w:t>
      </w:r>
      <w:r w:rsidRPr="00CA54FC">
        <w:rPr>
          <w:rFonts w:ascii="Arial" w:hAnsi="Arial" w:cs="Arial"/>
          <w:i/>
          <w:sz w:val="24"/>
          <w:szCs w:val="24"/>
          <w:lang w:val="en-GB"/>
        </w:rPr>
        <w:t>New HBS</w:t>
      </w:r>
      <w:r>
        <w:rPr>
          <w:rFonts w:ascii="Arial" w:hAnsi="Arial" w:cs="Arial"/>
          <w:sz w:val="24"/>
          <w:szCs w:val="24"/>
          <w:lang w:val="en-GB"/>
        </w:rPr>
        <w:t xml:space="preserve"> is representative of the reference population, </w:t>
      </w:r>
      <w:r w:rsidR="00C34CB9">
        <w:rPr>
          <w:rFonts w:ascii="Arial" w:hAnsi="Arial" w:cs="Arial"/>
          <w:sz w:val="24"/>
          <w:szCs w:val="24"/>
          <w:lang w:val="en-GB"/>
        </w:rPr>
        <w:t>whereas the same conclusion can</w:t>
      </w:r>
      <w:r>
        <w:rPr>
          <w:rFonts w:ascii="Arial" w:hAnsi="Arial" w:cs="Arial"/>
          <w:sz w:val="24"/>
          <w:szCs w:val="24"/>
          <w:lang w:val="en-GB"/>
        </w:rPr>
        <w:t xml:space="preserve">not be reached for the final sample. However, </w:t>
      </w:r>
      <w:r w:rsidR="00653ABB" w:rsidRPr="00653ABB">
        <w:rPr>
          <w:rFonts w:ascii="Arial" w:hAnsi="Arial" w:cs="Arial"/>
          <w:sz w:val="24"/>
          <w:szCs w:val="24"/>
          <w:lang w:val="en-GB"/>
        </w:rPr>
        <w:t xml:space="preserve">the bias in the </w:t>
      </w:r>
      <w:r w:rsidR="00653ABB" w:rsidRPr="00CA54FC">
        <w:rPr>
          <w:rFonts w:ascii="Arial" w:hAnsi="Arial" w:cs="Arial"/>
          <w:i/>
          <w:sz w:val="24"/>
          <w:szCs w:val="24"/>
          <w:lang w:val="en-GB"/>
        </w:rPr>
        <w:t>New HBS</w:t>
      </w:r>
      <w:r w:rsidR="00653ABB" w:rsidRPr="00653ABB">
        <w:rPr>
          <w:rFonts w:ascii="Arial" w:hAnsi="Arial" w:cs="Arial"/>
          <w:sz w:val="24"/>
          <w:szCs w:val="24"/>
          <w:lang w:val="en-GB"/>
        </w:rPr>
        <w:t xml:space="preserve">, at least in terms of income/expenditures levels, is even smaller than in the </w:t>
      </w:r>
      <w:r w:rsidR="00653ABB" w:rsidRPr="00ED62B3">
        <w:rPr>
          <w:rFonts w:ascii="Arial" w:hAnsi="Arial" w:cs="Arial"/>
          <w:i/>
          <w:sz w:val="24"/>
          <w:szCs w:val="24"/>
          <w:lang w:val="en-GB"/>
        </w:rPr>
        <w:t>Former HBS</w:t>
      </w:r>
      <w:r w:rsidR="00653ABB" w:rsidRPr="00653ABB">
        <w:rPr>
          <w:rFonts w:ascii="Arial" w:hAnsi="Arial" w:cs="Arial"/>
          <w:sz w:val="24"/>
          <w:szCs w:val="24"/>
          <w:lang w:val="en-GB"/>
        </w:rPr>
        <w:t xml:space="preserve">. The higher levels of consumption </w:t>
      </w:r>
      <w:r w:rsidR="00653ABB" w:rsidRPr="00653ABB">
        <w:rPr>
          <w:rFonts w:ascii="Arial" w:hAnsi="Arial" w:cs="Arial"/>
          <w:sz w:val="24"/>
          <w:szCs w:val="24"/>
          <w:lang w:val="en-GB"/>
        </w:rPr>
        <w:lastRenderedPageBreak/>
        <w:t xml:space="preserve">expenditures in </w:t>
      </w:r>
      <w:r w:rsidR="00653ABB" w:rsidRPr="00CA54FC">
        <w:rPr>
          <w:rFonts w:ascii="Arial" w:hAnsi="Arial" w:cs="Arial"/>
          <w:i/>
          <w:sz w:val="24"/>
          <w:szCs w:val="24"/>
          <w:lang w:val="en-GB"/>
        </w:rPr>
        <w:t>New HBS</w:t>
      </w:r>
      <w:r w:rsidR="00653ABB" w:rsidRPr="00653ABB">
        <w:rPr>
          <w:rFonts w:ascii="Arial" w:hAnsi="Arial" w:cs="Arial"/>
          <w:sz w:val="24"/>
          <w:szCs w:val="24"/>
          <w:lang w:val="en-GB"/>
        </w:rPr>
        <w:t xml:space="preserve"> in comparison to </w:t>
      </w:r>
      <w:r w:rsidR="00653ABB" w:rsidRPr="00ED62B3">
        <w:rPr>
          <w:rFonts w:ascii="Arial" w:hAnsi="Arial" w:cs="Arial"/>
          <w:i/>
          <w:sz w:val="24"/>
          <w:szCs w:val="24"/>
          <w:lang w:val="en-GB"/>
        </w:rPr>
        <w:t>Former HBS</w:t>
      </w:r>
      <w:r w:rsidR="00653ABB" w:rsidRPr="00653ABB">
        <w:rPr>
          <w:rFonts w:ascii="Arial" w:hAnsi="Arial" w:cs="Arial"/>
          <w:sz w:val="24"/>
          <w:szCs w:val="24"/>
          <w:lang w:val="en-GB"/>
        </w:rPr>
        <w:t xml:space="preserve"> must therefore be justified by other aspects. </w:t>
      </w:r>
    </w:p>
    <w:p w:rsidR="00277954" w:rsidRPr="0034093A" w:rsidRDefault="00E02C26" w:rsidP="00277954">
      <w:pPr>
        <w:spacing w:before="360" w:after="0" w:line="360" w:lineRule="auto"/>
        <w:jc w:val="both"/>
        <w:rPr>
          <w:rFonts w:ascii="Arial" w:hAnsi="Arial" w:cs="Arial"/>
          <w:b/>
          <w:sz w:val="24"/>
          <w:szCs w:val="24"/>
          <w:lang w:val="en-GB"/>
        </w:rPr>
      </w:pPr>
      <w:r w:rsidRPr="005C2AE2">
        <w:rPr>
          <w:rFonts w:ascii="Arial" w:hAnsi="Arial" w:cs="Arial"/>
          <w:b/>
          <w:sz w:val="24"/>
          <w:szCs w:val="24"/>
          <w:lang w:val="en-GB"/>
        </w:rPr>
        <w:t>4.</w:t>
      </w:r>
      <w:r w:rsidR="00277954" w:rsidRPr="005C2AE2">
        <w:rPr>
          <w:rFonts w:ascii="Arial" w:hAnsi="Arial" w:cs="Arial"/>
          <w:b/>
          <w:sz w:val="24"/>
          <w:szCs w:val="24"/>
          <w:lang w:val="en-GB"/>
        </w:rPr>
        <w:t xml:space="preserve"> The impact of innovations on consumption expenditure, inequality and poverty estimates</w:t>
      </w:r>
    </w:p>
    <w:p w:rsidR="00653ABB" w:rsidRP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One of the main differences between the two HBSs is represented by the reference periods, which have been extended in the </w:t>
      </w:r>
      <w:r w:rsidRPr="00CA54FC">
        <w:rPr>
          <w:rFonts w:ascii="Arial" w:hAnsi="Arial" w:cs="Arial"/>
          <w:i/>
          <w:sz w:val="24"/>
          <w:szCs w:val="24"/>
          <w:lang w:val="en-GB"/>
        </w:rPr>
        <w:t>New HBS</w:t>
      </w:r>
      <w:r w:rsidRPr="00653ABB">
        <w:rPr>
          <w:rFonts w:ascii="Arial" w:hAnsi="Arial" w:cs="Arial"/>
          <w:sz w:val="24"/>
          <w:szCs w:val="24"/>
          <w:lang w:val="en-GB"/>
        </w:rPr>
        <w:t xml:space="preserve">. </w:t>
      </w:r>
      <w:r w:rsidR="00144B9C">
        <w:rPr>
          <w:rFonts w:ascii="Arial" w:hAnsi="Arial" w:cs="Arial"/>
          <w:sz w:val="24"/>
          <w:szCs w:val="24"/>
          <w:lang w:val="en-GB"/>
        </w:rPr>
        <w:t>To “simulate” the effect of this extension, d</w:t>
      </w:r>
      <w:r w:rsidRPr="00653ABB">
        <w:rPr>
          <w:rFonts w:ascii="Arial" w:hAnsi="Arial" w:cs="Arial"/>
          <w:sz w:val="24"/>
          <w:szCs w:val="24"/>
          <w:lang w:val="en-GB"/>
        </w:rPr>
        <w:t xml:space="preserve">ue to the availability of the information on purchasing month in the </w:t>
      </w:r>
      <w:r w:rsidRPr="00CA54FC">
        <w:rPr>
          <w:rFonts w:ascii="Arial" w:hAnsi="Arial" w:cs="Arial"/>
          <w:i/>
          <w:sz w:val="24"/>
          <w:szCs w:val="24"/>
          <w:lang w:val="en-GB"/>
        </w:rPr>
        <w:t>New HBS</w:t>
      </w:r>
      <w:r w:rsidRPr="00653ABB">
        <w:rPr>
          <w:rFonts w:ascii="Arial" w:hAnsi="Arial" w:cs="Arial"/>
          <w:sz w:val="24"/>
          <w:szCs w:val="24"/>
          <w:lang w:val="en-GB"/>
        </w:rPr>
        <w:t xml:space="preserve"> data, we have </w:t>
      </w:r>
      <w:r w:rsidR="00144B9C">
        <w:rPr>
          <w:rFonts w:ascii="Arial" w:hAnsi="Arial" w:cs="Arial"/>
          <w:sz w:val="24"/>
          <w:szCs w:val="24"/>
          <w:lang w:val="en-GB"/>
        </w:rPr>
        <w:t>estimate</w:t>
      </w:r>
      <w:r w:rsidR="002C39C7">
        <w:rPr>
          <w:rFonts w:ascii="Arial" w:hAnsi="Arial" w:cs="Arial"/>
          <w:sz w:val="24"/>
          <w:szCs w:val="24"/>
          <w:lang w:val="en-GB"/>
        </w:rPr>
        <w:t>d</w:t>
      </w:r>
      <w:r w:rsidR="00144B9C">
        <w:rPr>
          <w:rFonts w:ascii="Arial" w:hAnsi="Arial" w:cs="Arial"/>
          <w:sz w:val="24"/>
          <w:szCs w:val="24"/>
          <w:lang w:val="en-GB"/>
        </w:rPr>
        <w:t xml:space="preserve"> the </w:t>
      </w:r>
      <w:r w:rsidR="00144B9C" w:rsidRPr="00653ABB">
        <w:rPr>
          <w:rFonts w:ascii="Arial" w:hAnsi="Arial" w:cs="Arial"/>
          <w:sz w:val="24"/>
          <w:szCs w:val="24"/>
          <w:lang w:val="en-GB"/>
        </w:rPr>
        <w:t xml:space="preserve">average monthly consumption expenditure </w:t>
      </w:r>
      <w:r w:rsidRPr="00653ABB">
        <w:rPr>
          <w:rFonts w:ascii="Arial" w:hAnsi="Arial" w:cs="Arial"/>
          <w:sz w:val="24"/>
          <w:szCs w:val="24"/>
          <w:lang w:val="en-GB"/>
        </w:rPr>
        <w:t>only consider</w:t>
      </w:r>
      <w:r w:rsidR="00144B9C">
        <w:rPr>
          <w:rFonts w:ascii="Arial" w:hAnsi="Arial" w:cs="Arial"/>
          <w:sz w:val="24"/>
          <w:szCs w:val="24"/>
          <w:lang w:val="en-GB"/>
        </w:rPr>
        <w:t>ing</w:t>
      </w:r>
      <w:r w:rsidRPr="00653ABB">
        <w:rPr>
          <w:rFonts w:ascii="Arial" w:hAnsi="Arial" w:cs="Arial"/>
          <w:sz w:val="24"/>
          <w:szCs w:val="24"/>
          <w:lang w:val="en-GB"/>
        </w:rPr>
        <w:t xml:space="preserve"> the expenditures </w:t>
      </w:r>
      <w:r w:rsidR="00144B9C">
        <w:rPr>
          <w:rFonts w:ascii="Arial" w:hAnsi="Arial" w:cs="Arial"/>
          <w:sz w:val="24"/>
          <w:szCs w:val="24"/>
          <w:lang w:val="en-GB"/>
        </w:rPr>
        <w:t xml:space="preserve">in the </w:t>
      </w:r>
      <w:r w:rsidR="00144B9C" w:rsidRPr="00CA54FC">
        <w:rPr>
          <w:rFonts w:ascii="Arial" w:hAnsi="Arial" w:cs="Arial"/>
          <w:i/>
          <w:sz w:val="24"/>
          <w:szCs w:val="24"/>
          <w:lang w:val="en-GB"/>
        </w:rPr>
        <w:t>New HBS</w:t>
      </w:r>
      <w:r w:rsidR="00144B9C">
        <w:rPr>
          <w:rFonts w:ascii="Arial" w:hAnsi="Arial" w:cs="Arial"/>
          <w:sz w:val="24"/>
          <w:szCs w:val="24"/>
          <w:lang w:val="en-GB"/>
        </w:rPr>
        <w:t xml:space="preserve"> </w:t>
      </w:r>
      <w:r w:rsidRPr="00653ABB">
        <w:rPr>
          <w:rFonts w:ascii="Arial" w:hAnsi="Arial" w:cs="Arial"/>
          <w:sz w:val="24"/>
          <w:szCs w:val="24"/>
          <w:lang w:val="en-GB"/>
        </w:rPr>
        <w:t xml:space="preserve">made during the </w:t>
      </w:r>
      <w:r w:rsidRPr="00ED62B3">
        <w:rPr>
          <w:rFonts w:ascii="Arial" w:hAnsi="Arial" w:cs="Arial"/>
          <w:i/>
          <w:sz w:val="24"/>
          <w:szCs w:val="24"/>
          <w:lang w:val="en-GB"/>
        </w:rPr>
        <w:t>Former HBS</w:t>
      </w:r>
      <w:r w:rsidRPr="00653ABB">
        <w:rPr>
          <w:rFonts w:ascii="Arial" w:hAnsi="Arial" w:cs="Arial"/>
          <w:sz w:val="24"/>
          <w:szCs w:val="24"/>
          <w:lang w:val="en-GB"/>
        </w:rPr>
        <w:t xml:space="preserve"> reference period. </w:t>
      </w:r>
      <w:r w:rsidR="00144B9C">
        <w:rPr>
          <w:rFonts w:ascii="Arial" w:hAnsi="Arial" w:cs="Arial"/>
          <w:sz w:val="24"/>
          <w:szCs w:val="24"/>
          <w:lang w:val="en-GB"/>
        </w:rPr>
        <w:t>T</w:t>
      </w:r>
      <w:r w:rsidRPr="00653ABB">
        <w:rPr>
          <w:rFonts w:ascii="Arial" w:hAnsi="Arial" w:cs="Arial"/>
          <w:sz w:val="24"/>
          <w:szCs w:val="24"/>
          <w:lang w:val="en-GB"/>
        </w:rPr>
        <w:t>he average monthly consumption expenditure passes fr</w:t>
      </w:r>
      <w:r w:rsidR="00144B9C">
        <w:rPr>
          <w:rFonts w:ascii="Arial" w:hAnsi="Arial" w:cs="Arial"/>
          <w:sz w:val="24"/>
          <w:szCs w:val="24"/>
          <w:lang w:val="en-GB"/>
        </w:rPr>
        <w:t>om 2,471 to 2,501 euros (Table 3</w:t>
      </w:r>
      <w:r w:rsidR="00B61522">
        <w:rPr>
          <w:rFonts w:ascii="Arial" w:hAnsi="Arial" w:cs="Arial"/>
          <w:sz w:val="24"/>
          <w:szCs w:val="24"/>
          <w:lang w:val="en-GB"/>
        </w:rPr>
        <w:t>), as a result of</w:t>
      </w:r>
      <w:r w:rsidRPr="00653ABB">
        <w:rPr>
          <w:rFonts w:ascii="Arial" w:hAnsi="Arial" w:cs="Arial"/>
          <w:sz w:val="24"/>
          <w:szCs w:val="24"/>
          <w:lang w:val="en-GB"/>
        </w:rPr>
        <w:t xml:space="preserve"> two possible effects: using shorter periods may imply the so called “forward telescoping effect”; using larger periods </w:t>
      </w:r>
      <w:r w:rsidR="002C39C7" w:rsidRPr="00653ABB">
        <w:rPr>
          <w:rFonts w:ascii="Arial" w:hAnsi="Arial" w:cs="Arial"/>
          <w:sz w:val="24"/>
          <w:szCs w:val="24"/>
          <w:lang w:val="en-GB"/>
        </w:rPr>
        <w:t>impl</w:t>
      </w:r>
      <w:r w:rsidR="002C39C7">
        <w:rPr>
          <w:rFonts w:ascii="Arial" w:hAnsi="Arial" w:cs="Arial"/>
          <w:sz w:val="24"/>
          <w:szCs w:val="24"/>
          <w:lang w:val="en-GB"/>
        </w:rPr>
        <w:t>ies</w:t>
      </w:r>
      <w:r w:rsidR="002C39C7" w:rsidRPr="00653ABB">
        <w:rPr>
          <w:rFonts w:ascii="Arial" w:hAnsi="Arial" w:cs="Arial"/>
          <w:sz w:val="24"/>
          <w:szCs w:val="24"/>
          <w:lang w:val="en-GB"/>
        </w:rPr>
        <w:t xml:space="preserve"> </w:t>
      </w:r>
      <w:r w:rsidRPr="00653ABB">
        <w:rPr>
          <w:rFonts w:ascii="Arial" w:hAnsi="Arial" w:cs="Arial"/>
          <w:sz w:val="24"/>
          <w:szCs w:val="24"/>
          <w:lang w:val="en-GB"/>
        </w:rPr>
        <w:t>the so called “memory effect”</w:t>
      </w:r>
      <w:r w:rsidR="00D869AF">
        <w:rPr>
          <w:rFonts w:ascii="Arial" w:hAnsi="Arial" w:cs="Arial"/>
          <w:sz w:val="24"/>
          <w:szCs w:val="24"/>
          <w:lang w:val="en-GB"/>
        </w:rPr>
        <w:t xml:space="preserve"> </w:t>
      </w:r>
      <w:r w:rsidR="00D869AF" w:rsidRPr="00320258">
        <w:rPr>
          <w:rFonts w:ascii="Arial" w:hAnsi="Arial" w:cs="Arial"/>
          <w:sz w:val="24"/>
          <w:szCs w:val="24"/>
          <w:lang w:val="en-GB"/>
        </w:rPr>
        <w:t>(Neter and Waksberg, 2012)</w:t>
      </w:r>
      <w:r w:rsidRPr="00320258">
        <w:rPr>
          <w:rFonts w:ascii="Arial" w:hAnsi="Arial" w:cs="Arial"/>
          <w:sz w:val="24"/>
          <w:szCs w:val="24"/>
          <w:lang w:val="en-GB"/>
        </w:rPr>
        <w:t>.</w:t>
      </w:r>
      <w:r w:rsidRPr="00653ABB">
        <w:rPr>
          <w:rFonts w:ascii="Arial" w:hAnsi="Arial" w:cs="Arial"/>
          <w:sz w:val="24"/>
          <w:szCs w:val="24"/>
          <w:lang w:val="en-GB"/>
        </w:rPr>
        <w:t xml:space="preserve"> </w:t>
      </w:r>
    </w:p>
    <w:p w:rsidR="00653ABB" w:rsidRP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It must be noted that, while in the </w:t>
      </w:r>
      <w:r w:rsidRPr="00ED62B3">
        <w:rPr>
          <w:rFonts w:ascii="Arial" w:hAnsi="Arial" w:cs="Arial"/>
          <w:i/>
          <w:sz w:val="24"/>
          <w:szCs w:val="24"/>
          <w:lang w:val="en-GB"/>
        </w:rPr>
        <w:t>Former HBS</w:t>
      </w:r>
      <w:r w:rsidRPr="00653ABB">
        <w:rPr>
          <w:rFonts w:ascii="Arial" w:hAnsi="Arial" w:cs="Arial"/>
          <w:sz w:val="24"/>
          <w:szCs w:val="24"/>
          <w:lang w:val="en-GB"/>
        </w:rPr>
        <w:t xml:space="preserve"> no controls were made for forward telescoping effects, in the </w:t>
      </w:r>
      <w:r w:rsidRPr="00CA54FC">
        <w:rPr>
          <w:rFonts w:ascii="Arial" w:hAnsi="Arial" w:cs="Arial"/>
          <w:i/>
          <w:sz w:val="24"/>
          <w:szCs w:val="24"/>
          <w:lang w:val="en-GB"/>
        </w:rPr>
        <w:t>New</w:t>
      </w:r>
      <w:r w:rsidRPr="00653ABB">
        <w:rPr>
          <w:rFonts w:ascii="Arial" w:hAnsi="Arial" w:cs="Arial"/>
          <w:sz w:val="24"/>
          <w:szCs w:val="24"/>
          <w:lang w:val="en-GB"/>
        </w:rPr>
        <w:t xml:space="preserve"> some strategies were adopted to reduce memory effects. Besides precise anchoring of the time frame and precise definitions, we introduced an easier to answer set of questions related to the event of interest (the so called “warming-up” questions). In particular, we introduced questions on purchasing event, month and also </w:t>
      </w:r>
      <w:r w:rsidR="00B61522">
        <w:rPr>
          <w:rFonts w:ascii="Arial" w:hAnsi="Arial" w:cs="Arial"/>
          <w:sz w:val="24"/>
          <w:szCs w:val="24"/>
          <w:lang w:val="en-GB"/>
        </w:rPr>
        <w:t>on</w:t>
      </w:r>
      <w:r w:rsidRPr="00653ABB">
        <w:rPr>
          <w:rFonts w:ascii="Arial" w:hAnsi="Arial" w:cs="Arial"/>
          <w:sz w:val="24"/>
          <w:szCs w:val="24"/>
          <w:lang w:val="en-GB"/>
        </w:rPr>
        <w:t xml:space="preserve"> purchasing place</w:t>
      </w:r>
      <w:r w:rsidR="00B61522">
        <w:rPr>
          <w:rFonts w:ascii="Arial" w:hAnsi="Arial" w:cs="Arial"/>
          <w:sz w:val="24"/>
          <w:szCs w:val="24"/>
          <w:lang w:val="en-GB"/>
        </w:rPr>
        <w:t>. B</w:t>
      </w:r>
      <w:r w:rsidRPr="00653ABB">
        <w:rPr>
          <w:rFonts w:ascii="Arial" w:hAnsi="Arial" w:cs="Arial"/>
          <w:sz w:val="24"/>
          <w:szCs w:val="24"/>
          <w:lang w:val="en-GB"/>
        </w:rPr>
        <w:t xml:space="preserve">y using at least one of these answers we have been able also to impute the missing expenditures values. If we simulate the exclusion of all these expenditures from the </w:t>
      </w:r>
      <w:r w:rsidRPr="00CA54FC">
        <w:rPr>
          <w:rFonts w:ascii="Arial" w:hAnsi="Arial" w:cs="Arial"/>
          <w:i/>
          <w:sz w:val="24"/>
          <w:szCs w:val="24"/>
          <w:lang w:val="en-GB"/>
        </w:rPr>
        <w:t>New HBS</w:t>
      </w:r>
      <w:r w:rsidRPr="00653ABB">
        <w:rPr>
          <w:rFonts w:ascii="Arial" w:hAnsi="Arial" w:cs="Arial"/>
          <w:sz w:val="24"/>
          <w:szCs w:val="24"/>
          <w:lang w:val="en-GB"/>
        </w:rPr>
        <w:t xml:space="preserve"> estimates and we cumulate this effect with that produced by the reference periods, the average expenditure </w:t>
      </w:r>
      <w:r w:rsidR="00D81D21">
        <w:rPr>
          <w:rFonts w:ascii="Arial" w:hAnsi="Arial" w:cs="Arial"/>
          <w:sz w:val="24"/>
          <w:szCs w:val="24"/>
          <w:lang w:val="en-GB"/>
        </w:rPr>
        <w:t>is estimated as</w:t>
      </w:r>
      <w:r w:rsidRPr="00653ABB">
        <w:rPr>
          <w:rFonts w:ascii="Arial" w:hAnsi="Arial" w:cs="Arial"/>
          <w:sz w:val="24"/>
          <w:szCs w:val="24"/>
          <w:lang w:val="en-GB"/>
        </w:rPr>
        <w:t xml:space="preserve"> 2,460 euros</w:t>
      </w:r>
      <w:r w:rsidR="00BC174D">
        <w:rPr>
          <w:rFonts w:ascii="Arial" w:hAnsi="Arial" w:cs="Arial"/>
          <w:sz w:val="24"/>
          <w:szCs w:val="24"/>
          <w:lang w:val="en-GB"/>
        </w:rPr>
        <w:t xml:space="preserve"> (Table 3)</w:t>
      </w:r>
      <w:r w:rsidRPr="00653ABB">
        <w:rPr>
          <w:rFonts w:ascii="Arial" w:hAnsi="Arial" w:cs="Arial"/>
          <w:sz w:val="24"/>
          <w:szCs w:val="24"/>
          <w:lang w:val="en-GB"/>
        </w:rPr>
        <w:t xml:space="preserve">. </w:t>
      </w:r>
    </w:p>
    <w:p w:rsid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Moreover, also a greater detail on expenditure items helps respondent</w:t>
      </w:r>
      <w:r w:rsidR="002C39C7">
        <w:rPr>
          <w:rFonts w:ascii="Arial" w:hAnsi="Arial" w:cs="Arial"/>
          <w:sz w:val="24"/>
          <w:szCs w:val="24"/>
          <w:lang w:val="en-GB"/>
        </w:rPr>
        <w:t>s</w:t>
      </w:r>
      <w:r w:rsidRPr="00653ABB">
        <w:rPr>
          <w:rFonts w:ascii="Arial" w:hAnsi="Arial" w:cs="Arial"/>
          <w:sz w:val="24"/>
          <w:szCs w:val="24"/>
          <w:lang w:val="en-GB"/>
        </w:rPr>
        <w:t xml:space="preserve"> to remember expenses that would otherwise be forgotten. </w:t>
      </w:r>
      <w:r w:rsidR="002C39C7">
        <w:rPr>
          <w:rFonts w:ascii="Arial" w:hAnsi="Arial" w:cs="Arial"/>
          <w:sz w:val="24"/>
          <w:szCs w:val="24"/>
          <w:lang w:val="en-GB"/>
        </w:rPr>
        <w:t>T</w:t>
      </w:r>
      <w:r w:rsidRPr="00653ABB">
        <w:rPr>
          <w:rFonts w:ascii="Arial" w:hAnsi="Arial" w:cs="Arial"/>
          <w:sz w:val="24"/>
          <w:szCs w:val="24"/>
          <w:lang w:val="en-GB"/>
        </w:rPr>
        <w:t xml:space="preserve">he number of expenditure items in the </w:t>
      </w:r>
      <w:r w:rsidRPr="00CA54FC">
        <w:rPr>
          <w:rFonts w:ascii="Arial" w:hAnsi="Arial" w:cs="Arial"/>
          <w:i/>
          <w:sz w:val="24"/>
          <w:szCs w:val="24"/>
          <w:lang w:val="en-GB"/>
        </w:rPr>
        <w:t>New HBS</w:t>
      </w:r>
      <w:r w:rsidRPr="00653ABB">
        <w:rPr>
          <w:rFonts w:ascii="Arial" w:hAnsi="Arial" w:cs="Arial"/>
          <w:sz w:val="24"/>
          <w:szCs w:val="24"/>
          <w:lang w:val="en-GB"/>
        </w:rPr>
        <w:t xml:space="preserve"> almost doubled. For not identical items, we have calculated 159 aggregates obtained by summing up different items that can be directly compared. </w:t>
      </w:r>
      <w:r w:rsidR="00D81D21">
        <w:rPr>
          <w:rFonts w:ascii="Arial" w:hAnsi="Arial" w:cs="Arial"/>
          <w:sz w:val="24"/>
          <w:szCs w:val="24"/>
          <w:lang w:val="en-GB"/>
        </w:rPr>
        <w:t>Through the comparison of</w:t>
      </w:r>
      <w:r w:rsidRPr="00653ABB">
        <w:rPr>
          <w:rFonts w:ascii="Arial" w:hAnsi="Arial" w:cs="Arial"/>
          <w:sz w:val="24"/>
          <w:szCs w:val="24"/>
          <w:lang w:val="en-GB"/>
        </w:rPr>
        <w:t xml:space="preserve"> these aggregates we can estimate the effect of items split. </w:t>
      </w:r>
      <w:r w:rsidR="00D81D21">
        <w:rPr>
          <w:rFonts w:ascii="Arial" w:hAnsi="Arial" w:cs="Arial"/>
          <w:sz w:val="24"/>
          <w:szCs w:val="24"/>
          <w:lang w:val="en-GB"/>
        </w:rPr>
        <w:t xml:space="preserve">This effect, cumulated with the previous ones, leads the average </w:t>
      </w:r>
      <w:r w:rsidRPr="00653ABB">
        <w:rPr>
          <w:rFonts w:ascii="Arial" w:hAnsi="Arial" w:cs="Arial"/>
          <w:sz w:val="24"/>
          <w:szCs w:val="24"/>
          <w:lang w:val="en-GB"/>
        </w:rPr>
        <w:t xml:space="preserve">consumption expenditure </w:t>
      </w:r>
      <w:r w:rsidR="00EC7A73">
        <w:rPr>
          <w:rFonts w:ascii="Arial" w:hAnsi="Arial" w:cs="Arial"/>
          <w:sz w:val="24"/>
          <w:szCs w:val="24"/>
          <w:lang w:val="en-GB"/>
        </w:rPr>
        <w:t>to 2,404 euros</w:t>
      </w:r>
      <w:r w:rsidRPr="00653ABB">
        <w:rPr>
          <w:rFonts w:ascii="Arial" w:hAnsi="Arial" w:cs="Arial"/>
          <w:sz w:val="24"/>
          <w:szCs w:val="24"/>
          <w:lang w:val="en-GB"/>
        </w:rPr>
        <w:t xml:space="preserve">. </w:t>
      </w:r>
    </w:p>
    <w:p w:rsidR="00EA5759" w:rsidRPr="00653ABB" w:rsidRDefault="00EA5759" w:rsidP="00EA5759">
      <w:pPr>
        <w:spacing w:before="120" w:after="0" w:line="360" w:lineRule="auto"/>
        <w:jc w:val="both"/>
        <w:rPr>
          <w:rFonts w:ascii="Arial" w:hAnsi="Arial" w:cs="Arial"/>
          <w:sz w:val="24"/>
          <w:szCs w:val="24"/>
          <w:lang w:val="en-GB"/>
        </w:rPr>
      </w:pPr>
      <w:r w:rsidRPr="004160AD">
        <w:rPr>
          <w:rFonts w:ascii="Arial" w:hAnsi="Arial" w:cs="Arial"/>
          <w:sz w:val="24"/>
          <w:szCs w:val="24"/>
          <w:lang w:val="en-GB"/>
        </w:rPr>
        <w:t>The results obtained in terms of the effect of items detail on consumption expenditure estimates are perf</w:t>
      </w:r>
      <w:r w:rsidR="00C34CB9">
        <w:rPr>
          <w:rFonts w:ascii="Arial" w:hAnsi="Arial" w:cs="Arial"/>
          <w:sz w:val="24"/>
          <w:szCs w:val="24"/>
          <w:lang w:val="en-GB"/>
        </w:rPr>
        <w:t xml:space="preserve">ectly in line with the analysis </w:t>
      </w:r>
      <w:r w:rsidRPr="004160AD">
        <w:rPr>
          <w:rFonts w:ascii="Arial" w:hAnsi="Arial" w:cs="Arial"/>
          <w:sz w:val="24"/>
          <w:szCs w:val="24"/>
          <w:lang w:val="en-GB"/>
        </w:rPr>
        <w:t xml:space="preserve">conducted by </w:t>
      </w:r>
      <w:r w:rsidRPr="00320258">
        <w:rPr>
          <w:rFonts w:ascii="Arial" w:hAnsi="Arial" w:cs="Arial"/>
          <w:sz w:val="24"/>
          <w:szCs w:val="24"/>
          <w:lang w:val="en-GB"/>
        </w:rPr>
        <w:t>Cifaldi and Neri (2013).</w:t>
      </w:r>
      <w:r w:rsidRPr="004160AD">
        <w:rPr>
          <w:rFonts w:ascii="Arial" w:hAnsi="Arial" w:cs="Arial"/>
          <w:sz w:val="24"/>
          <w:szCs w:val="24"/>
          <w:lang w:val="en-GB"/>
        </w:rPr>
        <w:t xml:space="preserve"> </w:t>
      </w:r>
      <w:r>
        <w:rPr>
          <w:rFonts w:ascii="Arial" w:hAnsi="Arial" w:cs="Arial"/>
          <w:sz w:val="24"/>
          <w:szCs w:val="24"/>
          <w:lang w:val="en-GB"/>
        </w:rPr>
        <w:lastRenderedPageBreak/>
        <w:t xml:space="preserve">They </w:t>
      </w:r>
      <w:r w:rsidRPr="004160AD">
        <w:rPr>
          <w:rFonts w:ascii="Arial" w:hAnsi="Arial" w:cs="Arial"/>
          <w:sz w:val="24"/>
          <w:szCs w:val="24"/>
          <w:lang w:val="en-GB"/>
        </w:rPr>
        <w:t>show how the underreporting of household expenditure in SHIW (assessed by comparing to National Account estimation) is linked to the use of a single recall question for non-durable expenditure</w:t>
      </w:r>
      <w:r>
        <w:rPr>
          <w:rFonts w:ascii="Arial" w:hAnsi="Arial" w:cs="Arial"/>
          <w:sz w:val="24"/>
          <w:szCs w:val="24"/>
          <w:lang w:val="en-GB"/>
        </w:rPr>
        <w:t>s</w:t>
      </w:r>
      <w:r w:rsidRPr="004160AD">
        <w:rPr>
          <w:rFonts w:ascii="Arial" w:hAnsi="Arial" w:cs="Arial"/>
          <w:sz w:val="24"/>
          <w:szCs w:val="24"/>
          <w:lang w:val="en-GB"/>
        </w:rPr>
        <w:t xml:space="preserve"> and it is about 35%</w:t>
      </w:r>
      <w:r>
        <w:rPr>
          <w:rFonts w:ascii="Arial" w:hAnsi="Arial" w:cs="Arial"/>
          <w:sz w:val="24"/>
          <w:szCs w:val="24"/>
          <w:lang w:val="en-GB"/>
        </w:rPr>
        <w:t>. Moreover</w:t>
      </w:r>
      <w:r w:rsidR="00C34CB9">
        <w:rPr>
          <w:rFonts w:ascii="Arial" w:hAnsi="Arial" w:cs="Arial"/>
          <w:sz w:val="24"/>
          <w:szCs w:val="24"/>
          <w:lang w:val="en-GB"/>
        </w:rPr>
        <w:t xml:space="preserve"> </w:t>
      </w:r>
      <w:r>
        <w:rPr>
          <w:rFonts w:ascii="Arial" w:hAnsi="Arial" w:cs="Arial"/>
          <w:sz w:val="24"/>
          <w:szCs w:val="24"/>
          <w:lang w:val="en-GB"/>
        </w:rPr>
        <w:t xml:space="preserve">it </w:t>
      </w:r>
      <w:r w:rsidRPr="004160AD">
        <w:rPr>
          <w:rFonts w:ascii="Arial" w:hAnsi="Arial" w:cs="Arial"/>
          <w:sz w:val="24"/>
          <w:szCs w:val="24"/>
          <w:lang w:val="en-GB"/>
        </w:rPr>
        <w:t xml:space="preserve">reduces to about 25% in the </w:t>
      </w:r>
      <w:r w:rsidRPr="00C34CB9">
        <w:rPr>
          <w:rFonts w:ascii="Arial" w:hAnsi="Arial" w:cs="Arial"/>
          <w:i/>
          <w:sz w:val="24"/>
          <w:szCs w:val="24"/>
          <w:lang w:val="en-GB"/>
        </w:rPr>
        <w:t>Former HBS</w:t>
      </w:r>
      <w:r>
        <w:rPr>
          <w:rFonts w:ascii="Arial" w:hAnsi="Arial" w:cs="Arial"/>
          <w:sz w:val="24"/>
          <w:szCs w:val="24"/>
          <w:lang w:val="en-GB"/>
        </w:rPr>
        <w:t xml:space="preserve"> and, i</w:t>
      </w:r>
      <w:r w:rsidRPr="004160AD">
        <w:rPr>
          <w:rFonts w:ascii="Arial" w:hAnsi="Arial" w:cs="Arial"/>
          <w:sz w:val="24"/>
          <w:szCs w:val="24"/>
          <w:lang w:val="en-GB"/>
        </w:rPr>
        <w:t xml:space="preserve">f we consider the </w:t>
      </w:r>
      <w:r w:rsidRPr="00CA54FC">
        <w:rPr>
          <w:rFonts w:ascii="Arial" w:hAnsi="Arial" w:cs="Arial"/>
          <w:i/>
          <w:sz w:val="24"/>
          <w:szCs w:val="24"/>
          <w:lang w:val="en-GB"/>
        </w:rPr>
        <w:t>New HBS</w:t>
      </w:r>
      <w:r w:rsidRPr="004160AD">
        <w:rPr>
          <w:rFonts w:ascii="Arial" w:hAnsi="Arial" w:cs="Arial"/>
          <w:sz w:val="24"/>
          <w:szCs w:val="24"/>
          <w:lang w:val="en-GB"/>
        </w:rPr>
        <w:t xml:space="preserve"> data, the underestimation, in comparison to National Account estimation, reduces to around 20%.</w:t>
      </w:r>
    </w:p>
    <w:p w:rsidR="000B1125" w:rsidRPr="00EC5F5A" w:rsidRDefault="000B1125" w:rsidP="000B1125">
      <w:pPr>
        <w:spacing w:before="120" w:after="0" w:line="360" w:lineRule="auto"/>
        <w:jc w:val="both"/>
        <w:rPr>
          <w:rFonts w:ascii="Arial" w:hAnsi="Arial" w:cs="Arial"/>
          <w:sz w:val="24"/>
          <w:szCs w:val="24"/>
          <w:lang w:val="en-GB"/>
        </w:rPr>
      </w:pPr>
    </w:p>
    <w:p w:rsidR="00EC7A73" w:rsidRPr="000B1125" w:rsidRDefault="00EC7A73" w:rsidP="000B1125">
      <w:pPr>
        <w:pStyle w:val="Didascalia"/>
        <w:keepNext/>
        <w:rPr>
          <w:rFonts w:ascii="Arial" w:hAnsi="Arial" w:cs="Arial"/>
          <w:b/>
          <w:i w:val="0"/>
          <w:color w:val="auto"/>
          <w:sz w:val="20"/>
          <w:szCs w:val="20"/>
          <w:lang w:val="en-GB"/>
        </w:rPr>
      </w:pPr>
      <w:r w:rsidRPr="000B1125">
        <w:rPr>
          <w:rFonts w:ascii="Arial" w:hAnsi="Arial" w:cs="Arial"/>
          <w:b/>
          <w:i w:val="0"/>
          <w:color w:val="auto"/>
          <w:sz w:val="20"/>
          <w:szCs w:val="20"/>
          <w:lang w:val="en-GB"/>
        </w:rPr>
        <w:t xml:space="preserve">Table </w:t>
      </w:r>
      <w:r w:rsidR="00144B9C" w:rsidRPr="000B1125">
        <w:rPr>
          <w:rFonts w:ascii="Arial" w:hAnsi="Arial" w:cs="Arial"/>
          <w:b/>
          <w:i w:val="0"/>
          <w:color w:val="auto"/>
          <w:sz w:val="20"/>
          <w:szCs w:val="20"/>
          <w:lang w:val="en-GB"/>
        </w:rPr>
        <w:t>3</w:t>
      </w:r>
      <w:r w:rsidR="00BC174D">
        <w:rPr>
          <w:rFonts w:ascii="Arial" w:hAnsi="Arial" w:cs="Arial"/>
          <w:b/>
          <w:i w:val="0"/>
          <w:color w:val="auto"/>
          <w:sz w:val="20"/>
          <w:szCs w:val="20"/>
          <w:lang w:val="en-GB"/>
        </w:rPr>
        <w:t xml:space="preserve"> </w:t>
      </w:r>
      <w:r w:rsidRPr="000B1125">
        <w:rPr>
          <w:rFonts w:ascii="Arial" w:hAnsi="Arial" w:cs="Arial"/>
          <w:b/>
          <w:i w:val="0"/>
          <w:color w:val="auto"/>
          <w:sz w:val="20"/>
          <w:szCs w:val="20"/>
          <w:lang w:val="en-GB"/>
        </w:rPr>
        <w:t>- Simulation of the innovations effects on average consumption expenditure</w:t>
      </w:r>
      <w:r w:rsidR="009D3A21" w:rsidRPr="000B1125">
        <w:rPr>
          <w:rFonts w:ascii="Arial" w:hAnsi="Arial" w:cs="Arial"/>
          <w:b/>
          <w:i w:val="0"/>
          <w:color w:val="auto"/>
          <w:sz w:val="20"/>
          <w:szCs w:val="20"/>
          <w:lang w:val="en-GB"/>
        </w:rPr>
        <w:t>, inequality and poverty incidences</w:t>
      </w:r>
      <w:r w:rsidRPr="000B1125">
        <w:rPr>
          <w:rFonts w:ascii="Arial" w:hAnsi="Arial" w:cs="Arial"/>
          <w:b/>
          <w:i w:val="0"/>
          <w:color w:val="auto"/>
          <w:sz w:val="20"/>
          <w:szCs w:val="20"/>
          <w:lang w:val="en-GB"/>
        </w:rPr>
        <w:t xml:space="preserve">. Year 2013 </w:t>
      </w:r>
    </w:p>
    <w:tbl>
      <w:tblPr>
        <w:tblW w:w="4989" w:type="pct"/>
        <w:tblLayout w:type="fixed"/>
        <w:tblCellMar>
          <w:left w:w="70" w:type="dxa"/>
          <w:right w:w="70" w:type="dxa"/>
        </w:tblCellMar>
        <w:tblLook w:val="04A0" w:firstRow="1" w:lastRow="0" w:firstColumn="1" w:lastColumn="0" w:noHBand="0" w:noVBand="1"/>
      </w:tblPr>
      <w:tblGrid>
        <w:gridCol w:w="5034"/>
        <w:gridCol w:w="1191"/>
        <w:gridCol w:w="989"/>
        <w:gridCol w:w="989"/>
        <w:gridCol w:w="989"/>
      </w:tblGrid>
      <w:tr w:rsidR="009D3A21" w:rsidRPr="00AB7495" w:rsidTr="00367B45">
        <w:tc>
          <w:tcPr>
            <w:tcW w:w="2737" w:type="pct"/>
            <w:tcBorders>
              <w:top w:val="single" w:sz="4" w:space="0" w:color="auto"/>
              <w:left w:val="nil"/>
              <w:bottom w:val="single" w:sz="4" w:space="0" w:color="auto"/>
              <w:right w:val="nil"/>
            </w:tcBorders>
            <w:shd w:val="clear" w:color="auto" w:fill="auto"/>
            <w:noWrap/>
            <w:vAlign w:val="center"/>
            <w:hideMark/>
          </w:tcPr>
          <w:p w:rsidR="009D3A21" w:rsidRPr="00AB7495" w:rsidRDefault="009D3A21" w:rsidP="002D45AF">
            <w:pPr>
              <w:spacing w:after="0" w:line="240" w:lineRule="auto"/>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Aggregate</w:t>
            </w:r>
          </w:p>
        </w:tc>
        <w:tc>
          <w:tcPr>
            <w:tcW w:w="648" w:type="pct"/>
            <w:tcBorders>
              <w:top w:val="single" w:sz="4" w:space="0" w:color="auto"/>
              <w:left w:val="nil"/>
              <w:bottom w:val="single" w:sz="4" w:space="0" w:color="auto"/>
              <w:right w:val="nil"/>
            </w:tcBorders>
            <w:shd w:val="clear" w:color="auto" w:fill="auto"/>
            <w:vAlign w:val="center"/>
            <w:hideMark/>
          </w:tcPr>
          <w:p w:rsidR="00367B45" w:rsidRDefault="009D3A21" w:rsidP="00367B45">
            <w:pPr>
              <w:spacing w:after="0" w:line="240" w:lineRule="auto"/>
              <w:jc w:val="right"/>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Average monthly consumption expenditure</w:t>
            </w:r>
          </w:p>
          <w:p w:rsidR="009D3A21" w:rsidRPr="00AB7495" w:rsidRDefault="004160AD" w:rsidP="00367B45">
            <w:pPr>
              <w:spacing w:after="0" w:line="240" w:lineRule="auto"/>
              <w:jc w:val="right"/>
              <w:rPr>
                <w:rFonts w:ascii="Calibri" w:eastAsia="Times New Roman" w:hAnsi="Calibri" w:cs="Calibri"/>
                <w:b/>
                <w:color w:val="000000"/>
                <w:sz w:val="16"/>
                <w:szCs w:val="16"/>
                <w:lang w:eastAsia="it-IT"/>
              </w:rPr>
            </w:pPr>
            <w:r>
              <w:rPr>
                <w:rFonts w:ascii="Calibri" w:eastAsia="Times New Roman" w:hAnsi="Calibri" w:cs="Calibri"/>
                <w:b/>
                <w:color w:val="000000"/>
                <w:sz w:val="16"/>
                <w:szCs w:val="16"/>
                <w:lang w:eastAsia="it-IT"/>
              </w:rPr>
              <w:t>(in Euros)</w:t>
            </w:r>
          </w:p>
        </w:tc>
        <w:tc>
          <w:tcPr>
            <w:tcW w:w="538" w:type="pct"/>
            <w:tcBorders>
              <w:top w:val="single" w:sz="4" w:space="0" w:color="auto"/>
              <w:left w:val="nil"/>
              <w:bottom w:val="single" w:sz="4" w:space="0" w:color="auto"/>
              <w:right w:val="nil"/>
            </w:tcBorders>
            <w:shd w:val="clear" w:color="auto" w:fill="auto"/>
            <w:vAlign w:val="center"/>
          </w:tcPr>
          <w:p w:rsidR="009D3A21" w:rsidRPr="00086B6C" w:rsidRDefault="009D3A21" w:rsidP="00367B45">
            <w:pPr>
              <w:spacing w:after="0" w:line="240" w:lineRule="auto"/>
              <w:jc w:val="right"/>
              <w:rPr>
                <w:rFonts w:ascii="Calibri" w:eastAsia="Times New Roman" w:hAnsi="Calibri" w:cs="Calibri"/>
                <w:b/>
                <w:color w:val="000000"/>
                <w:sz w:val="16"/>
                <w:szCs w:val="16"/>
                <w:lang w:eastAsia="it-IT"/>
              </w:rPr>
            </w:pPr>
            <w:r w:rsidRPr="00086B6C">
              <w:rPr>
                <w:rFonts w:ascii="Calibri" w:eastAsia="Times New Roman" w:hAnsi="Calibri" w:cs="Calibri"/>
                <w:b/>
                <w:color w:val="000000"/>
                <w:sz w:val="16"/>
                <w:szCs w:val="16"/>
                <w:lang w:eastAsia="it-IT"/>
              </w:rPr>
              <w:t xml:space="preserve">Inequality index (S80/S20) </w:t>
            </w:r>
          </w:p>
        </w:tc>
        <w:tc>
          <w:tcPr>
            <w:tcW w:w="538" w:type="pct"/>
            <w:tcBorders>
              <w:top w:val="single" w:sz="4" w:space="0" w:color="auto"/>
              <w:left w:val="nil"/>
              <w:bottom w:val="single" w:sz="4" w:space="0" w:color="auto"/>
              <w:right w:val="nil"/>
            </w:tcBorders>
            <w:vAlign w:val="center"/>
          </w:tcPr>
          <w:p w:rsidR="009D3A21" w:rsidRPr="00086B6C" w:rsidRDefault="009D3A21" w:rsidP="00367B45">
            <w:pPr>
              <w:spacing w:after="0" w:line="240" w:lineRule="auto"/>
              <w:jc w:val="right"/>
              <w:rPr>
                <w:rFonts w:ascii="Calibri" w:eastAsia="Times New Roman" w:hAnsi="Calibri" w:cs="Calibri"/>
                <w:b/>
                <w:color w:val="000000"/>
                <w:sz w:val="16"/>
                <w:szCs w:val="16"/>
                <w:lang w:eastAsia="it-IT"/>
              </w:rPr>
            </w:pPr>
            <w:r w:rsidRPr="00086B6C">
              <w:rPr>
                <w:rFonts w:ascii="Calibri" w:eastAsia="Times New Roman" w:hAnsi="Calibri" w:cs="Calibri"/>
                <w:b/>
                <w:color w:val="000000"/>
                <w:sz w:val="16"/>
                <w:szCs w:val="16"/>
                <w:lang w:eastAsia="it-IT"/>
              </w:rPr>
              <w:t>Relative poverty incidence</w:t>
            </w:r>
            <w:r>
              <w:rPr>
                <w:rFonts w:ascii="Calibri" w:eastAsia="Times New Roman" w:hAnsi="Calibri" w:cs="Calibri"/>
                <w:b/>
                <w:color w:val="000000"/>
                <w:sz w:val="16"/>
                <w:szCs w:val="16"/>
                <w:lang w:eastAsia="it-IT"/>
              </w:rPr>
              <w:t xml:space="preserve"> (%)</w:t>
            </w:r>
          </w:p>
        </w:tc>
        <w:tc>
          <w:tcPr>
            <w:tcW w:w="538" w:type="pct"/>
            <w:tcBorders>
              <w:top w:val="single" w:sz="4" w:space="0" w:color="auto"/>
              <w:left w:val="nil"/>
              <w:bottom w:val="single" w:sz="4" w:space="0" w:color="auto"/>
              <w:right w:val="nil"/>
            </w:tcBorders>
            <w:vAlign w:val="center"/>
          </w:tcPr>
          <w:p w:rsidR="009D3A21" w:rsidRPr="00AB7495" w:rsidRDefault="009D3A21" w:rsidP="00367B45">
            <w:pPr>
              <w:spacing w:after="0" w:line="240" w:lineRule="auto"/>
              <w:jc w:val="right"/>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Absolute poverty incidence</w:t>
            </w:r>
            <w:r>
              <w:rPr>
                <w:rFonts w:ascii="Calibri" w:eastAsia="Times New Roman" w:hAnsi="Calibri" w:cs="Calibri"/>
                <w:b/>
                <w:color w:val="000000"/>
                <w:sz w:val="16"/>
                <w:szCs w:val="16"/>
                <w:lang w:eastAsia="it-IT"/>
              </w:rPr>
              <w:t xml:space="preserve"> (%)</w:t>
            </w:r>
          </w:p>
        </w:tc>
      </w:tr>
      <w:tr w:rsidR="009D3A21" w:rsidRPr="00AB7495" w:rsidTr="00367B45">
        <w:tc>
          <w:tcPr>
            <w:tcW w:w="2737" w:type="pct"/>
            <w:tcBorders>
              <w:top w:val="single" w:sz="4" w:space="0" w:color="auto"/>
              <w:left w:val="nil"/>
              <w:bottom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Former HBS</w:t>
            </w:r>
          </w:p>
        </w:tc>
        <w:tc>
          <w:tcPr>
            <w:tcW w:w="648" w:type="pct"/>
            <w:tcBorders>
              <w:top w:val="single" w:sz="4" w:space="0" w:color="auto"/>
              <w:left w:val="nil"/>
              <w:bottom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b/>
                <w:bCs/>
                <w:color w:val="000000"/>
                <w:sz w:val="16"/>
                <w:szCs w:val="16"/>
                <w:lang w:eastAsia="it-IT"/>
              </w:rPr>
            </w:pPr>
            <w:r w:rsidRPr="00AB7495">
              <w:rPr>
                <w:rFonts w:ascii="Calibri" w:eastAsia="Times New Roman" w:hAnsi="Calibri" w:cs="Calibri"/>
                <w:b/>
                <w:bCs/>
                <w:color w:val="000000"/>
                <w:sz w:val="16"/>
                <w:szCs w:val="16"/>
                <w:lang w:eastAsia="it-IT"/>
              </w:rPr>
              <w:t>2359.10</w:t>
            </w:r>
          </w:p>
        </w:tc>
        <w:tc>
          <w:tcPr>
            <w:tcW w:w="538" w:type="pct"/>
            <w:tcBorders>
              <w:top w:val="single" w:sz="4" w:space="0" w:color="auto"/>
              <w:left w:val="nil"/>
              <w:bottom w:val="nil"/>
              <w:right w:val="nil"/>
            </w:tcBorders>
            <w:shd w:val="clear" w:color="auto" w:fill="auto"/>
            <w:noWrap/>
            <w:vAlign w:val="center"/>
          </w:tcPr>
          <w:p w:rsidR="009D3A21" w:rsidRPr="00086B6C" w:rsidRDefault="009D3A21" w:rsidP="002D45AF">
            <w:pPr>
              <w:spacing w:after="0" w:line="240" w:lineRule="auto"/>
              <w:jc w:val="right"/>
              <w:rPr>
                <w:rFonts w:ascii="Calibri" w:eastAsia="Times New Roman" w:hAnsi="Calibri" w:cs="Calibri"/>
                <w:b/>
                <w:bCs/>
                <w:color w:val="000000"/>
                <w:sz w:val="16"/>
                <w:szCs w:val="16"/>
                <w:lang w:eastAsia="it-IT"/>
              </w:rPr>
            </w:pPr>
            <w:r w:rsidRPr="00086B6C">
              <w:rPr>
                <w:rFonts w:ascii="Calibri" w:eastAsia="Times New Roman" w:hAnsi="Calibri" w:cs="Calibri"/>
                <w:b/>
                <w:bCs/>
                <w:color w:val="000000"/>
                <w:sz w:val="16"/>
                <w:szCs w:val="16"/>
                <w:lang w:eastAsia="it-IT"/>
              </w:rPr>
              <w:t>7.0</w:t>
            </w:r>
          </w:p>
        </w:tc>
        <w:tc>
          <w:tcPr>
            <w:tcW w:w="538" w:type="pct"/>
            <w:tcBorders>
              <w:top w:val="single" w:sz="4" w:space="0" w:color="auto"/>
              <w:left w:val="nil"/>
              <w:bottom w:val="nil"/>
              <w:right w:val="nil"/>
            </w:tcBorders>
            <w:vAlign w:val="center"/>
          </w:tcPr>
          <w:p w:rsidR="009D3A21" w:rsidRPr="00086B6C" w:rsidRDefault="009D3A21" w:rsidP="002D45AF">
            <w:pPr>
              <w:spacing w:after="0" w:line="240" w:lineRule="auto"/>
              <w:jc w:val="right"/>
              <w:rPr>
                <w:rFonts w:ascii="Calibri" w:eastAsia="Times New Roman" w:hAnsi="Calibri" w:cs="Calibri"/>
                <w:b/>
                <w:bCs/>
                <w:color w:val="000000"/>
                <w:sz w:val="16"/>
                <w:szCs w:val="16"/>
                <w:lang w:eastAsia="it-IT"/>
              </w:rPr>
            </w:pPr>
            <w:r w:rsidRPr="00086B6C">
              <w:rPr>
                <w:rFonts w:ascii="Calibri" w:eastAsia="Times New Roman" w:hAnsi="Calibri" w:cs="Calibri"/>
                <w:b/>
                <w:bCs/>
                <w:color w:val="000000"/>
                <w:sz w:val="16"/>
                <w:szCs w:val="16"/>
                <w:lang w:eastAsia="it-IT"/>
              </w:rPr>
              <w:t>12.6</w:t>
            </w:r>
          </w:p>
        </w:tc>
        <w:tc>
          <w:tcPr>
            <w:tcW w:w="538" w:type="pct"/>
            <w:tcBorders>
              <w:top w:val="single" w:sz="4" w:space="0" w:color="auto"/>
              <w:left w:val="nil"/>
              <w:bottom w:val="nil"/>
              <w:right w:val="nil"/>
            </w:tcBorders>
            <w:vAlign w:val="center"/>
          </w:tcPr>
          <w:p w:rsidR="009D3A21" w:rsidRPr="00AB7495" w:rsidRDefault="009D3A21" w:rsidP="002D45AF">
            <w:pPr>
              <w:spacing w:after="0" w:line="240" w:lineRule="auto"/>
              <w:jc w:val="right"/>
              <w:rPr>
                <w:rFonts w:ascii="Calibri" w:eastAsia="Times New Roman" w:hAnsi="Calibri" w:cs="Calibri"/>
                <w:b/>
                <w:bCs/>
                <w:color w:val="000000"/>
                <w:sz w:val="16"/>
                <w:szCs w:val="16"/>
                <w:lang w:eastAsia="it-IT"/>
              </w:rPr>
            </w:pPr>
            <w:r w:rsidRPr="00AB7495">
              <w:rPr>
                <w:rFonts w:ascii="Calibri" w:eastAsia="Times New Roman" w:hAnsi="Calibri" w:cs="Calibri"/>
                <w:b/>
                <w:bCs/>
                <w:color w:val="000000"/>
                <w:sz w:val="16"/>
                <w:szCs w:val="16"/>
                <w:lang w:eastAsia="it-IT"/>
              </w:rPr>
              <w:t>7.9</w:t>
            </w:r>
          </w:p>
        </w:tc>
      </w:tr>
      <w:tr w:rsidR="009D3A21" w:rsidRPr="00AB7495" w:rsidTr="00367B45">
        <w:tc>
          <w:tcPr>
            <w:tcW w:w="2737" w:type="pct"/>
            <w:tcBorders>
              <w:top w:val="nil"/>
              <w:left w:val="nil"/>
              <w:bottom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New HBS</w:t>
            </w:r>
          </w:p>
        </w:tc>
        <w:tc>
          <w:tcPr>
            <w:tcW w:w="648" w:type="pct"/>
            <w:tcBorders>
              <w:top w:val="nil"/>
              <w:left w:val="nil"/>
              <w:bottom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b/>
                <w:bCs/>
                <w:color w:val="000000"/>
                <w:sz w:val="16"/>
                <w:szCs w:val="16"/>
                <w:lang w:eastAsia="it-IT"/>
              </w:rPr>
            </w:pPr>
            <w:r w:rsidRPr="00AB7495">
              <w:rPr>
                <w:rFonts w:ascii="Calibri" w:eastAsia="Times New Roman" w:hAnsi="Calibri" w:cs="Calibri"/>
                <w:b/>
                <w:bCs/>
                <w:color w:val="000000"/>
                <w:sz w:val="16"/>
                <w:szCs w:val="16"/>
                <w:lang w:eastAsia="it-IT"/>
              </w:rPr>
              <w:t>2471.10</w:t>
            </w:r>
          </w:p>
        </w:tc>
        <w:tc>
          <w:tcPr>
            <w:tcW w:w="538" w:type="pct"/>
            <w:tcBorders>
              <w:top w:val="nil"/>
              <w:left w:val="nil"/>
              <w:bottom w:val="nil"/>
              <w:right w:val="nil"/>
            </w:tcBorders>
            <w:shd w:val="clear" w:color="auto" w:fill="auto"/>
            <w:noWrap/>
            <w:vAlign w:val="center"/>
          </w:tcPr>
          <w:p w:rsidR="009D3A21" w:rsidRPr="00086B6C" w:rsidRDefault="009D3A21" w:rsidP="002D45AF">
            <w:pPr>
              <w:spacing w:after="0" w:line="240" w:lineRule="auto"/>
              <w:jc w:val="right"/>
              <w:rPr>
                <w:rFonts w:ascii="Calibri" w:eastAsia="Times New Roman" w:hAnsi="Calibri" w:cs="Calibri"/>
                <w:b/>
                <w:bCs/>
                <w:color w:val="000000"/>
                <w:sz w:val="16"/>
                <w:szCs w:val="16"/>
                <w:lang w:eastAsia="it-IT"/>
              </w:rPr>
            </w:pPr>
            <w:r w:rsidRPr="00086B6C">
              <w:rPr>
                <w:rFonts w:ascii="Calibri" w:eastAsia="Times New Roman" w:hAnsi="Calibri" w:cs="Calibri"/>
                <w:b/>
                <w:bCs/>
                <w:color w:val="000000"/>
                <w:sz w:val="16"/>
                <w:szCs w:val="16"/>
                <w:lang w:eastAsia="it-IT"/>
              </w:rPr>
              <w:t>6.3</w:t>
            </w:r>
          </w:p>
        </w:tc>
        <w:tc>
          <w:tcPr>
            <w:tcW w:w="538" w:type="pct"/>
            <w:tcBorders>
              <w:top w:val="nil"/>
              <w:left w:val="nil"/>
              <w:bottom w:val="nil"/>
              <w:right w:val="nil"/>
            </w:tcBorders>
            <w:vAlign w:val="center"/>
          </w:tcPr>
          <w:p w:rsidR="009D3A21" w:rsidRPr="00086B6C" w:rsidRDefault="009D3A21" w:rsidP="002D45AF">
            <w:pPr>
              <w:spacing w:after="0" w:line="240" w:lineRule="auto"/>
              <w:jc w:val="right"/>
              <w:rPr>
                <w:rFonts w:ascii="Calibri" w:eastAsia="Times New Roman" w:hAnsi="Calibri" w:cs="Calibri"/>
                <w:b/>
                <w:bCs/>
                <w:color w:val="000000"/>
                <w:sz w:val="16"/>
                <w:szCs w:val="16"/>
                <w:lang w:eastAsia="it-IT"/>
              </w:rPr>
            </w:pPr>
            <w:r w:rsidRPr="00086B6C">
              <w:rPr>
                <w:rFonts w:ascii="Calibri" w:eastAsia="Times New Roman" w:hAnsi="Calibri" w:cs="Calibri"/>
                <w:b/>
                <w:bCs/>
                <w:color w:val="000000"/>
                <w:sz w:val="16"/>
                <w:szCs w:val="16"/>
                <w:lang w:eastAsia="it-IT"/>
              </w:rPr>
              <w:t>10.4</w:t>
            </w:r>
          </w:p>
        </w:tc>
        <w:tc>
          <w:tcPr>
            <w:tcW w:w="538" w:type="pct"/>
            <w:tcBorders>
              <w:top w:val="nil"/>
              <w:left w:val="nil"/>
              <w:bottom w:val="nil"/>
              <w:right w:val="nil"/>
            </w:tcBorders>
            <w:vAlign w:val="center"/>
          </w:tcPr>
          <w:p w:rsidR="009D3A21" w:rsidRPr="00AB7495" w:rsidRDefault="009D3A21" w:rsidP="002D45AF">
            <w:pPr>
              <w:spacing w:after="0" w:line="240" w:lineRule="auto"/>
              <w:jc w:val="right"/>
              <w:rPr>
                <w:rFonts w:ascii="Calibri" w:eastAsia="Times New Roman" w:hAnsi="Calibri" w:cs="Calibri"/>
                <w:b/>
                <w:bCs/>
                <w:color w:val="000000"/>
                <w:sz w:val="16"/>
                <w:szCs w:val="16"/>
                <w:lang w:eastAsia="it-IT"/>
              </w:rPr>
            </w:pPr>
            <w:r w:rsidRPr="00AB7495">
              <w:rPr>
                <w:rFonts w:ascii="Calibri" w:eastAsia="Times New Roman" w:hAnsi="Calibri" w:cs="Calibri"/>
                <w:b/>
                <w:bCs/>
                <w:color w:val="000000"/>
                <w:sz w:val="16"/>
                <w:szCs w:val="16"/>
                <w:lang w:eastAsia="it-IT"/>
              </w:rPr>
              <w:t>6.3</w:t>
            </w:r>
          </w:p>
        </w:tc>
      </w:tr>
      <w:tr w:rsidR="009D3A21" w:rsidRPr="00AB7495" w:rsidTr="00367B45">
        <w:tc>
          <w:tcPr>
            <w:tcW w:w="2737" w:type="pct"/>
            <w:tcBorders>
              <w:top w:val="nil"/>
              <w:left w:val="nil"/>
              <w:bottom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New HBS with Former HBS reference periods</w:t>
            </w:r>
          </w:p>
        </w:tc>
        <w:tc>
          <w:tcPr>
            <w:tcW w:w="648" w:type="pct"/>
            <w:tcBorders>
              <w:top w:val="nil"/>
              <w:left w:val="nil"/>
              <w:bottom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2501.37</w:t>
            </w:r>
          </w:p>
        </w:tc>
        <w:tc>
          <w:tcPr>
            <w:tcW w:w="538" w:type="pct"/>
            <w:tcBorders>
              <w:top w:val="nil"/>
              <w:left w:val="nil"/>
              <w:bottom w:val="nil"/>
              <w:right w:val="nil"/>
            </w:tcBorders>
            <w:shd w:val="clear" w:color="auto" w:fill="auto"/>
            <w:noWrap/>
            <w:vAlign w:val="center"/>
          </w:tcPr>
          <w:p w:rsidR="009D3A21" w:rsidRPr="00201994" w:rsidRDefault="009D3A21" w:rsidP="002D45AF">
            <w:pPr>
              <w:spacing w:after="0" w:line="240" w:lineRule="auto"/>
              <w:jc w:val="right"/>
              <w:rPr>
                <w:rFonts w:ascii="Calibri" w:eastAsia="Times New Roman" w:hAnsi="Calibri" w:cs="Calibri"/>
                <w:i/>
                <w:iCs/>
                <w:color w:val="000000"/>
                <w:sz w:val="16"/>
                <w:szCs w:val="16"/>
                <w:lang w:eastAsia="it-IT"/>
              </w:rPr>
            </w:pPr>
            <w:r w:rsidRPr="00201994">
              <w:rPr>
                <w:rFonts w:ascii="Calibri" w:eastAsia="Times New Roman" w:hAnsi="Calibri" w:cs="Calibri"/>
                <w:i/>
                <w:iCs/>
                <w:color w:val="000000"/>
                <w:sz w:val="16"/>
                <w:szCs w:val="16"/>
                <w:lang w:eastAsia="it-IT"/>
              </w:rPr>
              <w:t>6.8</w:t>
            </w:r>
          </w:p>
        </w:tc>
        <w:tc>
          <w:tcPr>
            <w:tcW w:w="538" w:type="pct"/>
            <w:tcBorders>
              <w:top w:val="nil"/>
              <w:left w:val="nil"/>
              <w:bottom w:val="nil"/>
              <w:right w:val="nil"/>
            </w:tcBorders>
            <w:vAlign w:val="center"/>
          </w:tcPr>
          <w:p w:rsidR="009D3A21" w:rsidRPr="00201994" w:rsidRDefault="009D3A21" w:rsidP="002D45AF">
            <w:pPr>
              <w:spacing w:after="0" w:line="240" w:lineRule="auto"/>
              <w:jc w:val="right"/>
              <w:rPr>
                <w:rFonts w:ascii="Calibri" w:eastAsia="Times New Roman" w:hAnsi="Calibri" w:cs="Calibri"/>
                <w:i/>
                <w:color w:val="000000"/>
                <w:sz w:val="16"/>
                <w:szCs w:val="16"/>
                <w:lang w:eastAsia="it-IT"/>
              </w:rPr>
            </w:pPr>
            <w:r w:rsidRPr="00201994">
              <w:rPr>
                <w:rFonts w:ascii="Calibri" w:eastAsia="Times New Roman" w:hAnsi="Calibri" w:cs="Calibri"/>
                <w:i/>
                <w:color w:val="000000"/>
                <w:sz w:val="16"/>
                <w:szCs w:val="16"/>
                <w:lang w:eastAsia="it-IT"/>
              </w:rPr>
              <w:t>11.7</w:t>
            </w:r>
          </w:p>
        </w:tc>
        <w:tc>
          <w:tcPr>
            <w:tcW w:w="538" w:type="pct"/>
            <w:tcBorders>
              <w:top w:val="nil"/>
              <w:left w:val="nil"/>
              <w:bottom w:val="nil"/>
              <w:right w:val="nil"/>
            </w:tcBorders>
            <w:vAlign w:val="center"/>
          </w:tcPr>
          <w:p w:rsidR="009D3A21" w:rsidRPr="00AB7495" w:rsidRDefault="009D3A21" w:rsidP="002D45AF">
            <w:pPr>
              <w:spacing w:after="0" w:line="240" w:lineRule="auto"/>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7.2</w:t>
            </w:r>
          </w:p>
        </w:tc>
      </w:tr>
      <w:tr w:rsidR="009D3A21" w:rsidRPr="00AB7495" w:rsidTr="00367B45">
        <w:tc>
          <w:tcPr>
            <w:tcW w:w="2737" w:type="pct"/>
            <w:tcBorders>
              <w:top w:val="nil"/>
              <w:left w:val="nil"/>
              <w:bottom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New HBS with Former HBS reference periods and without imputed expenditures</w:t>
            </w:r>
          </w:p>
        </w:tc>
        <w:tc>
          <w:tcPr>
            <w:tcW w:w="648" w:type="pct"/>
            <w:tcBorders>
              <w:top w:val="nil"/>
              <w:left w:val="nil"/>
              <w:bottom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2459.50</w:t>
            </w:r>
          </w:p>
        </w:tc>
        <w:tc>
          <w:tcPr>
            <w:tcW w:w="538" w:type="pct"/>
            <w:tcBorders>
              <w:top w:val="nil"/>
              <w:left w:val="nil"/>
              <w:bottom w:val="nil"/>
              <w:right w:val="nil"/>
            </w:tcBorders>
            <w:shd w:val="clear" w:color="auto" w:fill="auto"/>
            <w:noWrap/>
            <w:vAlign w:val="center"/>
          </w:tcPr>
          <w:p w:rsidR="009D3A21" w:rsidRPr="00201994" w:rsidRDefault="009D3A21" w:rsidP="002D45AF">
            <w:pPr>
              <w:spacing w:after="0" w:line="240" w:lineRule="auto"/>
              <w:jc w:val="right"/>
              <w:rPr>
                <w:rFonts w:ascii="Calibri" w:eastAsia="Times New Roman" w:hAnsi="Calibri" w:cs="Calibri"/>
                <w:i/>
                <w:iCs/>
                <w:color w:val="000000"/>
                <w:sz w:val="16"/>
                <w:szCs w:val="16"/>
                <w:lang w:eastAsia="it-IT"/>
              </w:rPr>
            </w:pPr>
            <w:r w:rsidRPr="00201994">
              <w:rPr>
                <w:rFonts w:ascii="Calibri" w:eastAsia="Times New Roman" w:hAnsi="Calibri" w:cs="Calibri"/>
                <w:i/>
                <w:iCs/>
                <w:color w:val="000000"/>
                <w:sz w:val="16"/>
                <w:szCs w:val="16"/>
                <w:lang w:eastAsia="it-IT"/>
              </w:rPr>
              <w:t>7.0</w:t>
            </w:r>
          </w:p>
        </w:tc>
        <w:tc>
          <w:tcPr>
            <w:tcW w:w="538" w:type="pct"/>
            <w:tcBorders>
              <w:top w:val="nil"/>
              <w:left w:val="nil"/>
              <w:bottom w:val="nil"/>
              <w:right w:val="nil"/>
            </w:tcBorders>
            <w:vAlign w:val="center"/>
          </w:tcPr>
          <w:p w:rsidR="009D3A21" w:rsidRPr="00201994" w:rsidRDefault="009D3A21" w:rsidP="002D45AF">
            <w:pPr>
              <w:spacing w:after="0" w:line="240" w:lineRule="auto"/>
              <w:jc w:val="right"/>
              <w:rPr>
                <w:rFonts w:ascii="Calibri" w:eastAsia="Times New Roman" w:hAnsi="Calibri" w:cs="Calibri"/>
                <w:i/>
                <w:color w:val="000000"/>
                <w:sz w:val="16"/>
                <w:szCs w:val="16"/>
                <w:lang w:eastAsia="it-IT"/>
              </w:rPr>
            </w:pPr>
            <w:r w:rsidRPr="00201994">
              <w:rPr>
                <w:rFonts w:ascii="Calibri" w:eastAsia="Times New Roman" w:hAnsi="Calibri" w:cs="Calibri"/>
                <w:i/>
                <w:color w:val="000000"/>
                <w:sz w:val="16"/>
                <w:szCs w:val="16"/>
                <w:lang w:eastAsia="it-IT"/>
              </w:rPr>
              <w:t>12.5</w:t>
            </w:r>
          </w:p>
        </w:tc>
        <w:tc>
          <w:tcPr>
            <w:tcW w:w="538" w:type="pct"/>
            <w:tcBorders>
              <w:top w:val="nil"/>
              <w:left w:val="nil"/>
              <w:bottom w:val="nil"/>
              <w:right w:val="nil"/>
            </w:tcBorders>
            <w:vAlign w:val="center"/>
          </w:tcPr>
          <w:p w:rsidR="009D3A21" w:rsidRPr="00AB7495" w:rsidRDefault="009D3A21" w:rsidP="002D45AF">
            <w:pPr>
              <w:spacing w:after="0" w:line="240" w:lineRule="auto"/>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8.7</w:t>
            </w:r>
          </w:p>
        </w:tc>
      </w:tr>
      <w:tr w:rsidR="009D3A21" w:rsidRPr="00AB7495" w:rsidTr="00367B45">
        <w:tc>
          <w:tcPr>
            <w:tcW w:w="2737" w:type="pct"/>
            <w:tcBorders>
              <w:top w:val="nil"/>
              <w:left w:val="nil"/>
              <w:bottom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New HBS with Former HBS reference periods, without imputed expenditures and without splitting effect</w:t>
            </w:r>
          </w:p>
        </w:tc>
        <w:tc>
          <w:tcPr>
            <w:tcW w:w="648" w:type="pct"/>
            <w:tcBorders>
              <w:top w:val="nil"/>
              <w:left w:val="nil"/>
              <w:bottom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2403.50</w:t>
            </w:r>
          </w:p>
        </w:tc>
        <w:tc>
          <w:tcPr>
            <w:tcW w:w="538" w:type="pct"/>
            <w:tcBorders>
              <w:top w:val="nil"/>
              <w:left w:val="nil"/>
              <w:bottom w:val="nil"/>
              <w:right w:val="nil"/>
            </w:tcBorders>
            <w:shd w:val="clear" w:color="auto" w:fill="auto"/>
            <w:noWrap/>
            <w:vAlign w:val="center"/>
          </w:tcPr>
          <w:p w:rsidR="009D3A21" w:rsidRPr="00201994" w:rsidRDefault="009D3A21" w:rsidP="002D45AF">
            <w:pPr>
              <w:spacing w:after="0" w:line="240" w:lineRule="auto"/>
              <w:jc w:val="right"/>
              <w:rPr>
                <w:rFonts w:ascii="Calibri" w:eastAsia="Times New Roman" w:hAnsi="Calibri" w:cs="Calibri"/>
                <w:i/>
                <w:iCs/>
                <w:color w:val="000000"/>
                <w:sz w:val="16"/>
                <w:szCs w:val="16"/>
                <w:lang w:eastAsia="it-IT"/>
              </w:rPr>
            </w:pPr>
            <w:r w:rsidRPr="00201994">
              <w:rPr>
                <w:rFonts w:ascii="Calibri" w:eastAsia="Times New Roman" w:hAnsi="Calibri" w:cs="Calibri"/>
                <w:i/>
                <w:iCs/>
                <w:color w:val="000000"/>
                <w:sz w:val="16"/>
                <w:szCs w:val="16"/>
                <w:lang w:eastAsia="it-IT"/>
              </w:rPr>
              <w:t>7.0</w:t>
            </w:r>
          </w:p>
        </w:tc>
        <w:tc>
          <w:tcPr>
            <w:tcW w:w="538" w:type="pct"/>
            <w:tcBorders>
              <w:top w:val="nil"/>
              <w:left w:val="nil"/>
              <w:bottom w:val="nil"/>
              <w:right w:val="nil"/>
            </w:tcBorders>
            <w:vAlign w:val="center"/>
          </w:tcPr>
          <w:p w:rsidR="009D3A21" w:rsidRPr="00201994" w:rsidRDefault="009D3A21" w:rsidP="002D45AF">
            <w:pPr>
              <w:spacing w:after="0" w:line="240" w:lineRule="auto"/>
              <w:jc w:val="right"/>
              <w:rPr>
                <w:rFonts w:ascii="Calibri" w:eastAsia="Times New Roman" w:hAnsi="Calibri" w:cs="Calibri"/>
                <w:i/>
                <w:color w:val="000000"/>
                <w:sz w:val="16"/>
                <w:szCs w:val="16"/>
                <w:lang w:eastAsia="it-IT"/>
              </w:rPr>
            </w:pPr>
            <w:r w:rsidRPr="00201994">
              <w:rPr>
                <w:rFonts w:ascii="Calibri" w:eastAsia="Times New Roman" w:hAnsi="Calibri" w:cs="Calibri"/>
                <w:i/>
                <w:color w:val="000000"/>
                <w:sz w:val="16"/>
                <w:szCs w:val="16"/>
                <w:lang w:eastAsia="it-IT"/>
              </w:rPr>
              <w:t>12.1</w:t>
            </w:r>
          </w:p>
        </w:tc>
        <w:tc>
          <w:tcPr>
            <w:tcW w:w="538" w:type="pct"/>
            <w:tcBorders>
              <w:top w:val="nil"/>
              <w:left w:val="nil"/>
              <w:bottom w:val="nil"/>
              <w:right w:val="nil"/>
            </w:tcBorders>
            <w:vAlign w:val="center"/>
          </w:tcPr>
          <w:p w:rsidR="009D3A21" w:rsidRPr="00AB7495" w:rsidRDefault="009D3A21" w:rsidP="002D45AF">
            <w:pPr>
              <w:spacing w:after="0" w:line="240" w:lineRule="auto"/>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9.3</w:t>
            </w:r>
          </w:p>
        </w:tc>
      </w:tr>
      <w:tr w:rsidR="009D3A21" w:rsidRPr="00AB7495" w:rsidTr="00367B45">
        <w:tc>
          <w:tcPr>
            <w:tcW w:w="2737" w:type="pct"/>
            <w:tcBorders>
              <w:top w:val="nil"/>
              <w:left w:val="nil"/>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 xml:space="preserve">New HBS with Former HBS reference periods, without imputed expenditures, without splitting effect and without new items </w:t>
            </w:r>
          </w:p>
        </w:tc>
        <w:tc>
          <w:tcPr>
            <w:tcW w:w="648" w:type="pct"/>
            <w:tcBorders>
              <w:top w:val="nil"/>
              <w:left w:val="nil"/>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2284.94</w:t>
            </w:r>
          </w:p>
        </w:tc>
        <w:tc>
          <w:tcPr>
            <w:tcW w:w="538" w:type="pct"/>
            <w:tcBorders>
              <w:top w:val="nil"/>
              <w:left w:val="nil"/>
              <w:right w:val="nil"/>
            </w:tcBorders>
            <w:shd w:val="clear" w:color="auto" w:fill="auto"/>
            <w:noWrap/>
            <w:vAlign w:val="center"/>
          </w:tcPr>
          <w:p w:rsidR="009D3A21" w:rsidRPr="00201994" w:rsidRDefault="009D3A21" w:rsidP="002D45AF">
            <w:pPr>
              <w:spacing w:after="0" w:line="240" w:lineRule="auto"/>
              <w:jc w:val="right"/>
              <w:rPr>
                <w:rFonts w:ascii="Calibri" w:eastAsia="Times New Roman" w:hAnsi="Calibri" w:cs="Calibri"/>
                <w:i/>
                <w:iCs/>
                <w:color w:val="000000"/>
                <w:sz w:val="16"/>
                <w:szCs w:val="16"/>
                <w:lang w:eastAsia="it-IT"/>
              </w:rPr>
            </w:pPr>
            <w:r w:rsidRPr="00201994">
              <w:rPr>
                <w:rFonts w:ascii="Calibri" w:eastAsia="Times New Roman" w:hAnsi="Calibri" w:cs="Calibri"/>
                <w:i/>
                <w:iCs/>
                <w:color w:val="000000"/>
                <w:sz w:val="16"/>
                <w:szCs w:val="16"/>
                <w:lang w:eastAsia="it-IT"/>
              </w:rPr>
              <w:t>6.8</w:t>
            </w:r>
          </w:p>
        </w:tc>
        <w:tc>
          <w:tcPr>
            <w:tcW w:w="538" w:type="pct"/>
            <w:tcBorders>
              <w:top w:val="nil"/>
              <w:left w:val="nil"/>
              <w:right w:val="nil"/>
            </w:tcBorders>
            <w:vAlign w:val="center"/>
          </w:tcPr>
          <w:p w:rsidR="009D3A21" w:rsidRPr="00201994" w:rsidRDefault="009D3A21" w:rsidP="002D45AF">
            <w:pPr>
              <w:spacing w:after="0" w:line="240" w:lineRule="auto"/>
              <w:jc w:val="right"/>
              <w:rPr>
                <w:rFonts w:ascii="Calibri" w:eastAsia="Times New Roman" w:hAnsi="Calibri" w:cs="Calibri"/>
                <w:i/>
                <w:iCs/>
                <w:color w:val="000000"/>
                <w:sz w:val="16"/>
                <w:szCs w:val="16"/>
                <w:lang w:eastAsia="it-IT"/>
              </w:rPr>
            </w:pPr>
            <w:r w:rsidRPr="00201994">
              <w:rPr>
                <w:rFonts w:ascii="Calibri" w:eastAsia="Times New Roman" w:hAnsi="Calibri" w:cs="Calibri"/>
                <w:i/>
                <w:iCs/>
                <w:color w:val="000000"/>
                <w:sz w:val="16"/>
                <w:szCs w:val="16"/>
                <w:lang w:eastAsia="it-IT"/>
              </w:rPr>
              <w:t>11.9</w:t>
            </w:r>
          </w:p>
        </w:tc>
        <w:tc>
          <w:tcPr>
            <w:tcW w:w="538" w:type="pct"/>
            <w:tcBorders>
              <w:top w:val="nil"/>
              <w:left w:val="nil"/>
              <w:right w:val="nil"/>
            </w:tcBorders>
            <w:vAlign w:val="center"/>
          </w:tcPr>
          <w:p w:rsidR="009D3A21" w:rsidRPr="00AB7495" w:rsidRDefault="009D3A21" w:rsidP="002D45AF">
            <w:pPr>
              <w:spacing w:after="0" w:line="240" w:lineRule="auto"/>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9.4</w:t>
            </w:r>
          </w:p>
        </w:tc>
      </w:tr>
      <w:tr w:rsidR="009D3A21" w:rsidRPr="00AB7495" w:rsidTr="00367B45">
        <w:tc>
          <w:tcPr>
            <w:tcW w:w="2737" w:type="pct"/>
            <w:tcBorders>
              <w:top w:val="nil"/>
              <w:left w:val="nil"/>
              <w:bottom w:val="single" w:sz="4" w:space="0" w:color="auto"/>
              <w:right w:val="nil"/>
            </w:tcBorders>
            <w:shd w:val="clear" w:color="auto" w:fill="auto"/>
            <w:noWrap/>
            <w:vAlign w:val="bottom"/>
            <w:hideMark/>
          </w:tcPr>
          <w:p w:rsidR="009D3A21" w:rsidRPr="00AB7495" w:rsidRDefault="009D3A21" w:rsidP="002D45AF">
            <w:pPr>
              <w:spacing w:after="0" w:line="240" w:lineRule="auto"/>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 xml:space="preserve">New HBS reported to the Former HBS methodology </w:t>
            </w:r>
          </w:p>
          <w:p w:rsidR="009D3A21" w:rsidRPr="00AB7495" w:rsidRDefault="009D3A21" w:rsidP="002D45AF">
            <w:pPr>
              <w:spacing w:after="0" w:line="240" w:lineRule="auto"/>
              <w:rPr>
                <w:rFonts w:ascii="Calibri" w:eastAsia="Times New Roman" w:hAnsi="Calibri" w:cs="Calibri"/>
                <w:color w:val="000000"/>
                <w:sz w:val="16"/>
                <w:szCs w:val="16"/>
                <w:lang w:eastAsia="it-IT"/>
              </w:rPr>
            </w:pPr>
            <w:r w:rsidRPr="00AB7495">
              <w:rPr>
                <w:rFonts w:ascii="Calibri" w:eastAsia="Times New Roman" w:hAnsi="Calibri" w:cs="Calibri"/>
                <w:color w:val="000000"/>
                <w:sz w:val="16"/>
                <w:szCs w:val="16"/>
                <w:lang w:eastAsia="it-IT"/>
              </w:rPr>
              <w:t>(with Former HBS reference periods, without imputed expenditures, without splitting effect, , without new items and with the old weighting system )</w:t>
            </w:r>
          </w:p>
        </w:tc>
        <w:tc>
          <w:tcPr>
            <w:tcW w:w="648" w:type="pct"/>
            <w:tcBorders>
              <w:top w:val="nil"/>
              <w:left w:val="nil"/>
              <w:bottom w:val="single" w:sz="4" w:space="0" w:color="auto"/>
              <w:right w:val="nil"/>
            </w:tcBorders>
            <w:shd w:val="clear" w:color="auto" w:fill="auto"/>
            <w:noWrap/>
            <w:vAlign w:val="center"/>
            <w:hideMark/>
          </w:tcPr>
          <w:p w:rsidR="009D3A21" w:rsidRPr="00AB7495" w:rsidRDefault="009D3A21" w:rsidP="002D45AF">
            <w:pPr>
              <w:spacing w:after="0" w:line="240" w:lineRule="auto"/>
              <w:jc w:val="right"/>
              <w:rPr>
                <w:rFonts w:ascii="Calibri" w:eastAsia="Times New Roman" w:hAnsi="Calibri" w:cs="Calibri"/>
                <w:b/>
                <w:bCs/>
                <w:color w:val="000000"/>
                <w:sz w:val="16"/>
                <w:szCs w:val="16"/>
                <w:lang w:eastAsia="it-IT"/>
              </w:rPr>
            </w:pPr>
            <w:r w:rsidRPr="00AB7495">
              <w:rPr>
                <w:rFonts w:ascii="Calibri" w:eastAsia="Times New Roman" w:hAnsi="Calibri" w:cs="Calibri"/>
                <w:b/>
                <w:bCs/>
                <w:color w:val="000000"/>
                <w:sz w:val="16"/>
                <w:szCs w:val="16"/>
                <w:lang w:eastAsia="it-IT"/>
              </w:rPr>
              <w:t>2388.05</w:t>
            </w:r>
          </w:p>
        </w:tc>
        <w:tc>
          <w:tcPr>
            <w:tcW w:w="538" w:type="pct"/>
            <w:tcBorders>
              <w:top w:val="nil"/>
              <w:left w:val="nil"/>
              <w:bottom w:val="single" w:sz="4" w:space="0" w:color="auto"/>
              <w:right w:val="nil"/>
            </w:tcBorders>
            <w:shd w:val="clear" w:color="auto" w:fill="auto"/>
            <w:noWrap/>
            <w:vAlign w:val="center"/>
          </w:tcPr>
          <w:p w:rsidR="009D3A21" w:rsidRPr="00201994" w:rsidRDefault="009D3A21" w:rsidP="002D45AF">
            <w:pPr>
              <w:spacing w:after="0" w:line="240" w:lineRule="auto"/>
              <w:jc w:val="right"/>
              <w:rPr>
                <w:rFonts w:ascii="Calibri" w:eastAsia="Times New Roman" w:hAnsi="Calibri" w:cs="Calibri"/>
                <w:b/>
                <w:bCs/>
                <w:color w:val="000000"/>
                <w:sz w:val="16"/>
                <w:szCs w:val="16"/>
                <w:lang w:eastAsia="it-IT"/>
              </w:rPr>
            </w:pPr>
            <w:r w:rsidRPr="00201994">
              <w:rPr>
                <w:rFonts w:ascii="Calibri" w:eastAsia="Times New Roman" w:hAnsi="Calibri" w:cs="Calibri"/>
                <w:b/>
                <w:bCs/>
                <w:color w:val="000000"/>
                <w:sz w:val="16"/>
                <w:szCs w:val="16"/>
                <w:lang w:eastAsia="it-IT"/>
              </w:rPr>
              <w:t>7.1</w:t>
            </w:r>
          </w:p>
        </w:tc>
        <w:tc>
          <w:tcPr>
            <w:tcW w:w="538" w:type="pct"/>
            <w:tcBorders>
              <w:top w:val="nil"/>
              <w:left w:val="nil"/>
              <w:bottom w:val="single" w:sz="4" w:space="0" w:color="auto"/>
              <w:right w:val="nil"/>
            </w:tcBorders>
            <w:vAlign w:val="center"/>
          </w:tcPr>
          <w:p w:rsidR="009D3A21" w:rsidRPr="00201994" w:rsidRDefault="009D3A21" w:rsidP="002D45AF">
            <w:pPr>
              <w:spacing w:after="0" w:line="240" w:lineRule="auto"/>
              <w:jc w:val="right"/>
              <w:rPr>
                <w:rFonts w:ascii="Calibri" w:eastAsia="Times New Roman" w:hAnsi="Calibri" w:cs="Calibri"/>
                <w:b/>
                <w:bCs/>
                <w:i/>
                <w:iCs/>
                <w:color w:val="000000"/>
                <w:sz w:val="16"/>
                <w:szCs w:val="16"/>
                <w:lang w:eastAsia="it-IT"/>
              </w:rPr>
            </w:pPr>
            <w:r w:rsidRPr="00201994">
              <w:rPr>
                <w:rFonts w:ascii="Calibri" w:eastAsia="Times New Roman" w:hAnsi="Calibri" w:cs="Calibri"/>
                <w:b/>
                <w:bCs/>
                <w:i/>
                <w:iCs/>
                <w:color w:val="000000"/>
                <w:sz w:val="16"/>
                <w:szCs w:val="16"/>
                <w:lang w:eastAsia="it-IT"/>
              </w:rPr>
              <w:t>12.6</w:t>
            </w:r>
          </w:p>
        </w:tc>
        <w:tc>
          <w:tcPr>
            <w:tcW w:w="538" w:type="pct"/>
            <w:tcBorders>
              <w:top w:val="nil"/>
              <w:left w:val="nil"/>
              <w:bottom w:val="single" w:sz="4" w:space="0" w:color="auto"/>
              <w:right w:val="nil"/>
            </w:tcBorders>
            <w:vAlign w:val="center"/>
          </w:tcPr>
          <w:p w:rsidR="009D3A21" w:rsidRPr="00AB7495" w:rsidRDefault="009D3A21" w:rsidP="002D45AF">
            <w:pPr>
              <w:spacing w:after="0" w:line="240" w:lineRule="auto"/>
              <w:jc w:val="right"/>
              <w:rPr>
                <w:rFonts w:ascii="Calibri" w:eastAsia="Times New Roman" w:hAnsi="Calibri" w:cs="Calibri"/>
                <w:b/>
                <w:bCs/>
                <w:i/>
                <w:iCs/>
                <w:color w:val="000000"/>
                <w:sz w:val="16"/>
                <w:szCs w:val="16"/>
                <w:lang w:eastAsia="it-IT"/>
              </w:rPr>
            </w:pPr>
            <w:r w:rsidRPr="00AB7495">
              <w:rPr>
                <w:rFonts w:ascii="Calibri" w:eastAsia="Times New Roman" w:hAnsi="Calibri" w:cs="Calibri"/>
                <w:b/>
                <w:bCs/>
                <w:i/>
                <w:iCs/>
                <w:color w:val="000000"/>
                <w:sz w:val="16"/>
                <w:szCs w:val="16"/>
                <w:lang w:eastAsia="it-IT"/>
              </w:rPr>
              <w:t>8.4</w:t>
            </w:r>
          </w:p>
        </w:tc>
      </w:tr>
    </w:tbl>
    <w:p w:rsidR="00EC7A73" w:rsidRDefault="00EC7A73" w:rsidP="00EC7A73">
      <w:pPr>
        <w:tabs>
          <w:tab w:val="left" w:pos="0"/>
        </w:tabs>
        <w:spacing w:line="254" w:lineRule="exact"/>
        <w:jc w:val="both"/>
        <w:rPr>
          <w:rFonts w:ascii="Arial" w:hAnsi="Arial" w:cs="Arial"/>
          <w:i/>
          <w:iCs/>
          <w:sz w:val="20"/>
          <w:szCs w:val="20"/>
        </w:rPr>
      </w:pPr>
      <w:r w:rsidRPr="00B61522">
        <w:rPr>
          <w:rFonts w:ascii="Arial" w:hAnsi="Arial" w:cs="Arial"/>
          <w:i/>
          <w:iCs/>
          <w:sz w:val="20"/>
          <w:szCs w:val="20"/>
        </w:rPr>
        <w:t>Source: own calculations based on Former HBS and New HBS data</w:t>
      </w:r>
    </w:p>
    <w:p w:rsidR="00653ABB" w:rsidRPr="00653ABB" w:rsidRDefault="00653ABB" w:rsidP="00B332BA">
      <w:pPr>
        <w:spacing w:before="210" w:after="0" w:line="360" w:lineRule="auto"/>
        <w:jc w:val="both"/>
        <w:rPr>
          <w:rFonts w:ascii="Arial" w:hAnsi="Arial" w:cs="Arial"/>
          <w:sz w:val="24"/>
          <w:szCs w:val="24"/>
          <w:lang w:val="en-GB"/>
        </w:rPr>
      </w:pPr>
      <w:r w:rsidRPr="00653ABB">
        <w:rPr>
          <w:rFonts w:ascii="Arial" w:hAnsi="Arial" w:cs="Arial"/>
          <w:sz w:val="24"/>
          <w:szCs w:val="24"/>
          <w:lang w:val="en-GB"/>
        </w:rPr>
        <w:t xml:space="preserve">We </w:t>
      </w:r>
      <w:r w:rsidR="002D45AF">
        <w:rPr>
          <w:rFonts w:ascii="Arial" w:hAnsi="Arial" w:cs="Arial"/>
          <w:sz w:val="24"/>
          <w:szCs w:val="24"/>
          <w:lang w:val="en-GB"/>
        </w:rPr>
        <w:t xml:space="preserve">have </w:t>
      </w:r>
      <w:r w:rsidRPr="00653ABB">
        <w:rPr>
          <w:rFonts w:ascii="Arial" w:hAnsi="Arial" w:cs="Arial"/>
          <w:sz w:val="24"/>
          <w:szCs w:val="24"/>
          <w:lang w:val="en-GB"/>
        </w:rPr>
        <w:t>also simulate</w:t>
      </w:r>
      <w:r w:rsidR="002D45AF">
        <w:rPr>
          <w:rFonts w:ascii="Arial" w:hAnsi="Arial" w:cs="Arial"/>
          <w:sz w:val="24"/>
          <w:szCs w:val="24"/>
          <w:lang w:val="en-GB"/>
        </w:rPr>
        <w:t>d</w:t>
      </w:r>
      <w:r w:rsidRPr="00653ABB">
        <w:rPr>
          <w:rFonts w:ascii="Arial" w:hAnsi="Arial" w:cs="Arial"/>
          <w:sz w:val="24"/>
          <w:szCs w:val="24"/>
          <w:lang w:val="en-GB"/>
        </w:rPr>
        <w:t xml:space="preserve"> the change due to the introduction of items not considered in the </w:t>
      </w:r>
      <w:r w:rsidRPr="00C34CB9">
        <w:rPr>
          <w:rFonts w:ascii="Arial" w:hAnsi="Arial" w:cs="Arial"/>
          <w:i/>
          <w:sz w:val="24"/>
          <w:szCs w:val="24"/>
          <w:lang w:val="en-GB"/>
        </w:rPr>
        <w:t>Former HBS</w:t>
      </w:r>
      <w:r w:rsidRPr="00653ABB">
        <w:rPr>
          <w:rFonts w:ascii="Arial" w:hAnsi="Arial" w:cs="Arial"/>
          <w:sz w:val="24"/>
          <w:szCs w:val="24"/>
          <w:lang w:val="en-GB"/>
        </w:rPr>
        <w:t>, as a result of the 2013 Coicop classification: they are 43 items, referring to new goods and services recently introduced into the market. This effect produced a reduction of the monthly expenditure estimate to 2,285 euros.</w:t>
      </w:r>
    </w:p>
    <w:p w:rsidR="00653ABB" w:rsidRP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Finally, we </w:t>
      </w:r>
      <w:r w:rsidR="002D45AF">
        <w:rPr>
          <w:rFonts w:ascii="Arial" w:hAnsi="Arial" w:cs="Arial"/>
          <w:sz w:val="24"/>
          <w:szCs w:val="24"/>
          <w:lang w:val="en-GB"/>
        </w:rPr>
        <w:t xml:space="preserve">have </w:t>
      </w:r>
      <w:r w:rsidRPr="00653ABB">
        <w:rPr>
          <w:rFonts w:ascii="Arial" w:hAnsi="Arial" w:cs="Arial"/>
          <w:sz w:val="24"/>
          <w:szCs w:val="24"/>
          <w:lang w:val="en-GB"/>
        </w:rPr>
        <w:t xml:space="preserve">considered the effect due to the change in the post-stratification constraints for the weighting system. If we use the old weighting system (adopted in the </w:t>
      </w:r>
      <w:r w:rsidRPr="00C34CB9">
        <w:rPr>
          <w:rFonts w:ascii="Arial" w:hAnsi="Arial" w:cs="Arial"/>
          <w:i/>
          <w:sz w:val="24"/>
          <w:szCs w:val="24"/>
          <w:lang w:val="en-GB"/>
        </w:rPr>
        <w:t>Former HBS</w:t>
      </w:r>
      <w:r w:rsidRPr="00653ABB">
        <w:rPr>
          <w:rFonts w:ascii="Arial" w:hAnsi="Arial" w:cs="Arial"/>
          <w:sz w:val="24"/>
          <w:szCs w:val="24"/>
          <w:lang w:val="en-GB"/>
        </w:rPr>
        <w:t xml:space="preserve">), the consumption expenditure passes from 2,285 to 2,388 euros. It means that </w:t>
      </w:r>
      <w:r w:rsidR="0024236E">
        <w:rPr>
          <w:rFonts w:ascii="Arial" w:hAnsi="Arial" w:cs="Arial"/>
          <w:sz w:val="24"/>
          <w:szCs w:val="24"/>
          <w:lang w:val="en-GB"/>
        </w:rPr>
        <w:t>the net effect of the new weighting system (that uses</w:t>
      </w:r>
      <w:r w:rsidRPr="00653ABB">
        <w:rPr>
          <w:rFonts w:ascii="Arial" w:hAnsi="Arial" w:cs="Arial"/>
          <w:sz w:val="24"/>
          <w:szCs w:val="24"/>
          <w:lang w:val="en-GB"/>
        </w:rPr>
        <w:t xml:space="preserve"> municipality typology, citizenship, employment status and month of participation as post-stratification constraints</w:t>
      </w:r>
      <w:r w:rsidR="0024236E">
        <w:rPr>
          <w:rFonts w:ascii="Arial" w:hAnsi="Arial" w:cs="Arial"/>
          <w:sz w:val="24"/>
          <w:szCs w:val="24"/>
          <w:lang w:val="en-GB"/>
        </w:rPr>
        <w:t>)</w:t>
      </w:r>
      <w:r w:rsidRPr="00653ABB">
        <w:rPr>
          <w:rFonts w:ascii="Arial" w:hAnsi="Arial" w:cs="Arial"/>
          <w:sz w:val="24"/>
          <w:szCs w:val="24"/>
          <w:lang w:val="en-GB"/>
        </w:rPr>
        <w:t xml:space="preserve"> reduces the consumption expenditure levels, probably because it guarantees a better representation of foreign population but also of low paid workers or rural households.</w:t>
      </w:r>
    </w:p>
    <w:p w:rsidR="00653ABB" w:rsidRPr="00653ABB" w:rsidRDefault="00653ABB" w:rsidP="006F0B33">
      <w:pPr>
        <w:spacing w:before="120" w:after="0" w:line="360" w:lineRule="auto"/>
        <w:jc w:val="both"/>
        <w:rPr>
          <w:rFonts w:ascii="Arial" w:hAnsi="Arial" w:cs="Arial"/>
          <w:sz w:val="24"/>
          <w:szCs w:val="24"/>
          <w:lang w:val="en-GB"/>
        </w:rPr>
      </w:pPr>
      <w:r w:rsidRPr="00E82D5F">
        <w:rPr>
          <w:rFonts w:ascii="Arial" w:hAnsi="Arial" w:cs="Arial"/>
          <w:sz w:val="24"/>
          <w:szCs w:val="24"/>
          <w:lang w:val="en-GB"/>
        </w:rPr>
        <w:t xml:space="preserve">If we take into account the relative sampling errors </w:t>
      </w:r>
      <w:r w:rsidR="00E82D5F">
        <w:rPr>
          <w:rFonts w:ascii="Arial" w:hAnsi="Arial" w:cs="Arial"/>
          <w:sz w:val="24"/>
          <w:szCs w:val="24"/>
          <w:lang w:val="en-GB"/>
        </w:rPr>
        <w:t>(</w:t>
      </w:r>
      <w:r w:rsidRPr="00E82D5F">
        <w:rPr>
          <w:rFonts w:ascii="Arial" w:hAnsi="Arial" w:cs="Arial"/>
          <w:sz w:val="24"/>
          <w:szCs w:val="24"/>
          <w:lang w:val="en-GB"/>
        </w:rPr>
        <w:t xml:space="preserve">0.6% in the </w:t>
      </w:r>
      <w:r w:rsidRPr="00C34CB9">
        <w:rPr>
          <w:rFonts w:ascii="Arial" w:hAnsi="Arial" w:cs="Arial"/>
          <w:i/>
          <w:sz w:val="24"/>
          <w:szCs w:val="24"/>
          <w:lang w:val="en-GB"/>
        </w:rPr>
        <w:t>Former HBS</w:t>
      </w:r>
      <w:r w:rsidRPr="00E82D5F">
        <w:rPr>
          <w:rFonts w:ascii="Arial" w:hAnsi="Arial" w:cs="Arial"/>
          <w:sz w:val="24"/>
          <w:szCs w:val="24"/>
          <w:lang w:val="en-GB"/>
        </w:rPr>
        <w:t xml:space="preserve"> and 0.5% in the </w:t>
      </w:r>
      <w:r w:rsidRPr="00CA54FC">
        <w:rPr>
          <w:rFonts w:ascii="Arial" w:hAnsi="Arial" w:cs="Arial"/>
          <w:i/>
          <w:sz w:val="24"/>
          <w:szCs w:val="24"/>
          <w:lang w:val="en-GB"/>
        </w:rPr>
        <w:t>New HBS</w:t>
      </w:r>
      <w:r w:rsidR="00E82D5F">
        <w:rPr>
          <w:rFonts w:ascii="Arial" w:hAnsi="Arial" w:cs="Arial"/>
          <w:sz w:val="24"/>
          <w:szCs w:val="24"/>
          <w:lang w:val="en-GB"/>
        </w:rPr>
        <w:t xml:space="preserve">), </w:t>
      </w:r>
      <w:r w:rsidRPr="00E82D5F">
        <w:rPr>
          <w:rFonts w:ascii="Arial" w:hAnsi="Arial" w:cs="Arial"/>
          <w:sz w:val="24"/>
          <w:szCs w:val="24"/>
          <w:lang w:val="en-GB"/>
        </w:rPr>
        <w:t xml:space="preserve">the estimation obtained by the data coming from the </w:t>
      </w:r>
      <w:r w:rsidRPr="00CA54FC">
        <w:rPr>
          <w:rFonts w:ascii="Arial" w:hAnsi="Arial" w:cs="Arial"/>
          <w:i/>
          <w:sz w:val="24"/>
          <w:szCs w:val="24"/>
          <w:lang w:val="en-GB"/>
        </w:rPr>
        <w:t>New HBS reported to the Former HBS methodology</w:t>
      </w:r>
      <w:r w:rsidRPr="00E82D5F">
        <w:rPr>
          <w:rFonts w:ascii="Arial" w:hAnsi="Arial" w:cs="Arial"/>
          <w:sz w:val="24"/>
          <w:szCs w:val="24"/>
          <w:lang w:val="en-GB"/>
        </w:rPr>
        <w:t xml:space="preserve"> is statistically identical to the amount </w:t>
      </w:r>
      <w:r w:rsidRPr="00E82D5F">
        <w:rPr>
          <w:rFonts w:ascii="Arial" w:hAnsi="Arial" w:cs="Arial"/>
          <w:sz w:val="24"/>
          <w:szCs w:val="24"/>
          <w:lang w:val="en-GB"/>
        </w:rPr>
        <w:lastRenderedPageBreak/>
        <w:t xml:space="preserve">estimated by the </w:t>
      </w:r>
      <w:r w:rsidRPr="00C34CB9">
        <w:rPr>
          <w:rFonts w:ascii="Arial" w:hAnsi="Arial" w:cs="Arial"/>
          <w:i/>
          <w:sz w:val="24"/>
          <w:szCs w:val="24"/>
          <w:lang w:val="en-GB"/>
        </w:rPr>
        <w:t>Former HBS</w:t>
      </w:r>
      <w:r w:rsidRPr="00E82D5F">
        <w:rPr>
          <w:rFonts w:ascii="Arial" w:hAnsi="Arial" w:cs="Arial"/>
          <w:sz w:val="24"/>
          <w:szCs w:val="24"/>
          <w:lang w:val="en-GB"/>
        </w:rPr>
        <w:t xml:space="preserve"> data. In other words, the innovations introduced in the </w:t>
      </w:r>
      <w:r w:rsidRPr="00CA54FC">
        <w:rPr>
          <w:rFonts w:ascii="Arial" w:hAnsi="Arial" w:cs="Arial"/>
          <w:i/>
          <w:sz w:val="24"/>
          <w:szCs w:val="24"/>
          <w:lang w:val="en-GB"/>
        </w:rPr>
        <w:t>New HBS</w:t>
      </w:r>
      <w:r w:rsidRPr="00E82D5F">
        <w:rPr>
          <w:rFonts w:ascii="Arial" w:hAnsi="Arial" w:cs="Arial"/>
          <w:sz w:val="24"/>
          <w:szCs w:val="24"/>
          <w:lang w:val="en-GB"/>
        </w:rPr>
        <w:t xml:space="preserve"> seem to completely justify the increased level of consumption expenditure.</w:t>
      </w:r>
      <w:r w:rsidRPr="00653ABB">
        <w:rPr>
          <w:rFonts w:ascii="Arial" w:hAnsi="Arial" w:cs="Arial"/>
          <w:sz w:val="24"/>
          <w:szCs w:val="24"/>
          <w:lang w:val="en-GB"/>
        </w:rPr>
        <w:t xml:space="preserve"> </w:t>
      </w:r>
    </w:p>
    <w:p w:rsidR="00653ABB" w:rsidRPr="00653ABB" w:rsidRDefault="00B61522" w:rsidP="006F0B33">
      <w:pPr>
        <w:spacing w:before="120" w:after="0" w:line="360" w:lineRule="auto"/>
        <w:jc w:val="both"/>
        <w:rPr>
          <w:rFonts w:ascii="Arial" w:hAnsi="Arial" w:cs="Arial"/>
          <w:sz w:val="24"/>
          <w:szCs w:val="24"/>
          <w:lang w:val="en-GB"/>
        </w:rPr>
      </w:pPr>
      <w:r>
        <w:rPr>
          <w:rFonts w:ascii="Arial" w:hAnsi="Arial" w:cs="Arial"/>
          <w:sz w:val="24"/>
          <w:szCs w:val="24"/>
          <w:lang w:val="en-GB"/>
        </w:rPr>
        <w:t>T</w:t>
      </w:r>
      <w:r w:rsidR="00653ABB" w:rsidRPr="00653ABB">
        <w:rPr>
          <w:rFonts w:ascii="Arial" w:hAnsi="Arial" w:cs="Arial"/>
          <w:sz w:val="24"/>
          <w:szCs w:val="24"/>
          <w:lang w:val="en-GB"/>
        </w:rPr>
        <w:t>he HBS in Italy represents the source of data for two official measures of poverty</w:t>
      </w:r>
      <w:r w:rsidR="009D3A21" w:rsidRPr="00B12BBF">
        <w:rPr>
          <w:rStyle w:val="Rimandonotaapidipagina"/>
          <w:rFonts w:ascii="Arial" w:hAnsi="Arial" w:cs="Arial"/>
          <w:sz w:val="24"/>
          <w:szCs w:val="24"/>
          <w:lang w:val="en-GB"/>
        </w:rPr>
        <w:footnoteReference w:id="3"/>
      </w:r>
      <w:r w:rsidR="00653ABB" w:rsidRPr="00653ABB">
        <w:rPr>
          <w:rFonts w:ascii="Arial" w:hAnsi="Arial" w:cs="Arial"/>
          <w:sz w:val="24"/>
          <w:szCs w:val="24"/>
          <w:lang w:val="en-GB"/>
        </w:rPr>
        <w:t xml:space="preserve">. Following the changes in consumption expenditure estimate, already discussed in </w:t>
      </w:r>
      <w:r w:rsidR="00EC7A73">
        <w:rPr>
          <w:rFonts w:ascii="Arial" w:hAnsi="Arial" w:cs="Arial"/>
          <w:sz w:val="24"/>
          <w:szCs w:val="24"/>
          <w:lang w:val="en-GB"/>
        </w:rPr>
        <w:t xml:space="preserve">this section, </w:t>
      </w:r>
      <w:r w:rsidR="00653ABB" w:rsidRPr="00653ABB">
        <w:rPr>
          <w:rFonts w:ascii="Arial" w:hAnsi="Arial" w:cs="Arial"/>
          <w:sz w:val="24"/>
          <w:szCs w:val="24"/>
          <w:lang w:val="en-GB"/>
        </w:rPr>
        <w:t xml:space="preserve">the </w:t>
      </w:r>
      <w:r w:rsidR="00BC174D">
        <w:rPr>
          <w:rFonts w:ascii="Arial" w:hAnsi="Arial" w:cs="Arial"/>
          <w:sz w:val="24"/>
          <w:szCs w:val="24"/>
          <w:lang w:val="en-GB"/>
        </w:rPr>
        <w:t xml:space="preserve">monthly </w:t>
      </w:r>
      <w:r w:rsidR="00653ABB" w:rsidRPr="00653ABB">
        <w:rPr>
          <w:rFonts w:ascii="Arial" w:hAnsi="Arial" w:cs="Arial"/>
          <w:sz w:val="24"/>
          <w:szCs w:val="24"/>
          <w:lang w:val="en-GB"/>
        </w:rPr>
        <w:t xml:space="preserve">relative poverty line for a one member household was 584 euros in the </w:t>
      </w:r>
      <w:r w:rsidR="00653ABB" w:rsidRPr="00C34CB9">
        <w:rPr>
          <w:rFonts w:ascii="Arial" w:hAnsi="Arial" w:cs="Arial"/>
          <w:i/>
          <w:sz w:val="24"/>
          <w:szCs w:val="24"/>
          <w:lang w:val="en-GB"/>
        </w:rPr>
        <w:t>Former HBS</w:t>
      </w:r>
      <w:r w:rsidR="00653ABB" w:rsidRPr="00653ABB">
        <w:rPr>
          <w:rFonts w:ascii="Arial" w:hAnsi="Arial" w:cs="Arial"/>
          <w:sz w:val="24"/>
          <w:szCs w:val="24"/>
          <w:lang w:val="en-GB"/>
        </w:rPr>
        <w:t xml:space="preserve">, compared to 619 euros in the </w:t>
      </w:r>
      <w:r w:rsidR="00653ABB" w:rsidRPr="00CA54FC">
        <w:rPr>
          <w:rFonts w:ascii="Arial" w:hAnsi="Arial" w:cs="Arial"/>
          <w:i/>
          <w:sz w:val="24"/>
          <w:szCs w:val="24"/>
          <w:lang w:val="en-GB"/>
        </w:rPr>
        <w:t>New HBS</w:t>
      </w:r>
      <w:r w:rsidR="00653ABB" w:rsidRPr="00653ABB">
        <w:rPr>
          <w:rFonts w:ascii="Arial" w:hAnsi="Arial" w:cs="Arial"/>
          <w:sz w:val="24"/>
          <w:szCs w:val="24"/>
          <w:lang w:val="en-GB"/>
        </w:rPr>
        <w:t xml:space="preserve">. </w:t>
      </w:r>
    </w:p>
    <w:p w:rsidR="00E82D5F"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The incidence of relative poverty </w:t>
      </w:r>
      <w:r w:rsidR="00B332BA">
        <w:rPr>
          <w:rFonts w:ascii="Arial" w:hAnsi="Arial" w:cs="Arial"/>
          <w:sz w:val="24"/>
          <w:szCs w:val="24"/>
          <w:lang w:val="en-GB"/>
        </w:rPr>
        <w:t xml:space="preserve">was estimated at 12.6% and 10.4% (at </w:t>
      </w:r>
      <w:r w:rsidRPr="00653ABB">
        <w:rPr>
          <w:rFonts w:ascii="Arial" w:hAnsi="Arial" w:cs="Arial"/>
          <w:sz w:val="24"/>
          <w:szCs w:val="24"/>
          <w:lang w:val="en-GB"/>
        </w:rPr>
        <w:t xml:space="preserve">16.6% and 13% </w:t>
      </w:r>
      <w:r w:rsidR="00EA523F">
        <w:rPr>
          <w:rFonts w:ascii="Arial" w:hAnsi="Arial" w:cs="Arial"/>
          <w:sz w:val="24"/>
          <w:szCs w:val="24"/>
          <w:lang w:val="en-GB"/>
        </w:rPr>
        <w:t xml:space="preserve">among </w:t>
      </w:r>
      <w:r w:rsidR="00B332BA">
        <w:rPr>
          <w:rFonts w:ascii="Arial" w:hAnsi="Arial" w:cs="Arial"/>
          <w:sz w:val="24"/>
          <w:szCs w:val="24"/>
          <w:lang w:val="en-GB"/>
        </w:rPr>
        <w:t xml:space="preserve">individuals) </w:t>
      </w:r>
      <w:r w:rsidRPr="00653ABB">
        <w:rPr>
          <w:rFonts w:ascii="Arial" w:hAnsi="Arial" w:cs="Arial"/>
          <w:sz w:val="24"/>
          <w:szCs w:val="24"/>
          <w:lang w:val="en-GB"/>
        </w:rPr>
        <w:t>respectively</w:t>
      </w:r>
      <w:r w:rsidR="00E82D5F">
        <w:rPr>
          <w:rFonts w:ascii="Arial" w:hAnsi="Arial" w:cs="Arial"/>
          <w:sz w:val="24"/>
          <w:szCs w:val="24"/>
          <w:lang w:val="en-GB"/>
        </w:rPr>
        <w:t xml:space="preserve"> and the </w:t>
      </w:r>
      <w:r w:rsidR="00241561">
        <w:rPr>
          <w:rFonts w:ascii="Arial" w:hAnsi="Arial" w:cs="Arial"/>
          <w:sz w:val="24"/>
          <w:szCs w:val="24"/>
          <w:lang w:val="en-GB"/>
        </w:rPr>
        <w:t xml:space="preserve">difference </w:t>
      </w:r>
      <w:r w:rsidRPr="00653ABB">
        <w:rPr>
          <w:rFonts w:ascii="Arial" w:hAnsi="Arial" w:cs="Arial"/>
          <w:sz w:val="24"/>
          <w:szCs w:val="24"/>
          <w:lang w:val="en-GB"/>
        </w:rPr>
        <w:t>result</w:t>
      </w:r>
      <w:r w:rsidR="00241561">
        <w:rPr>
          <w:rFonts w:ascii="Arial" w:hAnsi="Arial" w:cs="Arial"/>
          <w:sz w:val="24"/>
          <w:szCs w:val="24"/>
          <w:lang w:val="en-GB"/>
        </w:rPr>
        <w:t>ed</w:t>
      </w:r>
      <w:r w:rsidRPr="00653ABB">
        <w:rPr>
          <w:rFonts w:ascii="Arial" w:hAnsi="Arial" w:cs="Arial"/>
          <w:sz w:val="24"/>
          <w:szCs w:val="24"/>
          <w:lang w:val="en-GB"/>
        </w:rPr>
        <w:t xml:space="preserve"> statistically significant (the relative sampling errors are 2.7% in the </w:t>
      </w:r>
      <w:r w:rsidRPr="00B332BA">
        <w:rPr>
          <w:rFonts w:ascii="Arial" w:hAnsi="Arial" w:cs="Arial"/>
          <w:sz w:val="24"/>
          <w:szCs w:val="24"/>
          <w:lang w:val="en-GB"/>
        </w:rPr>
        <w:t>Former HBS</w:t>
      </w:r>
      <w:r w:rsidRPr="00653ABB">
        <w:rPr>
          <w:rFonts w:ascii="Arial" w:hAnsi="Arial" w:cs="Arial"/>
          <w:sz w:val="24"/>
          <w:szCs w:val="24"/>
          <w:lang w:val="en-GB"/>
        </w:rPr>
        <w:t xml:space="preserve"> and 2.6% in the </w:t>
      </w:r>
      <w:r w:rsidRPr="00B332BA">
        <w:rPr>
          <w:rFonts w:ascii="Arial" w:hAnsi="Arial" w:cs="Arial"/>
          <w:sz w:val="24"/>
          <w:szCs w:val="24"/>
          <w:lang w:val="en-GB"/>
        </w:rPr>
        <w:t>New HBS</w:t>
      </w:r>
      <w:r w:rsidRPr="00653ABB">
        <w:rPr>
          <w:rFonts w:ascii="Arial" w:hAnsi="Arial" w:cs="Arial"/>
          <w:sz w:val="24"/>
          <w:szCs w:val="24"/>
          <w:lang w:val="en-GB"/>
        </w:rPr>
        <w:t>).</w:t>
      </w:r>
      <w:r w:rsidR="00241561">
        <w:rPr>
          <w:rFonts w:ascii="Arial" w:hAnsi="Arial" w:cs="Arial"/>
          <w:sz w:val="24"/>
          <w:szCs w:val="24"/>
          <w:lang w:val="en-GB"/>
        </w:rPr>
        <w:t xml:space="preserve"> </w:t>
      </w:r>
      <w:r w:rsidRPr="00653ABB">
        <w:rPr>
          <w:rFonts w:ascii="Arial" w:hAnsi="Arial" w:cs="Arial"/>
          <w:sz w:val="24"/>
          <w:szCs w:val="24"/>
          <w:lang w:val="en-GB"/>
        </w:rPr>
        <w:t xml:space="preserve">Similarly, the </w:t>
      </w:r>
      <w:r w:rsidR="00E82D5F">
        <w:rPr>
          <w:rFonts w:ascii="Arial" w:hAnsi="Arial" w:cs="Arial"/>
          <w:sz w:val="24"/>
          <w:szCs w:val="24"/>
          <w:lang w:val="en-GB"/>
        </w:rPr>
        <w:t xml:space="preserve">change in </w:t>
      </w:r>
      <w:r w:rsidRPr="00653ABB">
        <w:rPr>
          <w:rFonts w:ascii="Arial" w:hAnsi="Arial" w:cs="Arial"/>
          <w:sz w:val="24"/>
          <w:szCs w:val="24"/>
          <w:lang w:val="en-GB"/>
        </w:rPr>
        <w:t xml:space="preserve">absolute </w:t>
      </w:r>
      <w:r w:rsidR="00E82D5F">
        <w:rPr>
          <w:rFonts w:ascii="Arial" w:hAnsi="Arial" w:cs="Arial"/>
          <w:sz w:val="24"/>
          <w:szCs w:val="24"/>
          <w:lang w:val="en-GB"/>
        </w:rPr>
        <w:t xml:space="preserve">poverty incidence, </w:t>
      </w:r>
      <w:r w:rsidR="00B332BA">
        <w:rPr>
          <w:rFonts w:ascii="Arial" w:hAnsi="Arial" w:cs="Arial"/>
          <w:sz w:val="24"/>
          <w:szCs w:val="24"/>
          <w:lang w:val="en-GB"/>
        </w:rPr>
        <w:t xml:space="preserve">from </w:t>
      </w:r>
      <w:r w:rsidR="00EA523F">
        <w:rPr>
          <w:rFonts w:ascii="Arial" w:hAnsi="Arial" w:cs="Arial"/>
          <w:sz w:val="24"/>
          <w:szCs w:val="24"/>
          <w:lang w:val="en-GB"/>
        </w:rPr>
        <w:t>7.9% to 6.3% (</w:t>
      </w:r>
      <w:r w:rsidR="00E82D5F">
        <w:rPr>
          <w:rFonts w:ascii="Arial" w:hAnsi="Arial" w:cs="Arial"/>
          <w:sz w:val="24"/>
          <w:szCs w:val="24"/>
          <w:lang w:val="en-GB"/>
        </w:rPr>
        <w:t>from</w:t>
      </w:r>
      <w:r w:rsidRPr="00653ABB">
        <w:rPr>
          <w:rFonts w:ascii="Arial" w:hAnsi="Arial" w:cs="Arial"/>
          <w:sz w:val="24"/>
          <w:szCs w:val="24"/>
          <w:lang w:val="en-GB"/>
        </w:rPr>
        <w:t xml:space="preserve"> 9.9% to 7.3%</w:t>
      </w:r>
      <w:r w:rsidR="00EA523F">
        <w:rPr>
          <w:rFonts w:ascii="Arial" w:hAnsi="Arial" w:cs="Arial"/>
          <w:sz w:val="24"/>
          <w:szCs w:val="24"/>
          <w:lang w:val="en-GB"/>
        </w:rPr>
        <w:t>)</w:t>
      </w:r>
      <w:bookmarkStart w:id="0" w:name="_GoBack"/>
      <w:bookmarkEnd w:id="0"/>
      <w:r w:rsidR="00E82D5F">
        <w:rPr>
          <w:rFonts w:ascii="Arial" w:hAnsi="Arial" w:cs="Arial"/>
          <w:sz w:val="24"/>
          <w:szCs w:val="24"/>
          <w:lang w:val="en-GB"/>
        </w:rPr>
        <w:t>, resulted</w:t>
      </w:r>
      <w:r w:rsidRPr="00653ABB">
        <w:rPr>
          <w:rFonts w:ascii="Arial" w:hAnsi="Arial" w:cs="Arial"/>
          <w:sz w:val="24"/>
          <w:szCs w:val="24"/>
          <w:lang w:val="en-GB"/>
        </w:rPr>
        <w:t xml:space="preserve"> </w:t>
      </w:r>
      <w:r w:rsidR="00E82D5F">
        <w:rPr>
          <w:rFonts w:ascii="Arial" w:hAnsi="Arial" w:cs="Arial"/>
          <w:sz w:val="24"/>
          <w:szCs w:val="24"/>
          <w:lang w:val="en-GB"/>
        </w:rPr>
        <w:t xml:space="preserve">statistically significant, </w:t>
      </w:r>
      <w:r w:rsidRPr="00653ABB">
        <w:rPr>
          <w:rFonts w:ascii="Arial" w:hAnsi="Arial" w:cs="Arial"/>
          <w:sz w:val="24"/>
          <w:szCs w:val="24"/>
          <w:lang w:val="en-GB"/>
        </w:rPr>
        <w:t xml:space="preserve">the </w:t>
      </w:r>
      <w:r w:rsidR="0024236E" w:rsidRPr="00653ABB">
        <w:rPr>
          <w:rFonts w:ascii="Arial" w:hAnsi="Arial" w:cs="Arial"/>
          <w:sz w:val="24"/>
          <w:szCs w:val="24"/>
          <w:lang w:val="en-GB"/>
        </w:rPr>
        <w:t xml:space="preserve">relative </w:t>
      </w:r>
      <w:r w:rsidRPr="00653ABB">
        <w:rPr>
          <w:rFonts w:ascii="Arial" w:hAnsi="Arial" w:cs="Arial"/>
          <w:sz w:val="24"/>
          <w:szCs w:val="24"/>
          <w:lang w:val="en-GB"/>
        </w:rPr>
        <w:t xml:space="preserve">sampling errors being 3.9% and 3.8%, respectively. </w:t>
      </w:r>
    </w:p>
    <w:p w:rsidR="0024236E" w:rsidRDefault="00E82D5F" w:rsidP="006F0B33">
      <w:pPr>
        <w:spacing w:before="120" w:after="0" w:line="360" w:lineRule="auto"/>
        <w:jc w:val="both"/>
        <w:rPr>
          <w:rFonts w:ascii="Arial" w:hAnsi="Arial" w:cs="Arial"/>
          <w:sz w:val="24"/>
          <w:szCs w:val="24"/>
          <w:lang w:val="en-GB"/>
        </w:rPr>
      </w:pPr>
      <w:r>
        <w:rPr>
          <w:rFonts w:ascii="Arial" w:hAnsi="Arial" w:cs="Arial"/>
          <w:sz w:val="24"/>
          <w:szCs w:val="24"/>
          <w:lang w:val="en-GB"/>
        </w:rPr>
        <w:t>By</w:t>
      </w:r>
      <w:r w:rsidR="00653ABB" w:rsidRPr="00653ABB">
        <w:rPr>
          <w:rFonts w:ascii="Arial" w:hAnsi="Arial" w:cs="Arial"/>
          <w:sz w:val="24"/>
          <w:szCs w:val="24"/>
          <w:lang w:val="en-GB"/>
        </w:rPr>
        <w:t xml:space="preserve"> considering all the simulations already </w:t>
      </w:r>
      <w:r>
        <w:rPr>
          <w:rFonts w:ascii="Arial" w:hAnsi="Arial" w:cs="Arial"/>
          <w:sz w:val="24"/>
          <w:szCs w:val="24"/>
          <w:lang w:val="en-GB"/>
        </w:rPr>
        <w:t>analysed</w:t>
      </w:r>
      <w:r w:rsidR="00241561">
        <w:rPr>
          <w:rFonts w:ascii="Arial" w:hAnsi="Arial" w:cs="Arial"/>
          <w:sz w:val="24"/>
          <w:szCs w:val="24"/>
          <w:lang w:val="en-GB"/>
        </w:rPr>
        <w:t xml:space="preserve"> for consumption expenditure</w:t>
      </w:r>
      <w:r w:rsidR="00B61522">
        <w:rPr>
          <w:rFonts w:ascii="Arial" w:hAnsi="Arial" w:cs="Arial"/>
          <w:sz w:val="24"/>
          <w:szCs w:val="24"/>
          <w:lang w:val="en-GB"/>
        </w:rPr>
        <w:t xml:space="preserve"> (T</w:t>
      </w:r>
      <w:r>
        <w:rPr>
          <w:rFonts w:ascii="Arial" w:hAnsi="Arial" w:cs="Arial"/>
          <w:sz w:val="24"/>
          <w:szCs w:val="24"/>
          <w:lang w:val="en-GB"/>
        </w:rPr>
        <w:t xml:space="preserve">able </w:t>
      </w:r>
      <w:r w:rsidR="0024236E">
        <w:rPr>
          <w:rFonts w:ascii="Arial" w:hAnsi="Arial" w:cs="Arial"/>
          <w:sz w:val="24"/>
          <w:szCs w:val="24"/>
          <w:lang w:val="en-GB"/>
        </w:rPr>
        <w:t>3</w:t>
      </w:r>
      <w:r>
        <w:rPr>
          <w:rFonts w:ascii="Arial" w:hAnsi="Arial" w:cs="Arial"/>
          <w:sz w:val="24"/>
          <w:szCs w:val="24"/>
          <w:lang w:val="en-GB"/>
        </w:rPr>
        <w:t>) and t</w:t>
      </w:r>
      <w:r w:rsidR="00653ABB" w:rsidRPr="00653ABB">
        <w:rPr>
          <w:rFonts w:ascii="Arial" w:hAnsi="Arial" w:cs="Arial"/>
          <w:sz w:val="24"/>
          <w:szCs w:val="24"/>
          <w:lang w:val="en-GB"/>
        </w:rPr>
        <w:t xml:space="preserve">aking into account the sampling errors, the poverty estimates obtained by </w:t>
      </w:r>
      <w:r w:rsidR="00653ABB" w:rsidRPr="00C34CB9">
        <w:rPr>
          <w:rFonts w:ascii="Arial" w:hAnsi="Arial" w:cs="Arial"/>
          <w:i/>
          <w:sz w:val="24"/>
          <w:szCs w:val="24"/>
          <w:lang w:val="en-GB"/>
        </w:rPr>
        <w:t>Former HBS</w:t>
      </w:r>
      <w:r w:rsidR="00653ABB" w:rsidRPr="00653ABB">
        <w:rPr>
          <w:rFonts w:ascii="Arial" w:hAnsi="Arial" w:cs="Arial"/>
          <w:sz w:val="24"/>
          <w:szCs w:val="24"/>
          <w:lang w:val="en-GB"/>
        </w:rPr>
        <w:t xml:space="preserve"> data and by </w:t>
      </w:r>
      <w:r w:rsidR="00653ABB" w:rsidRPr="00CA54FC">
        <w:rPr>
          <w:rFonts w:ascii="Arial" w:hAnsi="Arial" w:cs="Arial"/>
          <w:i/>
          <w:sz w:val="24"/>
          <w:szCs w:val="24"/>
          <w:lang w:val="en-GB"/>
        </w:rPr>
        <w:t>New HBS reported to the Former HBS methodology</w:t>
      </w:r>
      <w:r w:rsidR="00653ABB" w:rsidRPr="006F0B33">
        <w:rPr>
          <w:rFonts w:ascii="Arial" w:hAnsi="Arial" w:cs="Arial"/>
          <w:sz w:val="24"/>
          <w:szCs w:val="24"/>
          <w:lang w:val="en-GB"/>
        </w:rPr>
        <w:t xml:space="preserve"> </w:t>
      </w:r>
      <w:r w:rsidR="00653ABB" w:rsidRPr="00653ABB">
        <w:rPr>
          <w:rFonts w:ascii="Arial" w:hAnsi="Arial" w:cs="Arial"/>
          <w:sz w:val="24"/>
          <w:szCs w:val="24"/>
          <w:lang w:val="en-GB"/>
        </w:rPr>
        <w:t>are statistically identical</w:t>
      </w:r>
      <w:r w:rsidR="0024236E">
        <w:rPr>
          <w:rFonts w:ascii="Arial" w:hAnsi="Arial" w:cs="Arial"/>
          <w:sz w:val="24"/>
          <w:szCs w:val="24"/>
          <w:lang w:val="en-GB"/>
        </w:rPr>
        <w:t>.</w:t>
      </w:r>
    </w:p>
    <w:p w:rsidR="00653ABB" w:rsidRPr="00653ABB" w:rsidRDefault="0024236E" w:rsidP="006F0B33">
      <w:pPr>
        <w:spacing w:before="120" w:after="0" w:line="360" w:lineRule="auto"/>
        <w:jc w:val="both"/>
        <w:rPr>
          <w:rFonts w:ascii="Arial" w:hAnsi="Arial" w:cs="Arial"/>
          <w:sz w:val="24"/>
          <w:szCs w:val="24"/>
          <w:lang w:val="en-GB"/>
        </w:rPr>
      </w:pPr>
      <w:r>
        <w:rPr>
          <w:rFonts w:ascii="Arial" w:hAnsi="Arial" w:cs="Arial"/>
          <w:sz w:val="24"/>
          <w:szCs w:val="24"/>
          <w:lang w:val="en-GB"/>
        </w:rPr>
        <w:t>M</w:t>
      </w:r>
      <w:r w:rsidR="00653ABB" w:rsidRPr="00653ABB">
        <w:rPr>
          <w:rFonts w:ascii="Arial" w:hAnsi="Arial" w:cs="Arial"/>
          <w:sz w:val="24"/>
          <w:szCs w:val="24"/>
          <w:lang w:val="en-GB"/>
        </w:rPr>
        <w:t>oreover also the level of inequality</w:t>
      </w:r>
      <w:r w:rsidRPr="00B12BBF">
        <w:rPr>
          <w:rStyle w:val="Rimandonotaapidipagina"/>
          <w:rFonts w:ascii="Arial" w:hAnsi="Arial" w:cs="Arial"/>
          <w:sz w:val="24"/>
          <w:szCs w:val="24"/>
          <w:lang w:val="en-GB"/>
        </w:rPr>
        <w:footnoteReference w:id="4"/>
      </w:r>
      <w:r w:rsidR="00653ABB" w:rsidRPr="00653ABB">
        <w:rPr>
          <w:rFonts w:ascii="Arial" w:hAnsi="Arial" w:cs="Arial"/>
          <w:sz w:val="24"/>
          <w:szCs w:val="24"/>
          <w:lang w:val="en-GB"/>
        </w:rPr>
        <w:t xml:space="preserve"> resulting from the </w:t>
      </w:r>
      <w:r w:rsidR="00653ABB" w:rsidRPr="00CA54FC">
        <w:rPr>
          <w:rFonts w:ascii="Arial" w:hAnsi="Arial" w:cs="Arial"/>
          <w:i/>
          <w:sz w:val="24"/>
          <w:szCs w:val="24"/>
          <w:lang w:val="en-GB"/>
        </w:rPr>
        <w:t>New HBS reported to the Former HBS methodology</w:t>
      </w:r>
      <w:r w:rsidR="00653ABB" w:rsidRPr="00CA54FC">
        <w:rPr>
          <w:rFonts w:ascii="Arial" w:hAnsi="Arial" w:cs="Arial"/>
          <w:sz w:val="24"/>
          <w:szCs w:val="24"/>
          <w:lang w:val="en-GB"/>
        </w:rPr>
        <w:t xml:space="preserve"> </w:t>
      </w:r>
      <w:r w:rsidR="00653ABB" w:rsidRPr="00653ABB">
        <w:rPr>
          <w:rFonts w:ascii="Arial" w:hAnsi="Arial" w:cs="Arial"/>
          <w:sz w:val="24"/>
          <w:szCs w:val="24"/>
          <w:lang w:val="en-GB"/>
        </w:rPr>
        <w:t xml:space="preserve">is not statistically different from the one observed in the </w:t>
      </w:r>
      <w:r w:rsidR="00653ABB" w:rsidRPr="00ED62B3">
        <w:rPr>
          <w:rFonts w:ascii="Arial" w:hAnsi="Arial" w:cs="Arial"/>
          <w:i/>
          <w:sz w:val="24"/>
          <w:szCs w:val="24"/>
          <w:lang w:val="en-GB"/>
        </w:rPr>
        <w:t>Former HBS</w:t>
      </w:r>
      <w:r w:rsidR="00653ABB" w:rsidRPr="00653ABB">
        <w:rPr>
          <w:rFonts w:ascii="Arial" w:hAnsi="Arial" w:cs="Arial"/>
          <w:sz w:val="24"/>
          <w:szCs w:val="24"/>
          <w:lang w:val="en-GB"/>
        </w:rPr>
        <w:t xml:space="preserve">. The largest effect on inequality is observed for the reference periods simulation. By comparing the estimates obtained by </w:t>
      </w:r>
      <w:r w:rsidR="00653ABB" w:rsidRPr="00CA54FC">
        <w:rPr>
          <w:rFonts w:ascii="Arial" w:hAnsi="Arial" w:cs="Arial"/>
          <w:i/>
          <w:sz w:val="24"/>
          <w:szCs w:val="24"/>
          <w:lang w:val="en-GB"/>
        </w:rPr>
        <w:t>New HBS</w:t>
      </w:r>
      <w:r w:rsidR="00653ABB" w:rsidRPr="00653ABB">
        <w:rPr>
          <w:rFonts w:ascii="Arial" w:hAnsi="Arial" w:cs="Arial"/>
          <w:sz w:val="24"/>
          <w:szCs w:val="24"/>
          <w:lang w:val="en-GB"/>
        </w:rPr>
        <w:t xml:space="preserve"> data and </w:t>
      </w:r>
      <w:r w:rsidR="00653ABB" w:rsidRPr="00CA54FC">
        <w:rPr>
          <w:rFonts w:ascii="Arial" w:hAnsi="Arial" w:cs="Arial"/>
          <w:i/>
          <w:sz w:val="24"/>
          <w:szCs w:val="24"/>
          <w:lang w:val="en-GB"/>
        </w:rPr>
        <w:t>New HBS</w:t>
      </w:r>
      <w:r w:rsidR="00ED62B3">
        <w:rPr>
          <w:rFonts w:ascii="Arial" w:hAnsi="Arial" w:cs="Arial"/>
          <w:sz w:val="24"/>
          <w:szCs w:val="24"/>
          <w:lang w:val="en-GB"/>
        </w:rPr>
        <w:t xml:space="preserve"> data with </w:t>
      </w:r>
      <w:r w:rsidR="00ED62B3" w:rsidRPr="00ED62B3">
        <w:rPr>
          <w:rFonts w:ascii="Arial" w:hAnsi="Arial" w:cs="Arial"/>
          <w:i/>
          <w:sz w:val="24"/>
          <w:szCs w:val="24"/>
          <w:lang w:val="en-GB"/>
        </w:rPr>
        <w:t>F</w:t>
      </w:r>
      <w:r w:rsidR="00653ABB" w:rsidRPr="00ED62B3">
        <w:rPr>
          <w:rFonts w:ascii="Arial" w:hAnsi="Arial" w:cs="Arial"/>
          <w:i/>
          <w:sz w:val="24"/>
          <w:szCs w:val="24"/>
          <w:lang w:val="en-GB"/>
        </w:rPr>
        <w:t>ormer HBS</w:t>
      </w:r>
      <w:r w:rsidR="00653ABB" w:rsidRPr="00653ABB">
        <w:rPr>
          <w:rFonts w:ascii="Arial" w:hAnsi="Arial" w:cs="Arial"/>
          <w:sz w:val="24"/>
          <w:szCs w:val="24"/>
          <w:lang w:val="en-GB"/>
        </w:rPr>
        <w:t xml:space="preserve"> periods, we observe an increase </w:t>
      </w:r>
      <w:r>
        <w:rPr>
          <w:rFonts w:ascii="Arial" w:hAnsi="Arial" w:cs="Arial"/>
          <w:sz w:val="24"/>
          <w:szCs w:val="24"/>
          <w:lang w:val="en-GB"/>
        </w:rPr>
        <w:t>i</w:t>
      </w:r>
      <w:r w:rsidR="00653ABB" w:rsidRPr="00653ABB">
        <w:rPr>
          <w:rFonts w:ascii="Arial" w:hAnsi="Arial" w:cs="Arial"/>
          <w:sz w:val="24"/>
          <w:szCs w:val="24"/>
          <w:lang w:val="en-GB"/>
        </w:rPr>
        <w:t xml:space="preserve">n inequality and </w:t>
      </w:r>
      <w:r>
        <w:rPr>
          <w:rFonts w:ascii="Arial" w:hAnsi="Arial" w:cs="Arial"/>
          <w:sz w:val="24"/>
          <w:szCs w:val="24"/>
          <w:lang w:val="en-GB"/>
        </w:rPr>
        <w:t>i</w:t>
      </w:r>
      <w:r w:rsidRPr="00653ABB">
        <w:rPr>
          <w:rFonts w:ascii="Arial" w:hAnsi="Arial" w:cs="Arial"/>
          <w:sz w:val="24"/>
          <w:szCs w:val="24"/>
          <w:lang w:val="en-GB"/>
        </w:rPr>
        <w:t xml:space="preserve">n </w:t>
      </w:r>
      <w:r w:rsidR="00653ABB" w:rsidRPr="00653ABB">
        <w:rPr>
          <w:rFonts w:ascii="Arial" w:hAnsi="Arial" w:cs="Arial"/>
          <w:sz w:val="24"/>
          <w:szCs w:val="24"/>
          <w:lang w:val="en-GB"/>
        </w:rPr>
        <w:t>average consumption expenditure. It must be noted that the consumption expenditure increase, on average, is a composite effect of the decrease in the medium-low part of the consumption expenditure distribution and of the increase in the medium-high part, which result</w:t>
      </w:r>
      <w:r w:rsidR="002A12FE">
        <w:rPr>
          <w:rFonts w:ascii="Arial" w:hAnsi="Arial" w:cs="Arial"/>
          <w:sz w:val="24"/>
          <w:szCs w:val="24"/>
          <w:lang w:val="en-GB"/>
        </w:rPr>
        <w:t>s</w:t>
      </w:r>
      <w:r w:rsidR="00653ABB" w:rsidRPr="00653ABB">
        <w:rPr>
          <w:rFonts w:ascii="Arial" w:hAnsi="Arial" w:cs="Arial"/>
          <w:sz w:val="24"/>
          <w:szCs w:val="24"/>
          <w:lang w:val="en-GB"/>
        </w:rPr>
        <w:t xml:space="preserve"> in an increase of inequality. This evidence, however, is not linked to stronger memory effects among the richest households, because the increase </w:t>
      </w:r>
      <w:r w:rsidR="00653ABB" w:rsidRPr="00653ABB">
        <w:rPr>
          <w:rFonts w:ascii="Arial" w:hAnsi="Arial" w:cs="Arial"/>
          <w:sz w:val="24"/>
          <w:szCs w:val="24"/>
          <w:lang w:val="en-GB"/>
        </w:rPr>
        <w:lastRenderedPageBreak/>
        <w:t xml:space="preserve">observed between Former and </w:t>
      </w:r>
      <w:r w:rsidR="00653ABB" w:rsidRPr="00CA54FC">
        <w:rPr>
          <w:rFonts w:ascii="Arial" w:hAnsi="Arial" w:cs="Arial"/>
          <w:i/>
          <w:sz w:val="24"/>
          <w:szCs w:val="24"/>
          <w:lang w:val="en-GB"/>
        </w:rPr>
        <w:t>New HBS</w:t>
      </w:r>
      <w:r w:rsidR="00653ABB" w:rsidRPr="00653ABB">
        <w:rPr>
          <w:rFonts w:ascii="Arial" w:hAnsi="Arial" w:cs="Arial"/>
          <w:sz w:val="24"/>
          <w:szCs w:val="24"/>
          <w:lang w:val="en-GB"/>
        </w:rPr>
        <w:t xml:space="preserve"> in captured expenditure events is equally distributed across deciles, even higher in the last three deciles than in the first three. </w:t>
      </w:r>
    </w:p>
    <w:p w:rsidR="00653ABB" w:rsidRDefault="00653ABB" w:rsidP="006F0B33">
      <w:pPr>
        <w:spacing w:before="120" w:after="0" w:line="360" w:lineRule="auto"/>
        <w:jc w:val="both"/>
        <w:rPr>
          <w:rFonts w:ascii="Arial" w:hAnsi="Arial" w:cs="Arial"/>
          <w:sz w:val="24"/>
          <w:szCs w:val="24"/>
          <w:lang w:val="en-GB"/>
        </w:rPr>
      </w:pPr>
      <w:r w:rsidRPr="00653ABB">
        <w:rPr>
          <w:rFonts w:ascii="Arial" w:hAnsi="Arial" w:cs="Arial"/>
          <w:sz w:val="24"/>
          <w:szCs w:val="24"/>
          <w:lang w:val="en-GB"/>
        </w:rPr>
        <w:t xml:space="preserve">The observed increase </w:t>
      </w:r>
      <w:r w:rsidR="0024236E">
        <w:rPr>
          <w:rFonts w:ascii="Arial" w:hAnsi="Arial" w:cs="Arial"/>
          <w:sz w:val="24"/>
          <w:szCs w:val="24"/>
          <w:lang w:val="en-GB"/>
        </w:rPr>
        <w:t>i</w:t>
      </w:r>
      <w:r w:rsidR="0024236E" w:rsidRPr="00653ABB">
        <w:rPr>
          <w:rFonts w:ascii="Arial" w:hAnsi="Arial" w:cs="Arial"/>
          <w:sz w:val="24"/>
          <w:szCs w:val="24"/>
          <w:lang w:val="en-GB"/>
        </w:rPr>
        <w:t xml:space="preserve">n </w:t>
      </w:r>
      <w:r w:rsidRPr="00653ABB">
        <w:rPr>
          <w:rFonts w:ascii="Arial" w:hAnsi="Arial" w:cs="Arial"/>
          <w:sz w:val="24"/>
          <w:szCs w:val="24"/>
          <w:lang w:val="en-GB"/>
        </w:rPr>
        <w:t xml:space="preserve">inequality is rather due to the higher impact of micro monthly estimation. </w:t>
      </w:r>
      <w:r w:rsidR="00B61522">
        <w:rPr>
          <w:rFonts w:ascii="Arial" w:hAnsi="Arial" w:cs="Arial"/>
          <w:sz w:val="24"/>
          <w:szCs w:val="24"/>
          <w:lang w:val="en-GB"/>
        </w:rPr>
        <w:t>F</w:t>
      </w:r>
      <w:r w:rsidRPr="00653ABB">
        <w:rPr>
          <w:rFonts w:ascii="Arial" w:hAnsi="Arial" w:cs="Arial"/>
          <w:sz w:val="24"/>
          <w:szCs w:val="24"/>
          <w:lang w:val="en-GB"/>
        </w:rPr>
        <w:t xml:space="preserve">or items with a reference period larger than one month, the monthly expenditure at the household level is obtained by dividing the spent amount by the number of months in the reference period. This implies that, given the larger reference periods in the </w:t>
      </w:r>
      <w:r w:rsidRPr="00CA54FC">
        <w:rPr>
          <w:rFonts w:ascii="Arial" w:hAnsi="Arial" w:cs="Arial"/>
          <w:i/>
          <w:sz w:val="24"/>
          <w:szCs w:val="24"/>
          <w:lang w:val="en-GB"/>
        </w:rPr>
        <w:t>New HBS</w:t>
      </w:r>
      <w:r w:rsidRPr="00653ABB">
        <w:rPr>
          <w:rFonts w:ascii="Arial" w:hAnsi="Arial" w:cs="Arial"/>
          <w:sz w:val="24"/>
          <w:szCs w:val="24"/>
          <w:lang w:val="en-GB"/>
        </w:rPr>
        <w:t xml:space="preserve">, the monthly expenditure for the item is always lower than in the </w:t>
      </w:r>
      <w:r w:rsidRPr="00ED62B3">
        <w:rPr>
          <w:rFonts w:ascii="Arial" w:hAnsi="Arial" w:cs="Arial"/>
          <w:i/>
          <w:sz w:val="24"/>
          <w:szCs w:val="24"/>
          <w:lang w:val="en-GB"/>
        </w:rPr>
        <w:t>Former HBS</w:t>
      </w:r>
      <w:r w:rsidRPr="00653ABB">
        <w:rPr>
          <w:rFonts w:ascii="Arial" w:hAnsi="Arial" w:cs="Arial"/>
          <w:sz w:val="24"/>
          <w:szCs w:val="24"/>
          <w:lang w:val="en-GB"/>
        </w:rPr>
        <w:t xml:space="preserve"> -inducing lower values for the highest deciles; furthermore, the probability of capturing the expenditure event is always higher, reducing the proportion of households with no expenditures and producing higher values for the lowest deciles. Apart from possible memory effects, longer reference periods allow a better approximation of the household consumption expenditure behaviour.</w:t>
      </w:r>
    </w:p>
    <w:p w:rsidR="001C5CDC" w:rsidRPr="001C5CDC" w:rsidRDefault="00E02C26" w:rsidP="005C2AE2">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1C5CDC" w:rsidRPr="001C5CDC">
        <w:rPr>
          <w:rFonts w:ascii="Arial" w:hAnsi="Arial" w:cs="Arial"/>
          <w:b/>
          <w:sz w:val="24"/>
          <w:szCs w:val="24"/>
          <w:lang w:val="en-GB"/>
        </w:rPr>
        <w:t>. Final remarks</w:t>
      </w:r>
    </w:p>
    <w:p w:rsidR="001C5CDC" w:rsidRDefault="00B61522" w:rsidP="006F0B33">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table 4 </w:t>
      </w:r>
      <w:r w:rsidR="00603B76" w:rsidRPr="001C5CDC">
        <w:rPr>
          <w:rFonts w:ascii="Arial" w:hAnsi="Arial" w:cs="Arial"/>
          <w:sz w:val="24"/>
          <w:szCs w:val="24"/>
          <w:lang w:val="en-GB"/>
        </w:rPr>
        <w:t>our findings</w:t>
      </w:r>
      <w:r w:rsidR="00603B76">
        <w:rPr>
          <w:rFonts w:ascii="Arial" w:hAnsi="Arial" w:cs="Arial"/>
          <w:sz w:val="24"/>
          <w:szCs w:val="24"/>
          <w:lang w:val="en-GB"/>
        </w:rPr>
        <w:t xml:space="preserve"> </w:t>
      </w:r>
      <w:r>
        <w:rPr>
          <w:rFonts w:ascii="Arial" w:hAnsi="Arial" w:cs="Arial"/>
          <w:sz w:val="24"/>
          <w:szCs w:val="24"/>
          <w:lang w:val="en-GB"/>
        </w:rPr>
        <w:t xml:space="preserve">are summarised. </w:t>
      </w:r>
      <w:r w:rsidR="00603B76" w:rsidRPr="001C5CDC">
        <w:rPr>
          <w:rFonts w:ascii="Arial" w:hAnsi="Arial" w:cs="Arial"/>
          <w:sz w:val="24"/>
          <w:szCs w:val="24"/>
          <w:lang w:val="en-GB"/>
        </w:rPr>
        <w:t xml:space="preserve">Imputing zero expenditures, splitting items of consumption and introducing new items determine, as expected, an increase of the estimated consumption expenditures, which </w:t>
      </w:r>
      <w:r w:rsidR="002A12FE">
        <w:rPr>
          <w:rFonts w:ascii="Arial" w:hAnsi="Arial" w:cs="Arial"/>
          <w:sz w:val="24"/>
          <w:szCs w:val="24"/>
          <w:lang w:val="en-GB"/>
        </w:rPr>
        <w:t>is</w:t>
      </w:r>
      <w:r w:rsidR="002A12FE" w:rsidRPr="001C5CDC">
        <w:rPr>
          <w:rFonts w:ascii="Arial" w:hAnsi="Arial" w:cs="Arial"/>
          <w:sz w:val="24"/>
          <w:szCs w:val="24"/>
          <w:lang w:val="en-GB"/>
        </w:rPr>
        <w:t xml:space="preserve"> </w:t>
      </w:r>
      <w:r w:rsidR="00603B76" w:rsidRPr="001C5CDC">
        <w:rPr>
          <w:rFonts w:ascii="Arial" w:hAnsi="Arial" w:cs="Arial"/>
          <w:sz w:val="24"/>
          <w:szCs w:val="24"/>
          <w:lang w:val="en-GB"/>
        </w:rPr>
        <w:t>in line with the specific literature</w:t>
      </w:r>
      <w:r w:rsidR="006C3EBB">
        <w:rPr>
          <w:rFonts w:ascii="Arial" w:hAnsi="Arial" w:cs="Arial"/>
          <w:sz w:val="24"/>
          <w:szCs w:val="24"/>
          <w:lang w:val="en-GB"/>
        </w:rPr>
        <w:t xml:space="preserve"> </w:t>
      </w:r>
      <w:r w:rsidR="006C3EBB" w:rsidRPr="00320258">
        <w:rPr>
          <w:rFonts w:ascii="Arial" w:hAnsi="Arial" w:cs="Arial"/>
          <w:sz w:val="24"/>
          <w:szCs w:val="24"/>
          <w:lang w:val="en-GB"/>
        </w:rPr>
        <w:t>(Carroll and Crossley, 2015)</w:t>
      </w:r>
      <w:r w:rsidR="00603B76" w:rsidRPr="00320258">
        <w:rPr>
          <w:rFonts w:ascii="Arial" w:hAnsi="Arial" w:cs="Arial"/>
          <w:sz w:val="24"/>
          <w:szCs w:val="24"/>
          <w:lang w:val="en-GB"/>
        </w:rPr>
        <w:t>. Moreover, the increase due to all these innovations</w:t>
      </w:r>
      <w:r w:rsidR="00603B76" w:rsidRPr="001C5CDC">
        <w:rPr>
          <w:rFonts w:ascii="Arial" w:hAnsi="Arial" w:cs="Arial"/>
          <w:sz w:val="24"/>
          <w:szCs w:val="24"/>
          <w:lang w:val="en-GB"/>
        </w:rPr>
        <w:t xml:space="preserve"> more than compensates the decrease of the consumption expenditure due to the new weighting system, with specific reference to the introduction of post-stratification constraints for citizenship and professional condition, and to the extension of reference periods.</w:t>
      </w:r>
    </w:p>
    <w:p w:rsidR="00603B76" w:rsidRPr="001C5CDC" w:rsidRDefault="00603B76" w:rsidP="005C2AE2">
      <w:pPr>
        <w:spacing w:before="120" w:after="0" w:line="360" w:lineRule="auto"/>
        <w:jc w:val="both"/>
        <w:rPr>
          <w:rFonts w:ascii="Arial" w:hAnsi="Arial" w:cs="Arial"/>
          <w:sz w:val="24"/>
          <w:szCs w:val="24"/>
          <w:lang w:val="en-GB"/>
        </w:rPr>
      </w:pPr>
      <w:r w:rsidRPr="001C5CDC">
        <w:rPr>
          <w:rFonts w:ascii="Arial" w:hAnsi="Arial" w:cs="Arial"/>
          <w:sz w:val="24"/>
          <w:szCs w:val="24"/>
          <w:lang w:val="en-GB"/>
        </w:rPr>
        <w:t xml:space="preserve">Inequality and relative poverty measures change in a concordant way and both decrease when the effect of all the innovations are considered. For the absolute poverty measure the single effects act in a different way, following the exogenous nature of the poverty lines, even if the global effect is again a reduction in the measure. When new and split items are introduced, some households remember and declare expenditures that in the </w:t>
      </w:r>
      <w:r w:rsidRPr="00ED62B3">
        <w:rPr>
          <w:rFonts w:ascii="Arial" w:hAnsi="Arial" w:cs="Arial"/>
          <w:i/>
          <w:sz w:val="24"/>
          <w:szCs w:val="24"/>
          <w:lang w:val="en-GB"/>
        </w:rPr>
        <w:t>Former HBS</w:t>
      </w:r>
      <w:r w:rsidRPr="001C5CDC">
        <w:rPr>
          <w:rFonts w:ascii="Arial" w:hAnsi="Arial" w:cs="Arial"/>
          <w:sz w:val="24"/>
          <w:szCs w:val="24"/>
          <w:lang w:val="en-GB"/>
        </w:rPr>
        <w:t xml:space="preserve"> were not considered or were forgotten given their aggregation with other items. Therefore, the inequality and the relative poverty increase (following the increase in the relative poverty line value), while the absolute poverty decreases, because some households overpass the absolute poverty line which does not change. </w:t>
      </w:r>
    </w:p>
    <w:p w:rsidR="00241561" w:rsidRPr="000B1125" w:rsidRDefault="00241561" w:rsidP="000B1125">
      <w:pPr>
        <w:pStyle w:val="Didascalia"/>
        <w:keepNext/>
        <w:rPr>
          <w:rFonts w:ascii="Arial" w:hAnsi="Arial" w:cs="Arial"/>
          <w:b/>
          <w:i w:val="0"/>
          <w:color w:val="auto"/>
          <w:sz w:val="20"/>
          <w:szCs w:val="20"/>
          <w:lang w:val="en-GB"/>
        </w:rPr>
      </w:pPr>
      <w:r w:rsidRPr="000B1125">
        <w:rPr>
          <w:rFonts w:ascii="Arial" w:hAnsi="Arial" w:cs="Arial"/>
          <w:b/>
          <w:i w:val="0"/>
          <w:color w:val="auto"/>
          <w:sz w:val="20"/>
          <w:szCs w:val="20"/>
          <w:lang w:val="en-GB"/>
        </w:rPr>
        <w:lastRenderedPageBreak/>
        <w:t>Tab</w:t>
      </w:r>
      <w:r w:rsidR="00144B9C" w:rsidRPr="000B1125">
        <w:rPr>
          <w:rFonts w:ascii="Arial" w:hAnsi="Arial" w:cs="Arial"/>
          <w:b/>
          <w:i w:val="0"/>
          <w:color w:val="auto"/>
          <w:sz w:val="20"/>
          <w:szCs w:val="20"/>
          <w:lang w:val="en-GB"/>
        </w:rPr>
        <w:t>le</w:t>
      </w:r>
      <w:r w:rsidRPr="000B1125">
        <w:rPr>
          <w:rFonts w:ascii="Arial" w:hAnsi="Arial" w:cs="Arial"/>
          <w:b/>
          <w:i w:val="0"/>
          <w:color w:val="auto"/>
          <w:sz w:val="20"/>
          <w:szCs w:val="20"/>
          <w:lang w:val="en-GB"/>
        </w:rPr>
        <w:t xml:space="preserve"> </w:t>
      </w:r>
      <w:r w:rsidR="00144B9C" w:rsidRPr="000B1125">
        <w:rPr>
          <w:rFonts w:ascii="Arial" w:hAnsi="Arial" w:cs="Arial"/>
          <w:b/>
          <w:i w:val="0"/>
          <w:color w:val="auto"/>
          <w:sz w:val="20"/>
          <w:szCs w:val="20"/>
          <w:lang w:val="en-GB"/>
        </w:rPr>
        <w:t>4</w:t>
      </w:r>
      <w:r w:rsidRPr="000B1125">
        <w:rPr>
          <w:rFonts w:ascii="Arial" w:hAnsi="Arial" w:cs="Arial"/>
          <w:b/>
          <w:i w:val="0"/>
          <w:color w:val="auto"/>
          <w:sz w:val="20"/>
          <w:szCs w:val="20"/>
          <w:lang w:val="en-GB"/>
        </w:rPr>
        <w:t xml:space="preserve"> Innovations effect on average consumption expenditure, inequality and poverty measures. Year 2013 (sign of variation)</w:t>
      </w:r>
    </w:p>
    <w:tbl>
      <w:tblPr>
        <w:tblW w:w="4655" w:type="pct"/>
        <w:tblLayout w:type="fixed"/>
        <w:tblCellMar>
          <w:left w:w="70" w:type="dxa"/>
          <w:right w:w="70" w:type="dxa"/>
        </w:tblCellMar>
        <w:tblLook w:val="04A0" w:firstRow="1" w:lastRow="0" w:firstColumn="1" w:lastColumn="0" w:noHBand="0" w:noVBand="1"/>
      </w:tblPr>
      <w:tblGrid>
        <w:gridCol w:w="2337"/>
        <w:gridCol w:w="1846"/>
        <w:gridCol w:w="10"/>
        <w:gridCol w:w="1266"/>
        <w:gridCol w:w="1422"/>
        <w:gridCol w:w="1695"/>
      </w:tblGrid>
      <w:tr w:rsidR="004D6E32" w:rsidRPr="00AB7495" w:rsidTr="00833D7B">
        <w:tc>
          <w:tcPr>
            <w:tcW w:w="1363" w:type="pct"/>
            <w:tcBorders>
              <w:top w:val="single" w:sz="4" w:space="0" w:color="auto"/>
              <w:left w:val="nil"/>
              <w:bottom w:val="single" w:sz="4" w:space="0" w:color="auto"/>
              <w:right w:val="nil"/>
            </w:tcBorders>
            <w:shd w:val="clear" w:color="auto" w:fill="auto"/>
            <w:noWrap/>
            <w:vAlign w:val="center"/>
          </w:tcPr>
          <w:p w:rsidR="004D6E32" w:rsidRPr="00AB7495" w:rsidRDefault="004D6E32" w:rsidP="00833D7B">
            <w:pPr>
              <w:spacing w:after="0" w:line="240" w:lineRule="auto"/>
              <w:rPr>
                <w:rFonts w:ascii="Calibri" w:eastAsia="Times New Roman" w:hAnsi="Calibri" w:cs="Calibri"/>
                <w:b/>
                <w:color w:val="000000"/>
                <w:sz w:val="16"/>
                <w:szCs w:val="16"/>
                <w:lang w:eastAsia="it-IT"/>
              </w:rPr>
            </w:pPr>
          </w:p>
        </w:tc>
        <w:tc>
          <w:tcPr>
            <w:tcW w:w="3637" w:type="pct"/>
            <w:gridSpan w:val="5"/>
            <w:tcBorders>
              <w:top w:val="single" w:sz="4" w:space="0" w:color="auto"/>
              <w:left w:val="nil"/>
              <w:bottom w:val="single" w:sz="4" w:space="0" w:color="auto"/>
              <w:right w:val="nil"/>
            </w:tcBorders>
            <w:shd w:val="clear" w:color="auto" w:fill="auto"/>
            <w:vAlign w:val="center"/>
          </w:tcPr>
          <w:p w:rsidR="004D6E32" w:rsidRPr="00AB7495" w:rsidRDefault="004D6E32" w:rsidP="00833D7B">
            <w:pPr>
              <w:spacing w:after="0" w:line="240" w:lineRule="auto"/>
              <w:jc w:val="center"/>
              <w:rPr>
                <w:rFonts w:ascii="Calibri" w:eastAsia="Times New Roman" w:hAnsi="Calibri" w:cs="Calibri"/>
                <w:b/>
                <w:color w:val="000000"/>
                <w:sz w:val="16"/>
                <w:szCs w:val="16"/>
                <w:lang w:eastAsia="it-IT"/>
              </w:rPr>
            </w:pPr>
            <w:r>
              <w:rPr>
                <w:rFonts w:ascii="Calibri" w:eastAsia="Times New Roman" w:hAnsi="Calibri" w:cs="Calibri"/>
                <w:b/>
                <w:color w:val="000000"/>
                <w:sz w:val="16"/>
                <w:szCs w:val="16"/>
                <w:lang w:eastAsia="it-IT"/>
              </w:rPr>
              <w:t>Aggregate</w:t>
            </w:r>
          </w:p>
        </w:tc>
      </w:tr>
      <w:tr w:rsidR="004D6E32" w:rsidRPr="00AB7495" w:rsidTr="00833D7B">
        <w:tc>
          <w:tcPr>
            <w:tcW w:w="1363" w:type="pct"/>
            <w:tcBorders>
              <w:top w:val="single" w:sz="4" w:space="0" w:color="auto"/>
              <w:left w:val="nil"/>
              <w:bottom w:val="single" w:sz="4" w:space="0" w:color="auto"/>
              <w:right w:val="nil"/>
            </w:tcBorders>
            <w:shd w:val="clear" w:color="auto" w:fill="auto"/>
            <w:noWrap/>
            <w:vAlign w:val="center"/>
            <w:hideMark/>
          </w:tcPr>
          <w:p w:rsidR="004D6E32" w:rsidRPr="00AB7495" w:rsidRDefault="004D6E32" w:rsidP="00833D7B">
            <w:pPr>
              <w:spacing w:after="0" w:line="240" w:lineRule="auto"/>
              <w:rPr>
                <w:rFonts w:ascii="Calibri" w:eastAsia="Times New Roman" w:hAnsi="Calibri" w:cs="Calibri"/>
                <w:b/>
                <w:color w:val="000000"/>
                <w:sz w:val="16"/>
                <w:szCs w:val="16"/>
                <w:lang w:eastAsia="it-IT"/>
              </w:rPr>
            </w:pPr>
            <w:r>
              <w:rPr>
                <w:rFonts w:ascii="Calibri" w:eastAsia="Times New Roman" w:hAnsi="Calibri" w:cs="Calibri"/>
                <w:b/>
                <w:color w:val="000000"/>
                <w:sz w:val="16"/>
                <w:szCs w:val="16"/>
                <w:lang w:eastAsia="it-IT"/>
              </w:rPr>
              <w:t>Innovation</w:t>
            </w:r>
          </w:p>
        </w:tc>
        <w:tc>
          <w:tcPr>
            <w:tcW w:w="1082" w:type="pct"/>
            <w:gridSpan w:val="2"/>
            <w:tcBorders>
              <w:top w:val="single" w:sz="4" w:space="0" w:color="auto"/>
              <w:left w:val="nil"/>
              <w:bottom w:val="single" w:sz="4" w:space="0" w:color="auto"/>
              <w:right w:val="nil"/>
            </w:tcBorders>
            <w:vAlign w:val="center"/>
          </w:tcPr>
          <w:p w:rsidR="004D6E32" w:rsidRPr="00AB7495" w:rsidRDefault="004D6E32" w:rsidP="00833D7B">
            <w:pPr>
              <w:spacing w:after="0" w:line="240" w:lineRule="auto"/>
              <w:jc w:val="center"/>
              <w:rPr>
                <w:rFonts w:ascii="Calibri" w:eastAsia="Times New Roman" w:hAnsi="Calibri" w:cs="Calibri"/>
                <w:b/>
                <w:color w:val="000000"/>
                <w:sz w:val="16"/>
                <w:szCs w:val="16"/>
                <w:lang w:eastAsia="it-IT"/>
              </w:rPr>
            </w:pPr>
            <w:r>
              <w:rPr>
                <w:rFonts w:ascii="Calibri" w:eastAsia="Times New Roman" w:hAnsi="Calibri" w:cs="Calibri"/>
                <w:b/>
                <w:color w:val="000000"/>
                <w:sz w:val="16"/>
                <w:szCs w:val="16"/>
                <w:lang w:eastAsia="it-IT"/>
              </w:rPr>
              <w:t>Average c</w:t>
            </w:r>
            <w:r w:rsidRPr="00AB7495">
              <w:rPr>
                <w:rFonts w:ascii="Calibri" w:eastAsia="Times New Roman" w:hAnsi="Calibri" w:cs="Calibri"/>
                <w:b/>
                <w:color w:val="000000"/>
                <w:sz w:val="16"/>
                <w:szCs w:val="16"/>
                <w:lang w:eastAsia="it-IT"/>
              </w:rPr>
              <w:t>onsumption expenditure</w:t>
            </w:r>
          </w:p>
        </w:tc>
        <w:tc>
          <w:tcPr>
            <w:tcW w:w="738" w:type="pct"/>
            <w:tcBorders>
              <w:top w:val="single" w:sz="4" w:space="0" w:color="auto"/>
              <w:left w:val="nil"/>
              <w:bottom w:val="single" w:sz="4" w:space="0" w:color="auto"/>
              <w:right w:val="nil"/>
            </w:tcBorders>
            <w:shd w:val="clear" w:color="auto" w:fill="auto"/>
            <w:vAlign w:val="center"/>
            <w:hideMark/>
          </w:tcPr>
          <w:p w:rsidR="004D6E32" w:rsidRPr="00AB7495" w:rsidRDefault="004D6E32" w:rsidP="00833D7B">
            <w:pPr>
              <w:spacing w:after="0" w:line="240" w:lineRule="auto"/>
              <w:jc w:val="center"/>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Inequality index</w:t>
            </w:r>
          </w:p>
        </w:tc>
        <w:tc>
          <w:tcPr>
            <w:tcW w:w="829" w:type="pct"/>
            <w:tcBorders>
              <w:top w:val="single" w:sz="4" w:space="0" w:color="auto"/>
              <w:left w:val="nil"/>
              <w:bottom w:val="single" w:sz="4" w:space="0" w:color="auto"/>
              <w:right w:val="nil"/>
            </w:tcBorders>
            <w:shd w:val="clear" w:color="auto" w:fill="auto"/>
            <w:vAlign w:val="center"/>
            <w:hideMark/>
          </w:tcPr>
          <w:p w:rsidR="004D6E32" w:rsidRPr="00AB7495" w:rsidRDefault="004D6E32" w:rsidP="00833D7B">
            <w:pPr>
              <w:spacing w:after="0" w:line="240" w:lineRule="auto"/>
              <w:jc w:val="center"/>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Relative poverty incidence</w:t>
            </w:r>
          </w:p>
        </w:tc>
        <w:tc>
          <w:tcPr>
            <w:tcW w:w="988" w:type="pct"/>
            <w:tcBorders>
              <w:top w:val="single" w:sz="4" w:space="0" w:color="auto"/>
              <w:left w:val="nil"/>
              <w:bottom w:val="single" w:sz="4" w:space="0" w:color="auto"/>
              <w:right w:val="nil"/>
            </w:tcBorders>
            <w:vAlign w:val="center"/>
          </w:tcPr>
          <w:p w:rsidR="004D6E32" w:rsidRPr="00AB7495" w:rsidRDefault="004D6E32" w:rsidP="00833D7B">
            <w:pPr>
              <w:spacing w:after="0" w:line="240" w:lineRule="auto"/>
              <w:jc w:val="center"/>
              <w:rPr>
                <w:rFonts w:ascii="Calibri" w:eastAsia="Times New Roman" w:hAnsi="Calibri" w:cs="Calibri"/>
                <w:b/>
                <w:color w:val="000000"/>
                <w:sz w:val="16"/>
                <w:szCs w:val="16"/>
                <w:lang w:eastAsia="it-IT"/>
              </w:rPr>
            </w:pPr>
            <w:r w:rsidRPr="00AB7495">
              <w:rPr>
                <w:rFonts w:ascii="Calibri" w:eastAsia="Times New Roman" w:hAnsi="Calibri" w:cs="Calibri"/>
                <w:b/>
                <w:color w:val="000000"/>
                <w:sz w:val="16"/>
                <w:szCs w:val="16"/>
                <w:lang w:eastAsia="it-IT"/>
              </w:rPr>
              <w:t>Absolute poverty incidence</w:t>
            </w:r>
          </w:p>
        </w:tc>
      </w:tr>
      <w:tr w:rsidR="004D6E32" w:rsidRPr="00AB7495" w:rsidTr="00833D7B">
        <w:trPr>
          <w:trHeight w:val="81"/>
        </w:trPr>
        <w:tc>
          <w:tcPr>
            <w:tcW w:w="1363" w:type="pct"/>
            <w:tcBorders>
              <w:top w:val="nil"/>
              <w:left w:val="nil"/>
              <w:bottom w:val="nil"/>
              <w:right w:val="nil"/>
            </w:tcBorders>
            <w:shd w:val="clear" w:color="auto" w:fill="auto"/>
            <w:noWrap/>
            <w:vAlign w:val="bottom"/>
            <w:hideMark/>
          </w:tcPr>
          <w:p w:rsidR="004D6E32" w:rsidRPr="00AB7495" w:rsidRDefault="004D6E32" w:rsidP="00833D7B">
            <w:pPr>
              <w:spacing w:after="0" w:line="240" w:lineRule="auto"/>
              <w:rPr>
                <w:rFonts w:ascii="Calibri" w:eastAsia="Times New Roman" w:hAnsi="Calibri" w:cs="Calibri"/>
                <w:i/>
                <w:color w:val="000000"/>
                <w:sz w:val="16"/>
                <w:szCs w:val="16"/>
                <w:lang w:eastAsia="it-IT"/>
              </w:rPr>
            </w:pPr>
            <w:r>
              <w:rPr>
                <w:rFonts w:ascii="Calibri" w:eastAsia="Times New Roman" w:hAnsi="Calibri" w:cs="Calibri"/>
                <w:i/>
                <w:color w:val="000000"/>
                <w:sz w:val="16"/>
                <w:szCs w:val="16"/>
                <w:lang w:eastAsia="it-IT"/>
              </w:rPr>
              <w:t>Extending r</w:t>
            </w:r>
            <w:r w:rsidRPr="00AB7495">
              <w:rPr>
                <w:rFonts w:ascii="Calibri" w:eastAsia="Times New Roman" w:hAnsi="Calibri" w:cs="Calibri"/>
                <w:i/>
                <w:color w:val="000000"/>
                <w:sz w:val="16"/>
                <w:szCs w:val="16"/>
                <w:lang w:eastAsia="it-IT"/>
              </w:rPr>
              <w:t>eference periods</w:t>
            </w:r>
          </w:p>
        </w:tc>
        <w:tc>
          <w:tcPr>
            <w:tcW w:w="1076" w:type="pct"/>
            <w:tcBorders>
              <w:top w:val="nil"/>
              <w:left w:val="nil"/>
              <w:bottom w:val="nil"/>
              <w:right w:val="nil"/>
            </w:tcBorders>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743" w:type="pct"/>
            <w:gridSpan w:val="2"/>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829" w:type="pct"/>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c>
          <w:tcPr>
            <w:tcW w:w="988" w:type="pct"/>
            <w:tcBorders>
              <w:top w:val="nil"/>
              <w:left w:val="nil"/>
              <w:bottom w:val="nil"/>
              <w:right w:val="nil"/>
            </w:tcBorders>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r>
      <w:tr w:rsidR="004D6E32" w:rsidRPr="00AB7495" w:rsidTr="00833D7B">
        <w:tc>
          <w:tcPr>
            <w:tcW w:w="1363" w:type="pct"/>
            <w:tcBorders>
              <w:top w:val="nil"/>
              <w:left w:val="nil"/>
              <w:bottom w:val="nil"/>
              <w:right w:val="nil"/>
            </w:tcBorders>
            <w:shd w:val="clear" w:color="auto" w:fill="auto"/>
            <w:noWrap/>
            <w:vAlign w:val="bottom"/>
            <w:hideMark/>
          </w:tcPr>
          <w:p w:rsidR="004D6E32" w:rsidRPr="00AB7495" w:rsidRDefault="004D6E32" w:rsidP="00833D7B">
            <w:pPr>
              <w:spacing w:after="0" w:line="240" w:lineRule="auto"/>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Imput</w:t>
            </w:r>
            <w:r>
              <w:rPr>
                <w:rFonts w:ascii="Calibri" w:eastAsia="Times New Roman" w:hAnsi="Calibri" w:cs="Calibri"/>
                <w:i/>
                <w:color w:val="000000"/>
                <w:sz w:val="16"/>
                <w:szCs w:val="16"/>
                <w:lang w:eastAsia="it-IT"/>
              </w:rPr>
              <w:t xml:space="preserve">ing zero </w:t>
            </w:r>
            <w:r w:rsidRPr="00AB7495">
              <w:rPr>
                <w:rFonts w:ascii="Calibri" w:eastAsia="Times New Roman" w:hAnsi="Calibri" w:cs="Calibri"/>
                <w:i/>
                <w:color w:val="000000"/>
                <w:sz w:val="16"/>
                <w:szCs w:val="16"/>
                <w:lang w:eastAsia="it-IT"/>
              </w:rPr>
              <w:t>expenditures</w:t>
            </w:r>
          </w:p>
        </w:tc>
        <w:tc>
          <w:tcPr>
            <w:tcW w:w="1076" w:type="pct"/>
            <w:tcBorders>
              <w:top w:val="nil"/>
              <w:left w:val="nil"/>
              <w:bottom w:val="nil"/>
              <w:right w:val="nil"/>
            </w:tcBorders>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743" w:type="pct"/>
            <w:gridSpan w:val="2"/>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829" w:type="pct"/>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c>
          <w:tcPr>
            <w:tcW w:w="988" w:type="pct"/>
            <w:tcBorders>
              <w:top w:val="nil"/>
              <w:left w:val="nil"/>
              <w:bottom w:val="nil"/>
              <w:right w:val="nil"/>
            </w:tcBorders>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r>
      <w:tr w:rsidR="004D6E32" w:rsidRPr="00AB7495" w:rsidTr="00833D7B">
        <w:tc>
          <w:tcPr>
            <w:tcW w:w="1363" w:type="pct"/>
            <w:tcBorders>
              <w:top w:val="nil"/>
              <w:left w:val="nil"/>
              <w:bottom w:val="nil"/>
              <w:right w:val="nil"/>
            </w:tcBorders>
            <w:shd w:val="clear" w:color="auto" w:fill="auto"/>
            <w:noWrap/>
            <w:vAlign w:val="bottom"/>
            <w:hideMark/>
          </w:tcPr>
          <w:p w:rsidR="004D6E32" w:rsidRPr="00AB7495" w:rsidRDefault="004D6E32" w:rsidP="00833D7B">
            <w:pPr>
              <w:spacing w:after="0" w:line="240" w:lineRule="auto"/>
              <w:rPr>
                <w:rFonts w:ascii="Calibri" w:eastAsia="Times New Roman" w:hAnsi="Calibri" w:cs="Calibri"/>
                <w:i/>
                <w:color w:val="000000"/>
                <w:sz w:val="16"/>
                <w:szCs w:val="16"/>
                <w:lang w:eastAsia="it-IT"/>
              </w:rPr>
            </w:pPr>
            <w:r>
              <w:rPr>
                <w:rFonts w:ascii="Calibri" w:eastAsia="Times New Roman" w:hAnsi="Calibri" w:cs="Calibri"/>
                <w:i/>
                <w:color w:val="000000"/>
                <w:sz w:val="16"/>
                <w:szCs w:val="16"/>
                <w:lang w:eastAsia="it-IT"/>
              </w:rPr>
              <w:t>Splitting expenditure items</w:t>
            </w:r>
          </w:p>
        </w:tc>
        <w:tc>
          <w:tcPr>
            <w:tcW w:w="1076" w:type="pct"/>
            <w:tcBorders>
              <w:top w:val="nil"/>
              <w:left w:val="nil"/>
              <w:bottom w:val="nil"/>
              <w:right w:val="nil"/>
            </w:tcBorders>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743" w:type="pct"/>
            <w:gridSpan w:val="2"/>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829" w:type="pct"/>
            <w:tcBorders>
              <w:top w:val="nil"/>
              <w:left w:val="nil"/>
              <w:bottom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c>
          <w:tcPr>
            <w:tcW w:w="988" w:type="pct"/>
            <w:tcBorders>
              <w:top w:val="nil"/>
              <w:left w:val="nil"/>
              <w:bottom w:val="nil"/>
              <w:right w:val="nil"/>
            </w:tcBorders>
            <w:vAlign w:val="center"/>
          </w:tcPr>
          <w:p w:rsidR="004D6E32" w:rsidRPr="00AB7495" w:rsidRDefault="004D6E32" w:rsidP="00833D7B">
            <w:pPr>
              <w:spacing w:after="0" w:line="240" w:lineRule="auto"/>
              <w:ind w:right="613"/>
              <w:jc w:val="right"/>
              <w:rPr>
                <w:rFonts w:ascii="Calibri" w:eastAsia="Times New Roman" w:hAnsi="Calibri" w:cs="Calibri"/>
                <w:i/>
                <w:color w:val="000000"/>
                <w:sz w:val="16"/>
                <w:szCs w:val="16"/>
                <w:lang w:eastAsia="it-IT"/>
              </w:rPr>
            </w:pPr>
            <w:r w:rsidRPr="00AB7495">
              <w:rPr>
                <w:rFonts w:ascii="Calibri" w:eastAsia="Times New Roman" w:hAnsi="Calibri" w:cs="Calibri"/>
                <w:i/>
                <w:color w:val="000000"/>
                <w:sz w:val="16"/>
                <w:szCs w:val="16"/>
                <w:lang w:eastAsia="it-IT"/>
              </w:rPr>
              <w:t>-</w:t>
            </w:r>
          </w:p>
        </w:tc>
      </w:tr>
      <w:tr w:rsidR="004D6E32" w:rsidRPr="00AB7495" w:rsidTr="00833D7B">
        <w:tc>
          <w:tcPr>
            <w:tcW w:w="1363" w:type="pct"/>
            <w:tcBorders>
              <w:top w:val="nil"/>
              <w:left w:val="nil"/>
              <w:right w:val="nil"/>
            </w:tcBorders>
            <w:shd w:val="clear" w:color="auto" w:fill="auto"/>
            <w:noWrap/>
            <w:vAlign w:val="bottom"/>
            <w:hideMark/>
          </w:tcPr>
          <w:p w:rsidR="004D6E32" w:rsidRPr="00AB7495" w:rsidRDefault="004D6E32" w:rsidP="00833D7B">
            <w:pPr>
              <w:spacing w:after="0" w:line="240" w:lineRule="auto"/>
              <w:rPr>
                <w:rFonts w:ascii="Calibri" w:eastAsia="Times New Roman" w:hAnsi="Calibri" w:cs="Calibri"/>
                <w:i/>
                <w:color w:val="000000"/>
                <w:sz w:val="16"/>
                <w:szCs w:val="16"/>
                <w:lang w:eastAsia="it-IT"/>
              </w:rPr>
            </w:pPr>
            <w:r>
              <w:rPr>
                <w:rFonts w:ascii="Calibri" w:eastAsia="Times New Roman" w:hAnsi="Calibri" w:cs="Calibri"/>
                <w:i/>
                <w:color w:val="000000"/>
                <w:sz w:val="16"/>
                <w:szCs w:val="16"/>
                <w:lang w:eastAsia="it-IT"/>
              </w:rPr>
              <w:t>Introducing n</w:t>
            </w:r>
            <w:r w:rsidRPr="00AB7495">
              <w:rPr>
                <w:rFonts w:ascii="Calibri" w:eastAsia="Times New Roman" w:hAnsi="Calibri" w:cs="Calibri"/>
                <w:i/>
                <w:color w:val="000000"/>
                <w:sz w:val="16"/>
                <w:szCs w:val="16"/>
                <w:lang w:eastAsia="it-IT"/>
              </w:rPr>
              <w:t xml:space="preserve">ew items </w:t>
            </w:r>
          </w:p>
        </w:tc>
        <w:tc>
          <w:tcPr>
            <w:tcW w:w="1076" w:type="pct"/>
            <w:tcBorders>
              <w:top w:val="nil"/>
              <w:left w:val="nil"/>
              <w:right w:val="nil"/>
            </w:tcBorders>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743" w:type="pct"/>
            <w:gridSpan w:val="2"/>
            <w:tcBorders>
              <w:top w:val="nil"/>
              <w:left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829" w:type="pct"/>
            <w:tcBorders>
              <w:top w:val="nil"/>
              <w:left w:val="nil"/>
              <w:right w:val="nil"/>
            </w:tcBorders>
            <w:shd w:val="clear" w:color="auto" w:fill="auto"/>
            <w:noWrap/>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c>
          <w:tcPr>
            <w:tcW w:w="988" w:type="pct"/>
            <w:tcBorders>
              <w:top w:val="nil"/>
              <w:left w:val="nil"/>
              <w:right w:val="nil"/>
            </w:tcBorders>
            <w:vAlign w:val="center"/>
          </w:tcPr>
          <w:p w:rsidR="004D6E32" w:rsidRPr="00AB7495" w:rsidRDefault="004D6E32" w:rsidP="00833D7B">
            <w:pPr>
              <w:spacing w:after="0" w:line="240" w:lineRule="auto"/>
              <w:ind w:right="613"/>
              <w:jc w:val="right"/>
              <w:rPr>
                <w:rFonts w:ascii="Calibri" w:eastAsia="Times New Roman" w:hAnsi="Calibri" w:cs="Calibri"/>
                <w:i/>
                <w:iCs/>
                <w:color w:val="000000"/>
                <w:sz w:val="16"/>
                <w:szCs w:val="16"/>
                <w:lang w:eastAsia="it-IT"/>
              </w:rPr>
            </w:pPr>
            <w:r w:rsidRPr="00AB7495">
              <w:rPr>
                <w:rFonts w:ascii="Calibri" w:eastAsia="Times New Roman" w:hAnsi="Calibri" w:cs="Calibri"/>
                <w:i/>
                <w:iCs/>
                <w:color w:val="000000"/>
                <w:sz w:val="16"/>
                <w:szCs w:val="16"/>
                <w:lang w:eastAsia="it-IT"/>
              </w:rPr>
              <w:t>-</w:t>
            </w:r>
          </w:p>
        </w:tc>
      </w:tr>
      <w:tr w:rsidR="004D6E32" w:rsidRPr="00AB7495" w:rsidTr="00833D7B">
        <w:tc>
          <w:tcPr>
            <w:tcW w:w="1363" w:type="pct"/>
            <w:tcBorders>
              <w:top w:val="nil"/>
              <w:left w:val="nil"/>
              <w:bottom w:val="nil"/>
              <w:right w:val="nil"/>
            </w:tcBorders>
            <w:shd w:val="clear" w:color="auto" w:fill="auto"/>
            <w:noWrap/>
            <w:vAlign w:val="bottom"/>
            <w:hideMark/>
          </w:tcPr>
          <w:p w:rsidR="004D6E32" w:rsidRPr="00AB7495" w:rsidRDefault="004D6E32" w:rsidP="00833D7B">
            <w:pPr>
              <w:spacing w:after="0" w:line="240" w:lineRule="auto"/>
              <w:rPr>
                <w:rFonts w:ascii="Calibri" w:eastAsia="Times New Roman" w:hAnsi="Calibri" w:cs="Calibri"/>
                <w:color w:val="000000"/>
                <w:sz w:val="16"/>
                <w:szCs w:val="16"/>
                <w:lang w:eastAsia="it-IT"/>
              </w:rPr>
            </w:pPr>
            <w:r>
              <w:rPr>
                <w:rFonts w:ascii="Calibri" w:eastAsia="Times New Roman" w:hAnsi="Calibri" w:cs="Calibri"/>
                <w:i/>
                <w:color w:val="000000"/>
                <w:sz w:val="16"/>
                <w:szCs w:val="16"/>
                <w:lang w:eastAsia="it-IT"/>
              </w:rPr>
              <w:t>Adopting the n</w:t>
            </w:r>
            <w:r w:rsidRPr="00AB7495">
              <w:rPr>
                <w:rFonts w:ascii="Calibri" w:eastAsia="Times New Roman" w:hAnsi="Calibri" w:cs="Calibri"/>
                <w:i/>
                <w:color w:val="000000"/>
                <w:sz w:val="16"/>
                <w:szCs w:val="16"/>
                <w:lang w:eastAsia="it-IT"/>
              </w:rPr>
              <w:t xml:space="preserve">ew weighting system </w:t>
            </w:r>
          </w:p>
        </w:tc>
        <w:tc>
          <w:tcPr>
            <w:tcW w:w="1076" w:type="pct"/>
            <w:tcBorders>
              <w:top w:val="nil"/>
              <w:left w:val="nil"/>
              <w:bottom w:val="nil"/>
              <w:right w:val="nil"/>
            </w:tcBorders>
          </w:tcPr>
          <w:p w:rsidR="004D6E32" w:rsidRPr="003D0F19" w:rsidRDefault="004D6E32" w:rsidP="00833D7B">
            <w:pPr>
              <w:spacing w:after="0" w:line="240" w:lineRule="auto"/>
              <w:ind w:right="613"/>
              <w:jc w:val="right"/>
              <w:rPr>
                <w:rFonts w:ascii="Calibri" w:eastAsia="Times New Roman" w:hAnsi="Calibri" w:cs="Calibri"/>
                <w:bCs/>
                <w:color w:val="000000"/>
                <w:sz w:val="16"/>
                <w:szCs w:val="16"/>
                <w:lang w:eastAsia="it-IT"/>
              </w:rPr>
            </w:pPr>
            <w:r w:rsidRPr="003D0F19">
              <w:rPr>
                <w:rFonts w:ascii="Calibri" w:eastAsia="Times New Roman" w:hAnsi="Calibri" w:cs="Calibri"/>
                <w:bCs/>
                <w:color w:val="000000"/>
                <w:sz w:val="16"/>
                <w:szCs w:val="16"/>
                <w:lang w:eastAsia="it-IT"/>
              </w:rPr>
              <w:t>-</w:t>
            </w:r>
          </w:p>
        </w:tc>
        <w:tc>
          <w:tcPr>
            <w:tcW w:w="743" w:type="pct"/>
            <w:gridSpan w:val="2"/>
            <w:tcBorders>
              <w:top w:val="nil"/>
              <w:left w:val="nil"/>
              <w:bottom w:val="nil"/>
              <w:right w:val="nil"/>
            </w:tcBorders>
            <w:shd w:val="clear" w:color="auto" w:fill="auto"/>
            <w:noWrap/>
            <w:vAlign w:val="center"/>
          </w:tcPr>
          <w:p w:rsidR="004D6E32" w:rsidRPr="003D0F19" w:rsidRDefault="004D6E32" w:rsidP="00833D7B">
            <w:pPr>
              <w:spacing w:after="0" w:line="240" w:lineRule="auto"/>
              <w:ind w:right="613"/>
              <w:jc w:val="right"/>
              <w:rPr>
                <w:rFonts w:ascii="Calibri" w:eastAsia="Times New Roman" w:hAnsi="Calibri" w:cs="Calibri"/>
                <w:bCs/>
                <w:color w:val="000000"/>
                <w:sz w:val="16"/>
                <w:szCs w:val="16"/>
                <w:lang w:eastAsia="it-IT"/>
              </w:rPr>
            </w:pPr>
            <w:r w:rsidRPr="003D0F19">
              <w:rPr>
                <w:rFonts w:ascii="Calibri" w:eastAsia="Times New Roman" w:hAnsi="Calibri" w:cs="Calibri"/>
                <w:bCs/>
                <w:color w:val="000000"/>
                <w:sz w:val="16"/>
                <w:szCs w:val="16"/>
                <w:lang w:eastAsia="it-IT"/>
              </w:rPr>
              <w:t>-</w:t>
            </w:r>
          </w:p>
        </w:tc>
        <w:tc>
          <w:tcPr>
            <w:tcW w:w="829" w:type="pct"/>
            <w:tcBorders>
              <w:top w:val="nil"/>
              <w:left w:val="nil"/>
              <w:bottom w:val="nil"/>
              <w:right w:val="nil"/>
            </w:tcBorders>
            <w:shd w:val="clear" w:color="auto" w:fill="auto"/>
            <w:noWrap/>
            <w:vAlign w:val="center"/>
          </w:tcPr>
          <w:p w:rsidR="004D6E32" w:rsidRPr="003D0F19" w:rsidRDefault="004D6E32" w:rsidP="00833D7B">
            <w:pPr>
              <w:spacing w:after="0" w:line="240" w:lineRule="auto"/>
              <w:ind w:right="613"/>
              <w:jc w:val="right"/>
              <w:rPr>
                <w:rFonts w:ascii="Calibri" w:eastAsia="Times New Roman" w:hAnsi="Calibri" w:cs="Calibri"/>
                <w:bCs/>
                <w:i/>
                <w:iCs/>
                <w:color w:val="000000"/>
                <w:sz w:val="16"/>
                <w:szCs w:val="16"/>
                <w:lang w:eastAsia="it-IT"/>
              </w:rPr>
            </w:pPr>
            <w:r w:rsidRPr="003D0F19">
              <w:rPr>
                <w:rFonts w:ascii="Calibri" w:eastAsia="Times New Roman" w:hAnsi="Calibri" w:cs="Calibri"/>
                <w:bCs/>
                <w:i/>
                <w:iCs/>
                <w:color w:val="000000"/>
                <w:sz w:val="16"/>
                <w:szCs w:val="16"/>
                <w:lang w:eastAsia="it-IT"/>
              </w:rPr>
              <w:t>-</w:t>
            </w:r>
          </w:p>
        </w:tc>
        <w:tc>
          <w:tcPr>
            <w:tcW w:w="988" w:type="pct"/>
            <w:tcBorders>
              <w:top w:val="nil"/>
              <w:left w:val="nil"/>
              <w:bottom w:val="nil"/>
              <w:right w:val="nil"/>
            </w:tcBorders>
            <w:vAlign w:val="center"/>
          </w:tcPr>
          <w:p w:rsidR="004D6E32" w:rsidRPr="003D0F19" w:rsidRDefault="004D6E32" w:rsidP="00833D7B">
            <w:pPr>
              <w:spacing w:after="0" w:line="240" w:lineRule="auto"/>
              <w:ind w:right="613"/>
              <w:jc w:val="right"/>
              <w:rPr>
                <w:rFonts w:ascii="Calibri" w:eastAsia="Times New Roman" w:hAnsi="Calibri" w:cs="Calibri"/>
                <w:bCs/>
                <w:i/>
                <w:iCs/>
                <w:color w:val="000000"/>
                <w:sz w:val="16"/>
                <w:szCs w:val="16"/>
                <w:lang w:eastAsia="it-IT"/>
              </w:rPr>
            </w:pPr>
            <w:r w:rsidRPr="003D0F19">
              <w:rPr>
                <w:rFonts w:ascii="Calibri" w:eastAsia="Times New Roman" w:hAnsi="Calibri" w:cs="Calibri"/>
                <w:bCs/>
                <w:i/>
                <w:iCs/>
                <w:color w:val="000000"/>
                <w:sz w:val="16"/>
                <w:szCs w:val="16"/>
                <w:lang w:eastAsia="it-IT"/>
              </w:rPr>
              <w:t>+</w:t>
            </w:r>
          </w:p>
        </w:tc>
      </w:tr>
      <w:tr w:rsidR="004D6E32" w:rsidRPr="003D0F19" w:rsidTr="00833D7B">
        <w:tc>
          <w:tcPr>
            <w:tcW w:w="1363" w:type="pct"/>
            <w:tcBorders>
              <w:top w:val="nil"/>
              <w:left w:val="nil"/>
              <w:bottom w:val="single" w:sz="4" w:space="0" w:color="auto"/>
              <w:right w:val="nil"/>
            </w:tcBorders>
            <w:shd w:val="clear" w:color="auto" w:fill="auto"/>
            <w:noWrap/>
            <w:vAlign w:val="bottom"/>
          </w:tcPr>
          <w:p w:rsidR="004D6E32" w:rsidRPr="003D0F19" w:rsidRDefault="004D6E32" w:rsidP="00833D7B">
            <w:pPr>
              <w:spacing w:after="0" w:line="240" w:lineRule="auto"/>
              <w:rPr>
                <w:rFonts w:ascii="Calibri" w:eastAsia="Times New Roman" w:hAnsi="Calibri" w:cs="Calibri"/>
                <w:b/>
                <w:i/>
                <w:color w:val="000000"/>
                <w:sz w:val="16"/>
                <w:szCs w:val="16"/>
                <w:lang w:eastAsia="it-IT"/>
              </w:rPr>
            </w:pPr>
            <w:r w:rsidRPr="003D0F19">
              <w:rPr>
                <w:rFonts w:ascii="Calibri" w:eastAsia="Times New Roman" w:hAnsi="Calibri" w:cs="Calibri"/>
                <w:b/>
                <w:i/>
                <w:color w:val="000000"/>
                <w:sz w:val="16"/>
                <w:szCs w:val="16"/>
                <w:lang w:eastAsia="it-IT"/>
              </w:rPr>
              <w:t>Global effect</w:t>
            </w:r>
          </w:p>
        </w:tc>
        <w:tc>
          <w:tcPr>
            <w:tcW w:w="1076" w:type="pct"/>
            <w:tcBorders>
              <w:top w:val="nil"/>
              <w:left w:val="nil"/>
              <w:bottom w:val="single" w:sz="4" w:space="0" w:color="auto"/>
              <w:right w:val="nil"/>
            </w:tcBorders>
          </w:tcPr>
          <w:p w:rsidR="004D6E32" w:rsidRPr="003D0F19" w:rsidRDefault="004D6E32" w:rsidP="00833D7B">
            <w:pPr>
              <w:spacing w:after="0" w:line="240" w:lineRule="auto"/>
              <w:ind w:right="613"/>
              <w:jc w:val="right"/>
              <w:rPr>
                <w:rFonts w:ascii="Calibri" w:eastAsia="Times New Roman" w:hAnsi="Calibri" w:cs="Calibri"/>
                <w:b/>
                <w:bCs/>
                <w:color w:val="000000"/>
                <w:sz w:val="16"/>
                <w:szCs w:val="16"/>
                <w:lang w:eastAsia="it-IT"/>
              </w:rPr>
            </w:pPr>
            <w:r>
              <w:rPr>
                <w:rFonts w:ascii="Calibri" w:eastAsia="Times New Roman" w:hAnsi="Calibri" w:cs="Calibri"/>
                <w:b/>
                <w:bCs/>
                <w:color w:val="000000"/>
                <w:sz w:val="16"/>
                <w:szCs w:val="16"/>
                <w:lang w:eastAsia="it-IT"/>
              </w:rPr>
              <w:t>+</w:t>
            </w:r>
          </w:p>
        </w:tc>
        <w:tc>
          <w:tcPr>
            <w:tcW w:w="743" w:type="pct"/>
            <w:gridSpan w:val="2"/>
            <w:tcBorders>
              <w:top w:val="nil"/>
              <w:left w:val="nil"/>
              <w:bottom w:val="single" w:sz="4" w:space="0" w:color="auto"/>
              <w:right w:val="nil"/>
            </w:tcBorders>
            <w:shd w:val="clear" w:color="auto" w:fill="auto"/>
            <w:noWrap/>
            <w:vAlign w:val="center"/>
          </w:tcPr>
          <w:p w:rsidR="004D6E32" w:rsidRPr="003D0F19" w:rsidRDefault="004D6E32" w:rsidP="00833D7B">
            <w:pPr>
              <w:spacing w:after="0" w:line="240" w:lineRule="auto"/>
              <w:ind w:right="613"/>
              <w:jc w:val="right"/>
              <w:rPr>
                <w:rFonts w:ascii="Calibri" w:eastAsia="Times New Roman" w:hAnsi="Calibri" w:cs="Calibri"/>
                <w:b/>
                <w:bCs/>
                <w:color w:val="000000"/>
                <w:sz w:val="16"/>
                <w:szCs w:val="16"/>
                <w:lang w:eastAsia="it-IT"/>
              </w:rPr>
            </w:pPr>
            <w:r>
              <w:rPr>
                <w:rFonts w:ascii="Calibri" w:eastAsia="Times New Roman" w:hAnsi="Calibri" w:cs="Calibri"/>
                <w:b/>
                <w:bCs/>
                <w:color w:val="000000"/>
                <w:sz w:val="16"/>
                <w:szCs w:val="16"/>
                <w:lang w:eastAsia="it-IT"/>
              </w:rPr>
              <w:t>-</w:t>
            </w:r>
          </w:p>
        </w:tc>
        <w:tc>
          <w:tcPr>
            <w:tcW w:w="829" w:type="pct"/>
            <w:tcBorders>
              <w:top w:val="nil"/>
              <w:left w:val="nil"/>
              <w:bottom w:val="single" w:sz="4" w:space="0" w:color="auto"/>
              <w:right w:val="nil"/>
            </w:tcBorders>
            <w:shd w:val="clear" w:color="auto" w:fill="auto"/>
            <w:noWrap/>
            <w:vAlign w:val="center"/>
          </w:tcPr>
          <w:p w:rsidR="004D6E32" w:rsidRPr="003D0F19" w:rsidRDefault="004D6E32" w:rsidP="00833D7B">
            <w:pPr>
              <w:spacing w:after="0" w:line="240" w:lineRule="auto"/>
              <w:ind w:right="613"/>
              <w:jc w:val="right"/>
              <w:rPr>
                <w:rFonts w:ascii="Calibri" w:eastAsia="Times New Roman" w:hAnsi="Calibri" w:cs="Calibri"/>
                <w:b/>
                <w:bCs/>
                <w:i/>
                <w:iCs/>
                <w:color w:val="000000"/>
                <w:sz w:val="16"/>
                <w:szCs w:val="16"/>
                <w:lang w:eastAsia="it-IT"/>
              </w:rPr>
            </w:pPr>
            <w:r>
              <w:rPr>
                <w:rFonts w:ascii="Calibri" w:eastAsia="Times New Roman" w:hAnsi="Calibri" w:cs="Calibri"/>
                <w:b/>
                <w:bCs/>
                <w:i/>
                <w:iCs/>
                <w:color w:val="000000"/>
                <w:sz w:val="16"/>
                <w:szCs w:val="16"/>
                <w:lang w:eastAsia="it-IT"/>
              </w:rPr>
              <w:t>-</w:t>
            </w:r>
          </w:p>
        </w:tc>
        <w:tc>
          <w:tcPr>
            <w:tcW w:w="988" w:type="pct"/>
            <w:tcBorders>
              <w:top w:val="nil"/>
              <w:left w:val="nil"/>
              <w:bottom w:val="single" w:sz="4" w:space="0" w:color="auto"/>
              <w:right w:val="nil"/>
            </w:tcBorders>
            <w:vAlign w:val="center"/>
          </w:tcPr>
          <w:p w:rsidR="004D6E32" w:rsidRPr="003D0F19" w:rsidRDefault="004D6E32" w:rsidP="00833D7B">
            <w:pPr>
              <w:spacing w:after="0" w:line="240" w:lineRule="auto"/>
              <w:ind w:right="613"/>
              <w:jc w:val="right"/>
              <w:rPr>
                <w:rFonts w:ascii="Calibri" w:eastAsia="Times New Roman" w:hAnsi="Calibri" w:cs="Calibri"/>
                <w:b/>
                <w:bCs/>
                <w:i/>
                <w:iCs/>
                <w:color w:val="000000"/>
                <w:sz w:val="16"/>
                <w:szCs w:val="16"/>
                <w:lang w:eastAsia="it-IT"/>
              </w:rPr>
            </w:pPr>
            <w:r>
              <w:rPr>
                <w:rFonts w:ascii="Calibri" w:eastAsia="Times New Roman" w:hAnsi="Calibri" w:cs="Calibri"/>
                <w:b/>
                <w:bCs/>
                <w:i/>
                <w:iCs/>
                <w:color w:val="000000"/>
                <w:sz w:val="16"/>
                <w:szCs w:val="16"/>
                <w:lang w:eastAsia="it-IT"/>
              </w:rPr>
              <w:t>-</w:t>
            </w:r>
          </w:p>
        </w:tc>
      </w:tr>
    </w:tbl>
    <w:p w:rsidR="00EA5759" w:rsidRPr="00B61522" w:rsidRDefault="00EA5759" w:rsidP="00EA5759">
      <w:pPr>
        <w:tabs>
          <w:tab w:val="left" w:pos="0"/>
        </w:tabs>
        <w:spacing w:line="254" w:lineRule="exact"/>
        <w:jc w:val="both"/>
        <w:rPr>
          <w:rFonts w:ascii="Arial" w:hAnsi="Arial" w:cs="Arial"/>
          <w:sz w:val="20"/>
          <w:szCs w:val="20"/>
        </w:rPr>
      </w:pPr>
    </w:p>
    <w:p w:rsidR="001C5CDC" w:rsidRPr="001C5CDC" w:rsidRDefault="001C5CDC" w:rsidP="006F0B33">
      <w:pPr>
        <w:spacing w:before="120" w:after="0" w:line="360" w:lineRule="auto"/>
        <w:jc w:val="both"/>
        <w:rPr>
          <w:rFonts w:ascii="Arial" w:hAnsi="Arial" w:cs="Arial"/>
          <w:sz w:val="24"/>
          <w:szCs w:val="24"/>
          <w:lang w:val="en-GB"/>
        </w:rPr>
      </w:pPr>
      <w:r w:rsidRPr="001C5CDC">
        <w:rPr>
          <w:rFonts w:ascii="Arial" w:hAnsi="Arial" w:cs="Arial"/>
          <w:sz w:val="24"/>
          <w:szCs w:val="24"/>
          <w:lang w:val="en-GB"/>
        </w:rPr>
        <w:t xml:space="preserve">When the new weighting system is introduced, more weight is given to </w:t>
      </w:r>
      <w:r w:rsidR="00603B76">
        <w:rPr>
          <w:rFonts w:ascii="Arial" w:hAnsi="Arial" w:cs="Arial"/>
          <w:sz w:val="24"/>
          <w:szCs w:val="24"/>
          <w:lang w:val="en-GB"/>
        </w:rPr>
        <w:t xml:space="preserve">the </w:t>
      </w:r>
      <w:r w:rsidRPr="001C5CDC">
        <w:rPr>
          <w:rFonts w:ascii="Arial" w:hAnsi="Arial" w:cs="Arial"/>
          <w:sz w:val="24"/>
          <w:szCs w:val="24"/>
          <w:lang w:val="en-GB"/>
        </w:rPr>
        <w:t>population with low level</w:t>
      </w:r>
      <w:r w:rsidR="00603B76">
        <w:rPr>
          <w:rFonts w:ascii="Arial" w:hAnsi="Arial" w:cs="Arial"/>
          <w:sz w:val="24"/>
          <w:szCs w:val="24"/>
          <w:lang w:val="en-GB"/>
        </w:rPr>
        <w:t>s</w:t>
      </w:r>
      <w:r w:rsidRPr="001C5CDC">
        <w:rPr>
          <w:rFonts w:ascii="Arial" w:hAnsi="Arial" w:cs="Arial"/>
          <w:sz w:val="24"/>
          <w:szCs w:val="24"/>
          <w:lang w:val="en-GB"/>
        </w:rPr>
        <w:t xml:space="preserve"> of consumption expenditure. This entails a reduction </w:t>
      </w:r>
      <w:r w:rsidR="00603B76">
        <w:rPr>
          <w:rFonts w:ascii="Arial" w:hAnsi="Arial" w:cs="Arial"/>
          <w:sz w:val="24"/>
          <w:szCs w:val="24"/>
          <w:lang w:val="en-GB"/>
        </w:rPr>
        <w:t xml:space="preserve">in levels, </w:t>
      </w:r>
      <w:r w:rsidRPr="001C5CDC">
        <w:rPr>
          <w:rFonts w:ascii="Arial" w:hAnsi="Arial" w:cs="Arial"/>
          <w:sz w:val="24"/>
          <w:szCs w:val="24"/>
          <w:lang w:val="en-GB"/>
        </w:rPr>
        <w:t xml:space="preserve">inequality and relative poverty (also the relative poverty line value decreases) and an increase in the absolute poverty, because the households with expenditure levels lower than the absolute poverty line are more heavily weighted. </w:t>
      </w:r>
    </w:p>
    <w:p w:rsidR="001C5CDC" w:rsidRPr="001C5CDC" w:rsidRDefault="001C5CDC" w:rsidP="006F0B33">
      <w:pPr>
        <w:spacing w:before="120" w:after="0" w:line="360" w:lineRule="auto"/>
        <w:jc w:val="both"/>
        <w:rPr>
          <w:rFonts w:ascii="Arial" w:hAnsi="Arial" w:cs="Arial"/>
          <w:sz w:val="24"/>
          <w:szCs w:val="24"/>
          <w:lang w:val="en-GB"/>
        </w:rPr>
      </w:pPr>
      <w:r w:rsidRPr="001C5CDC">
        <w:rPr>
          <w:rFonts w:ascii="Arial" w:hAnsi="Arial" w:cs="Arial"/>
          <w:sz w:val="24"/>
          <w:szCs w:val="24"/>
          <w:lang w:val="en-GB"/>
        </w:rPr>
        <w:t xml:space="preserve">When the reference period is extended, the reduction in the average consumption expenditure goes together with the reduction in inequality and poverty estimates because, as </w:t>
      </w:r>
      <w:r w:rsidR="00603B76">
        <w:rPr>
          <w:rFonts w:ascii="Arial" w:hAnsi="Arial" w:cs="Arial"/>
          <w:sz w:val="24"/>
          <w:szCs w:val="24"/>
          <w:lang w:val="en-GB"/>
        </w:rPr>
        <w:t>already pointed out</w:t>
      </w:r>
      <w:r w:rsidRPr="001C5CDC">
        <w:rPr>
          <w:rFonts w:ascii="Arial" w:hAnsi="Arial" w:cs="Arial"/>
          <w:sz w:val="24"/>
          <w:szCs w:val="24"/>
          <w:lang w:val="en-GB"/>
        </w:rPr>
        <w:t>, larger reference periods induce lower values for the highest deciles - of the consumption expenditure distribution - and higher values for the lowest ones.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D62BDA" w:rsidRPr="00D62BDA" w:rsidRDefault="00D62BDA" w:rsidP="00D62BDA">
      <w:pPr>
        <w:spacing w:before="120" w:after="0" w:line="360" w:lineRule="auto"/>
        <w:jc w:val="both"/>
        <w:rPr>
          <w:rFonts w:ascii="Arial" w:hAnsi="Arial" w:cs="Arial"/>
          <w:sz w:val="24"/>
          <w:szCs w:val="24"/>
          <w:lang w:val="en-GB"/>
        </w:rPr>
      </w:pPr>
      <w:r w:rsidRPr="00D62BDA">
        <w:rPr>
          <w:rFonts w:ascii="Arial" w:hAnsi="Arial" w:cs="Arial"/>
          <w:sz w:val="24"/>
          <w:szCs w:val="24"/>
          <w:lang w:val="en-GB"/>
        </w:rPr>
        <w:t xml:space="preserve">Carroll, C., </w:t>
      </w:r>
      <w:r>
        <w:rPr>
          <w:rFonts w:ascii="Arial" w:hAnsi="Arial" w:cs="Arial"/>
          <w:sz w:val="24"/>
          <w:szCs w:val="24"/>
          <w:lang w:val="en-GB"/>
        </w:rPr>
        <w:t>Crossley, T.F., Sabelhaus, J., e</w:t>
      </w:r>
      <w:r w:rsidRPr="00D62BDA">
        <w:rPr>
          <w:rFonts w:ascii="Arial" w:hAnsi="Arial" w:cs="Arial"/>
          <w:sz w:val="24"/>
          <w:szCs w:val="24"/>
          <w:lang w:val="en-GB"/>
        </w:rPr>
        <w:t>ds.</w:t>
      </w:r>
      <w:r>
        <w:rPr>
          <w:rFonts w:ascii="Arial" w:hAnsi="Arial" w:cs="Arial"/>
          <w:sz w:val="24"/>
          <w:szCs w:val="24"/>
          <w:lang w:val="en-GB"/>
        </w:rPr>
        <w:t xml:space="preserve"> (2015)</w:t>
      </w:r>
      <w:r w:rsidRPr="00D62BDA">
        <w:rPr>
          <w:rFonts w:ascii="Arial" w:hAnsi="Arial" w:cs="Arial"/>
          <w:sz w:val="24"/>
          <w:szCs w:val="24"/>
          <w:lang w:val="en-GB"/>
        </w:rPr>
        <w:t>, Improving the Measurement of Consumer Expenditures. NBER Studies in Income and Wealth, Volume 7</w:t>
      </w:r>
      <w:r>
        <w:rPr>
          <w:rFonts w:ascii="Arial" w:hAnsi="Arial" w:cs="Arial"/>
          <w:sz w:val="24"/>
          <w:szCs w:val="24"/>
          <w:lang w:val="en-GB"/>
        </w:rPr>
        <w:t xml:space="preserve">4. University of Chicago Press. </w:t>
      </w:r>
    </w:p>
    <w:p w:rsidR="00C661B0" w:rsidRDefault="00C661B0" w:rsidP="00C661B0">
      <w:pPr>
        <w:spacing w:before="120" w:after="0" w:line="360" w:lineRule="auto"/>
        <w:jc w:val="both"/>
        <w:rPr>
          <w:rFonts w:ascii="Arial" w:hAnsi="Arial" w:cs="Arial"/>
          <w:sz w:val="24"/>
          <w:szCs w:val="24"/>
          <w:lang w:val="en-GB"/>
        </w:rPr>
      </w:pPr>
      <w:r w:rsidRPr="00C338D2">
        <w:rPr>
          <w:rFonts w:ascii="Arial" w:hAnsi="Arial" w:cs="Arial"/>
          <w:sz w:val="24"/>
          <w:szCs w:val="24"/>
          <w:lang w:val="en-GB"/>
        </w:rPr>
        <w:t>Cifaldi, G</w:t>
      </w:r>
      <w:r>
        <w:rPr>
          <w:rFonts w:ascii="Arial" w:hAnsi="Arial" w:cs="Arial"/>
          <w:sz w:val="24"/>
          <w:szCs w:val="24"/>
          <w:lang w:val="en-GB"/>
        </w:rPr>
        <w:t>.</w:t>
      </w:r>
      <w:r w:rsidRPr="00C338D2">
        <w:rPr>
          <w:rFonts w:ascii="Arial" w:hAnsi="Arial" w:cs="Arial"/>
          <w:sz w:val="24"/>
          <w:szCs w:val="24"/>
          <w:lang w:val="en-GB"/>
        </w:rPr>
        <w:t xml:space="preserve"> </w:t>
      </w:r>
      <w:r>
        <w:rPr>
          <w:rFonts w:ascii="Arial" w:hAnsi="Arial" w:cs="Arial"/>
          <w:sz w:val="24"/>
          <w:szCs w:val="24"/>
          <w:lang w:val="en-GB"/>
        </w:rPr>
        <w:t>and</w:t>
      </w:r>
      <w:r w:rsidRPr="00C338D2">
        <w:rPr>
          <w:rFonts w:ascii="Arial" w:hAnsi="Arial" w:cs="Arial"/>
          <w:sz w:val="24"/>
          <w:szCs w:val="24"/>
          <w:lang w:val="en-GB"/>
        </w:rPr>
        <w:t xml:space="preserve"> Neri, A. (2013)</w:t>
      </w:r>
      <w:r>
        <w:rPr>
          <w:rFonts w:ascii="Arial" w:hAnsi="Arial" w:cs="Arial"/>
          <w:sz w:val="24"/>
          <w:szCs w:val="24"/>
          <w:lang w:val="en-GB"/>
        </w:rPr>
        <w:t>,</w:t>
      </w:r>
      <w:r w:rsidRPr="00C338D2">
        <w:rPr>
          <w:rFonts w:ascii="Arial" w:hAnsi="Arial" w:cs="Arial"/>
          <w:sz w:val="24"/>
          <w:szCs w:val="24"/>
          <w:lang w:val="en-GB"/>
        </w:rPr>
        <w:t xml:space="preserve"> Asking Income and Consumption Questions in the Same Survey: What are the Risks?.SSRN Electronic Journal. 10.2139/ssrn.2259651.</w:t>
      </w:r>
    </w:p>
    <w:p w:rsidR="001B7DAF" w:rsidRDefault="001B7DAF" w:rsidP="001B7DAF">
      <w:pPr>
        <w:spacing w:before="120" w:after="0" w:line="360" w:lineRule="auto"/>
        <w:jc w:val="both"/>
        <w:rPr>
          <w:rFonts w:ascii="Arial" w:hAnsi="Arial" w:cs="Arial"/>
          <w:sz w:val="24"/>
          <w:szCs w:val="24"/>
          <w:lang w:val="en-GB"/>
        </w:rPr>
      </w:pPr>
      <w:r w:rsidRPr="001B7DAF">
        <w:rPr>
          <w:rFonts w:ascii="Arial" w:hAnsi="Arial" w:cs="Arial"/>
          <w:sz w:val="24"/>
          <w:szCs w:val="24"/>
          <w:lang w:val="en-GB"/>
        </w:rPr>
        <w:t>Grassi, D.</w:t>
      </w:r>
      <w:r>
        <w:rPr>
          <w:rFonts w:ascii="Arial" w:hAnsi="Arial" w:cs="Arial"/>
          <w:sz w:val="24"/>
          <w:szCs w:val="24"/>
          <w:lang w:val="en-GB"/>
        </w:rPr>
        <w:t xml:space="preserve"> and Pannuzi, N. eds.</w:t>
      </w:r>
      <w:r w:rsidRPr="001B7DAF">
        <w:rPr>
          <w:rFonts w:ascii="Arial" w:hAnsi="Arial" w:cs="Arial"/>
          <w:sz w:val="24"/>
          <w:szCs w:val="24"/>
          <w:lang w:val="en-GB"/>
        </w:rPr>
        <w:t xml:space="preserve"> (2015)</w:t>
      </w:r>
      <w:r>
        <w:rPr>
          <w:rFonts w:ascii="Arial" w:hAnsi="Arial" w:cs="Arial"/>
          <w:sz w:val="24"/>
          <w:szCs w:val="24"/>
          <w:lang w:val="en-GB"/>
        </w:rPr>
        <w:t>,</w:t>
      </w:r>
      <w:r w:rsidRPr="001B7DAF">
        <w:rPr>
          <w:rFonts w:ascii="Arial" w:hAnsi="Arial" w:cs="Arial"/>
          <w:sz w:val="24"/>
          <w:szCs w:val="24"/>
          <w:lang w:val="en-GB"/>
        </w:rPr>
        <w:t xml:space="preserve"> La nuova indagine sulle spese per consumi in Italia. </w:t>
      </w:r>
      <w:r w:rsidRPr="00EC5F5A">
        <w:rPr>
          <w:rFonts w:ascii="Arial" w:hAnsi="Arial" w:cs="Arial"/>
          <w:sz w:val="24"/>
          <w:szCs w:val="24"/>
          <w:lang w:val="en-GB"/>
        </w:rPr>
        <w:t xml:space="preserve">Available at: </w:t>
      </w:r>
      <w:r w:rsidRPr="001B7DAF">
        <w:rPr>
          <w:rFonts w:ascii="Arial" w:hAnsi="Arial" w:cs="Arial"/>
          <w:sz w:val="24"/>
          <w:szCs w:val="24"/>
          <w:lang w:val="en-GB"/>
        </w:rPr>
        <w:t xml:space="preserve">Metodi Istat series. </w:t>
      </w:r>
      <w:hyperlink r:id="rId13" w:history="1">
        <w:r w:rsidRPr="001B7DAF">
          <w:rPr>
            <w:rFonts w:ascii="Arial" w:hAnsi="Arial" w:cs="Arial"/>
            <w:sz w:val="24"/>
            <w:szCs w:val="24"/>
            <w:lang w:val="en-GB"/>
          </w:rPr>
          <w:t>https://www.istat.it/it/archivio/182165</w:t>
        </w:r>
      </w:hyperlink>
      <w:r w:rsidRPr="001B7DAF">
        <w:rPr>
          <w:rFonts w:ascii="Arial" w:hAnsi="Arial" w:cs="Arial"/>
          <w:sz w:val="24"/>
          <w:szCs w:val="24"/>
          <w:lang w:val="en-GB"/>
        </w:rPr>
        <w:t>.</w:t>
      </w:r>
    </w:p>
    <w:p w:rsidR="00387BDA" w:rsidRDefault="00387BDA">
      <w:pPr>
        <w:spacing w:before="120" w:after="0" w:line="360" w:lineRule="auto"/>
        <w:jc w:val="both"/>
        <w:rPr>
          <w:rFonts w:ascii="Arial" w:hAnsi="Arial" w:cs="Arial"/>
          <w:sz w:val="24"/>
          <w:szCs w:val="24"/>
          <w:lang w:val="en-GB"/>
        </w:rPr>
      </w:pPr>
      <w:r w:rsidRPr="00387BDA">
        <w:rPr>
          <w:rFonts w:ascii="Arial" w:hAnsi="Arial" w:cs="Arial"/>
          <w:sz w:val="24"/>
          <w:szCs w:val="24"/>
          <w:lang w:val="en-GB"/>
        </w:rPr>
        <w:t xml:space="preserve">Neter J., Waksberg J. (2012) A Study of Response Errors in Expenditures </w:t>
      </w:r>
      <w:r w:rsidR="00404453">
        <w:rPr>
          <w:rFonts w:ascii="Arial" w:hAnsi="Arial" w:cs="Arial"/>
          <w:sz w:val="24"/>
          <w:szCs w:val="24"/>
          <w:lang w:val="en-GB"/>
        </w:rPr>
        <w:t xml:space="preserve">Data from Household Interviews, </w:t>
      </w:r>
      <w:r w:rsidRPr="00387BDA">
        <w:rPr>
          <w:rFonts w:ascii="Arial" w:hAnsi="Arial" w:cs="Arial"/>
          <w:sz w:val="24"/>
          <w:szCs w:val="24"/>
          <w:lang w:val="en-GB"/>
        </w:rPr>
        <w:t>Journal of the American Statistical Association,</w:t>
      </w:r>
      <w:r w:rsidR="00404453">
        <w:rPr>
          <w:rFonts w:ascii="Arial" w:hAnsi="Arial" w:cs="Arial"/>
          <w:sz w:val="24"/>
          <w:szCs w:val="24"/>
          <w:lang w:val="en-GB"/>
        </w:rPr>
        <w:t xml:space="preserve"> 59:305, </w:t>
      </w:r>
      <w:r w:rsidRPr="00387BDA">
        <w:rPr>
          <w:rFonts w:ascii="Arial" w:hAnsi="Arial" w:cs="Arial"/>
          <w:sz w:val="24"/>
          <w:szCs w:val="24"/>
          <w:lang w:val="en-GB"/>
        </w:rPr>
        <w:t>18-55,</w:t>
      </w:r>
      <w:r w:rsidR="00404453">
        <w:rPr>
          <w:rFonts w:ascii="Arial" w:hAnsi="Arial" w:cs="Arial"/>
          <w:sz w:val="24"/>
          <w:szCs w:val="24"/>
          <w:lang w:val="en-GB"/>
        </w:rPr>
        <w:t xml:space="preserve"> </w:t>
      </w:r>
      <w:r w:rsidRPr="00387BDA">
        <w:rPr>
          <w:rFonts w:ascii="Arial" w:hAnsi="Arial" w:cs="Arial"/>
          <w:sz w:val="24"/>
          <w:szCs w:val="24"/>
          <w:lang w:val="en-GB"/>
        </w:rPr>
        <w:t>DOI:</w:t>
      </w:r>
      <w:hyperlink r:id="rId14" w:history="1">
        <w:r w:rsidRPr="00387BDA">
          <w:rPr>
            <w:rFonts w:ascii="Arial" w:hAnsi="Arial" w:cs="Arial"/>
            <w:sz w:val="24"/>
            <w:szCs w:val="24"/>
            <w:lang w:val="en-GB"/>
          </w:rPr>
          <w:t>10.1080/01621459.1964.10480699</w:t>
        </w:r>
      </w:hyperlink>
      <w:r w:rsidR="00404453">
        <w:rPr>
          <w:rFonts w:ascii="Arial" w:hAnsi="Arial" w:cs="Arial"/>
          <w:sz w:val="24"/>
          <w:szCs w:val="24"/>
          <w:lang w:val="en-GB"/>
        </w:rPr>
        <w:t>.</w:t>
      </w:r>
    </w:p>
    <w:p w:rsidR="006C3EBB" w:rsidRPr="00EC5F5A" w:rsidRDefault="005A1EF5">
      <w:pPr>
        <w:spacing w:before="120" w:after="0" w:line="360" w:lineRule="auto"/>
        <w:jc w:val="both"/>
        <w:rPr>
          <w:rFonts w:ascii="Arial" w:hAnsi="Arial" w:cs="Arial"/>
          <w:sz w:val="24"/>
          <w:szCs w:val="24"/>
          <w:lang w:val="en-GB"/>
        </w:rPr>
      </w:pPr>
      <w:r>
        <w:rPr>
          <w:rFonts w:ascii="Arial" w:hAnsi="Arial" w:cs="Arial"/>
          <w:sz w:val="24"/>
          <w:szCs w:val="24"/>
          <w:lang w:val="en-GB"/>
        </w:rPr>
        <w:t>V</w:t>
      </w:r>
      <w:r w:rsidR="006C3EBB" w:rsidRPr="006C3EBB">
        <w:rPr>
          <w:rFonts w:ascii="Arial" w:hAnsi="Arial" w:cs="Arial"/>
          <w:sz w:val="24"/>
          <w:szCs w:val="24"/>
          <w:lang w:val="en-GB"/>
        </w:rPr>
        <w:t>an den Brakel J., Zhang X-M., Tam S.M. (2017) Measuring discontinuities due to survey process redesigns. CBS discussion paper 2017/13. Statistics Netherlands</w:t>
      </w:r>
      <w:r w:rsidR="00BC174D">
        <w:rPr>
          <w:rFonts w:ascii="Arial" w:hAnsi="Arial" w:cs="Arial"/>
          <w:sz w:val="24"/>
          <w:szCs w:val="24"/>
          <w:lang w:val="en-GB"/>
        </w:rPr>
        <w:t>.</w:t>
      </w:r>
    </w:p>
    <w:sectPr w:rsidR="006C3EBB" w:rsidRPr="00EC5F5A"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7F" w:rsidRDefault="00ED6D7F" w:rsidP="00E82B25">
      <w:pPr>
        <w:spacing w:after="0" w:line="240" w:lineRule="auto"/>
      </w:pPr>
      <w:r>
        <w:separator/>
      </w:r>
    </w:p>
  </w:endnote>
  <w:endnote w:type="continuationSeparator" w:id="0">
    <w:p w:rsidR="00ED6D7F" w:rsidRDefault="00ED6D7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2D45AF" w:rsidRPr="009378F5" w:rsidRDefault="002D45AF"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67F8E">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7F" w:rsidRDefault="00ED6D7F" w:rsidP="00E82B25">
      <w:pPr>
        <w:spacing w:after="0" w:line="240" w:lineRule="auto"/>
      </w:pPr>
      <w:r>
        <w:separator/>
      </w:r>
    </w:p>
  </w:footnote>
  <w:footnote w:type="continuationSeparator" w:id="0">
    <w:p w:rsidR="00ED6D7F" w:rsidRDefault="00ED6D7F" w:rsidP="00E82B25">
      <w:pPr>
        <w:spacing w:after="0" w:line="240" w:lineRule="auto"/>
      </w:pPr>
      <w:r>
        <w:continuationSeparator/>
      </w:r>
    </w:p>
  </w:footnote>
  <w:footnote w:id="1">
    <w:p w:rsidR="002D45AF" w:rsidRPr="007C78BA" w:rsidRDefault="002D45AF" w:rsidP="00CA3B67">
      <w:pPr>
        <w:pStyle w:val="Testonotaapidipagina"/>
        <w:jc w:val="both"/>
        <w:rPr>
          <w:sz w:val="16"/>
          <w:szCs w:val="16"/>
        </w:rPr>
      </w:pPr>
      <w:r>
        <w:rPr>
          <w:rStyle w:val="Rimandonotaapidipagina"/>
        </w:rPr>
        <w:footnoteRef/>
      </w:r>
      <w:r w:rsidRPr="000E02FE">
        <w:rPr>
          <w:rFonts w:ascii="Arial" w:hAnsi="Arial" w:cs="Arial"/>
        </w:rPr>
        <w:t xml:space="preserve"> The equivalence scale used in this paper is known as Carbonaro scale</w:t>
      </w:r>
      <w:r w:rsidR="004F364E">
        <w:rPr>
          <w:rFonts w:ascii="Arial" w:hAnsi="Arial" w:cs="Arial"/>
        </w:rPr>
        <w:t xml:space="preserve"> </w:t>
      </w:r>
      <w:r w:rsidRPr="000E02FE">
        <w:rPr>
          <w:rFonts w:ascii="Arial" w:hAnsi="Arial" w:cs="Arial"/>
        </w:rPr>
        <w:t>(</w:t>
      </w:r>
      <w:r w:rsidR="004F364E">
        <w:rPr>
          <w:rFonts w:ascii="Arial" w:hAnsi="Arial" w:cs="Arial"/>
        </w:rPr>
        <w:t xml:space="preserve">Dagum C. and Ferrari G., eds. 2012, </w:t>
      </w:r>
      <w:r w:rsidR="004F364E" w:rsidRPr="004F364E">
        <w:rPr>
          <w:rFonts w:ascii="Arial" w:hAnsi="Arial" w:cs="Arial"/>
        </w:rPr>
        <w:t>Household Behaviour, Equivalence Scales, Welfare and Poverty</w:t>
      </w:r>
      <w:r w:rsidR="004F364E">
        <w:rPr>
          <w:rFonts w:ascii="Arial" w:hAnsi="Arial" w:cs="Arial"/>
        </w:rPr>
        <w:t xml:space="preserve">, </w:t>
      </w:r>
      <w:r w:rsidR="004F364E" w:rsidRPr="004F364E">
        <w:rPr>
          <w:rFonts w:ascii="Arial" w:hAnsi="Arial" w:cs="Arial"/>
        </w:rPr>
        <w:t>Springer Science &amp; Business Media</w:t>
      </w:r>
      <w:r>
        <w:rPr>
          <w:rFonts w:ascii="Arial" w:hAnsi="Arial" w:cs="Arial"/>
        </w:rPr>
        <w:t>)</w:t>
      </w:r>
      <w:r w:rsidRPr="000E02FE">
        <w:rPr>
          <w:rFonts w:ascii="Arial" w:hAnsi="Arial" w:cs="Arial"/>
        </w:rPr>
        <w:t>.</w:t>
      </w:r>
    </w:p>
  </w:footnote>
  <w:footnote w:id="2">
    <w:p w:rsidR="002D45AF" w:rsidRPr="0034093A" w:rsidRDefault="002D45AF" w:rsidP="00BC174D">
      <w:pPr>
        <w:pStyle w:val="Testonotaapidipagina"/>
        <w:jc w:val="both"/>
        <w:rPr>
          <w:lang w:val="en-US"/>
        </w:rPr>
      </w:pPr>
      <w:r>
        <w:rPr>
          <w:rStyle w:val="Rimandonotaapidipagina"/>
        </w:rPr>
        <w:footnoteRef/>
      </w:r>
      <w:r>
        <w:t xml:space="preserve"> </w:t>
      </w:r>
      <w:r w:rsidRPr="00144B9C">
        <w:rPr>
          <w:rFonts w:ascii="Arial" w:hAnsi="Arial" w:cs="Arial"/>
          <w:lang w:val="en-GB"/>
        </w:rPr>
        <w:t>This validation has been possible only in the aftermath of estimates production, because the fiscal income information becomes available at one year’s distance and therefore it can be used neither as a stratification nor as a post-stratification variable</w:t>
      </w:r>
      <w:r w:rsidRPr="00653ABB">
        <w:rPr>
          <w:rFonts w:ascii="Arial" w:hAnsi="Arial" w:cs="Arial"/>
          <w:sz w:val="24"/>
          <w:szCs w:val="24"/>
          <w:lang w:val="en-GB"/>
        </w:rPr>
        <w:t>.</w:t>
      </w:r>
    </w:p>
  </w:footnote>
  <w:footnote w:id="3">
    <w:p w:rsidR="002D45AF" w:rsidRPr="009D3A21" w:rsidRDefault="002D45AF" w:rsidP="00EA5759">
      <w:pPr>
        <w:spacing w:after="0" w:line="240" w:lineRule="auto"/>
        <w:jc w:val="both"/>
        <w:rPr>
          <w:rFonts w:ascii="Arial" w:hAnsi="Arial" w:cs="Arial"/>
        </w:rPr>
      </w:pPr>
      <w:r>
        <w:rPr>
          <w:rStyle w:val="Rimandonotaapidipagina"/>
        </w:rPr>
        <w:footnoteRef/>
      </w:r>
      <w:r>
        <w:t xml:space="preserve"> </w:t>
      </w:r>
      <w:r w:rsidR="0024236E">
        <w:rPr>
          <w:rFonts w:ascii="Arial" w:hAnsi="Arial" w:cs="Arial"/>
          <w:sz w:val="20"/>
          <w:szCs w:val="20"/>
        </w:rPr>
        <w:t xml:space="preserve">For </w:t>
      </w:r>
      <w:r>
        <w:rPr>
          <w:rFonts w:ascii="Arial" w:hAnsi="Arial" w:cs="Arial"/>
          <w:sz w:val="20"/>
          <w:szCs w:val="20"/>
        </w:rPr>
        <w:t>th</w:t>
      </w:r>
      <w:r w:rsidRPr="009D3A21">
        <w:rPr>
          <w:rFonts w:ascii="Arial" w:hAnsi="Arial" w:cs="Arial"/>
          <w:sz w:val="20"/>
          <w:szCs w:val="20"/>
        </w:rPr>
        <w:t>e relative measure</w:t>
      </w:r>
      <w:r w:rsidR="0024236E">
        <w:rPr>
          <w:rFonts w:ascii="Arial" w:hAnsi="Arial" w:cs="Arial"/>
          <w:sz w:val="20"/>
          <w:szCs w:val="20"/>
        </w:rPr>
        <w:t>,</w:t>
      </w:r>
      <w:r w:rsidRPr="009D3A21">
        <w:rPr>
          <w:rFonts w:ascii="Arial" w:hAnsi="Arial" w:cs="Arial"/>
          <w:sz w:val="20"/>
          <w:szCs w:val="20"/>
        </w:rPr>
        <w:t xml:space="preserve"> households and their members are classified as relatively poor if their equivalent total consumption expenditure is not higher than 60% of the per-capita mean of the total consumption expenditure.</w:t>
      </w:r>
      <w:r>
        <w:rPr>
          <w:rFonts w:ascii="Arial" w:hAnsi="Arial" w:cs="Arial"/>
          <w:sz w:val="20"/>
          <w:szCs w:val="20"/>
        </w:rPr>
        <w:t xml:space="preserve"> </w:t>
      </w:r>
      <w:r w:rsidR="0024236E">
        <w:rPr>
          <w:rFonts w:ascii="Arial" w:hAnsi="Arial" w:cs="Arial"/>
          <w:sz w:val="20"/>
          <w:szCs w:val="20"/>
        </w:rPr>
        <w:t xml:space="preserve">For </w:t>
      </w:r>
      <w:r w:rsidRPr="009D3A21">
        <w:rPr>
          <w:rFonts w:ascii="Arial" w:hAnsi="Arial" w:cs="Arial"/>
          <w:sz w:val="20"/>
          <w:szCs w:val="20"/>
        </w:rPr>
        <w:t>the absolute measure</w:t>
      </w:r>
      <w:r w:rsidR="0024236E">
        <w:rPr>
          <w:rFonts w:ascii="Arial" w:hAnsi="Arial" w:cs="Arial"/>
          <w:sz w:val="20"/>
          <w:szCs w:val="20"/>
        </w:rPr>
        <w:t xml:space="preserve"> of</w:t>
      </w:r>
      <w:r w:rsidRPr="009D3A21">
        <w:rPr>
          <w:rFonts w:ascii="Arial" w:hAnsi="Arial" w:cs="Arial"/>
          <w:sz w:val="20"/>
          <w:szCs w:val="20"/>
        </w:rPr>
        <w:t xml:space="preserve"> poverty</w:t>
      </w:r>
      <w:r w:rsidR="0024236E">
        <w:rPr>
          <w:rFonts w:ascii="Arial" w:hAnsi="Arial" w:cs="Arial"/>
          <w:sz w:val="20"/>
          <w:szCs w:val="20"/>
        </w:rPr>
        <w:t>,</w:t>
      </w:r>
      <w:r w:rsidRPr="009D3A21">
        <w:rPr>
          <w:rFonts w:ascii="Arial" w:hAnsi="Arial" w:cs="Arial"/>
          <w:sz w:val="20"/>
          <w:szCs w:val="20"/>
        </w:rPr>
        <w:t xml:space="preserve"> </w:t>
      </w:r>
      <w:r>
        <w:rPr>
          <w:rFonts w:ascii="Arial" w:hAnsi="Arial" w:cs="Arial"/>
          <w:sz w:val="20"/>
          <w:szCs w:val="20"/>
        </w:rPr>
        <w:t>households</w:t>
      </w:r>
      <w:r w:rsidRPr="009D3A21">
        <w:rPr>
          <w:rFonts w:ascii="Arial" w:hAnsi="Arial" w:cs="Arial"/>
          <w:sz w:val="20"/>
          <w:szCs w:val="20"/>
        </w:rPr>
        <w:t xml:space="preserve"> and their members</w:t>
      </w:r>
      <w:r>
        <w:rPr>
          <w:rFonts w:ascii="Arial" w:hAnsi="Arial" w:cs="Arial"/>
          <w:sz w:val="20"/>
          <w:szCs w:val="20"/>
        </w:rPr>
        <w:t xml:space="preserve"> are poor if their</w:t>
      </w:r>
      <w:r w:rsidRPr="009D3A21">
        <w:rPr>
          <w:rFonts w:ascii="Arial" w:hAnsi="Arial" w:cs="Arial"/>
          <w:sz w:val="20"/>
          <w:szCs w:val="20"/>
        </w:rPr>
        <w:t xml:space="preserve"> consumption expenditure </w:t>
      </w:r>
      <w:r>
        <w:rPr>
          <w:rFonts w:ascii="Arial" w:hAnsi="Arial" w:cs="Arial"/>
          <w:sz w:val="20"/>
          <w:szCs w:val="20"/>
        </w:rPr>
        <w:t xml:space="preserve">is </w:t>
      </w:r>
      <w:r w:rsidRPr="009D3A21">
        <w:rPr>
          <w:rFonts w:ascii="Arial" w:hAnsi="Arial" w:cs="Arial"/>
          <w:sz w:val="20"/>
          <w:szCs w:val="20"/>
        </w:rPr>
        <w:t>equal to or below the reference poverty threshold</w:t>
      </w:r>
      <w:r w:rsidR="0024236E">
        <w:rPr>
          <w:rFonts w:ascii="Arial" w:hAnsi="Arial" w:cs="Arial"/>
          <w:sz w:val="20"/>
          <w:szCs w:val="20"/>
        </w:rPr>
        <w:t xml:space="preserve"> represented by</w:t>
      </w:r>
      <w:r>
        <w:rPr>
          <w:rFonts w:ascii="Arial" w:hAnsi="Arial" w:cs="Arial"/>
          <w:sz w:val="20"/>
          <w:szCs w:val="20"/>
        </w:rPr>
        <w:t xml:space="preserve"> the monetary value of a</w:t>
      </w:r>
      <w:r w:rsidRPr="009D3A21">
        <w:rPr>
          <w:rFonts w:ascii="Arial" w:hAnsi="Arial" w:cs="Arial"/>
          <w:sz w:val="20"/>
          <w:szCs w:val="20"/>
        </w:rPr>
        <w:t xml:space="preserve"> basket </w:t>
      </w:r>
      <w:r>
        <w:rPr>
          <w:rFonts w:ascii="Arial" w:hAnsi="Arial" w:cs="Arial"/>
          <w:sz w:val="20"/>
          <w:szCs w:val="20"/>
        </w:rPr>
        <w:t xml:space="preserve">of </w:t>
      </w:r>
      <w:r w:rsidRPr="009D3A21">
        <w:rPr>
          <w:rFonts w:ascii="Arial" w:hAnsi="Arial" w:cs="Arial"/>
          <w:sz w:val="20"/>
          <w:szCs w:val="20"/>
        </w:rPr>
        <w:t>basic needs</w:t>
      </w:r>
      <w:r>
        <w:rPr>
          <w:rFonts w:ascii="Arial" w:hAnsi="Arial" w:cs="Arial"/>
          <w:sz w:val="20"/>
          <w:szCs w:val="20"/>
        </w:rPr>
        <w:t xml:space="preserve"> (including adequate nurrishment, adequate accomodation and </w:t>
      </w:r>
      <w:r w:rsidRPr="009D3A21">
        <w:rPr>
          <w:rFonts w:ascii="Arial" w:hAnsi="Arial" w:cs="Arial"/>
          <w:sz w:val="20"/>
          <w:szCs w:val="20"/>
        </w:rPr>
        <w:t>minimum availability of goods and services to dress, communicate, learn, move within the territory, educate oneself and maintain good health</w:t>
      </w:r>
      <w:r>
        <w:rPr>
          <w:rFonts w:ascii="Arial" w:hAnsi="Arial" w:cs="Arial"/>
          <w:sz w:val="20"/>
          <w:szCs w:val="20"/>
        </w:rPr>
        <w:t>) defined by</w:t>
      </w:r>
      <w:r w:rsidRPr="009D3A21">
        <w:rPr>
          <w:rFonts w:ascii="Arial" w:hAnsi="Arial" w:cs="Arial"/>
          <w:sz w:val="20"/>
          <w:szCs w:val="20"/>
        </w:rPr>
        <w:t xml:space="preserve"> household types, size of municipality and geographical area of residence (accounting for differences in market offers and prices).</w:t>
      </w:r>
    </w:p>
  </w:footnote>
  <w:footnote w:id="4">
    <w:p w:rsidR="0024236E" w:rsidRPr="0034093A" w:rsidRDefault="0024236E" w:rsidP="00EA5759">
      <w:pPr>
        <w:pStyle w:val="Testonotaapidipagina"/>
        <w:jc w:val="both"/>
        <w:rPr>
          <w:rFonts w:ascii="Arial" w:hAnsi="Arial" w:cs="Arial"/>
        </w:rPr>
      </w:pPr>
      <w:r>
        <w:rPr>
          <w:rStyle w:val="Rimandonotaapidipagina"/>
        </w:rPr>
        <w:footnoteRef/>
      </w:r>
      <w:r>
        <w:t xml:space="preserve"> </w:t>
      </w:r>
      <w:r w:rsidRPr="0034093A">
        <w:rPr>
          <w:rFonts w:ascii="Arial" w:hAnsi="Arial" w:cs="Arial"/>
        </w:rPr>
        <w:t xml:space="preserve">The inequality is measured by the S80/S20 index, that is the ratio between the share of all </w:t>
      </w:r>
      <w:r w:rsidR="00EA5759">
        <w:rPr>
          <w:rFonts w:ascii="Arial" w:hAnsi="Arial" w:cs="Arial"/>
        </w:rPr>
        <w:t>e</w:t>
      </w:r>
      <w:r w:rsidRPr="0034093A">
        <w:rPr>
          <w:rFonts w:ascii="Arial" w:hAnsi="Arial" w:cs="Arial"/>
        </w:rPr>
        <w:t>xpenditures made by the top quintile and the share of expenditures made by the bottom quintile</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AF" w:rsidRDefault="00ED6D7F">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AF" w:rsidRDefault="00ED6D7F">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AF" w:rsidRDefault="00ED6D7F">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C82"/>
    <w:multiLevelType w:val="hybridMultilevel"/>
    <w:tmpl w:val="CD3E6C1A"/>
    <w:lvl w:ilvl="0" w:tplc="5FE44220">
      <w:start w:val="1"/>
      <w:numFmt w:val="lowerLetter"/>
      <w:lvlText w:val="(%1)"/>
      <w:lvlJc w:val="left"/>
      <w:pPr>
        <w:ind w:left="6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FF5C88"/>
    <w:multiLevelType w:val="hybridMultilevel"/>
    <w:tmpl w:val="45A432D6"/>
    <w:lvl w:ilvl="0" w:tplc="67360148">
      <w:start w:val="1"/>
      <w:numFmt w:val="lowerLetter"/>
      <w:lvlText w:val="(%1)"/>
      <w:lvlJc w:val="left"/>
      <w:pPr>
        <w:ind w:left="690" w:hanging="360"/>
      </w:pPr>
      <w:rPr>
        <w:rFonts w:hint="default"/>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B1125"/>
    <w:rsid w:val="000C6472"/>
    <w:rsid w:val="000D705A"/>
    <w:rsid w:val="000E02FE"/>
    <w:rsid w:val="000F337F"/>
    <w:rsid w:val="001138FE"/>
    <w:rsid w:val="00133E07"/>
    <w:rsid w:val="0013529D"/>
    <w:rsid w:val="00142A8D"/>
    <w:rsid w:val="00144B9C"/>
    <w:rsid w:val="00157DAD"/>
    <w:rsid w:val="00160406"/>
    <w:rsid w:val="0016743D"/>
    <w:rsid w:val="00177D7E"/>
    <w:rsid w:val="00182357"/>
    <w:rsid w:val="001B7800"/>
    <w:rsid w:val="001B7DAF"/>
    <w:rsid w:val="001C5CDC"/>
    <w:rsid w:val="001E43DC"/>
    <w:rsid w:val="00221F17"/>
    <w:rsid w:val="00234927"/>
    <w:rsid w:val="0023623C"/>
    <w:rsid w:val="00241561"/>
    <w:rsid w:val="0024236E"/>
    <w:rsid w:val="00242620"/>
    <w:rsid w:val="002530CA"/>
    <w:rsid w:val="00277954"/>
    <w:rsid w:val="0028150C"/>
    <w:rsid w:val="00282B53"/>
    <w:rsid w:val="00293580"/>
    <w:rsid w:val="002A12FE"/>
    <w:rsid w:val="002B010E"/>
    <w:rsid w:val="002B6D33"/>
    <w:rsid w:val="002C39C7"/>
    <w:rsid w:val="002D45AF"/>
    <w:rsid w:val="002D53A3"/>
    <w:rsid w:val="002F3111"/>
    <w:rsid w:val="00306AA8"/>
    <w:rsid w:val="00320258"/>
    <w:rsid w:val="00336E21"/>
    <w:rsid w:val="0034093A"/>
    <w:rsid w:val="0035694D"/>
    <w:rsid w:val="00362815"/>
    <w:rsid w:val="003650A2"/>
    <w:rsid w:val="00367B45"/>
    <w:rsid w:val="00387BDA"/>
    <w:rsid w:val="003A1D16"/>
    <w:rsid w:val="00404453"/>
    <w:rsid w:val="004150F5"/>
    <w:rsid w:val="004160AD"/>
    <w:rsid w:val="004568A2"/>
    <w:rsid w:val="004740F1"/>
    <w:rsid w:val="00493026"/>
    <w:rsid w:val="004A12A7"/>
    <w:rsid w:val="004A1A99"/>
    <w:rsid w:val="004A6FE5"/>
    <w:rsid w:val="004B39C1"/>
    <w:rsid w:val="004B6729"/>
    <w:rsid w:val="004C5048"/>
    <w:rsid w:val="004D6E32"/>
    <w:rsid w:val="004F04B4"/>
    <w:rsid w:val="004F364E"/>
    <w:rsid w:val="00515EE6"/>
    <w:rsid w:val="005215E8"/>
    <w:rsid w:val="00530FD6"/>
    <w:rsid w:val="005812C5"/>
    <w:rsid w:val="005A1EF5"/>
    <w:rsid w:val="005A1F57"/>
    <w:rsid w:val="005B6971"/>
    <w:rsid w:val="005C2AE2"/>
    <w:rsid w:val="00603B76"/>
    <w:rsid w:val="006052BF"/>
    <w:rsid w:val="00605AE6"/>
    <w:rsid w:val="00653ABB"/>
    <w:rsid w:val="00653D6C"/>
    <w:rsid w:val="00667788"/>
    <w:rsid w:val="0069009D"/>
    <w:rsid w:val="00697934"/>
    <w:rsid w:val="006B5A4A"/>
    <w:rsid w:val="006C3EBB"/>
    <w:rsid w:val="006C5879"/>
    <w:rsid w:val="006F0B33"/>
    <w:rsid w:val="00701715"/>
    <w:rsid w:val="00767F8E"/>
    <w:rsid w:val="007730C4"/>
    <w:rsid w:val="00774726"/>
    <w:rsid w:val="00776C97"/>
    <w:rsid w:val="00782F7D"/>
    <w:rsid w:val="007E6D8C"/>
    <w:rsid w:val="007F4FDD"/>
    <w:rsid w:val="0082373C"/>
    <w:rsid w:val="00867B2C"/>
    <w:rsid w:val="00873330"/>
    <w:rsid w:val="00883326"/>
    <w:rsid w:val="008A71D2"/>
    <w:rsid w:val="008B0935"/>
    <w:rsid w:val="008D56E1"/>
    <w:rsid w:val="008D6094"/>
    <w:rsid w:val="008F4106"/>
    <w:rsid w:val="00902A7F"/>
    <w:rsid w:val="009378F5"/>
    <w:rsid w:val="00973B8D"/>
    <w:rsid w:val="009C76DB"/>
    <w:rsid w:val="009D3A21"/>
    <w:rsid w:val="00A000C1"/>
    <w:rsid w:val="00A23816"/>
    <w:rsid w:val="00A454B6"/>
    <w:rsid w:val="00A531F2"/>
    <w:rsid w:val="00A6013E"/>
    <w:rsid w:val="00A853BD"/>
    <w:rsid w:val="00AD1423"/>
    <w:rsid w:val="00AD4AEE"/>
    <w:rsid w:val="00AE1A4A"/>
    <w:rsid w:val="00B12BBF"/>
    <w:rsid w:val="00B332BA"/>
    <w:rsid w:val="00B47197"/>
    <w:rsid w:val="00B61522"/>
    <w:rsid w:val="00B72169"/>
    <w:rsid w:val="00B74218"/>
    <w:rsid w:val="00B77A7F"/>
    <w:rsid w:val="00B86FC7"/>
    <w:rsid w:val="00B912C3"/>
    <w:rsid w:val="00BB19AC"/>
    <w:rsid w:val="00BC174D"/>
    <w:rsid w:val="00BC26CE"/>
    <w:rsid w:val="00BF6DBC"/>
    <w:rsid w:val="00C16E8E"/>
    <w:rsid w:val="00C261EA"/>
    <w:rsid w:val="00C338D2"/>
    <w:rsid w:val="00C34CB9"/>
    <w:rsid w:val="00C40213"/>
    <w:rsid w:val="00C444A7"/>
    <w:rsid w:val="00C55909"/>
    <w:rsid w:val="00C661B0"/>
    <w:rsid w:val="00C726EA"/>
    <w:rsid w:val="00C74A1D"/>
    <w:rsid w:val="00C81EE6"/>
    <w:rsid w:val="00CA3B67"/>
    <w:rsid w:val="00CA54FC"/>
    <w:rsid w:val="00CB2B44"/>
    <w:rsid w:val="00CB4074"/>
    <w:rsid w:val="00CC1C1D"/>
    <w:rsid w:val="00CC4E0C"/>
    <w:rsid w:val="00CF33AD"/>
    <w:rsid w:val="00CF656A"/>
    <w:rsid w:val="00CF6CC0"/>
    <w:rsid w:val="00D0258C"/>
    <w:rsid w:val="00D0270E"/>
    <w:rsid w:val="00D12AE6"/>
    <w:rsid w:val="00D20550"/>
    <w:rsid w:val="00D3638C"/>
    <w:rsid w:val="00D52194"/>
    <w:rsid w:val="00D62BDA"/>
    <w:rsid w:val="00D65C24"/>
    <w:rsid w:val="00D81D21"/>
    <w:rsid w:val="00D869AF"/>
    <w:rsid w:val="00DA74F6"/>
    <w:rsid w:val="00DD4526"/>
    <w:rsid w:val="00DD4977"/>
    <w:rsid w:val="00DE01B4"/>
    <w:rsid w:val="00DF27A8"/>
    <w:rsid w:val="00E02C26"/>
    <w:rsid w:val="00E11CF8"/>
    <w:rsid w:val="00E261EB"/>
    <w:rsid w:val="00E7228E"/>
    <w:rsid w:val="00E82B25"/>
    <w:rsid w:val="00E82D5F"/>
    <w:rsid w:val="00E92831"/>
    <w:rsid w:val="00E9313B"/>
    <w:rsid w:val="00EA523F"/>
    <w:rsid w:val="00EA5759"/>
    <w:rsid w:val="00EB7A63"/>
    <w:rsid w:val="00EC5F5A"/>
    <w:rsid w:val="00EC7A73"/>
    <w:rsid w:val="00ED62B3"/>
    <w:rsid w:val="00ED6D7F"/>
    <w:rsid w:val="00EE14C2"/>
    <w:rsid w:val="00EE4A70"/>
    <w:rsid w:val="00F30C27"/>
    <w:rsid w:val="00F51570"/>
    <w:rsid w:val="00F74EA2"/>
    <w:rsid w:val="00F844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aliases w:val="Inf_Note a piè di pagina"/>
    <w:basedOn w:val="Carpredefinitoparagrafo"/>
    <w:uiPriority w:val="99"/>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E11CF8"/>
    <w:pPr>
      <w:spacing w:after="200" w:line="276" w:lineRule="auto"/>
      <w:ind w:left="720"/>
      <w:contextualSpacing/>
    </w:pPr>
    <w:rPr>
      <w:lang w:val="en-GB"/>
    </w:rPr>
  </w:style>
  <w:style w:type="paragraph" w:customStyle="1" w:styleId="Ann14TavolaFiguratitolo">
    <w:name w:val="Ann_14_Tavola/Figura  titolo"/>
    <w:link w:val="Ann14TavolaFiguratitoloCarattereCarattere"/>
    <w:rsid w:val="00653ABB"/>
    <w:pPr>
      <w:spacing w:before="440" w:after="180" w:line="240" w:lineRule="auto"/>
      <w:ind w:left="1202" w:hanging="1202"/>
      <w:jc w:val="both"/>
      <w:outlineLvl w:val="0"/>
    </w:pPr>
    <w:rPr>
      <w:rFonts w:ascii="Times New Roman" w:eastAsia="Times New Roman" w:hAnsi="Times New Roman" w:cs="Arial"/>
      <w:b/>
      <w:sz w:val="20"/>
      <w:szCs w:val="18"/>
      <w:lang w:val="it-IT" w:eastAsia="it-IT"/>
    </w:rPr>
  </w:style>
  <w:style w:type="character" w:customStyle="1" w:styleId="Ann14TavolaFiguratitoloCarattereCarattere">
    <w:name w:val="Ann_14_Tavola/Figura  titolo Carattere Carattere"/>
    <w:link w:val="Ann14TavolaFiguratitolo"/>
    <w:rsid w:val="00653ABB"/>
    <w:rPr>
      <w:rFonts w:ascii="Times New Roman" w:eastAsia="Times New Roman" w:hAnsi="Times New Roman" w:cs="Arial"/>
      <w:b/>
      <w:sz w:val="20"/>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aliases w:val="Inf_Note a piè di pagina"/>
    <w:basedOn w:val="Carpredefinitoparagrafo"/>
    <w:uiPriority w:val="99"/>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E11CF8"/>
    <w:pPr>
      <w:spacing w:after="200" w:line="276" w:lineRule="auto"/>
      <w:ind w:left="720"/>
      <w:contextualSpacing/>
    </w:pPr>
    <w:rPr>
      <w:lang w:val="en-GB"/>
    </w:rPr>
  </w:style>
  <w:style w:type="paragraph" w:customStyle="1" w:styleId="Ann14TavolaFiguratitolo">
    <w:name w:val="Ann_14_Tavola/Figura  titolo"/>
    <w:link w:val="Ann14TavolaFiguratitoloCarattereCarattere"/>
    <w:rsid w:val="00653ABB"/>
    <w:pPr>
      <w:spacing w:before="440" w:after="180" w:line="240" w:lineRule="auto"/>
      <w:ind w:left="1202" w:hanging="1202"/>
      <w:jc w:val="both"/>
      <w:outlineLvl w:val="0"/>
    </w:pPr>
    <w:rPr>
      <w:rFonts w:ascii="Times New Roman" w:eastAsia="Times New Roman" w:hAnsi="Times New Roman" w:cs="Arial"/>
      <w:b/>
      <w:sz w:val="20"/>
      <w:szCs w:val="18"/>
      <w:lang w:val="it-IT" w:eastAsia="it-IT"/>
    </w:rPr>
  </w:style>
  <w:style w:type="character" w:customStyle="1" w:styleId="Ann14TavolaFiguratitoloCarattereCarattere">
    <w:name w:val="Ann_14_Tavola/Figura  titolo Carattere Carattere"/>
    <w:link w:val="Ann14TavolaFiguratitolo"/>
    <w:rsid w:val="00653ABB"/>
    <w:rPr>
      <w:rFonts w:ascii="Times New Roman" w:eastAsia="Times New Roman" w:hAnsi="Times New Roman" w:cs="Arial"/>
      <w:b/>
      <w:sz w:val="20"/>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230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tat.it/it/archivio/18216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egoli@uniparthenope.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icoletta.pannuzi@istat.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mmiachille@virgilio.it" TargetMode="External"/><Relationship Id="rId14" Type="http://schemas.openxmlformats.org/officeDocument/2006/relationships/hyperlink" Target="https://doi.org/10.1080/01621459.1964.104806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A2FC-A77B-488C-A579-AB617B33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3784</Words>
  <Characters>21570</Characters>
  <Application>Microsoft Office Word</Application>
  <DocSecurity>0</DocSecurity>
  <Lines>179</Lines>
  <Paragraphs>50</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Nicoletta NP. Pannuzi</cp:lastModifiedBy>
  <cp:revision>2</cp:revision>
  <cp:lastPrinted>2018-05-11T06:51:00Z</cp:lastPrinted>
  <dcterms:created xsi:type="dcterms:W3CDTF">2018-05-18T13:31:00Z</dcterms:created>
  <dcterms:modified xsi:type="dcterms:W3CDTF">2018-05-18T13:31:00Z</dcterms:modified>
</cp:coreProperties>
</file>