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FF" w:rsidRDefault="001217FF" w:rsidP="00936A4E">
      <w:pPr>
        <w:jc w:val="center"/>
        <w:rPr>
          <w:rFonts w:ascii="Arial" w:hAnsi="Arial" w:cs="Arial"/>
          <w:sz w:val="28"/>
          <w:szCs w:val="28"/>
        </w:rPr>
      </w:pPr>
      <w:bookmarkStart w:id="0" w:name="_Toc511814802"/>
      <w:bookmarkStart w:id="1" w:name="_Toc446582269"/>
      <w:bookmarkStart w:id="2" w:name="_Toc446582432"/>
      <w:bookmarkStart w:id="3" w:name="_Toc498024070"/>
    </w:p>
    <w:p w:rsidR="001217FF" w:rsidRDefault="001217FF" w:rsidP="00936A4E">
      <w:pPr>
        <w:jc w:val="center"/>
        <w:rPr>
          <w:rFonts w:ascii="Arial" w:hAnsi="Arial" w:cs="Arial"/>
          <w:sz w:val="28"/>
          <w:szCs w:val="28"/>
        </w:rPr>
      </w:pPr>
    </w:p>
    <w:p w:rsidR="00666FE6" w:rsidRDefault="00666FE6" w:rsidP="00936A4E">
      <w:pPr>
        <w:jc w:val="center"/>
        <w:rPr>
          <w:rFonts w:ascii="Arial" w:hAnsi="Arial" w:cs="Arial"/>
          <w:b/>
          <w:sz w:val="32"/>
          <w:szCs w:val="32"/>
        </w:rPr>
      </w:pPr>
    </w:p>
    <w:p w:rsidR="00666FE6" w:rsidRDefault="00666FE6" w:rsidP="00936A4E">
      <w:pPr>
        <w:jc w:val="center"/>
        <w:rPr>
          <w:rFonts w:ascii="Arial" w:hAnsi="Arial" w:cs="Arial"/>
          <w:b/>
          <w:sz w:val="32"/>
          <w:szCs w:val="32"/>
        </w:rPr>
      </w:pPr>
    </w:p>
    <w:p w:rsidR="00666FE6" w:rsidRDefault="00666FE6" w:rsidP="00936A4E">
      <w:pPr>
        <w:jc w:val="center"/>
        <w:rPr>
          <w:rFonts w:ascii="Arial" w:hAnsi="Arial" w:cs="Arial"/>
          <w:b/>
          <w:sz w:val="32"/>
          <w:szCs w:val="32"/>
        </w:rPr>
      </w:pPr>
    </w:p>
    <w:p w:rsidR="00666FE6" w:rsidRDefault="00666FE6" w:rsidP="00936A4E">
      <w:pPr>
        <w:jc w:val="center"/>
        <w:rPr>
          <w:rFonts w:ascii="Arial" w:hAnsi="Arial" w:cs="Arial"/>
          <w:b/>
          <w:sz w:val="32"/>
          <w:szCs w:val="32"/>
        </w:rPr>
      </w:pPr>
    </w:p>
    <w:p w:rsidR="00890795" w:rsidRDefault="001217FF" w:rsidP="00936A4E">
      <w:pPr>
        <w:jc w:val="center"/>
        <w:rPr>
          <w:b/>
          <w:sz w:val="32"/>
          <w:szCs w:val="32"/>
        </w:rPr>
      </w:pPr>
      <w:r w:rsidRPr="00135A2F">
        <w:rPr>
          <w:rFonts w:ascii="Arial" w:hAnsi="Arial" w:cs="Arial"/>
          <w:b/>
          <w:sz w:val="32"/>
          <w:szCs w:val="32"/>
        </w:rPr>
        <w:t>Adjusting the gender pay gap using the Structure of Earnings Survey data</w:t>
      </w:r>
      <w:r w:rsidR="00936A4E" w:rsidRPr="00135A2F">
        <w:rPr>
          <w:b/>
          <w:sz w:val="32"/>
          <w:szCs w:val="32"/>
        </w:rPr>
        <w:t xml:space="preserve"> </w:t>
      </w:r>
    </w:p>
    <w:p w:rsidR="00890795" w:rsidRDefault="00890795">
      <w:pPr>
        <w:rPr>
          <w:b/>
          <w:sz w:val="32"/>
          <w:szCs w:val="32"/>
        </w:rPr>
      </w:pPr>
      <w:r>
        <w:rPr>
          <w:b/>
          <w:sz w:val="32"/>
          <w:szCs w:val="32"/>
        </w:rPr>
        <w:br w:type="page"/>
      </w:r>
    </w:p>
    <w:p w:rsidR="00890795" w:rsidRPr="00B1135E" w:rsidRDefault="00890795" w:rsidP="00890795">
      <w:pPr>
        <w:pStyle w:val="Heading1"/>
      </w:pPr>
      <w:r>
        <w:lastRenderedPageBreak/>
        <w:t>Abstract</w:t>
      </w:r>
    </w:p>
    <w:p w:rsidR="00890795" w:rsidRPr="00B1135E" w:rsidRDefault="00890795" w:rsidP="00890795">
      <w:pPr>
        <w:pStyle w:val="Body"/>
      </w:pPr>
      <w:r w:rsidRPr="00B1135E">
        <w:t xml:space="preserve">Tackling possible discrimination in earnings between men and women is one of the key priorities of gender policies both at EU and national levels. The unadjusted </w:t>
      </w:r>
      <w:r>
        <w:t xml:space="preserve">gender pay gap (‘unadjusted </w:t>
      </w:r>
      <w:r w:rsidRPr="00B1135E">
        <w:t>GPG</w:t>
      </w:r>
      <w:r>
        <w:t>’ for short)</w:t>
      </w:r>
      <w:r w:rsidRPr="00B1135E">
        <w:t xml:space="preserve">, calculated as the relative difference between the average earnings of women </w:t>
      </w:r>
      <w:r>
        <w:t>and</w:t>
      </w:r>
      <w:r w:rsidRPr="00B1135E">
        <w:t xml:space="preserve"> men, is widely used as the key indicator to monitor progress in this area.</w:t>
      </w:r>
    </w:p>
    <w:p w:rsidR="00890795" w:rsidRPr="00B1135E" w:rsidRDefault="00890795" w:rsidP="00890795">
      <w:pPr>
        <w:pStyle w:val="Body"/>
      </w:pPr>
      <w:r w:rsidRPr="00B1135E">
        <w:t>However, the unadjusted GPG does not capture discrimination as such. It combines possible differences in pay between men and women, for ‘equal work or work of equal value’, with the impact of differences in the average characteristics of men and women in the labour market.</w:t>
      </w:r>
    </w:p>
    <w:p w:rsidR="00890795" w:rsidRDefault="00890795" w:rsidP="00890795">
      <w:pPr>
        <w:pStyle w:val="Body"/>
      </w:pPr>
      <w:r w:rsidRPr="00B1135E">
        <w:t xml:space="preserve">To </w:t>
      </w:r>
      <w:r>
        <w:t xml:space="preserve">measure </w:t>
      </w:r>
      <w:r w:rsidRPr="00C74A25">
        <w:t>the impact of differences in the average characteristics of men and women</w:t>
      </w:r>
      <w:r w:rsidRPr="00B1135E">
        <w:t>, Eurostat has used microdata from the Structure of Earnings Survey (SES) 2014</w:t>
      </w:r>
      <w:r>
        <w:t>.</w:t>
      </w:r>
      <w:r w:rsidRPr="00B1135E">
        <w:t xml:space="preserve"> </w:t>
      </w:r>
      <w:r w:rsidRPr="00B56F0E">
        <w:t xml:space="preserve">The microdata cover </w:t>
      </w:r>
      <w:r>
        <w:t>two</w:t>
      </w:r>
      <w:r w:rsidRPr="00B56F0E">
        <w:t xml:space="preserve"> broad areas: the earnings of individual employees</w:t>
      </w:r>
      <w:r>
        <w:t xml:space="preserve"> and the observed characteristics </w:t>
      </w:r>
      <w:r w:rsidRPr="00C65E5F">
        <w:t>of individual employees</w:t>
      </w:r>
      <w:r>
        <w:t>. These observed characteristics</w:t>
      </w:r>
      <w:r w:rsidRPr="00B56F0E">
        <w:t xml:space="preserve"> </w:t>
      </w:r>
      <w:r>
        <w:t>include: (i) </w:t>
      </w:r>
      <w:r w:rsidRPr="00B56F0E">
        <w:t>the personal characteristics of individual employees</w:t>
      </w:r>
      <w:r>
        <w:t xml:space="preserve"> such as age, education and job experience</w:t>
      </w:r>
      <w:r w:rsidRPr="00B56F0E">
        <w:t xml:space="preserve">, </w:t>
      </w:r>
      <w:r>
        <w:t xml:space="preserve">(ii) </w:t>
      </w:r>
      <w:r w:rsidRPr="00B56F0E">
        <w:t>the types of job done by individual employees</w:t>
      </w:r>
      <w:r>
        <w:t xml:space="preserve">, </w:t>
      </w:r>
      <w:r w:rsidRPr="00B56F0E">
        <w:t xml:space="preserve">and </w:t>
      </w:r>
      <w:r>
        <w:t xml:space="preserve">(iii) </w:t>
      </w:r>
      <w:r w:rsidRPr="00B56F0E">
        <w:t>the types of companies or enterprise</w:t>
      </w:r>
      <w:r>
        <w:t>s</w:t>
      </w:r>
      <w:r w:rsidRPr="00B56F0E">
        <w:t xml:space="preserve"> that individual employees work for. </w:t>
      </w:r>
      <w:r w:rsidRPr="00B1135E">
        <w:t xml:space="preserve"> </w:t>
      </w:r>
    </w:p>
    <w:p w:rsidR="00890795" w:rsidRPr="00B1135E" w:rsidRDefault="00890795" w:rsidP="00890795">
      <w:pPr>
        <w:pStyle w:val="Body"/>
      </w:pPr>
      <w:r w:rsidRPr="00B1135E">
        <w:t xml:space="preserve">A statistical method known as the Blinder-Oaxaca decomposition method was applied on this dataset to isolate the contribution of each </w:t>
      </w:r>
      <w:r>
        <w:t xml:space="preserve">observed </w:t>
      </w:r>
      <w:r w:rsidRPr="00B1135E">
        <w:t>characteristic to the unadjusted GPG.</w:t>
      </w:r>
      <w:r>
        <w:t xml:space="preserve"> </w:t>
      </w:r>
      <w:r w:rsidRPr="00B1135E">
        <w:t xml:space="preserve">According to this methodology, the unadjusted GPG can be </w:t>
      </w:r>
      <w:r>
        <w:t>separated</w:t>
      </w:r>
      <w:r w:rsidRPr="00B1135E">
        <w:t xml:space="preserve"> into explained and unexplained parts. The explained part is the gap between male and female earnings</w:t>
      </w:r>
      <w:r>
        <w:t>,</w:t>
      </w:r>
      <w:r w:rsidRPr="00B1135E">
        <w:t xml:space="preserve"> which is due to the differences in the average characteristics of male and female employees. The unexplained part measures the difference between the </w:t>
      </w:r>
      <w:r>
        <w:t>salaries of</w:t>
      </w:r>
      <w:r w:rsidRPr="00B1135E">
        <w:t xml:space="preserve"> male and female employees </w:t>
      </w:r>
      <w:r>
        <w:t>with</w:t>
      </w:r>
      <w:r w:rsidRPr="00B1135E">
        <w:t xml:space="preserve"> the same characteristics according to the SES survey.</w:t>
      </w:r>
    </w:p>
    <w:p w:rsidR="00890795" w:rsidRDefault="00890795" w:rsidP="00890795">
      <w:pPr>
        <w:pStyle w:val="Body"/>
      </w:pPr>
      <w:r w:rsidRPr="00B1135E">
        <w:t xml:space="preserve">The methodology and results were </w:t>
      </w:r>
      <w:r>
        <w:t>discussed</w:t>
      </w:r>
      <w:r w:rsidRPr="00B1135E">
        <w:t xml:space="preserve"> with the Working Group on Labour Market Statistics in October 2017 and the European Directors of Social Statistics in March 2018. </w:t>
      </w:r>
      <w:r>
        <w:t>Following these discussions, i</w:t>
      </w:r>
      <w:r w:rsidRPr="00B1135E">
        <w:t xml:space="preserve">t was agreed that Eurostat would publish the methodology and results as </w:t>
      </w:r>
      <w:r>
        <w:t xml:space="preserve">a </w:t>
      </w:r>
      <w:r w:rsidRPr="00B1135E">
        <w:t>‘</w:t>
      </w:r>
      <w:r>
        <w:t>s</w:t>
      </w:r>
      <w:r w:rsidRPr="00B1135E">
        <w:t>tatistical working paper’.</w:t>
      </w:r>
    </w:p>
    <w:p w:rsidR="00890795" w:rsidRDefault="00890795" w:rsidP="00890795">
      <w:pPr>
        <w:pStyle w:val="Body"/>
      </w:pPr>
      <w:r w:rsidRPr="00AE4658">
        <w:t>Euros</w:t>
      </w:r>
      <w:r>
        <w:t xml:space="preserve">tat’s methodology and results </w:t>
      </w:r>
      <w:r w:rsidRPr="00AE4658">
        <w:t>should help data users and policy makers to better interpret the unadjusted GPG.</w:t>
      </w:r>
    </w:p>
    <w:p w:rsidR="00936A4E" w:rsidRPr="00135A2F" w:rsidRDefault="00936A4E" w:rsidP="00890795">
      <w:pPr>
        <w:rPr>
          <w:b/>
          <w:sz w:val="32"/>
          <w:szCs w:val="32"/>
        </w:rPr>
      </w:pPr>
      <w:r w:rsidRPr="00135A2F">
        <w:rPr>
          <w:b/>
          <w:sz w:val="32"/>
          <w:szCs w:val="32"/>
        </w:rPr>
        <w:br w:type="page"/>
      </w:r>
    </w:p>
    <w:p w:rsidR="00936A4E" w:rsidRPr="00B1135E" w:rsidRDefault="00936A4E" w:rsidP="00936A4E">
      <w:pPr>
        <w:jc w:val="center"/>
      </w:pPr>
    </w:p>
    <w:p w:rsidR="00936A4E" w:rsidRPr="00B1135E" w:rsidRDefault="00936A4E" w:rsidP="00936A4E">
      <w:pPr>
        <w:jc w:val="center"/>
      </w:pPr>
    </w:p>
    <w:bookmarkEnd w:id="0"/>
    <w:bookmarkEnd w:id="1"/>
    <w:bookmarkEnd w:id="2"/>
    <w:bookmarkEnd w:id="3"/>
    <w:p w:rsidR="00474DA4" w:rsidRPr="00BD64ED" w:rsidRDefault="0006544A" w:rsidP="00BD64ED">
      <w:pPr>
        <w:pStyle w:val="Body"/>
        <w:rPr>
          <w:b/>
        </w:rPr>
      </w:pPr>
      <w:r w:rsidRPr="00BD64ED">
        <w:rPr>
          <w:rStyle w:val="Heading1Char"/>
        </w:rPr>
        <w:t>1. Introduction</w:t>
      </w:r>
    </w:p>
    <w:p w:rsidR="003335E4" w:rsidRPr="00B1135E" w:rsidRDefault="000B56C2" w:rsidP="00716F42">
      <w:pPr>
        <w:pStyle w:val="Heading20"/>
      </w:pPr>
      <w:bookmarkStart w:id="4" w:name="_Toc511814805"/>
      <w:r w:rsidRPr="00B1135E">
        <w:t xml:space="preserve">1.1 </w:t>
      </w:r>
      <w:r w:rsidR="00BF421F" w:rsidRPr="00B1135E">
        <w:t>Policy b</w:t>
      </w:r>
      <w:r w:rsidR="003335E4" w:rsidRPr="00B1135E">
        <w:t>ackground</w:t>
      </w:r>
      <w:bookmarkEnd w:id="4"/>
    </w:p>
    <w:p w:rsidR="00ED1F4D" w:rsidRPr="00B1135E" w:rsidRDefault="00076886" w:rsidP="00553645">
      <w:pPr>
        <w:pStyle w:val="Body"/>
      </w:pPr>
      <w:r w:rsidRPr="00B1135E">
        <w:t xml:space="preserve">The principle of </w:t>
      </w:r>
      <w:r w:rsidR="005252AE" w:rsidRPr="00B1135E">
        <w:t>‘</w:t>
      </w:r>
      <w:r w:rsidRPr="00B1135E">
        <w:t>equal pay for male and female workers for equal work or work of equal value</w:t>
      </w:r>
      <w:r w:rsidR="005252AE" w:rsidRPr="00B1135E">
        <w:t>’</w:t>
      </w:r>
      <w:r w:rsidR="00EF4984" w:rsidRPr="00B1135E">
        <w:t xml:space="preserve"> has been enshrined in the European Treaties since 1957. It</w:t>
      </w:r>
      <w:r w:rsidRPr="00B1135E">
        <w:t xml:space="preserve"> is </w:t>
      </w:r>
      <w:r w:rsidR="00EF4984" w:rsidRPr="00B1135E">
        <w:t xml:space="preserve">currently </w:t>
      </w:r>
      <w:r w:rsidRPr="00B1135E">
        <w:t>laid down in Article</w:t>
      </w:r>
      <w:r w:rsidR="00B1135E">
        <w:t> </w:t>
      </w:r>
      <w:r w:rsidRPr="00B1135E">
        <w:t xml:space="preserve">157 of the Treaty on the Functioning of the European Union (EU). An important impetus for </w:t>
      </w:r>
      <w:r w:rsidR="00C977BE">
        <w:t>implementing</w:t>
      </w:r>
      <w:r w:rsidR="00C977BE" w:rsidRPr="00B1135E">
        <w:t xml:space="preserve"> </w:t>
      </w:r>
      <w:r w:rsidRPr="00B1135E">
        <w:t>the equal</w:t>
      </w:r>
      <w:r w:rsidR="00305E16" w:rsidRPr="00B1135E">
        <w:t xml:space="preserve"> pay principle </w:t>
      </w:r>
      <w:r w:rsidR="00C977BE">
        <w:t>was</w:t>
      </w:r>
      <w:r w:rsidR="00305E16" w:rsidRPr="00B1135E">
        <w:t xml:space="preserve"> Directive 2006/54/EC </w:t>
      </w:r>
      <w:r w:rsidR="00F52CE7" w:rsidRPr="00B1135E">
        <w:t>of the European Parliament and of the Council of 5</w:t>
      </w:r>
      <w:r w:rsidR="00B1135E">
        <w:t> </w:t>
      </w:r>
      <w:r w:rsidR="00F52CE7" w:rsidRPr="00B1135E">
        <w:t xml:space="preserve">July 2006 </w:t>
      </w:r>
      <w:r w:rsidR="00305E16" w:rsidRPr="00B1135E">
        <w:t>on the implementation of the principle of equal opportunities and equal treatment of men and women in matters of employment and occupation</w:t>
      </w:r>
      <w:r w:rsidR="00F42559" w:rsidRPr="00B1135E">
        <w:t xml:space="preserve"> (recast)</w:t>
      </w:r>
      <w:r w:rsidR="00305E16" w:rsidRPr="00B1135E">
        <w:rPr>
          <w:rStyle w:val="FootnoteReference"/>
        </w:rPr>
        <w:footnoteReference w:id="1"/>
      </w:r>
      <w:r w:rsidR="00305E16" w:rsidRPr="00B1135E">
        <w:t xml:space="preserve">. </w:t>
      </w:r>
      <w:r w:rsidR="00C977BE">
        <w:t>T</w:t>
      </w:r>
      <w:r w:rsidR="00ED1F4D" w:rsidRPr="00B1135E">
        <w:t>his legal framework</w:t>
      </w:r>
      <w:r w:rsidR="00C977BE">
        <w:t xml:space="preserve"> makes</w:t>
      </w:r>
      <w:r w:rsidR="00ED1F4D" w:rsidRPr="00B1135E">
        <w:t xml:space="preserve"> r</w:t>
      </w:r>
      <w:r w:rsidR="00CF3BFB" w:rsidRPr="00B1135E">
        <w:t>educing the gender pay gap</w:t>
      </w:r>
      <w:r w:rsidR="00573555">
        <w:t xml:space="preserve"> (GPG)</w:t>
      </w:r>
      <w:r w:rsidR="00ED1F4D" w:rsidRPr="00B1135E">
        <w:t xml:space="preserve"> one of the key priorities of EU gender policy.</w:t>
      </w:r>
    </w:p>
    <w:p w:rsidR="00CF3BFB" w:rsidRPr="00B1135E" w:rsidRDefault="00ED1F4D" w:rsidP="00624D1A">
      <w:pPr>
        <w:pStyle w:val="Body"/>
      </w:pPr>
      <w:r w:rsidRPr="00B1135E">
        <w:t xml:space="preserve">The European </w:t>
      </w:r>
      <w:r w:rsidR="008E7F59" w:rsidRPr="00B1135E">
        <w:t>Commission has</w:t>
      </w:r>
      <w:r w:rsidRPr="00B1135E">
        <w:t xml:space="preserve"> undertaken a number of initiatives </w:t>
      </w:r>
      <w:r w:rsidR="00CF3BFB" w:rsidRPr="00B1135E">
        <w:t>on the gender pay gap</w:t>
      </w:r>
      <w:r w:rsidR="008E7F59" w:rsidRPr="00B1135E">
        <w:t>. In particular, it</w:t>
      </w:r>
      <w:r w:rsidR="005E0212" w:rsidRPr="00B1135E">
        <w:t xml:space="preserve"> </w:t>
      </w:r>
      <w:r w:rsidR="00F121C8" w:rsidRPr="00B1135E">
        <w:t>confirmed</w:t>
      </w:r>
      <w:r w:rsidR="006E0AA3" w:rsidRPr="00B1135E">
        <w:t xml:space="preserve"> ‘</w:t>
      </w:r>
      <w:r w:rsidR="003335E4" w:rsidRPr="00B1135E">
        <w:t>reducing the gender pay, earnings and pension gaps and th</w:t>
      </w:r>
      <w:r w:rsidR="005E0212" w:rsidRPr="00B1135E">
        <w:t>us fighting poverty</w:t>
      </w:r>
      <w:r w:rsidR="006E0AA3" w:rsidRPr="00B1135E">
        <w:t xml:space="preserve"> among women’</w:t>
      </w:r>
      <w:r w:rsidR="003335E4" w:rsidRPr="00B1135E">
        <w:t xml:space="preserve"> </w:t>
      </w:r>
      <w:r w:rsidR="0019758D" w:rsidRPr="00B1135E">
        <w:t xml:space="preserve">as one of the key areas in its </w:t>
      </w:r>
      <w:r w:rsidR="00762784">
        <w:t xml:space="preserve">document </w:t>
      </w:r>
      <w:r w:rsidR="003335E4" w:rsidRPr="00B1135E">
        <w:rPr>
          <w:i/>
        </w:rPr>
        <w:t>Strategic engagemen</w:t>
      </w:r>
      <w:r w:rsidR="0019758D" w:rsidRPr="00B1135E">
        <w:rPr>
          <w:i/>
        </w:rPr>
        <w:t>t for gender equality 2016-2019</w:t>
      </w:r>
      <w:r w:rsidR="006E0AA3" w:rsidRPr="00B1135E">
        <w:t>.</w:t>
      </w:r>
    </w:p>
    <w:p w:rsidR="003A46EA" w:rsidRPr="00B1135E" w:rsidRDefault="000C49C9" w:rsidP="00624D1A">
      <w:pPr>
        <w:pStyle w:val="Body"/>
      </w:pPr>
      <w:r w:rsidRPr="00B1135E">
        <w:t>Th</w:t>
      </w:r>
      <w:r w:rsidR="00762784">
        <w:t>at</w:t>
      </w:r>
      <w:r w:rsidR="00624D1A" w:rsidRPr="00B1135E">
        <w:t xml:space="preserve"> document</w:t>
      </w:r>
      <w:r w:rsidRPr="00B1135E">
        <w:t xml:space="preserve"> call</w:t>
      </w:r>
      <w:r w:rsidR="00DE31EB">
        <w:t>s</w:t>
      </w:r>
      <w:r w:rsidRPr="00B1135E">
        <w:t xml:space="preserve"> for a substantial reduction </w:t>
      </w:r>
      <w:r w:rsidR="00C977BE">
        <w:t>in</w:t>
      </w:r>
      <w:r w:rsidRPr="00B1135E">
        <w:t xml:space="preserve"> gender segregation in economic sectors and occupations</w:t>
      </w:r>
      <w:r w:rsidR="00C977BE">
        <w:t>. It also calls for</w:t>
      </w:r>
      <w:r w:rsidR="00C977BE" w:rsidRPr="00B1135E">
        <w:t xml:space="preserve"> </w:t>
      </w:r>
      <w:r w:rsidRPr="00B1135E">
        <w:t>an increase in women’s overall paid working hours, awareness-raising</w:t>
      </w:r>
      <w:r w:rsidR="00844139">
        <w:t>,</w:t>
      </w:r>
      <w:r w:rsidRPr="00B1135E">
        <w:t xml:space="preserve"> and effective implementation of equal pay legislation.</w:t>
      </w:r>
      <w:r w:rsidR="00624D1A" w:rsidRPr="00B1135E">
        <w:t xml:space="preserve"> I</w:t>
      </w:r>
      <w:r w:rsidR="00844139">
        <w:t>n addition, i</w:t>
      </w:r>
      <w:r w:rsidR="00624D1A" w:rsidRPr="00B1135E">
        <w:t xml:space="preserve">t calls for policies and measures for those facing particular barriers to entry to the labour market, such as migrant women and single parents. </w:t>
      </w:r>
      <w:r w:rsidR="00C977BE">
        <w:t>T</w:t>
      </w:r>
      <w:r w:rsidR="00B42A5C" w:rsidRPr="00B1135E">
        <w:t>he document</w:t>
      </w:r>
      <w:r w:rsidR="00C977BE">
        <w:t xml:space="preserve"> also argues that</w:t>
      </w:r>
      <w:r w:rsidR="00B42A5C" w:rsidRPr="00B1135E">
        <w:t xml:space="preserve"> </w:t>
      </w:r>
      <w:r w:rsidR="00624D1A" w:rsidRPr="00B1135E">
        <w:t xml:space="preserve">the causes and consequences of the gender pension gap need to be addressed, as </w:t>
      </w:r>
      <w:r w:rsidR="00C977BE">
        <w:t>it</w:t>
      </w:r>
      <w:r w:rsidR="00C977BE" w:rsidRPr="00B1135E">
        <w:t xml:space="preserve"> </w:t>
      </w:r>
      <w:r w:rsidR="00624D1A" w:rsidRPr="00B1135E">
        <w:t>is an obstacle to the economic independence of women in old age, when they face a higher risk of poverty than men.</w:t>
      </w:r>
    </w:p>
    <w:p w:rsidR="003A46EA" w:rsidRPr="00B1135E" w:rsidRDefault="003A46EA" w:rsidP="00624D1A">
      <w:pPr>
        <w:pStyle w:val="Body"/>
      </w:pPr>
      <w:r w:rsidRPr="00B1135E">
        <w:t xml:space="preserve">The right of women and men to equal pay for work of equal value was also reiterated in the </w:t>
      </w:r>
      <w:r w:rsidRPr="00B1135E">
        <w:rPr>
          <w:i/>
        </w:rPr>
        <w:t>European Pillar of Social Rights</w:t>
      </w:r>
      <w:r w:rsidRPr="00B1135E">
        <w:t xml:space="preserve"> that was presented by the European Commission and proclaimed by the EU leaders at the Social Summit in Gothenburg in November 2017. The unadjusted GPG indicator has </w:t>
      </w:r>
      <w:r w:rsidR="00C977BE">
        <w:t>taken on more importance</w:t>
      </w:r>
      <w:r w:rsidRPr="00B1135E">
        <w:t xml:space="preserve"> by its inclusion in the social scoreboard of the </w:t>
      </w:r>
      <w:r w:rsidRPr="00B1135E">
        <w:rPr>
          <w:i/>
        </w:rPr>
        <w:t>European Pillar of Social Rights</w:t>
      </w:r>
      <w:r w:rsidRPr="00B1135E">
        <w:t>.</w:t>
      </w:r>
    </w:p>
    <w:p w:rsidR="003A46EA" w:rsidRPr="00B1135E" w:rsidRDefault="00706016" w:rsidP="00CA45AC">
      <w:pPr>
        <w:pStyle w:val="Body"/>
      </w:pPr>
      <w:r w:rsidRPr="00B1135E">
        <w:t xml:space="preserve">To </w:t>
      </w:r>
      <w:r w:rsidR="00C977BE">
        <w:t>achieve</w:t>
      </w:r>
      <w:r w:rsidR="00C977BE" w:rsidRPr="00B1135E">
        <w:t xml:space="preserve"> </w:t>
      </w:r>
      <w:r w:rsidRPr="00B1135E">
        <w:t xml:space="preserve">these objectives, the European Commission carries out a </w:t>
      </w:r>
      <w:r w:rsidR="00B42A5C" w:rsidRPr="00B1135E">
        <w:t>number of actions.</w:t>
      </w:r>
      <w:r w:rsidR="00D866F4" w:rsidRPr="00B1135E">
        <w:t xml:space="preserve"> </w:t>
      </w:r>
      <w:r w:rsidR="00F121C8" w:rsidRPr="00B1135E">
        <w:t xml:space="preserve">One of </w:t>
      </w:r>
      <w:r w:rsidR="00A41527" w:rsidRPr="00B1135E">
        <w:t>the</w:t>
      </w:r>
      <w:r w:rsidR="006B0FB9" w:rsidRPr="00B1135E">
        <w:t>m</w:t>
      </w:r>
      <w:r w:rsidR="00A41527" w:rsidRPr="00B1135E">
        <w:t xml:space="preserve"> </w:t>
      </w:r>
      <w:r w:rsidR="00F121C8" w:rsidRPr="00B1135E">
        <w:t>is the European Equal Pay Day</w:t>
      </w:r>
      <w:r w:rsidR="00CA45AC" w:rsidRPr="00B1135E">
        <w:t>,</w:t>
      </w:r>
      <w:r w:rsidR="006B0FB9" w:rsidRPr="00B1135E">
        <w:t xml:space="preserve"> </w:t>
      </w:r>
      <w:r w:rsidR="00C977BE">
        <w:t xml:space="preserve">which </w:t>
      </w:r>
      <w:r w:rsidR="006B0FB9" w:rsidRPr="00B1135E">
        <w:t>tak</w:t>
      </w:r>
      <w:r w:rsidR="00C977BE">
        <w:t>es</w:t>
      </w:r>
      <w:r w:rsidR="00CA45AC" w:rsidRPr="00B1135E">
        <w:t xml:space="preserve"> </w:t>
      </w:r>
      <w:r w:rsidR="006B0FB9" w:rsidRPr="00B1135E">
        <w:t xml:space="preserve">place every year in </w:t>
      </w:r>
      <w:r w:rsidR="00CA45AC" w:rsidRPr="00B1135E">
        <w:t>November</w:t>
      </w:r>
      <w:r w:rsidR="00C977BE">
        <w:t>. This day</w:t>
      </w:r>
      <w:r w:rsidR="00CA45AC" w:rsidRPr="00B1135E">
        <w:t xml:space="preserve"> raises </w:t>
      </w:r>
      <w:r w:rsidR="006B0FB9" w:rsidRPr="00B1135E">
        <w:t xml:space="preserve">awareness </w:t>
      </w:r>
      <w:r w:rsidR="00C977BE">
        <w:t>about</w:t>
      </w:r>
      <w:r w:rsidR="00C977BE" w:rsidRPr="00B1135E">
        <w:t xml:space="preserve"> </w:t>
      </w:r>
      <w:r w:rsidR="006B0FB9" w:rsidRPr="00B1135E">
        <w:t xml:space="preserve">the </w:t>
      </w:r>
      <w:r w:rsidR="00CA45AC" w:rsidRPr="00B1135E">
        <w:t xml:space="preserve">remaining (unadjusted) gap between the average earnings of </w:t>
      </w:r>
      <w:r w:rsidR="006B0FB9" w:rsidRPr="00B1135E">
        <w:t>men and women</w:t>
      </w:r>
      <w:r w:rsidR="00CA45AC" w:rsidRPr="00B1135E">
        <w:t xml:space="preserve">. </w:t>
      </w:r>
      <w:r w:rsidRPr="00B1135E">
        <w:t xml:space="preserve">The European Commission </w:t>
      </w:r>
      <w:r w:rsidR="00CA45AC" w:rsidRPr="00B1135E">
        <w:t xml:space="preserve">also </w:t>
      </w:r>
      <w:r w:rsidRPr="00B1135E">
        <w:t xml:space="preserve">uses the European Semester </w:t>
      </w:r>
      <w:r w:rsidR="000D2BC8" w:rsidRPr="00B1135E">
        <w:t xml:space="preserve">as an instrument </w:t>
      </w:r>
      <w:r w:rsidRPr="00B1135E">
        <w:t xml:space="preserve">to coordinate the </w:t>
      </w:r>
      <w:r w:rsidR="00CA45AC" w:rsidRPr="00B1135E">
        <w:t>efforts of EU Member States in addressing the root causes of the gender pay and pension gaps</w:t>
      </w:r>
      <w:r w:rsidRPr="00B1135E">
        <w:t>.</w:t>
      </w:r>
    </w:p>
    <w:p w:rsidR="003A46EA" w:rsidRPr="00B1135E" w:rsidRDefault="003335E4" w:rsidP="00CA45AC">
      <w:pPr>
        <w:pStyle w:val="Body"/>
      </w:pPr>
      <w:r w:rsidRPr="00B1135E">
        <w:t xml:space="preserve">The unadjusted </w:t>
      </w:r>
      <w:r w:rsidR="00CF3BFB" w:rsidRPr="00B1135E">
        <w:t>gender pay gap</w:t>
      </w:r>
      <w:r w:rsidR="00C23600" w:rsidRPr="00B1135E">
        <w:t xml:space="preserve"> </w:t>
      </w:r>
      <w:r w:rsidR="00CA45AC" w:rsidRPr="00B1135E">
        <w:t xml:space="preserve">(unadjusted GPG) </w:t>
      </w:r>
      <w:r w:rsidRPr="00B1135E">
        <w:t xml:space="preserve">is widely used in </w:t>
      </w:r>
      <w:r w:rsidR="00D90281" w:rsidRPr="00B1135E">
        <w:t>th</w:t>
      </w:r>
      <w:r w:rsidR="00CA45AC" w:rsidRPr="00B1135E">
        <w:t xml:space="preserve">is </w:t>
      </w:r>
      <w:r w:rsidR="003A46EA" w:rsidRPr="00B1135E">
        <w:t xml:space="preserve">policy </w:t>
      </w:r>
      <w:r w:rsidR="00CA45AC" w:rsidRPr="00B1135E">
        <w:t xml:space="preserve">context </w:t>
      </w:r>
      <w:r w:rsidRPr="00B1135E">
        <w:t xml:space="preserve">as the key indicator to monitor and evaluate progress in </w:t>
      </w:r>
      <w:r w:rsidR="00CF3BFB" w:rsidRPr="00B1135E">
        <w:t>reducing the gender pay gap.</w:t>
      </w:r>
    </w:p>
    <w:p w:rsidR="003335E4" w:rsidRPr="00B1135E" w:rsidRDefault="003335E4" w:rsidP="003335E4">
      <w:pPr>
        <w:pStyle w:val="Body"/>
      </w:pPr>
    </w:p>
    <w:p w:rsidR="003335E4" w:rsidRPr="00B1135E" w:rsidRDefault="00716F42" w:rsidP="00716F42">
      <w:pPr>
        <w:pStyle w:val="Heading20"/>
      </w:pPr>
      <w:bookmarkStart w:id="5" w:name="_Toc511814806"/>
      <w:r w:rsidRPr="00B1135E">
        <w:t xml:space="preserve">1.2 </w:t>
      </w:r>
      <w:r w:rsidR="003335E4" w:rsidRPr="00B1135E">
        <w:t>The unadjusted gender pay gap</w:t>
      </w:r>
      <w:bookmarkEnd w:id="5"/>
    </w:p>
    <w:p w:rsidR="003335E4" w:rsidRPr="00B1135E" w:rsidRDefault="003335E4" w:rsidP="00E14A0E">
      <w:pPr>
        <w:pStyle w:val="Body"/>
      </w:pPr>
      <w:r w:rsidRPr="00B1135E">
        <w:t>The unadjusted GPG</w:t>
      </w:r>
      <w:r w:rsidR="007A1CCF" w:rsidRPr="00B1135E">
        <w:t xml:space="preserve"> indicator</w:t>
      </w:r>
      <w:r w:rsidRPr="00B1135E">
        <w:t xml:space="preserve"> is published annually by Eurostat in cooperation with the </w:t>
      </w:r>
      <w:r w:rsidR="00573555">
        <w:t>n</w:t>
      </w:r>
      <w:r w:rsidRPr="00B1135E">
        <w:t>ationa</w:t>
      </w:r>
      <w:r w:rsidR="00AC1D2B" w:rsidRPr="00B1135E">
        <w:t xml:space="preserve">l </w:t>
      </w:r>
      <w:r w:rsidR="00573555">
        <w:t>s</w:t>
      </w:r>
      <w:r w:rsidR="00AC1D2B" w:rsidRPr="00B1135E">
        <w:t xml:space="preserve">tatistical </w:t>
      </w:r>
      <w:r w:rsidR="00573555">
        <w:t>i</w:t>
      </w:r>
      <w:r w:rsidR="00AC1D2B" w:rsidRPr="00B1135E">
        <w:t xml:space="preserve">nstitutes </w:t>
      </w:r>
      <w:r w:rsidRPr="00B1135E">
        <w:t xml:space="preserve">of the EU Member States and EFTA </w:t>
      </w:r>
      <w:r w:rsidR="0065424D">
        <w:t>(European Free T</w:t>
      </w:r>
      <w:r w:rsidR="007B68BA">
        <w:t xml:space="preserve">rade Association) </w:t>
      </w:r>
      <w:r w:rsidRPr="00B1135E">
        <w:t>count</w:t>
      </w:r>
      <w:r w:rsidR="007B68BA">
        <w:t>r</w:t>
      </w:r>
      <w:r w:rsidRPr="00B1135E">
        <w:t xml:space="preserve">ies. It is </w:t>
      </w:r>
      <w:r w:rsidR="002D2E4B" w:rsidRPr="00B1135E">
        <w:t>based on the methodology of</w:t>
      </w:r>
      <w:r w:rsidR="00573555">
        <w:t xml:space="preserve"> the</w:t>
      </w:r>
      <w:r w:rsidR="002D2E4B" w:rsidRPr="00B1135E">
        <w:t xml:space="preserve"> </w:t>
      </w:r>
      <w:r w:rsidRPr="00B1135E">
        <w:t>Str</w:t>
      </w:r>
      <w:r w:rsidR="002D2E4B" w:rsidRPr="00B1135E">
        <w:t>ucture of Earnings Survey (SES)</w:t>
      </w:r>
      <w:r w:rsidR="00573555">
        <w:t>, which is released every four years</w:t>
      </w:r>
      <w:r w:rsidR="002D2E4B" w:rsidRPr="00B1135E">
        <w:t xml:space="preserve">. The unadjusted GPG is calculated on the basis of </w:t>
      </w:r>
      <w:r w:rsidR="00573555">
        <w:t xml:space="preserve">the </w:t>
      </w:r>
      <w:r w:rsidR="002D2E4B" w:rsidRPr="00B1135E">
        <w:t>SES conducted in 2002, 2006, 2010 and 2014, and on the basis of other national sources for the years between the SES years.</w:t>
      </w:r>
      <w:r w:rsidRPr="00B1135E">
        <w:t xml:space="preserve"> The scope and coverage of the una</w:t>
      </w:r>
      <w:r w:rsidR="00AC1D2B" w:rsidRPr="00B1135E">
        <w:t xml:space="preserve">djusted GPG are as follows: </w:t>
      </w:r>
      <w:r w:rsidR="00512B49">
        <w:t xml:space="preserve">(i) </w:t>
      </w:r>
      <w:r w:rsidR="00AC1D2B" w:rsidRPr="00B1135E">
        <w:t>economic activity</w:t>
      </w:r>
      <w:r w:rsidRPr="00B1135E">
        <w:t xml:space="preserve"> </w:t>
      </w:r>
      <w:r w:rsidRPr="00B1135E">
        <w:lastRenderedPageBreak/>
        <w:t>sections B to S without O</w:t>
      </w:r>
      <w:r w:rsidR="003D63C6" w:rsidRPr="00B1135E">
        <w:rPr>
          <w:rStyle w:val="FootnoteReference"/>
        </w:rPr>
        <w:footnoteReference w:id="2"/>
      </w:r>
      <w:r w:rsidR="00E14A0E" w:rsidRPr="00B1135E">
        <w:t xml:space="preserve"> </w:t>
      </w:r>
      <w:r w:rsidR="0003765E" w:rsidRPr="00B1135E">
        <w:t>defined by</w:t>
      </w:r>
      <w:r w:rsidR="00E14A0E" w:rsidRPr="00B1135E">
        <w:t xml:space="preserve"> NACE Rev. 2 (Statistical classification of economic activities in the European Community)</w:t>
      </w:r>
      <w:r w:rsidR="003D63C6">
        <w:rPr>
          <w:rStyle w:val="FootnoteReference"/>
        </w:rPr>
        <w:footnoteReference w:id="3"/>
      </w:r>
      <w:r w:rsidRPr="00B1135E">
        <w:t xml:space="preserve">, </w:t>
      </w:r>
      <w:r w:rsidR="00512B49">
        <w:t xml:space="preserve">(ii) </w:t>
      </w:r>
      <w:r w:rsidR="002D2E4B" w:rsidRPr="00B1135E">
        <w:t xml:space="preserve">only </w:t>
      </w:r>
      <w:r w:rsidRPr="00B1135E">
        <w:t xml:space="preserve">enterprises with 10 employees or more, </w:t>
      </w:r>
      <w:r w:rsidR="00512B49">
        <w:t xml:space="preserve">(iii) </w:t>
      </w:r>
      <w:r w:rsidRPr="00B1135E">
        <w:t>no restrictio</w:t>
      </w:r>
      <w:r w:rsidR="002D2E4B" w:rsidRPr="00B1135E">
        <w:t>ns for age and hours worked</w:t>
      </w:r>
      <w:r w:rsidR="00573555">
        <w:t xml:space="preserve">, and </w:t>
      </w:r>
      <w:r w:rsidR="00512B49">
        <w:t xml:space="preserve">(iv) </w:t>
      </w:r>
      <w:r w:rsidR="00573555">
        <w:t>both</w:t>
      </w:r>
      <w:r w:rsidR="002D2E4B" w:rsidRPr="00B1135E">
        <w:t xml:space="preserve"> full-time and part-time employees</w:t>
      </w:r>
      <w:r w:rsidR="00C73F52" w:rsidRPr="00B1135E">
        <w:t xml:space="preserve"> are</w:t>
      </w:r>
      <w:r w:rsidRPr="00B1135E">
        <w:t xml:space="preserve"> included. The definition of the unadjusted GPG, expressed </w:t>
      </w:r>
      <w:r w:rsidR="00D555A4">
        <w:t>as a</w:t>
      </w:r>
      <w:r w:rsidR="00D555A4" w:rsidRPr="00B1135E">
        <w:t xml:space="preserve"> </w:t>
      </w:r>
      <w:r w:rsidRPr="00B1135E">
        <w:t>percentage, is as follows:</w:t>
      </w:r>
    </w:p>
    <w:p w:rsidR="00B46A8D" w:rsidRPr="00B1135E" w:rsidRDefault="001F30FD" w:rsidP="003335E4">
      <w:pPr>
        <w:pStyle w:val="Body"/>
      </w:pPr>
      <m:oMathPara>
        <m:oMath>
          <m:f>
            <m:fPr>
              <m:ctrlPr>
                <w:rPr>
                  <w:rFonts w:ascii="Cambria Math" w:hAnsi="Cambria Math"/>
                </w:rPr>
              </m:ctrlPr>
            </m:fPr>
            <m:num>
              <m:r>
                <m:rPr>
                  <m:sty m:val="p"/>
                </m:rPr>
                <w:rPr>
                  <w:rFonts w:ascii="Cambria Math" w:hAnsi="Cambria Math" w:cs="Cambria Math"/>
                </w:rPr>
                <m:t>Mean (gross) hourly earnings of men-Mean (gross) hourly earnings of women</m:t>
              </m:r>
            </m:num>
            <m:den>
              <m:r>
                <m:rPr>
                  <m:sty m:val="p"/>
                </m:rPr>
                <w:rPr>
                  <w:rFonts w:ascii="Cambria Math" w:hAnsi="Cambria Math" w:cs="Cambria Math"/>
                </w:rPr>
                <m:t xml:space="preserve">Mean </m:t>
              </m:r>
              <m:d>
                <m:dPr>
                  <m:ctrlPr>
                    <w:rPr>
                      <w:rFonts w:ascii="Cambria Math" w:hAnsi="Cambria Math" w:cs="Cambria Math"/>
                    </w:rPr>
                  </m:ctrlPr>
                </m:dPr>
                <m:e>
                  <m:r>
                    <m:rPr>
                      <m:sty m:val="p"/>
                    </m:rPr>
                    <w:rPr>
                      <w:rFonts w:ascii="Cambria Math" w:hAnsi="Cambria Math" w:cs="Cambria Math"/>
                    </w:rPr>
                    <m:t>gross</m:t>
                  </m:r>
                </m:e>
              </m:d>
              <m:r>
                <m:rPr>
                  <m:sty m:val="p"/>
                </m:rPr>
                <w:rPr>
                  <w:rFonts w:ascii="Cambria Math" w:hAnsi="Cambria Math" w:cs="Cambria Math"/>
                </w:rPr>
                <m:t>hourly earnings of men</m:t>
              </m:r>
              <m:r>
                <m:rPr>
                  <m:sty m:val="p"/>
                </m:rPr>
                <w:rPr>
                  <w:rStyle w:val="FootnoteReference"/>
                  <w:rFonts w:ascii="Cambria Math" w:hAnsi="Cambria Math"/>
                </w:rPr>
                <w:footnoteReference w:id="4"/>
              </m:r>
            </m:den>
          </m:f>
        </m:oMath>
      </m:oMathPara>
    </w:p>
    <w:p w:rsidR="00891120" w:rsidRDefault="003335E4" w:rsidP="003F4C65">
      <w:pPr>
        <w:pStyle w:val="Body"/>
      </w:pPr>
      <w:r w:rsidRPr="00B1135E">
        <w:t>As an unadjusted indicator, the GPG gives an overall picture of the differences between men and women in pay</w:t>
      </w:r>
      <w:r w:rsidR="00573555">
        <w:t>. It</w:t>
      </w:r>
      <w:r w:rsidRPr="00B1135E">
        <w:t xml:space="preserve"> measures a concept </w:t>
      </w:r>
      <w:r w:rsidR="00573555">
        <w:t>that</w:t>
      </w:r>
      <w:r w:rsidR="00573555" w:rsidRPr="00B1135E">
        <w:t xml:space="preserve"> </w:t>
      </w:r>
      <w:r w:rsidRPr="00B1135E">
        <w:t xml:space="preserve">is broader than the concept of </w:t>
      </w:r>
      <w:r w:rsidR="00023667" w:rsidRPr="00B1135E">
        <w:t>‘</w:t>
      </w:r>
      <w:r w:rsidR="00B16E89" w:rsidRPr="00B1135E">
        <w:t>equal pay for eq</w:t>
      </w:r>
      <w:r w:rsidR="00023667" w:rsidRPr="00B1135E">
        <w:t>ual work or work of equal value’</w:t>
      </w:r>
      <w:r w:rsidRPr="00B1135E">
        <w:t>. A part of the difference in earnings of men and women</w:t>
      </w:r>
      <w:r w:rsidR="00AF76FE" w:rsidRPr="00B1135E">
        <w:t xml:space="preserve"> can be explained</w:t>
      </w:r>
      <w:r w:rsidR="00961EC4" w:rsidRPr="00B1135E">
        <w:t xml:space="preserve"> by </w:t>
      </w:r>
      <w:r w:rsidR="00AF76FE" w:rsidRPr="00B1135E">
        <w:t xml:space="preserve">differences in </w:t>
      </w:r>
      <w:r w:rsidR="00961EC4" w:rsidRPr="00B1135E">
        <w:t xml:space="preserve">the average </w:t>
      </w:r>
      <w:r w:rsidR="00AF76FE" w:rsidRPr="00B1135E">
        <w:t>characteristics</w:t>
      </w:r>
      <w:r w:rsidR="00961EC4" w:rsidRPr="00B1135E">
        <w:t xml:space="preserve"> </w:t>
      </w:r>
      <w:r w:rsidR="002C221F" w:rsidRPr="00B1135E">
        <w:t>of</w:t>
      </w:r>
      <w:r w:rsidR="00961EC4" w:rsidRPr="00B1135E">
        <w:t xml:space="preserve"> male and female employees</w:t>
      </w:r>
      <w:r w:rsidR="00BE1761">
        <w:t xml:space="preserve"> </w:t>
      </w:r>
      <w:r w:rsidR="00BE1761" w:rsidRPr="00B1135E">
        <w:t>(Eurofound 2010)</w:t>
      </w:r>
      <w:r w:rsidR="00961EC4" w:rsidRPr="00B1135E">
        <w:t>. The differences in the average characteristics</w:t>
      </w:r>
      <w:r w:rsidR="00DB13BC" w:rsidRPr="00B1135E">
        <w:t xml:space="preserve"> </w:t>
      </w:r>
      <w:r w:rsidR="002B3B1C" w:rsidRPr="00B1135E">
        <w:t>can result from</w:t>
      </w:r>
      <w:r w:rsidR="00AE6F39">
        <w:t xml:space="preserve"> many factors, including</w:t>
      </w:r>
      <w:r w:rsidR="008A2B01" w:rsidRPr="00B1135E">
        <w:t xml:space="preserve"> </w:t>
      </w:r>
      <w:r w:rsidR="00BE1761">
        <w:t xml:space="preserve">the concentration of one sex in certain economic activities </w:t>
      </w:r>
      <w:r w:rsidR="009A5CDE">
        <w:t>or the concentration of one sex in certain occupations</w:t>
      </w:r>
      <w:r w:rsidR="00891120">
        <w:t xml:space="preserve">. The first phenomenon </w:t>
      </w:r>
      <w:r w:rsidR="00891120" w:rsidRPr="00891120">
        <w:t>is calle</w:t>
      </w:r>
      <w:r w:rsidR="00891120">
        <w:t>d ‘sectoral gender segregation’ and the second one is</w:t>
      </w:r>
      <w:r w:rsidR="00891120" w:rsidRPr="00891120">
        <w:t xml:space="preserve"> </w:t>
      </w:r>
      <w:r w:rsidR="009A5CDE">
        <w:t>called ‘occupational gender segregation’</w:t>
      </w:r>
      <w:r w:rsidRPr="00B1135E">
        <w:t xml:space="preserve">. </w:t>
      </w:r>
    </w:p>
    <w:p w:rsidR="00E26378" w:rsidRDefault="003335E4" w:rsidP="003F4C65">
      <w:pPr>
        <w:pStyle w:val="Body"/>
      </w:pPr>
      <w:r w:rsidRPr="00B1135E">
        <w:t xml:space="preserve">Sectoral gender segregation </w:t>
      </w:r>
      <w:r w:rsidR="00BA495B" w:rsidRPr="00B1135E">
        <w:t>may</w:t>
      </w:r>
      <w:r w:rsidR="00C45338" w:rsidRPr="00B1135E">
        <w:t xml:space="preserve"> </w:t>
      </w:r>
      <w:r w:rsidR="00BA495B" w:rsidRPr="00B1135E">
        <w:t xml:space="preserve">explain part of </w:t>
      </w:r>
      <w:r w:rsidR="002120FC" w:rsidRPr="00B1135E">
        <w:t>the difference in earnings of men and women</w:t>
      </w:r>
      <w:r w:rsidR="003C33A9">
        <w:t>,</w:t>
      </w:r>
      <w:r w:rsidR="002120FC" w:rsidRPr="00B1135E">
        <w:t xml:space="preserve"> </w:t>
      </w:r>
      <w:r w:rsidR="00C45338" w:rsidRPr="00B1135E">
        <w:t>when</w:t>
      </w:r>
      <w:r w:rsidRPr="00B1135E">
        <w:t xml:space="preserve"> </w:t>
      </w:r>
      <w:r w:rsidR="002C221F" w:rsidRPr="00B1135E">
        <w:t>one sex</w:t>
      </w:r>
      <w:r w:rsidRPr="00B1135E">
        <w:t xml:space="preserve"> tend</w:t>
      </w:r>
      <w:r w:rsidR="002C221F" w:rsidRPr="00B1135E">
        <w:t>s</w:t>
      </w:r>
      <w:r w:rsidR="00061A6D" w:rsidRPr="00B1135E">
        <w:t xml:space="preserve"> to be </w:t>
      </w:r>
      <w:r w:rsidR="00BC1E65" w:rsidRPr="00B1135E">
        <w:t xml:space="preserve">concentrated </w:t>
      </w:r>
      <w:r w:rsidR="00061A6D" w:rsidRPr="00B1135E">
        <w:t>in low-</w:t>
      </w:r>
      <w:r w:rsidRPr="00B1135E">
        <w:t xml:space="preserve">paying </w:t>
      </w:r>
      <w:r w:rsidR="002C221F" w:rsidRPr="00B1135E">
        <w:t xml:space="preserve">economic </w:t>
      </w:r>
      <w:r w:rsidRPr="00B1135E">
        <w:t xml:space="preserve">sectors </w:t>
      </w:r>
      <w:r w:rsidR="00F72868">
        <w:t>and</w:t>
      </w:r>
      <w:r w:rsidR="00F72868" w:rsidRPr="00B1135E">
        <w:t xml:space="preserve"> </w:t>
      </w:r>
      <w:r w:rsidR="002C221F" w:rsidRPr="00B1135E">
        <w:t>the other</w:t>
      </w:r>
      <w:r w:rsidR="00061A6D" w:rsidRPr="00B1135E">
        <w:t xml:space="preserve"> </w:t>
      </w:r>
      <w:r w:rsidR="00AE6F39">
        <w:t xml:space="preserve">sex </w:t>
      </w:r>
      <w:r w:rsidR="00F72868">
        <w:t>tends to be</w:t>
      </w:r>
      <w:r w:rsidR="00AE6F39">
        <w:t xml:space="preserve"> concentrated </w:t>
      </w:r>
      <w:r w:rsidR="00061A6D" w:rsidRPr="00B1135E">
        <w:t>in high-</w:t>
      </w:r>
      <w:r w:rsidRPr="00B1135E">
        <w:t>pay</w:t>
      </w:r>
      <w:r w:rsidR="00061A6D" w:rsidRPr="00B1135E">
        <w:t>ing</w:t>
      </w:r>
      <w:r w:rsidRPr="00B1135E">
        <w:t xml:space="preserve"> sectors. </w:t>
      </w:r>
      <w:r w:rsidR="002C221F" w:rsidRPr="00B1135E">
        <w:t>For exampl</w:t>
      </w:r>
      <w:r w:rsidR="00061A6D" w:rsidRPr="00B1135E">
        <w:t>e</w:t>
      </w:r>
      <w:r w:rsidR="00AE6F39">
        <w:t>,</w:t>
      </w:r>
      <w:r w:rsidR="00061A6D" w:rsidRPr="00B1135E">
        <w:t xml:space="preserve"> women can </w:t>
      </w:r>
      <w:r w:rsidR="00113BEF" w:rsidRPr="00B1135E">
        <w:t>tend to work</w:t>
      </w:r>
      <w:r w:rsidR="00061A6D" w:rsidRPr="00B1135E">
        <w:t xml:space="preserve"> in low</w:t>
      </w:r>
      <w:r w:rsidR="00AE6F39">
        <w:t>er</w:t>
      </w:r>
      <w:r w:rsidR="00061A6D" w:rsidRPr="00B1135E">
        <w:t>-</w:t>
      </w:r>
      <w:r w:rsidR="002C221F" w:rsidRPr="00B1135E">
        <w:t>pay</w:t>
      </w:r>
      <w:r w:rsidR="00061A6D" w:rsidRPr="00B1135E">
        <w:t xml:space="preserve">ing sectors whereas men </w:t>
      </w:r>
      <w:r w:rsidR="00AE6F39">
        <w:t xml:space="preserve">can tend to work </w:t>
      </w:r>
      <w:r w:rsidR="00061A6D" w:rsidRPr="00B1135E">
        <w:t>in high</w:t>
      </w:r>
      <w:r w:rsidR="00AE6F39">
        <w:t>er</w:t>
      </w:r>
      <w:r w:rsidR="00061A6D" w:rsidRPr="00B1135E">
        <w:t>-</w:t>
      </w:r>
      <w:r w:rsidR="002C221F" w:rsidRPr="00B1135E">
        <w:t>pay</w:t>
      </w:r>
      <w:r w:rsidR="00061A6D" w:rsidRPr="00B1135E">
        <w:t>ing</w:t>
      </w:r>
      <w:r w:rsidR="002C221F" w:rsidRPr="00B1135E">
        <w:t xml:space="preserve"> sectors. </w:t>
      </w:r>
    </w:p>
    <w:p w:rsidR="00D866F4" w:rsidRPr="00B1135E" w:rsidRDefault="00AE6F39" w:rsidP="003F4C65">
      <w:pPr>
        <w:pStyle w:val="Body"/>
      </w:pPr>
      <w:r>
        <w:t>Similarly</w:t>
      </w:r>
      <w:r w:rsidR="00BA495B" w:rsidRPr="00B1135E">
        <w:t>, o</w:t>
      </w:r>
      <w:r w:rsidR="002C221F" w:rsidRPr="00B1135E">
        <w:t xml:space="preserve">ccupational gender segregation </w:t>
      </w:r>
      <w:r w:rsidR="00BA495B" w:rsidRPr="00B1135E">
        <w:t xml:space="preserve">may explain </w:t>
      </w:r>
      <w:r w:rsidR="00C45338" w:rsidRPr="00B1135E">
        <w:t>the difference in earnings of men and women</w:t>
      </w:r>
      <w:r>
        <w:t>,</w:t>
      </w:r>
      <w:r w:rsidR="00061A6D" w:rsidRPr="00B1135E">
        <w:t xml:space="preserve"> </w:t>
      </w:r>
      <w:r w:rsidR="00C45338" w:rsidRPr="00B1135E">
        <w:t xml:space="preserve">when </w:t>
      </w:r>
      <w:r w:rsidR="00061A6D" w:rsidRPr="00B1135E">
        <w:t xml:space="preserve">one sex </w:t>
      </w:r>
      <w:r w:rsidR="00501C03" w:rsidRPr="00B1135E">
        <w:t xml:space="preserve">tends to be </w:t>
      </w:r>
      <w:r w:rsidR="00BC1E65" w:rsidRPr="00B1135E">
        <w:t>concentrated</w:t>
      </w:r>
      <w:r w:rsidR="00061A6D" w:rsidRPr="00B1135E">
        <w:t xml:space="preserve"> in low-paying occupations </w:t>
      </w:r>
      <w:r w:rsidR="00F72868">
        <w:t>and</w:t>
      </w:r>
      <w:r w:rsidR="00F72868" w:rsidRPr="00B1135E">
        <w:t xml:space="preserve"> </w:t>
      </w:r>
      <w:r w:rsidR="00061A6D" w:rsidRPr="00B1135E">
        <w:t xml:space="preserve">the other </w:t>
      </w:r>
      <w:r w:rsidR="00D71B33">
        <w:t xml:space="preserve">sex </w:t>
      </w:r>
      <w:r w:rsidR="002C76F3">
        <w:t xml:space="preserve">tends to be concentrated </w:t>
      </w:r>
      <w:r w:rsidR="00061A6D" w:rsidRPr="00B1135E">
        <w:t>in high-paying occupations.</w:t>
      </w:r>
      <w:r w:rsidR="00E26378">
        <w:t xml:space="preserve"> </w:t>
      </w:r>
      <w:r w:rsidR="003335E4" w:rsidRPr="00B1135E">
        <w:t xml:space="preserve">Occupational gender segregation </w:t>
      </w:r>
      <w:r w:rsidR="00454358" w:rsidRPr="00B1135E">
        <w:t xml:space="preserve">may also </w:t>
      </w:r>
      <w:r w:rsidR="00061A6D" w:rsidRPr="00B1135E">
        <w:t>be</w:t>
      </w:r>
      <w:r w:rsidR="003335E4" w:rsidRPr="00B1135E">
        <w:t xml:space="preserve"> </w:t>
      </w:r>
      <w:r w:rsidR="00113BEF" w:rsidRPr="00B1135E">
        <w:t>partial</w:t>
      </w:r>
      <w:r w:rsidR="00454358" w:rsidRPr="00B1135E">
        <w:t xml:space="preserve">ly caused by </w:t>
      </w:r>
      <w:r w:rsidR="003335E4" w:rsidRPr="00B1135E">
        <w:t xml:space="preserve">men being more often promoted to supervisory and management positions </w:t>
      </w:r>
      <w:r w:rsidR="00454358" w:rsidRPr="00B1135E">
        <w:t xml:space="preserve">than </w:t>
      </w:r>
      <w:r w:rsidR="003335E4" w:rsidRPr="00B1135E">
        <w:t>women</w:t>
      </w:r>
      <w:r w:rsidR="00870328" w:rsidRPr="00B1135E">
        <w:t xml:space="preserve"> </w:t>
      </w:r>
      <w:r w:rsidR="00E73230" w:rsidRPr="00B1135E">
        <w:t xml:space="preserve">due to </w:t>
      </w:r>
      <w:r w:rsidR="007F65D8" w:rsidRPr="00B1135E">
        <w:t>discrimination</w:t>
      </w:r>
      <w:r w:rsidR="00113BEF" w:rsidRPr="00B1135E">
        <w:t>.</w:t>
      </w:r>
      <w:r w:rsidR="004433DB" w:rsidRPr="00B1135E">
        <w:t xml:space="preserve"> </w:t>
      </w:r>
      <w:r>
        <w:t>The term</w:t>
      </w:r>
      <w:r w:rsidRPr="00B1135E">
        <w:t xml:space="preserve"> </w:t>
      </w:r>
      <w:r w:rsidR="004433DB" w:rsidRPr="00B1135E">
        <w:t>‘</w:t>
      </w:r>
      <w:r w:rsidR="00113BEF" w:rsidRPr="00B1135E">
        <w:t>glass ceiling</w:t>
      </w:r>
      <w:r w:rsidR="004433DB" w:rsidRPr="00B1135E">
        <w:t>’</w:t>
      </w:r>
      <w:r w:rsidR="00113BEF" w:rsidRPr="00B1135E">
        <w:t xml:space="preserve"> is used as a metaphor to </w:t>
      </w:r>
      <w:r>
        <w:t xml:space="preserve">describe </w:t>
      </w:r>
      <w:r w:rsidR="00113BEF" w:rsidRPr="00B1135E">
        <w:t>an invisible barrier that keeps women from rising beyond a certain level in an enterprise</w:t>
      </w:r>
      <w:r w:rsidR="00B1135E">
        <w:t>’</w:t>
      </w:r>
      <w:r w:rsidR="00113BEF" w:rsidRPr="00B1135E">
        <w:t>s hierarchy.</w:t>
      </w:r>
    </w:p>
    <w:p w:rsidR="003F4C65" w:rsidRPr="00B1135E" w:rsidRDefault="00451475" w:rsidP="003F4C65">
      <w:pPr>
        <w:pStyle w:val="Body"/>
      </w:pPr>
      <w:r w:rsidRPr="00B1135E">
        <w:t>T</w:t>
      </w:r>
      <w:r w:rsidR="005A2366" w:rsidRPr="00B1135E">
        <w:t xml:space="preserve">he unadjusted </w:t>
      </w:r>
      <w:r w:rsidR="00A76EC8" w:rsidRPr="00B1135E">
        <w:t xml:space="preserve">GPG </w:t>
      </w:r>
      <w:r w:rsidR="00113BEF" w:rsidRPr="00B1135E">
        <w:t>is</w:t>
      </w:r>
      <w:r w:rsidR="00AE6F39">
        <w:t xml:space="preserve"> therefore</w:t>
      </w:r>
      <w:r w:rsidR="003335E4" w:rsidRPr="00B1135E">
        <w:t xml:space="preserve"> a </w:t>
      </w:r>
      <w:r w:rsidR="00AE6F39">
        <w:t xml:space="preserve">rather </w:t>
      </w:r>
      <w:r w:rsidR="003335E4" w:rsidRPr="00B1135E">
        <w:t>complex indicator</w:t>
      </w:r>
      <w:r w:rsidR="00AE6F39">
        <w:t>. It</w:t>
      </w:r>
      <w:r w:rsidR="003335E4" w:rsidRPr="00B1135E">
        <w:t xml:space="preserve">s measurement </w:t>
      </w:r>
      <w:r w:rsidR="00AE6F39">
        <w:t xml:space="preserve">covers </w:t>
      </w:r>
      <w:r w:rsidR="005A2366" w:rsidRPr="00B1135E">
        <w:t>both</w:t>
      </w:r>
      <w:r w:rsidR="003335E4" w:rsidRPr="00B1135E">
        <w:t xml:space="preserve"> possible discrimination between</w:t>
      </w:r>
      <w:r w:rsidR="00023667" w:rsidRPr="00B1135E">
        <w:t xml:space="preserve"> men and women </w:t>
      </w:r>
      <w:r w:rsidR="007B68BA">
        <w:t>through</w:t>
      </w:r>
      <w:r w:rsidR="00023667" w:rsidRPr="00B1135E">
        <w:t xml:space="preserve"> ‘unequal pay for equal work’</w:t>
      </w:r>
      <w:r w:rsidR="00961EC4" w:rsidRPr="00B1135E">
        <w:t xml:space="preserve"> </w:t>
      </w:r>
      <w:r w:rsidR="005A2366" w:rsidRPr="00B1135E">
        <w:t xml:space="preserve">and </w:t>
      </w:r>
      <w:r w:rsidR="00961EC4" w:rsidRPr="00B1135E">
        <w:t>the differences in the average characteristics of male and female employees</w:t>
      </w:r>
      <w:r w:rsidR="003335E4" w:rsidRPr="00B1135E">
        <w:t>.</w:t>
      </w:r>
    </w:p>
    <w:p w:rsidR="0049259A" w:rsidRPr="00B1135E" w:rsidRDefault="0049259A" w:rsidP="003F4C65">
      <w:pPr>
        <w:pStyle w:val="Body"/>
      </w:pPr>
    </w:p>
    <w:p w:rsidR="0049259A" w:rsidRPr="00B1135E" w:rsidRDefault="001E786A" w:rsidP="0049259A">
      <w:pPr>
        <w:pStyle w:val="Heading20"/>
      </w:pPr>
      <w:bookmarkStart w:id="6" w:name="_Toc511814807"/>
      <w:r w:rsidRPr="00B1135E">
        <w:t xml:space="preserve">1.3 Towards a decomposition </w:t>
      </w:r>
      <w:r w:rsidR="0049259A" w:rsidRPr="00B1135E">
        <w:t>methodology</w:t>
      </w:r>
      <w:bookmarkEnd w:id="6"/>
    </w:p>
    <w:p w:rsidR="00DC3528" w:rsidRPr="00B1135E" w:rsidRDefault="00E26378" w:rsidP="00DC3528">
      <w:pPr>
        <w:pStyle w:val="Body"/>
      </w:pPr>
      <w:r w:rsidRPr="00E26378">
        <w:t>To separate out the different factors at work in the gender pay gap, Euros</w:t>
      </w:r>
      <w:r>
        <w:t>tat developed a methodology to ‘decompose’</w:t>
      </w:r>
      <w:r w:rsidRPr="00E26378">
        <w:t xml:space="preserve"> the unadjusted GPG</w:t>
      </w:r>
      <w:r>
        <w:t>.</w:t>
      </w:r>
      <w:r w:rsidR="00C73F52" w:rsidRPr="00B1135E">
        <w:t xml:space="preserve"> </w:t>
      </w:r>
      <w:r w:rsidR="00515C04" w:rsidRPr="00B1135E">
        <w:t xml:space="preserve">The methodology and results were </w:t>
      </w:r>
      <w:r w:rsidR="00AE6F39">
        <w:t>discussed</w:t>
      </w:r>
      <w:r w:rsidR="00AE6F39" w:rsidRPr="00B1135E">
        <w:t xml:space="preserve"> </w:t>
      </w:r>
      <w:r w:rsidR="00515C04" w:rsidRPr="00B1135E">
        <w:t>with the Working Group on Labour Market Statistics in October 2017 and the European Directors of Social Statistics</w:t>
      </w:r>
      <w:r w:rsidR="003B2949" w:rsidRPr="00B1135E">
        <w:rPr>
          <w:rStyle w:val="FootnoteReference"/>
        </w:rPr>
        <w:footnoteReference w:id="5"/>
      </w:r>
      <w:r w:rsidR="00515C04" w:rsidRPr="00B1135E">
        <w:t xml:space="preserve"> in March 2018. </w:t>
      </w:r>
      <w:r w:rsidR="00AE6F39">
        <w:t>In these meetings, t</w:t>
      </w:r>
      <w:r w:rsidR="00563A34" w:rsidRPr="00B1135E">
        <w:t>here was a broad consensus on the overall methodology</w:t>
      </w:r>
      <w:r w:rsidR="00515C04" w:rsidRPr="00B1135E">
        <w:t xml:space="preserve"> proposed by Eurostat</w:t>
      </w:r>
      <w:r w:rsidR="00563A34" w:rsidRPr="00B1135E">
        <w:t xml:space="preserve">, based on the Oaxaca decomposition, </w:t>
      </w:r>
      <w:r w:rsidR="00AE6F39">
        <w:t xml:space="preserve">although </w:t>
      </w:r>
      <w:r w:rsidR="00563A34" w:rsidRPr="00B1135E">
        <w:t xml:space="preserve">some Member States </w:t>
      </w:r>
      <w:r w:rsidR="00AE6F39">
        <w:t xml:space="preserve">said they </w:t>
      </w:r>
      <w:r w:rsidR="00515C04" w:rsidRPr="00B1135E">
        <w:t>us</w:t>
      </w:r>
      <w:r w:rsidR="00AE6F39">
        <w:t>ed</w:t>
      </w:r>
      <w:r w:rsidR="00563A34" w:rsidRPr="00B1135E">
        <w:t xml:space="preserve"> different variants of </w:t>
      </w:r>
      <w:r w:rsidR="00515C04" w:rsidRPr="00B1135E">
        <w:t>the same method at national level</w:t>
      </w:r>
      <w:r w:rsidR="007E4FF5">
        <w:t xml:space="preserve"> (see Appendix 2)</w:t>
      </w:r>
      <w:r w:rsidR="00515C04" w:rsidRPr="00B1135E">
        <w:t>.</w:t>
      </w:r>
      <w:r w:rsidR="004E6973" w:rsidRPr="00B1135E">
        <w:t xml:space="preserve"> </w:t>
      </w:r>
      <w:r w:rsidR="00563A34" w:rsidRPr="00B1135E">
        <w:t xml:space="preserve">However, </w:t>
      </w:r>
      <w:r w:rsidR="008D3846" w:rsidRPr="00B1135E">
        <w:t>as some important variables such as the total working experience</w:t>
      </w:r>
      <w:r>
        <w:rPr>
          <w:rStyle w:val="FootnoteReference"/>
        </w:rPr>
        <w:footnoteReference w:id="6"/>
      </w:r>
      <w:r w:rsidR="008D3846" w:rsidRPr="00B1135E">
        <w:t xml:space="preserve"> were not collected in the source (SES) used in the decomposition, it was decided to publish the results as a ‘</w:t>
      </w:r>
      <w:r w:rsidR="00EE5DF0">
        <w:t>s</w:t>
      </w:r>
      <w:r w:rsidR="008D3846" w:rsidRPr="00B1135E">
        <w:t xml:space="preserve">tatistical </w:t>
      </w:r>
      <w:r w:rsidR="008D3846" w:rsidRPr="00B1135E">
        <w:lastRenderedPageBreak/>
        <w:t xml:space="preserve">working paper’ rather than </w:t>
      </w:r>
      <w:r w:rsidR="00235A3E">
        <w:t xml:space="preserve">as </w:t>
      </w:r>
      <w:r w:rsidR="00515C04" w:rsidRPr="00B1135E">
        <w:t>European official statistics.</w:t>
      </w:r>
    </w:p>
    <w:p w:rsidR="003F31BA" w:rsidRPr="00B1135E" w:rsidRDefault="0049259A" w:rsidP="00DC3528">
      <w:pPr>
        <w:pStyle w:val="Body"/>
      </w:pPr>
      <w:r w:rsidRPr="00B1135E">
        <w:t>In the fo</w:t>
      </w:r>
      <w:r w:rsidR="001217FF">
        <w:t>llowing parts of the paper</w:t>
      </w:r>
      <w:r w:rsidR="008D3846" w:rsidRPr="00B1135E">
        <w:t>,</w:t>
      </w:r>
      <w:r w:rsidRPr="00B1135E">
        <w:t xml:space="preserve"> readers will find information on Eurostat</w:t>
      </w:r>
      <w:r w:rsidR="00B1135E">
        <w:t>’</w:t>
      </w:r>
      <w:r w:rsidRPr="00B1135E">
        <w:t>s data source, the methodology and statistical software used to decompose the unadjusted GPG</w:t>
      </w:r>
      <w:r w:rsidR="00EE5DF0">
        <w:t>, and</w:t>
      </w:r>
      <w:r w:rsidRPr="00B1135E">
        <w:t xml:space="preserve"> the results of this decomposition.</w:t>
      </w:r>
      <w:r w:rsidR="0021639B" w:rsidRPr="00B1135E">
        <w:t xml:space="preserve"> </w:t>
      </w:r>
    </w:p>
    <w:p w:rsidR="00766AA5" w:rsidRPr="00B1135E" w:rsidRDefault="005D1689">
      <w:pPr>
        <w:sectPr w:rsidR="00766AA5" w:rsidRPr="00B1135E" w:rsidSect="00D55013">
          <w:footerReference w:type="default" r:id="rId9"/>
          <w:pgSz w:w="11899" w:h="16838"/>
          <w:pgMar w:top="1985" w:right="1701" w:bottom="1701" w:left="1701" w:header="709" w:footer="709" w:gutter="0"/>
          <w:cols w:space="708"/>
        </w:sectPr>
      </w:pPr>
      <w:r w:rsidRPr="00B1135E">
        <w:br w:type="page"/>
      </w:r>
    </w:p>
    <w:p w:rsidR="005D1689" w:rsidRPr="00B1135E" w:rsidRDefault="005D1689">
      <w:pPr>
        <w:rPr>
          <w:rFonts w:ascii="Arial" w:hAnsi="Arial" w:cs="Times-Roman"/>
          <w:color w:val="000000"/>
          <w:sz w:val="19"/>
          <w:szCs w:val="20"/>
        </w:rPr>
      </w:pPr>
    </w:p>
    <w:p w:rsidR="0006544A" w:rsidRDefault="0006544A" w:rsidP="0006544A">
      <w:pPr>
        <w:pStyle w:val="Heading1"/>
        <w:jc w:val="left"/>
        <w:rPr>
          <w:lang w:eastAsia="en-GB"/>
        </w:rPr>
      </w:pPr>
      <w:bookmarkStart w:id="7" w:name="_Toc511814809"/>
      <w:r>
        <w:rPr>
          <w:lang w:eastAsia="en-GB"/>
        </w:rPr>
        <w:t xml:space="preserve">2. Data source </w:t>
      </w:r>
      <w:r w:rsidRPr="0006544A">
        <w:rPr>
          <w:lang w:eastAsia="en-GB"/>
        </w:rPr>
        <w:t>and methodology</w:t>
      </w:r>
    </w:p>
    <w:p w:rsidR="005D1689" w:rsidRPr="00B1135E" w:rsidRDefault="00716F42" w:rsidP="00716F42">
      <w:pPr>
        <w:pStyle w:val="Heading20"/>
        <w:rPr>
          <w:lang w:eastAsia="en-GB"/>
        </w:rPr>
      </w:pPr>
      <w:r w:rsidRPr="00B1135E">
        <w:rPr>
          <w:lang w:eastAsia="en-GB"/>
        </w:rPr>
        <w:t xml:space="preserve">2.1 </w:t>
      </w:r>
      <w:r w:rsidR="005D1689" w:rsidRPr="00B1135E">
        <w:rPr>
          <w:lang w:eastAsia="en-GB"/>
        </w:rPr>
        <w:t>Data source</w:t>
      </w:r>
      <w:bookmarkEnd w:id="7"/>
    </w:p>
    <w:p w:rsidR="002F5DD3" w:rsidRPr="00B1135E" w:rsidRDefault="00C50A06" w:rsidP="00F219FD">
      <w:pPr>
        <w:pStyle w:val="Body"/>
      </w:pPr>
      <w:r w:rsidRPr="00B1135E">
        <w:t>To decompose the unadjusted</w:t>
      </w:r>
      <w:r w:rsidR="007D0415" w:rsidRPr="00B1135E">
        <w:t xml:space="preserve"> GPG</w:t>
      </w:r>
      <w:r w:rsidR="001A717D" w:rsidRPr="00B1135E">
        <w:t>,</w:t>
      </w:r>
      <w:r w:rsidR="007D0415" w:rsidRPr="00B1135E">
        <w:t xml:space="preserve"> </w:t>
      </w:r>
      <w:r w:rsidR="007112FB" w:rsidRPr="007112FB">
        <w:t>Eurostat has used microdata from the Structu</w:t>
      </w:r>
      <w:r w:rsidR="007112FB">
        <w:t>re of Earnings Survey (SES). The microdata cover</w:t>
      </w:r>
      <w:r w:rsidR="007112FB" w:rsidRPr="007112FB">
        <w:t xml:space="preserve"> two broad areas: the earnings of individual employees and the observed characteristics of individual employees. These observed characteristics include: (i) the personal characteristics of individual employees such as age, education and job experience, (ii) the types of job done by individual employees, and (iii) the types of companies or enterprises that </w:t>
      </w:r>
      <w:r w:rsidR="007112FB">
        <w:t xml:space="preserve">individual employees work for. </w:t>
      </w:r>
    </w:p>
    <w:p w:rsidR="00086A32" w:rsidRPr="00B1135E" w:rsidRDefault="005D1689" w:rsidP="00F219FD">
      <w:pPr>
        <w:pStyle w:val="Body"/>
      </w:pPr>
      <w:r w:rsidRPr="00B1135E">
        <w:t xml:space="preserve">The </w:t>
      </w:r>
      <w:r w:rsidR="00C50A06" w:rsidRPr="00B1135E">
        <w:t xml:space="preserve">scope of the microdata </w:t>
      </w:r>
      <w:r w:rsidR="00820CD5" w:rsidRPr="00B1135E">
        <w:t>in the decomposition analysis</w:t>
      </w:r>
      <w:r w:rsidR="00C50A06" w:rsidRPr="00B1135E">
        <w:t xml:space="preserve"> is the same as </w:t>
      </w:r>
      <w:r w:rsidRPr="00B1135E">
        <w:t>the scope and coverage of the unadjusted GPG</w:t>
      </w:r>
      <w:r w:rsidR="00EC1CD5" w:rsidRPr="00B1135E">
        <w:t xml:space="preserve"> </w:t>
      </w:r>
      <w:r w:rsidR="00086A32" w:rsidRPr="00B1135E">
        <w:t>calculated for</w:t>
      </w:r>
      <w:r w:rsidR="00EC1CD5" w:rsidRPr="00B1135E">
        <w:t>:</w:t>
      </w:r>
    </w:p>
    <w:p w:rsidR="005D1689" w:rsidRPr="00B1135E" w:rsidRDefault="00E14A0E" w:rsidP="007A39F9">
      <w:pPr>
        <w:pStyle w:val="Bodybulletlist"/>
        <w:ind w:left="284" w:hanging="284"/>
      </w:pPr>
      <w:r w:rsidRPr="00B1135E">
        <w:t>economic activity</w:t>
      </w:r>
      <w:r w:rsidR="005D1689" w:rsidRPr="00B1135E">
        <w:t xml:space="preserve"> sections B to S excluding O according to NACE Rev. 2</w:t>
      </w:r>
      <w:r w:rsidR="001A2FF2" w:rsidRPr="00B1135E">
        <w:t xml:space="preserve"> (Statistical classification of economic activities in the European Community)</w:t>
      </w:r>
      <w:r w:rsidR="001A2FF2" w:rsidRPr="00B1135E">
        <w:rPr>
          <w:rStyle w:val="FootnoteReference"/>
        </w:rPr>
        <w:footnoteReference w:id="7"/>
      </w:r>
      <w:r w:rsidR="00634124">
        <w:t>;</w:t>
      </w:r>
    </w:p>
    <w:p w:rsidR="005D1689" w:rsidRPr="00B1135E" w:rsidRDefault="005D1689" w:rsidP="00F219FD">
      <w:pPr>
        <w:pStyle w:val="Bodybulletlist"/>
      </w:pPr>
      <w:r w:rsidRPr="00B1135E">
        <w:t>enterprises with 10 employees or more</w:t>
      </w:r>
      <w:r w:rsidR="00634124">
        <w:t>;</w:t>
      </w:r>
    </w:p>
    <w:p w:rsidR="005D1689" w:rsidRPr="00B1135E" w:rsidRDefault="00EC1CD5" w:rsidP="00F219FD">
      <w:pPr>
        <w:pStyle w:val="Bodybulletlist"/>
      </w:pPr>
      <w:r w:rsidRPr="00B1135E">
        <w:t xml:space="preserve">employees with </w:t>
      </w:r>
      <w:r w:rsidR="005D1689" w:rsidRPr="00B1135E">
        <w:t>no restri</w:t>
      </w:r>
      <w:r w:rsidRPr="00B1135E">
        <w:t xml:space="preserve">ctions for age and hours worked and including </w:t>
      </w:r>
      <w:r w:rsidR="00086A32" w:rsidRPr="00B1135E">
        <w:t>ful</w:t>
      </w:r>
      <w:r w:rsidRPr="00B1135E">
        <w:t>l- and part-timers.</w:t>
      </w:r>
    </w:p>
    <w:p w:rsidR="005D1689" w:rsidRDefault="005D1689" w:rsidP="00F219FD">
      <w:pPr>
        <w:pStyle w:val="Body"/>
      </w:pPr>
      <w:r w:rsidRPr="00B1135E">
        <w:t xml:space="preserve">The 2014 </w:t>
      </w:r>
      <w:r w:rsidR="008F6E16" w:rsidRPr="00B1135E">
        <w:t>SES micro</w:t>
      </w:r>
      <w:r w:rsidRPr="00B1135E">
        <w:t xml:space="preserve">data are used in the </w:t>
      </w:r>
      <w:r w:rsidR="00AA7561" w:rsidRPr="00B1135E">
        <w:t xml:space="preserve">decomposition </w:t>
      </w:r>
      <w:r w:rsidRPr="00B1135E">
        <w:t>of the</w:t>
      </w:r>
      <w:r w:rsidR="00AA7561" w:rsidRPr="00B1135E">
        <w:t xml:space="preserve"> unadjusted G</w:t>
      </w:r>
      <w:r w:rsidR="001217FF">
        <w:t>PG presented in this paper</w:t>
      </w:r>
      <w:r w:rsidRPr="00B1135E">
        <w:t>.</w:t>
      </w:r>
    </w:p>
    <w:p w:rsidR="000352C9" w:rsidRPr="00B1135E" w:rsidRDefault="000352C9" w:rsidP="00F219FD">
      <w:pPr>
        <w:pStyle w:val="Body"/>
      </w:pPr>
    </w:p>
    <w:p w:rsidR="005D1689" w:rsidRPr="00B1135E" w:rsidRDefault="00716F42" w:rsidP="00F219FD">
      <w:pPr>
        <w:pStyle w:val="Heading20"/>
        <w:jc w:val="both"/>
        <w:rPr>
          <w:lang w:eastAsia="en-GB"/>
        </w:rPr>
      </w:pPr>
      <w:bookmarkStart w:id="8" w:name="_Toc511814810"/>
      <w:r w:rsidRPr="00B1135E">
        <w:rPr>
          <w:lang w:eastAsia="en-GB"/>
        </w:rPr>
        <w:t xml:space="preserve">2.2 </w:t>
      </w:r>
      <w:r w:rsidR="005D1689" w:rsidRPr="00B1135E">
        <w:rPr>
          <w:lang w:eastAsia="en-GB"/>
        </w:rPr>
        <w:t>Methodology</w:t>
      </w:r>
      <w:bookmarkEnd w:id="8"/>
    </w:p>
    <w:p w:rsidR="005D1689" w:rsidRPr="00B1135E" w:rsidRDefault="005D1689" w:rsidP="00F219FD">
      <w:pPr>
        <w:pStyle w:val="Body"/>
      </w:pPr>
      <w:r w:rsidRPr="00B1135E">
        <w:t xml:space="preserve">Eurostat </w:t>
      </w:r>
      <w:r w:rsidR="00820CD5" w:rsidRPr="00B1135E">
        <w:t>applies</w:t>
      </w:r>
      <w:r w:rsidRPr="00B1135E">
        <w:t xml:space="preserve"> the Oaxaca (1973) decomposition, </w:t>
      </w:r>
      <w:r w:rsidR="004A21FD" w:rsidRPr="00B1135E">
        <w:t>also</w:t>
      </w:r>
      <w:r w:rsidRPr="00B1135E">
        <w:t xml:space="preserve"> called </w:t>
      </w:r>
      <w:r w:rsidR="00EE5DF0">
        <w:t xml:space="preserve">the </w:t>
      </w:r>
      <w:r w:rsidRPr="00B1135E">
        <w:t>Blinder-Oaxaca decompo</w:t>
      </w:r>
      <w:r w:rsidR="004A21FD" w:rsidRPr="00B1135E">
        <w:t>sition, to decompose the unadjusted</w:t>
      </w:r>
      <w:r w:rsidRPr="00B1135E">
        <w:t xml:space="preserve"> GPG. This method is carried out in two stages</w:t>
      </w:r>
      <w:r w:rsidR="00EE5DF0">
        <w:t>:</w:t>
      </w:r>
      <w:r w:rsidRPr="00B1135E">
        <w:t xml:space="preserve"> a regression analysis and a decomposition analysis of the structure of earnings. In the first stag</w:t>
      </w:r>
      <w:r w:rsidR="001A717D" w:rsidRPr="00B1135E">
        <w:t>e, a regression analysis is conducted</w:t>
      </w:r>
      <w:r w:rsidRPr="00B1135E">
        <w:t xml:space="preserve"> to estimate the earnings equations separately for men (M) and women (W) as detailed in the following equations:</w:t>
      </w:r>
    </w:p>
    <w:p w:rsidR="005D1689" w:rsidRPr="00B1135E" w:rsidRDefault="001F30FD" w:rsidP="00E75738">
      <w:pPr>
        <w:pStyle w:val="Body"/>
        <w:rPr>
          <w:rFonts w:ascii="Times New Roman" w:hAnsi="Times New Roman"/>
        </w:rPr>
      </w:pPr>
      <m:oMathPara>
        <m:oMath>
          <m:sSubSup>
            <m:sSubSupPr>
              <m:ctrlPr>
                <w:rPr>
                  <w:rFonts w:ascii="Cambria Math" w:hAnsi="Cambria Math"/>
                  <w:sz w:val="22"/>
                  <w:szCs w:val="22"/>
                </w:rPr>
              </m:ctrlPr>
            </m:sSubSupPr>
            <m:e>
              <m:func>
                <m:funcPr>
                  <m:ctrlPr>
                    <w:rPr>
                      <w:rFonts w:ascii="Cambria Math" w:hAnsi="Cambria Math"/>
                      <w:sz w:val="22"/>
                      <w:szCs w:val="22"/>
                    </w:rPr>
                  </m:ctrlPr>
                </m:funcPr>
                <m:fName>
                  <m:r>
                    <m:rPr>
                      <m:sty m:val="p"/>
                    </m:rPr>
                    <w:rPr>
                      <w:rFonts w:ascii="Cambria Math" w:hAnsi="Cambria Math"/>
                      <w:sz w:val="22"/>
                      <w:szCs w:val="22"/>
                    </w:rPr>
                    <m:t>ln</m:t>
                  </m:r>
                </m:fName>
                <m:e>
                  <m:r>
                    <w:rPr>
                      <w:rFonts w:ascii="Cambria Math" w:hAnsi="Cambria Math"/>
                      <w:sz w:val="22"/>
                      <w:szCs w:val="22"/>
                    </w:rPr>
                    <m:t>y</m:t>
                  </m:r>
                </m:e>
              </m:func>
            </m:e>
            <m:sub>
              <m:r>
                <w:rPr>
                  <w:rFonts w:ascii="Cambria Math" w:hAnsi="Cambria Math"/>
                  <w:sz w:val="22"/>
                  <w:szCs w:val="22"/>
                </w:rPr>
                <m:t>i</m:t>
              </m:r>
            </m:sub>
            <m:sup>
              <m:r>
                <w:rPr>
                  <w:rFonts w:ascii="Cambria Math" w:hAnsi="Cambria Math"/>
                  <w:sz w:val="22"/>
                  <w:szCs w:val="22"/>
                </w:rPr>
                <m:t>M</m:t>
              </m:r>
            </m:sup>
          </m:sSubSup>
          <m:r>
            <m:rPr>
              <m:sty m:val="p"/>
            </m:rPr>
            <w:rPr>
              <w:rFonts w:ascii="Cambria Math" w:hAnsi="Cambria Math"/>
              <w:sz w:val="22"/>
              <w:szCs w:val="22"/>
            </w:rPr>
            <m:t>=</m:t>
          </m:r>
          <m:sSubSup>
            <m:sSubSupPr>
              <m:ctrlPr>
                <w:rPr>
                  <w:rFonts w:ascii="Cambria Math" w:hAnsi="Cambria Math"/>
                  <w:sz w:val="22"/>
                  <w:szCs w:val="22"/>
                </w:rPr>
              </m:ctrlPr>
            </m:sSubSupPr>
            <m:e>
              <m:r>
                <w:rPr>
                  <w:rFonts w:ascii="Cambria Math" w:hAnsi="Cambria Math"/>
                  <w:sz w:val="22"/>
                  <w:szCs w:val="22"/>
                </w:rPr>
                <m:t>β</m:t>
              </m:r>
            </m:e>
            <m:sub>
              <m:r>
                <m:rPr>
                  <m:sty m:val="p"/>
                </m:rPr>
                <w:rPr>
                  <w:rFonts w:ascii="Cambria Math" w:hAnsi="Cambria Math"/>
                  <w:sz w:val="22"/>
                  <w:szCs w:val="22"/>
                </w:rPr>
                <m:t>0</m:t>
              </m:r>
            </m:sub>
            <m:sup>
              <m:r>
                <w:rPr>
                  <w:rFonts w:ascii="Cambria Math" w:hAnsi="Cambria Math"/>
                  <w:sz w:val="22"/>
                  <w:szCs w:val="22"/>
                </w:rPr>
                <m:t>M</m:t>
              </m:r>
            </m:sup>
          </m:sSubSup>
          <m:r>
            <m:rPr>
              <m:sty m:val="p"/>
            </m:rPr>
            <w:rPr>
              <w:rFonts w:ascii="Cambria Math" w:hAnsi="Cambria Math"/>
              <w:sz w:val="22"/>
              <w:szCs w:val="22"/>
            </w:rPr>
            <m:t>+</m:t>
          </m:r>
          <m:nary>
            <m:naryPr>
              <m:chr m:val="∑"/>
              <m:limLoc m:val="undOvr"/>
              <m:ctrlPr>
                <w:rPr>
                  <w:rFonts w:ascii="Cambria Math" w:hAnsi="Cambria Math"/>
                  <w:sz w:val="22"/>
                  <w:szCs w:val="22"/>
                </w:rPr>
              </m:ctrlPr>
            </m:naryPr>
            <m:sub>
              <m:r>
                <w:rPr>
                  <w:rFonts w:ascii="Cambria Math" w:hAnsi="Cambria Math"/>
                  <w:sz w:val="22"/>
                  <w:szCs w:val="22"/>
                </w:rPr>
                <m:t>k</m:t>
              </m:r>
              <m:r>
                <m:rPr>
                  <m:sty m:val="p"/>
                </m:rPr>
                <w:rPr>
                  <w:rFonts w:ascii="Cambria Math" w:hAnsi="Cambria Math"/>
                  <w:sz w:val="22"/>
                  <w:szCs w:val="22"/>
                </w:rPr>
                <m:t>=1</m:t>
              </m:r>
            </m:sub>
            <m:sup>
              <m:r>
                <w:rPr>
                  <w:rFonts w:ascii="Cambria Math" w:hAnsi="Cambria Math"/>
                  <w:sz w:val="22"/>
                  <w:szCs w:val="22"/>
                </w:rPr>
                <m:t>K</m:t>
              </m:r>
            </m:sup>
            <m:e>
              <m:sSubSup>
                <m:sSubSupPr>
                  <m:ctrlPr>
                    <w:rPr>
                      <w:rFonts w:ascii="Cambria Math" w:hAnsi="Cambria Math"/>
                      <w:sz w:val="22"/>
                      <w:szCs w:val="22"/>
                    </w:rPr>
                  </m:ctrlPr>
                </m:sSubSupPr>
                <m:e>
                  <m:r>
                    <w:rPr>
                      <w:rFonts w:ascii="Cambria Math" w:hAnsi="Cambria Math"/>
                      <w:sz w:val="22"/>
                      <w:szCs w:val="22"/>
                    </w:rPr>
                    <m:t>x</m:t>
                  </m:r>
                </m:e>
                <m:sub>
                  <m:r>
                    <w:rPr>
                      <w:rFonts w:ascii="Cambria Math" w:hAnsi="Cambria Math"/>
                      <w:sz w:val="22"/>
                      <w:szCs w:val="22"/>
                    </w:rPr>
                    <m:t>ki</m:t>
                  </m:r>
                </m:sub>
                <m:sup>
                  <m:r>
                    <w:rPr>
                      <w:rFonts w:ascii="Cambria Math" w:hAnsi="Cambria Math"/>
                      <w:sz w:val="22"/>
                      <w:szCs w:val="22"/>
                    </w:rPr>
                    <m:t>M</m:t>
                  </m:r>
                </m:sup>
              </m:sSubSup>
            </m:e>
          </m:nary>
          <m:sSubSup>
            <m:sSubSupPr>
              <m:ctrlPr>
                <w:rPr>
                  <w:rFonts w:ascii="Cambria Math" w:hAnsi="Cambria Math"/>
                  <w:sz w:val="22"/>
                  <w:szCs w:val="22"/>
                </w:rPr>
              </m:ctrlPr>
            </m:sSubSupPr>
            <m:e>
              <m:r>
                <w:rPr>
                  <w:rFonts w:ascii="Cambria Math" w:hAnsi="Cambria Math"/>
                  <w:sz w:val="22"/>
                  <w:szCs w:val="22"/>
                </w:rPr>
                <m:t>β</m:t>
              </m:r>
            </m:e>
            <m:sub>
              <m:r>
                <w:rPr>
                  <w:rFonts w:ascii="Cambria Math" w:hAnsi="Cambria Math"/>
                  <w:sz w:val="22"/>
                  <w:szCs w:val="22"/>
                </w:rPr>
                <m:t>k</m:t>
              </m:r>
            </m:sub>
            <m:sup>
              <m:r>
                <w:rPr>
                  <w:rFonts w:ascii="Cambria Math" w:hAnsi="Cambria Math"/>
                  <w:sz w:val="22"/>
                  <w:szCs w:val="22"/>
                </w:rPr>
                <m:t>M</m:t>
              </m:r>
            </m:sup>
          </m:sSubSup>
          <m:r>
            <m:rPr>
              <m:sty m:val="p"/>
            </m:rPr>
            <w:rPr>
              <w:rFonts w:ascii="Cambria Math" w:hAnsi="Cambria Math"/>
              <w:sz w:val="22"/>
              <w:szCs w:val="22"/>
            </w:rPr>
            <m:t>+</m:t>
          </m:r>
          <m:sSubSup>
            <m:sSubSupPr>
              <m:ctrlPr>
                <w:rPr>
                  <w:rFonts w:ascii="Cambria Math" w:hAnsi="Cambria Math"/>
                  <w:sz w:val="22"/>
                  <w:szCs w:val="22"/>
                </w:rPr>
              </m:ctrlPr>
            </m:sSubSupPr>
            <m:e>
              <m:r>
                <w:rPr>
                  <w:rFonts w:ascii="Cambria Math" w:hAnsi="Cambria Math"/>
                  <w:sz w:val="22"/>
                  <w:szCs w:val="22"/>
                </w:rPr>
                <m:t>u</m:t>
              </m:r>
            </m:e>
            <m:sub>
              <m:r>
                <w:rPr>
                  <w:rFonts w:ascii="Cambria Math" w:hAnsi="Cambria Math"/>
                  <w:sz w:val="22"/>
                  <w:szCs w:val="22"/>
                </w:rPr>
                <m:t>i</m:t>
              </m:r>
            </m:sub>
            <m:sup>
              <m:r>
                <w:rPr>
                  <w:rFonts w:ascii="Cambria Math" w:hAnsi="Cambria Math"/>
                  <w:sz w:val="22"/>
                  <w:szCs w:val="22"/>
                </w:rPr>
                <m:t>M</m:t>
              </m:r>
            </m:sup>
          </m:sSubSup>
          <m:r>
            <m:rPr>
              <m:sty m:val="p"/>
            </m:rPr>
            <w:rPr>
              <w:rFonts w:ascii="Cambria Math" w:hAnsi="Cambria Math"/>
              <w:sz w:val="22"/>
              <w:szCs w:val="22"/>
            </w:rPr>
            <w:br/>
          </m:r>
        </m:oMath>
        <m:oMath>
          <m:sSubSup>
            <m:sSubSupPr>
              <m:ctrlPr>
                <w:rPr>
                  <w:rFonts w:ascii="Cambria Math" w:hAnsi="Cambria Math" w:cs="Arial"/>
                  <w:sz w:val="22"/>
                  <w:szCs w:val="22"/>
                </w:rPr>
              </m:ctrlPr>
            </m:sSubSupPr>
            <m:e>
              <m:func>
                <m:funcPr>
                  <m:ctrlPr>
                    <w:rPr>
                      <w:rFonts w:ascii="Cambria Math" w:hAnsi="Cambria Math" w:cs="Arial"/>
                      <w:sz w:val="22"/>
                      <w:szCs w:val="22"/>
                    </w:rPr>
                  </m:ctrlPr>
                </m:funcPr>
                <m:fName>
                  <m:r>
                    <m:rPr>
                      <m:sty m:val="p"/>
                    </m:rPr>
                    <w:rPr>
                      <w:rFonts w:ascii="Cambria Math" w:hAnsi="Cambria Math" w:cs="Arial"/>
                      <w:sz w:val="22"/>
                      <w:szCs w:val="22"/>
                    </w:rPr>
                    <m:t>ln</m:t>
                  </m:r>
                </m:fName>
                <m:e>
                  <m:r>
                    <w:rPr>
                      <w:rFonts w:ascii="Cambria Math" w:hAnsi="Cambria Math" w:cs="Arial"/>
                      <w:sz w:val="22"/>
                      <w:szCs w:val="22"/>
                    </w:rPr>
                    <m:t>y</m:t>
                  </m:r>
                </m:e>
              </m:func>
            </m:e>
            <m:sub>
              <m:r>
                <w:rPr>
                  <w:rFonts w:ascii="Cambria Math" w:hAnsi="Cambria Math" w:cs="Arial"/>
                  <w:sz w:val="22"/>
                  <w:szCs w:val="22"/>
                </w:rPr>
                <m:t>i</m:t>
              </m:r>
            </m:sub>
            <m:sup>
              <m:r>
                <w:rPr>
                  <w:rFonts w:ascii="Cambria Math" w:hAnsi="Cambria Math" w:cs="Arial"/>
                  <w:sz w:val="22"/>
                  <w:szCs w:val="22"/>
                </w:rPr>
                <m:t>W</m:t>
              </m:r>
            </m:sup>
          </m:sSubSup>
          <m:r>
            <m:rPr>
              <m:sty m:val="p"/>
            </m:rPr>
            <w:rPr>
              <w:rFonts w:ascii="Cambria Math" w:hAnsi="Cambria Math" w:cs="Arial"/>
              <w:sz w:val="22"/>
              <w:szCs w:val="22"/>
            </w:rPr>
            <m:t>=</m:t>
          </m:r>
          <m:sSubSup>
            <m:sSubSupPr>
              <m:ctrlPr>
                <w:rPr>
                  <w:rFonts w:ascii="Cambria Math" w:hAnsi="Cambria Math" w:cs="Arial"/>
                  <w:sz w:val="22"/>
                  <w:szCs w:val="22"/>
                </w:rPr>
              </m:ctrlPr>
            </m:sSubSupPr>
            <m:e>
              <m:r>
                <w:rPr>
                  <w:rFonts w:ascii="Cambria Math" w:hAnsi="Cambria Math" w:cs="Arial"/>
                  <w:sz w:val="22"/>
                  <w:szCs w:val="22"/>
                </w:rPr>
                <m:t>β</m:t>
              </m:r>
            </m:e>
            <m:sub>
              <m:r>
                <m:rPr>
                  <m:sty m:val="p"/>
                </m:rPr>
                <w:rPr>
                  <w:rFonts w:ascii="Cambria Math" w:hAnsi="Cambria Math" w:cs="Arial"/>
                  <w:sz w:val="22"/>
                  <w:szCs w:val="22"/>
                </w:rPr>
                <m:t>0</m:t>
              </m:r>
            </m:sub>
            <m:sup>
              <m:r>
                <w:rPr>
                  <w:rFonts w:ascii="Cambria Math" w:hAnsi="Cambria Math" w:cs="Arial"/>
                  <w:sz w:val="22"/>
                  <w:szCs w:val="22"/>
                </w:rPr>
                <m:t>W</m:t>
              </m:r>
            </m:sup>
          </m:sSubSup>
          <m:r>
            <m:rPr>
              <m:sty m:val="p"/>
            </m:rPr>
            <w:rPr>
              <w:rFonts w:ascii="Cambria Math" w:hAnsi="Cambria Math" w:cs="Arial"/>
              <w:sz w:val="22"/>
              <w:szCs w:val="22"/>
            </w:rPr>
            <m:t>+</m:t>
          </m:r>
          <m:nary>
            <m:naryPr>
              <m:chr m:val="∑"/>
              <m:limLoc m:val="undOvr"/>
              <m:ctrlPr>
                <w:rPr>
                  <w:rFonts w:ascii="Cambria Math" w:hAnsi="Cambria Math" w:cs="Arial"/>
                  <w:sz w:val="22"/>
                  <w:szCs w:val="22"/>
                </w:rPr>
              </m:ctrlPr>
            </m:naryPr>
            <m:sub>
              <m:r>
                <w:rPr>
                  <w:rFonts w:ascii="Cambria Math" w:hAnsi="Cambria Math" w:cs="Arial"/>
                  <w:sz w:val="22"/>
                  <w:szCs w:val="22"/>
                </w:rPr>
                <m:t>k</m:t>
              </m:r>
              <m:r>
                <m:rPr>
                  <m:sty m:val="p"/>
                </m:rPr>
                <w:rPr>
                  <w:rFonts w:ascii="Cambria Math" w:hAnsi="Cambria Math" w:cs="Arial"/>
                  <w:sz w:val="22"/>
                  <w:szCs w:val="22"/>
                </w:rPr>
                <m:t>=1</m:t>
              </m:r>
            </m:sub>
            <m:sup>
              <m:r>
                <w:rPr>
                  <w:rFonts w:ascii="Cambria Math" w:hAnsi="Cambria Math" w:cs="Arial"/>
                  <w:sz w:val="22"/>
                  <w:szCs w:val="22"/>
                </w:rPr>
                <m:t>K</m:t>
              </m:r>
            </m:sup>
            <m:e>
              <m:sSubSup>
                <m:sSubSupPr>
                  <m:ctrlPr>
                    <w:rPr>
                      <w:rFonts w:ascii="Cambria Math" w:hAnsi="Cambria Math" w:cs="Arial"/>
                      <w:sz w:val="22"/>
                      <w:szCs w:val="22"/>
                    </w:rPr>
                  </m:ctrlPr>
                </m:sSubSupPr>
                <m:e>
                  <m:r>
                    <w:rPr>
                      <w:rFonts w:ascii="Cambria Math" w:hAnsi="Cambria Math" w:cs="Arial"/>
                      <w:sz w:val="22"/>
                      <w:szCs w:val="22"/>
                    </w:rPr>
                    <m:t>x</m:t>
                  </m:r>
                </m:e>
                <m:sub>
                  <m:r>
                    <w:rPr>
                      <w:rFonts w:ascii="Cambria Math" w:hAnsi="Cambria Math" w:cs="Arial"/>
                      <w:sz w:val="22"/>
                      <w:szCs w:val="22"/>
                    </w:rPr>
                    <m:t>ki</m:t>
                  </m:r>
                </m:sub>
                <m:sup>
                  <m:r>
                    <w:rPr>
                      <w:rFonts w:ascii="Cambria Math" w:hAnsi="Cambria Math" w:cs="Arial"/>
                      <w:sz w:val="22"/>
                      <w:szCs w:val="22"/>
                    </w:rPr>
                    <m:t>W</m:t>
                  </m:r>
                </m:sup>
              </m:sSubSup>
            </m:e>
          </m:nary>
          <m:sSubSup>
            <m:sSubSupPr>
              <m:ctrlPr>
                <w:rPr>
                  <w:rFonts w:ascii="Cambria Math" w:hAnsi="Cambria Math" w:cs="Arial"/>
                  <w:sz w:val="22"/>
                  <w:szCs w:val="22"/>
                </w:rPr>
              </m:ctrlPr>
            </m:sSubSupPr>
            <m:e>
              <m:r>
                <w:rPr>
                  <w:rFonts w:ascii="Cambria Math" w:hAnsi="Cambria Math" w:cs="Arial"/>
                  <w:sz w:val="22"/>
                  <w:szCs w:val="22"/>
                </w:rPr>
                <m:t>β</m:t>
              </m:r>
            </m:e>
            <m:sub>
              <m:r>
                <w:rPr>
                  <w:rFonts w:ascii="Cambria Math" w:hAnsi="Cambria Math" w:cs="Arial"/>
                  <w:sz w:val="22"/>
                  <w:szCs w:val="22"/>
                </w:rPr>
                <m:t>k</m:t>
              </m:r>
            </m:sub>
            <m:sup>
              <m:r>
                <w:rPr>
                  <w:rFonts w:ascii="Cambria Math" w:hAnsi="Cambria Math" w:cs="Arial"/>
                  <w:sz w:val="22"/>
                  <w:szCs w:val="22"/>
                </w:rPr>
                <m:t>W</m:t>
              </m:r>
            </m:sup>
          </m:sSubSup>
          <m:r>
            <m:rPr>
              <m:sty m:val="p"/>
            </m:rPr>
            <w:rPr>
              <w:rFonts w:ascii="Cambria Math" w:hAnsi="Cambria Math" w:cs="Arial"/>
              <w:sz w:val="22"/>
              <w:szCs w:val="22"/>
            </w:rPr>
            <m:t>+</m:t>
          </m:r>
          <m:sSubSup>
            <m:sSubSupPr>
              <m:ctrlPr>
                <w:rPr>
                  <w:rFonts w:ascii="Cambria Math" w:hAnsi="Cambria Math" w:cs="Arial"/>
                  <w:sz w:val="22"/>
                  <w:szCs w:val="22"/>
                </w:rPr>
              </m:ctrlPr>
            </m:sSubSupPr>
            <m:e>
              <m:r>
                <w:rPr>
                  <w:rFonts w:ascii="Cambria Math" w:hAnsi="Cambria Math" w:cs="Arial"/>
                  <w:sz w:val="22"/>
                  <w:szCs w:val="22"/>
                </w:rPr>
                <m:t>u</m:t>
              </m:r>
            </m:e>
            <m:sub>
              <m:r>
                <w:rPr>
                  <w:rFonts w:ascii="Cambria Math" w:hAnsi="Cambria Math" w:cs="Arial"/>
                  <w:sz w:val="22"/>
                  <w:szCs w:val="22"/>
                </w:rPr>
                <m:t>i</m:t>
              </m:r>
            </m:sub>
            <m:sup>
              <m:r>
                <w:rPr>
                  <w:rFonts w:ascii="Cambria Math" w:hAnsi="Cambria Math" w:cs="Arial"/>
                  <w:sz w:val="22"/>
                  <w:szCs w:val="22"/>
                </w:rPr>
                <m:t>W</m:t>
              </m:r>
            </m:sup>
          </m:sSubSup>
        </m:oMath>
      </m:oMathPara>
    </w:p>
    <w:p w:rsidR="005D1689" w:rsidRPr="00B1135E" w:rsidRDefault="005D1689" w:rsidP="00F219FD">
      <w:pPr>
        <w:pStyle w:val="Body"/>
        <w:rPr>
          <w:rFonts w:cs="Arial"/>
          <w:szCs w:val="19"/>
        </w:rPr>
      </w:pPr>
      <w:r w:rsidRPr="00B1135E">
        <w:rPr>
          <w:rFonts w:cs="Arial"/>
          <w:szCs w:val="19"/>
        </w:rPr>
        <w:t>where:</w:t>
      </w:r>
    </w:p>
    <w:p w:rsidR="005D1689" w:rsidRPr="00B1135E" w:rsidRDefault="001F30FD" w:rsidP="00F219FD">
      <w:pPr>
        <w:pStyle w:val="Bodybulletlist"/>
      </w:pPr>
      <m:oMath>
        <m:sSub>
          <m:sSubPr>
            <m:ctrlPr>
              <w:rPr>
                <w:rFonts w:ascii="Cambria Math" w:hAnsi="Cambria Math"/>
                <w:i/>
              </w:rPr>
            </m:ctrlPr>
          </m:sSubPr>
          <m:e>
            <m:func>
              <m:funcPr>
                <m:ctrlPr>
                  <w:rPr>
                    <w:rFonts w:ascii="Cambria Math" w:hAnsi="Cambria Math"/>
                    <w:i/>
                  </w:rPr>
                </m:ctrlPr>
              </m:funcPr>
              <m:fName>
                <m:r>
                  <m:rPr>
                    <m:sty m:val="p"/>
                  </m:rPr>
                  <w:rPr>
                    <w:rFonts w:ascii="Cambria Math" w:hAnsi="Cambria Math"/>
                  </w:rPr>
                  <m:t>ln</m:t>
                </m:r>
              </m:fName>
              <m:e>
                <m:r>
                  <w:rPr>
                    <w:rFonts w:ascii="Cambria Math" w:hAnsi="Cambria Math"/>
                  </w:rPr>
                  <m:t>y</m:t>
                </m:r>
              </m:e>
            </m:func>
          </m:e>
          <m:sub>
            <m:r>
              <w:rPr>
                <w:rFonts w:ascii="Cambria Math" w:hAnsi="Cambria Math"/>
              </w:rPr>
              <m:t>i</m:t>
            </m:r>
          </m:sub>
        </m:sSub>
      </m:oMath>
      <w:r w:rsidR="005D1689" w:rsidRPr="00B1135E">
        <w:rPr>
          <w:i/>
        </w:rPr>
        <w:t xml:space="preserve"> </w:t>
      </w:r>
      <w:r w:rsidR="005D1689" w:rsidRPr="00B1135E">
        <w:t xml:space="preserve">represents the natural log of hourly earnings </w:t>
      </w:r>
      <w:r w:rsidR="00F22979" w:rsidRPr="00B1135E">
        <w:t>for observation</w:t>
      </w:r>
      <w:r w:rsidR="005D1689" w:rsidRPr="00B1135E">
        <w:t xml:space="preserve"> </w:t>
      </w:r>
      <w:r w:rsidR="005D1689" w:rsidRPr="00B1135E">
        <w:rPr>
          <w:i/>
        </w:rPr>
        <w:t>i</w:t>
      </w:r>
      <w:r w:rsidR="00634124">
        <w:t>;</w:t>
      </w:r>
    </w:p>
    <w:p w:rsidR="005D1689" w:rsidRPr="00B1135E" w:rsidRDefault="005D1689" w:rsidP="00F219FD">
      <w:pPr>
        <w:pStyle w:val="Bodybulletlist"/>
      </w:pPr>
      <w:r w:rsidRPr="00B1135E">
        <w:rPr>
          <w:i/>
        </w:rPr>
        <w:t>x</w:t>
      </w:r>
      <w:r w:rsidRPr="00B1135E">
        <w:rPr>
          <w:i/>
          <w:vertAlign w:val="subscript"/>
        </w:rPr>
        <w:t>ki</w:t>
      </w:r>
      <w:r w:rsidRPr="00B1135E">
        <w:t>,</w:t>
      </w:r>
      <w:r w:rsidRPr="00B1135E">
        <w:rPr>
          <w:vertAlign w:val="subscript"/>
        </w:rPr>
        <w:t xml:space="preserve"> </w:t>
      </w:r>
      <w:r w:rsidRPr="00B1135E">
        <w:t xml:space="preserve">from k=1 to k=K, are </w:t>
      </w:r>
      <w:r w:rsidR="004A5AA5" w:rsidRPr="00B1135E">
        <w:t xml:space="preserve">explanatory </w:t>
      </w:r>
      <w:r w:rsidRPr="00B1135E">
        <w:t xml:space="preserve">variables covering the observed personal, job and enterprise characteristics that may impact on the log hourly earnings of individual </w:t>
      </w:r>
      <w:r w:rsidRPr="00B1135E">
        <w:rPr>
          <w:i/>
        </w:rPr>
        <w:t>i</w:t>
      </w:r>
      <w:r w:rsidR="00634124">
        <w:t>;</w:t>
      </w:r>
    </w:p>
    <w:p w:rsidR="005D1689" w:rsidRPr="00B1135E" w:rsidRDefault="001F30FD" w:rsidP="00F219FD">
      <w:pPr>
        <w:pStyle w:val="Bodybulletlist"/>
      </w:pPr>
      <m:oMath>
        <m:sSub>
          <m:sSubPr>
            <m:ctrlPr>
              <w:rPr>
                <w:rFonts w:ascii="Cambria Math" w:hAnsi="Cambria Math"/>
                <w:i/>
              </w:rPr>
            </m:ctrlPr>
          </m:sSubPr>
          <m:e>
            <m:r>
              <w:rPr>
                <w:rFonts w:ascii="Cambria Math" w:hAnsi="Cambria Math"/>
              </w:rPr>
              <m:t>β</m:t>
            </m:r>
          </m:e>
          <m:sub>
            <m:r>
              <w:rPr>
                <w:rFonts w:ascii="Cambria Math" w:hAnsi="Cambria Math"/>
              </w:rPr>
              <m:t>0</m:t>
            </m:r>
          </m:sub>
        </m:sSub>
      </m:oMath>
      <w:r w:rsidR="005D1689" w:rsidRPr="00B1135E">
        <w:t xml:space="preserve"> is a constant and </w:t>
      </w:r>
      <m:oMath>
        <m:sSub>
          <m:sSubPr>
            <m:ctrlPr>
              <w:rPr>
                <w:rFonts w:ascii="Cambria Math" w:hAnsi="Cambria Math"/>
                <w:i/>
              </w:rPr>
            </m:ctrlPr>
          </m:sSubPr>
          <m:e>
            <m:r>
              <w:rPr>
                <w:rFonts w:ascii="Cambria Math" w:hAnsi="Cambria Math"/>
              </w:rPr>
              <m:t>β</m:t>
            </m:r>
          </m:e>
          <m:sub>
            <m:r>
              <w:rPr>
                <w:rFonts w:ascii="Cambria Math" w:hAnsi="Cambria Math"/>
              </w:rPr>
              <m:t>k</m:t>
            </m:r>
          </m:sub>
        </m:sSub>
      </m:oMath>
      <w:r w:rsidR="005D1689" w:rsidRPr="00B1135E">
        <w:t>, from k=1 to k=K, are the parameters for the corresponding variables covering the observed characteristics</w:t>
      </w:r>
      <w:r w:rsidR="00634124">
        <w:t>;</w:t>
      </w:r>
    </w:p>
    <w:p w:rsidR="005D1689" w:rsidRPr="00B1135E" w:rsidRDefault="005D1689" w:rsidP="00183849">
      <w:pPr>
        <w:pStyle w:val="Bodybulletlist"/>
        <w:rPr>
          <w:i/>
        </w:rPr>
      </w:pPr>
      <w:r w:rsidRPr="00B1135E">
        <w:rPr>
          <w:i/>
        </w:rPr>
        <w:t>u</w:t>
      </w:r>
      <w:r w:rsidRPr="00B1135E">
        <w:rPr>
          <w:i/>
          <w:vertAlign w:val="subscript"/>
        </w:rPr>
        <w:t>i</w:t>
      </w:r>
      <w:r w:rsidR="004E6973" w:rsidRPr="00B1135E">
        <w:rPr>
          <w:i/>
          <w:vertAlign w:val="subscript"/>
        </w:rPr>
        <w:t xml:space="preserve"> </w:t>
      </w:r>
      <w:r w:rsidRPr="00B1135E">
        <w:t>is a disturbance term</w:t>
      </w:r>
      <w:r w:rsidR="00F22979" w:rsidRPr="00B1135E">
        <w:t xml:space="preserve"> for observation </w:t>
      </w:r>
      <w:r w:rsidR="00183849">
        <w:rPr>
          <w:i/>
        </w:rPr>
        <w:t>I</w:t>
      </w:r>
      <w:r w:rsidR="00183849">
        <w:t xml:space="preserve">, </w:t>
      </w:r>
      <w:r w:rsidR="00183849" w:rsidRPr="00183849">
        <w:t>independent from each other and normally distributed.</w:t>
      </w:r>
    </w:p>
    <w:p w:rsidR="005D1689" w:rsidRPr="00B1135E" w:rsidRDefault="00DE06D8" w:rsidP="00F219FD">
      <w:pPr>
        <w:pStyle w:val="Body"/>
      </w:pPr>
      <w:r w:rsidRPr="00B1135E">
        <w:lastRenderedPageBreak/>
        <w:t>T</w:t>
      </w:r>
      <w:r w:rsidR="00367607" w:rsidRPr="00B1135E">
        <w:t xml:space="preserve">he regression analysis </w:t>
      </w:r>
      <w:r w:rsidRPr="00B1135E">
        <w:t xml:space="preserve">includes </w:t>
      </w:r>
      <w:r w:rsidR="00367607" w:rsidRPr="00B1135E">
        <w:t xml:space="preserve">the SES variables </w:t>
      </w:r>
      <w:r w:rsidR="004A5AA5" w:rsidRPr="00B1135E">
        <w:t xml:space="preserve">as explanatory variables </w:t>
      </w:r>
      <w:r w:rsidR="00367607" w:rsidRPr="00B1135E">
        <w:t xml:space="preserve">covering the observed personal, job and enterprise characteristics </w:t>
      </w:r>
      <w:r w:rsidR="005D1689" w:rsidRPr="00B1135E">
        <w:t>(see Table 1).</w:t>
      </w:r>
      <w:r w:rsidR="00367607" w:rsidRPr="00B1135E">
        <w:t xml:space="preserve"> </w:t>
      </w:r>
      <w:r w:rsidR="009957C8" w:rsidRPr="00B1135E">
        <w:t>More information on the SE</w:t>
      </w:r>
      <w:r w:rsidR="00EB238A" w:rsidRPr="00B1135E">
        <w:t>S variables can be found in the SES implementing</w:t>
      </w:r>
      <w:r w:rsidR="009957C8" w:rsidRPr="00B1135E">
        <w:t xml:space="preserve"> a</w:t>
      </w:r>
      <w:r w:rsidR="009F4C77" w:rsidRPr="00B1135E">
        <w:t>rrangements (Eurostat</w:t>
      </w:r>
      <w:r w:rsidR="009957C8" w:rsidRPr="00B1135E">
        <w:t xml:space="preserve"> 2014).</w:t>
      </w:r>
    </w:p>
    <w:p w:rsidR="005D1689" w:rsidRPr="00B1135E" w:rsidRDefault="005D1689" w:rsidP="005E2AC3">
      <w:pPr>
        <w:pStyle w:val="Table-graph-maptitle"/>
        <w:spacing w:after="120"/>
        <w:ind w:left="0"/>
      </w:pPr>
      <w:r w:rsidRPr="00B1135E">
        <w:t>Table 1: Observed characteristi</w:t>
      </w:r>
      <w:r w:rsidR="000D73F2" w:rsidRPr="00B1135E">
        <w:t xml:space="preserve">cs from the SES used in the regression analysis </w:t>
      </w:r>
    </w:p>
    <w:tbl>
      <w:tblPr>
        <w:tblStyle w:val="TableGrid1"/>
        <w:tblW w:w="8505" w:type="dxa"/>
        <w:tblInd w:w="108" w:type="dxa"/>
        <w:tblLayout w:type="fixed"/>
        <w:tblLook w:val="04A0" w:firstRow="1" w:lastRow="0" w:firstColumn="1" w:lastColumn="0" w:noHBand="0" w:noVBand="1"/>
      </w:tblPr>
      <w:tblGrid>
        <w:gridCol w:w="2835"/>
        <w:gridCol w:w="4111"/>
        <w:gridCol w:w="1559"/>
      </w:tblGrid>
      <w:tr w:rsidR="005D1689" w:rsidRPr="00B1135E" w:rsidTr="00654770">
        <w:tc>
          <w:tcPr>
            <w:tcW w:w="2835" w:type="dxa"/>
            <w:shd w:val="solid" w:color="FEEDCF" w:fill="auto"/>
            <w:vAlign w:val="center"/>
          </w:tcPr>
          <w:p w:rsidR="005D1689" w:rsidRPr="00B1135E" w:rsidRDefault="005D1689" w:rsidP="000D73F2">
            <w:pPr>
              <w:pStyle w:val="Body"/>
              <w:jc w:val="center"/>
              <w:rPr>
                <w:b/>
              </w:rPr>
            </w:pPr>
            <w:r w:rsidRPr="00B1135E">
              <w:rPr>
                <w:b/>
              </w:rPr>
              <w:t>Observed characteristics</w:t>
            </w:r>
          </w:p>
        </w:tc>
        <w:tc>
          <w:tcPr>
            <w:tcW w:w="4111" w:type="dxa"/>
            <w:shd w:val="solid" w:color="FEEDCF" w:fill="auto"/>
            <w:vAlign w:val="center"/>
          </w:tcPr>
          <w:p w:rsidR="005D1689" w:rsidRPr="00B1135E" w:rsidRDefault="005D1689" w:rsidP="000D73F2">
            <w:pPr>
              <w:pStyle w:val="Body"/>
              <w:jc w:val="center"/>
              <w:rPr>
                <w:b/>
              </w:rPr>
            </w:pPr>
            <w:r w:rsidRPr="00B1135E">
              <w:rPr>
                <w:b/>
              </w:rPr>
              <w:t>Values</w:t>
            </w:r>
          </w:p>
        </w:tc>
        <w:tc>
          <w:tcPr>
            <w:tcW w:w="1559" w:type="dxa"/>
            <w:shd w:val="solid" w:color="FEEDCF" w:fill="auto"/>
          </w:tcPr>
          <w:p w:rsidR="005D1689" w:rsidRPr="00B1135E" w:rsidRDefault="005D1689" w:rsidP="000D73F2">
            <w:pPr>
              <w:pStyle w:val="Body"/>
              <w:jc w:val="center"/>
              <w:rPr>
                <w:b/>
              </w:rPr>
            </w:pPr>
            <w:r w:rsidRPr="00B1135E">
              <w:rPr>
                <w:b/>
              </w:rPr>
              <w:t>Codes of the corresponding SES variables</w:t>
            </w:r>
          </w:p>
        </w:tc>
      </w:tr>
      <w:tr w:rsidR="005D1689" w:rsidRPr="00B1135E" w:rsidTr="00654770">
        <w:tc>
          <w:tcPr>
            <w:tcW w:w="2835" w:type="dxa"/>
            <w:vAlign w:val="center"/>
          </w:tcPr>
          <w:p w:rsidR="005D1689" w:rsidRPr="00B1135E" w:rsidRDefault="005D1689" w:rsidP="00323894">
            <w:pPr>
              <w:pStyle w:val="Body"/>
              <w:jc w:val="left"/>
              <w:rPr>
                <w:b/>
              </w:rPr>
            </w:pPr>
            <w:r w:rsidRPr="00B1135E">
              <w:rPr>
                <w:b/>
              </w:rPr>
              <w:t>Personal</w:t>
            </w:r>
            <w:r w:rsidR="00654770" w:rsidRPr="00B1135E">
              <w:rPr>
                <w:b/>
              </w:rPr>
              <w:t xml:space="preserve"> </w:t>
            </w:r>
            <w:r w:rsidRPr="00B1135E">
              <w:rPr>
                <w:b/>
              </w:rPr>
              <w:t xml:space="preserve">and job characteristics </w:t>
            </w:r>
          </w:p>
        </w:tc>
        <w:tc>
          <w:tcPr>
            <w:tcW w:w="4111" w:type="dxa"/>
            <w:vAlign w:val="center"/>
          </w:tcPr>
          <w:p w:rsidR="005D1689" w:rsidRPr="00B1135E" w:rsidRDefault="005D1689" w:rsidP="004A15C7">
            <w:pPr>
              <w:pStyle w:val="Body"/>
            </w:pPr>
            <w:r w:rsidRPr="00B1135E">
              <w:t xml:space="preserve">  </w:t>
            </w:r>
          </w:p>
        </w:tc>
        <w:tc>
          <w:tcPr>
            <w:tcW w:w="1559" w:type="dxa"/>
          </w:tcPr>
          <w:p w:rsidR="005D1689" w:rsidRPr="00B1135E" w:rsidRDefault="005D1689" w:rsidP="004A15C7">
            <w:pPr>
              <w:pStyle w:val="Body"/>
            </w:pPr>
          </w:p>
        </w:tc>
      </w:tr>
      <w:tr w:rsidR="005D1689" w:rsidRPr="00B1135E" w:rsidTr="00654770">
        <w:tc>
          <w:tcPr>
            <w:tcW w:w="2835" w:type="dxa"/>
            <w:vAlign w:val="center"/>
          </w:tcPr>
          <w:p w:rsidR="005D1689" w:rsidRPr="00B1135E" w:rsidRDefault="005D1689" w:rsidP="009957C8">
            <w:pPr>
              <w:pStyle w:val="Body"/>
            </w:pPr>
            <w:r w:rsidRPr="00B1135E">
              <w:t>Age</w:t>
            </w:r>
          </w:p>
        </w:tc>
        <w:tc>
          <w:tcPr>
            <w:tcW w:w="4111" w:type="dxa"/>
            <w:vAlign w:val="center"/>
          </w:tcPr>
          <w:p w:rsidR="005D1689" w:rsidRPr="00B1135E" w:rsidRDefault="00654770" w:rsidP="003124F9">
            <w:pPr>
              <w:pStyle w:val="Body"/>
              <w:jc w:val="left"/>
            </w:pPr>
            <w:r w:rsidRPr="00B1135E">
              <w:t>Y</w:t>
            </w:r>
            <w:r w:rsidR="000D73F2" w:rsidRPr="00B1135E">
              <w:t>ears</w:t>
            </w:r>
            <w:r w:rsidRPr="00B1135E">
              <w:t xml:space="preserve"> </w:t>
            </w:r>
            <w:r w:rsidR="009957C8" w:rsidRPr="00B1135E">
              <w:t>/</w:t>
            </w:r>
            <w:r w:rsidRPr="00B1135E">
              <w:t xml:space="preserve"> </w:t>
            </w:r>
            <w:r w:rsidR="000D73F2" w:rsidRPr="00B1135E">
              <w:t>y</w:t>
            </w:r>
            <w:r w:rsidRPr="00B1135E">
              <w:t>e</w:t>
            </w:r>
            <w:r w:rsidR="000D73F2" w:rsidRPr="00B1135E">
              <w:t xml:space="preserve">ars </w:t>
            </w:r>
            <w:r w:rsidR="005D1689" w:rsidRPr="00B1135E">
              <w:t xml:space="preserve">squared </w:t>
            </w:r>
          </w:p>
        </w:tc>
        <w:tc>
          <w:tcPr>
            <w:tcW w:w="1559" w:type="dxa"/>
          </w:tcPr>
          <w:p w:rsidR="005D1689" w:rsidRPr="00B1135E" w:rsidRDefault="005D1689" w:rsidP="004A15C7">
            <w:pPr>
              <w:pStyle w:val="Body"/>
            </w:pPr>
            <w:r w:rsidRPr="00B1135E">
              <w:t>Variable 2.2</w:t>
            </w:r>
          </w:p>
        </w:tc>
      </w:tr>
      <w:tr w:rsidR="005D1689" w:rsidRPr="00B1135E" w:rsidTr="00654770">
        <w:tc>
          <w:tcPr>
            <w:tcW w:w="2835" w:type="dxa"/>
            <w:vAlign w:val="center"/>
          </w:tcPr>
          <w:p w:rsidR="005D1689" w:rsidRPr="00B1135E" w:rsidRDefault="005D1689" w:rsidP="004A15C7">
            <w:pPr>
              <w:pStyle w:val="Body"/>
            </w:pPr>
            <w:r w:rsidRPr="00B1135E">
              <w:t>Education</w:t>
            </w:r>
          </w:p>
        </w:tc>
        <w:tc>
          <w:tcPr>
            <w:tcW w:w="4111" w:type="dxa"/>
            <w:vAlign w:val="center"/>
          </w:tcPr>
          <w:p w:rsidR="005D1689" w:rsidRPr="00B1135E" w:rsidRDefault="008A3368" w:rsidP="003124F9">
            <w:pPr>
              <w:pStyle w:val="Body"/>
              <w:jc w:val="left"/>
            </w:pPr>
            <w:r w:rsidRPr="00B1135E">
              <w:t xml:space="preserve">Level of education according to the </w:t>
            </w:r>
            <w:r w:rsidR="005D1689" w:rsidRPr="00B1135E">
              <w:t>ISCED</w:t>
            </w:r>
            <w:r w:rsidRPr="00B1135E">
              <w:t xml:space="preserve"> classification</w:t>
            </w:r>
            <w:r w:rsidR="004E6973" w:rsidRPr="00B1135E">
              <w:t>*</w:t>
            </w:r>
            <w:r w:rsidR="005D1689" w:rsidRPr="00B1135E">
              <w:t xml:space="preserve"> </w:t>
            </w:r>
            <w:r w:rsidR="00DF353B" w:rsidRPr="00B1135E">
              <w:t xml:space="preserve">in </w:t>
            </w:r>
            <w:r w:rsidRPr="00B1135E">
              <w:t xml:space="preserve">the </w:t>
            </w:r>
            <w:r w:rsidR="00DF353B" w:rsidRPr="00B1135E">
              <w:t>four groups: Group 1</w:t>
            </w:r>
            <w:r w:rsidR="00B72F4C" w:rsidRPr="00B1135E">
              <w:t xml:space="preserve"> </w:t>
            </w:r>
            <w:r w:rsidR="00DF353B" w:rsidRPr="00B1135E">
              <w:t xml:space="preserve">(ISCED </w:t>
            </w:r>
            <w:r w:rsidR="005D1689" w:rsidRPr="00B1135E">
              <w:t>0+1+2</w:t>
            </w:r>
            <w:r w:rsidR="00DF353B" w:rsidRPr="00B1135E">
              <w:t>)</w:t>
            </w:r>
            <w:r w:rsidR="00B72F4C" w:rsidRPr="00B1135E">
              <w:t xml:space="preserve">, </w:t>
            </w:r>
            <w:r w:rsidR="00DF353B" w:rsidRPr="00B1135E">
              <w:t xml:space="preserve">Group 2 (ISCED </w:t>
            </w:r>
            <w:r w:rsidR="005D1689" w:rsidRPr="00B1135E">
              <w:t>3+4</w:t>
            </w:r>
            <w:r w:rsidR="00DF353B" w:rsidRPr="00B1135E">
              <w:t>)</w:t>
            </w:r>
            <w:r w:rsidR="005D1689" w:rsidRPr="00B1135E">
              <w:t xml:space="preserve">, </w:t>
            </w:r>
            <w:r w:rsidR="00DF353B" w:rsidRPr="00B1135E">
              <w:t>Group</w:t>
            </w:r>
            <w:r w:rsidR="003124F9" w:rsidRPr="00B1135E">
              <w:t> </w:t>
            </w:r>
            <w:r w:rsidR="00DF353B" w:rsidRPr="00B1135E">
              <w:t>3</w:t>
            </w:r>
            <w:r w:rsidR="00B72F4C" w:rsidRPr="00B1135E">
              <w:t xml:space="preserve"> (</w:t>
            </w:r>
            <w:r w:rsidR="00DF353B" w:rsidRPr="00B1135E">
              <w:t xml:space="preserve">ISCED </w:t>
            </w:r>
            <w:r w:rsidR="005D1689" w:rsidRPr="00B1135E">
              <w:t>5+6</w:t>
            </w:r>
            <w:r w:rsidR="00DF353B" w:rsidRPr="00B1135E">
              <w:t>)</w:t>
            </w:r>
            <w:r w:rsidR="005D1689" w:rsidRPr="00B1135E">
              <w:t xml:space="preserve">, </w:t>
            </w:r>
            <w:r w:rsidR="00DF353B" w:rsidRPr="00B1135E">
              <w:t xml:space="preserve">Group 4 (ISCED </w:t>
            </w:r>
            <w:r w:rsidR="005D1689" w:rsidRPr="00B1135E">
              <w:t>7+8</w:t>
            </w:r>
            <w:r w:rsidR="00DF353B" w:rsidRPr="00B1135E">
              <w:t>)</w:t>
            </w:r>
          </w:p>
        </w:tc>
        <w:tc>
          <w:tcPr>
            <w:tcW w:w="1559" w:type="dxa"/>
          </w:tcPr>
          <w:p w:rsidR="005D1689" w:rsidRPr="00B1135E" w:rsidRDefault="005D1689" w:rsidP="004A15C7">
            <w:pPr>
              <w:pStyle w:val="Body"/>
            </w:pPr>
            <w:r w:rsidRPr="00B1135E">
              <w:t>Variable 2.5</w:t>
            </w:r>
          </w:p>
        </w:tc>
      </w:tr>
      <w:tr w:rsidR="005D1689" w:rsidRPr="00B1135E" w:rsidTr="00654770">
        <w:tc>
          <w:tcPr>
            <w:tcW w:w="2835" w:type="dxa"/>
            <w:vAlign w:val="center"/>
          </w:tcPr>
          <w:p w:rsidR="005D1689" w:rsidRPr="00B1135E" w:rsidRDefault="005D1689" w:rsidP="004A15C7">
            <w:pPr>
              <w:pStyle w:val="Body"/>
            </w:pPr>
            <w:r w:rsidRPr="00B1135E">
              <w:t xml:space="preserve">Occupation </w:t>
            </w:r>
          </w:p>
        </w:tc>
        <w:tc>
          <w:tcPr>
            <w:tcW w:w="4111" w:type="dxa"/>
            <w:vAlign w:val="center"/>
          </w:tcPr>
          <w:p w:rsidR="005D1689" w:rsidRPr="00B1135E" w:rsidRDefault="00B72F4C" w:rsidP="003124F9">
            <w:pPr>
              <w:pStyle w:val="Body"/>
              <w:jc w:val="left"/>
            </w:pPr>
            <w:r w:rsidRPr="00B1135E">
              <w:t>O</w:t>
            </w:r>
            <w:r w:rsidR="00887A2F" w:rsidRPr="00B1135E">
              <w:t>ccupation</w:t>
            </w:r>
            <w:r w:rsidRPr="00B1135E">
              <w:t xml:space="preserve"> according to </w:t>
            </w:r>
            <w:r w:rsidR="008A3368" w:rsidRPr="00B1135E">
              <w:t xml:space="preserve">the </w:t>
            </w:r>
            <w:r w:rsidRPr="00B1135E">
              <w:t>ISCO-08</w:t>
            </w:r>
            <w:r w:rsidR="003124F9" w:rsidRPr="00B1135E">
              <w:t>*</w:t>
            </w:r>
            <w:r w:rsidR="008A3368" w:rsidRPr="00B1135E">
              <w:t xml:space="preserve"> classification</w:t>
            </w:r>
            <w:r w:rsidRPr="00B1135E">
              <w:t xml:space="preserve"> at</w:t>
            </w:r>
            <w:r w:rsidR="00887A2F" w:rsidRPr="00B1135E">
              <w:t xml:space="preserve"> </w:t>
            </w:r>
            <w:r w:rsidRPr="00B1135E">
              <w:t>2-digit level</w:t>
            </w:r>
            <w:r w:rsidR="00887A2F" w:rsidRPr="00B1135E">
              <w:t xml:space="preserve"> </w:t>
            </w:r>
          </w:p>
        </w:tc>
        <w:tc>
          <w:tcPr>
            <w:tcW w:w="1559" w:type="dxa"/>
          </w:tcPr>
          <w:p w:rsidR="005D1689" w:rsidRPr="00B1135E" w:rsidRDefault="005D1689" w:rsidP="004A15C7">
            <w:pPr>
              <w:pStyle w:val="Body"/>
            </w:pPr>
            <w:r w:rsidRPr="00B1135E">
              <w:t>Variable 2.3</w:t>
            </w:r>
          </w:p>
        </w:tc>
      </w:tr>
      <w:tr w:rsidR="005D1689" w:rsidRPr="00B1135E" w:rsidTr="00654770">
        <w:tc>
          <w:tcPr>
            <w:tcW w:w="2835" w:type="dxa"/>
            <w:vAlign w:val="center"/>
          </w:tcPr>
          <w:p w:rsidR="005D1689" w:rsidRPr="00B1135E" w:rsidRDefault="00A577A2" w:rsidP="009F5173">
            <w:pPr>
              <w:pStyle w:val="Body"/>
              <w:jc w:val="left"/>
            </w:pPr>
            <w:r w:rsidRPr="00B1135E">
              <w:t>Job experience in the current  enterprise</w:t>
            </w:r>
            <w:r w:rsidR="005D1689" w:rsidRPr="00B1135E">
              <w:t xml:space="preserve"> </w:t>
            </w:r>
          </w:p>
        </w:tc>
        <w:tc>
          <w:tcPr>
            <w:tcW w:w="4111" w:type="dxa"/>
            <w:vAlign w:val="center"/>
          </w:tcPr>
          <w:p w:rsidR="005D1689" w:rsidRPr="00B1135E" w:rsidRDefault="00654770" w:rsidP="003124F9">
            <w:pPr>
              <w:pStyle w:val="Body"/>
              <w:jc w:val="left"/>
            </w:pPr>
            <w:r w:rsidRPr="00B1135E">
              <w:t>Years</w:t>
            </w:r>
            <w:r w:rsidR="009957C8" w:rsidRPr="00B1135E">
              <w:t xml:space="preserve"> /</w:t>
            </w:r>
            <w:r w:rsidR="005D1689" w:rsidRPr="00B1135E">
              <w:t xml:space="preserve"> years squared</w:t>
            </w:r>
          </w:p>
        </w:tc>
        <w:tc>
          <w:tcPr>
            <w:tcW w:w="1559" w:type="dxa"/>
          </w:tcPr>
          <w:p w:rsidR="005D1689" w:rsidRPr="00B1135E" w:rsidRDefault="005D1689" w:rsidP="004A15C7">
            <w:pPr>
              <w:pStyle w:val="Body"/>
            </w:pPr>
            <w:r w:rsidRPr="00B1135E">
              <w:t>Variable 2.6</w:t>
            </w:r>
          </w:p>
        </w:tc>
      </w:tr>
      <w:tr w:rsidR="005D1689" w:rsidRPr="00B1135E" w:rsidTr="00654770">
        <w:tc>
          <w:tcPr>
            <w:tcW w:w="2835" w:type="dxa"/>
            <w:vAlign w:val="center"/>
          </w:tcPr>
          <w:p w:rsidR="005D1689" w:rsidRPr="00B1135E" w:rsidRDefault="00654770" w:rsidP="004A15C7">
            <w:pPr>
              <w:pStyle w:val="Body"/>
            </w:pPr>
            <w:r w:rsidRPr="00B1135E">
              <w:t>Employment contract</w:t>
            </w:r>
          </w:p>
        </w:tc>
        <w:tc>
          <w:tcPr>
            <w:tcW w:w="4111" w:type="dxa"/>
            <w:vAlign w:val="center"/>
          </w:tcPr>
          <w:p w:rsidR="005D1689" w:rsidRPr="00B1135E" w:rsidRDefault="005D1689" w:rsidP="003124F9">
            <w:pPr>
              <w:pStyle w:val="Body"/>
              <w:jc w:val="left"/>
            </w:pPr>
            <w:r w:rsidRPr="00B1135E">
              <w:t>Indefini</w:t>
            </w:r>
            <w:r w:rsidR="003124F9" w:rsidRPr="00B1135E">
              <w:t xml:space="preserve">te duration, temporary duration </w:t>
            </w:r>
            <w:r w:rsidR="003124F9" w:rsidRPr="00B1135E">
              <w:br/>
            </w:r>
            <w:r w:rsidR="000D73F2" w:rsidRPr="00B1135E">
              <w:t xml:space="preserve">or </w:t>
            </w:r>
            <w:r w:rsidRPr="00B1135E">
              <w:t xml:space="preserve">apprentice </w:t>
            </w:r>
          </w:p>
        </w:tc>
        <w:tc>
          <w:tcPr>
            <w:tcW w:w="1559" w:type="dxa"/>
          </w:tcPr>
          <w:p w:rsidR="005D1689" w:rsidRPr="00B1135E" w:rsidRDefault="005D1689" w:rsidP="004A15C7">
            <w:pPr>
              <w:pStyle w:val="Body"/>
            </w:pPr>
            <w:r w:rsidRPr="00B1135E">
              <w:t>Variable 2.8</w:t>
            </w:r>
          </w:p>
        </w:tc>
      </w:tr>
      <w:tr w:rsidR="005D1689" w:rsidRPr="00B1135E" w:rsidTr="00654770">
        <w:tc>
          <w:tcPr>
            <w:tcW w:w="2835" w:type="dxa"/>
            <w:vAlign w:val="center"/>
          </w:tcPr>
          <w:p w:rsidR="005D1689" w:rsidRPr="00B1135E" w:rsidRDefault="005D1689" w:rsidP="004A15C7">
            <w:pPr>
              <w:pStyle w:val="Body"/>
            </w:pPr>
            <w:r w:rsidRPr="00B1135E">
              <w:t>Working time</w:t>
            </w:r>
          </w:p>
        </w:tc>
        <w:tc>
          <w:tcPr>
            <w:tcW w:w="4111" w:type="dxa"/>
            <w:vAlign w:val="center"/>
          </w:tcPr>
          <w:p w:rsidR="005D1689" w:rsidRPr="00B1135E" w:rsidRDefault="000D73F2" w:rsidP="003124F9">
            <w:pPr>
              <w:pStyle w:val="Body"/>
              <w:jc w:val="left"/>
            </w:pPr>
            <w:r w:rsidRPr="00B1135E">
              <w:t xml:space="preserve">Full time or </w:t>
            </w:r>
            <w:r w:rsidR="00887A2F" w:rsidRPr="00B1135E">
              <w:t xml:space="preserve">part time </w:t>
            </w:r>
          </w:p>
        </w:tc>
        <w:tc>
          <w:tcPr>
            <w:tcW w:w="1559" w:type="dxa"/>
          </w:tcPr>
          <w:p w:rsidR="005D1689" w:rsidRPr="00B1135E" w:rsidRDefault="005D1689" w:rsidP="004A15C7">
            <w:pPr>
              <w:pStyle w:val="Body"/>
            </w:pPr>
            <w:r w:rsidRPr="00B1135E">
              <w:t>Variable 2.7</w:t>
            </w:r>
          </w:p>
        </w:tc>
      </w:tr>
      <w:tr w:rsidR="005D1689" w:rsidRPr="00B1135E" w:rsidTr="00654770">
        <w:tc>
          <w:tcPr>
            <w:tcW w:w="2835" w:type="dxa"/>
            <w:vAlign w:val="center"/>
          </w:tcPr>
          <w:p w:rsidR="005D1689" w:rsidRPr="00B1135E" w:rsidRDefault="005D1689" w:rsidP="004A15C7">
            <w:pPr>
              <w:pStyle w:val="Body"/>
              <w:rPr>
                <w:b/>
              </w:rPr>
            </w:pPr>
            <w:r w:rsidRPr="00B1135E">
              <w:rPr>
                <w:b/>
              </w:rPr>
              <w:t xml:space="preserve">Enterprise characteristics </w:t>
            </w:r>
          </w:p>
        </w:tc>
        <w:tc>
          <w:tcPr>
            <w:tcW w:w="4111" w:type="dxa"/>
            <w:vAlign w:val="center"/>
          </w:tcPr>
          <w:p w:rsidR="005D1689" w:rsidRPr="00B1135E" w:rsidRDefault="005D1689" w:rsidP="003124F9">
            <w:pPr>
              <w:pStyle w:val="Body"/>
              <w:jc w:val="left"/>
            </w:pPr>
            <w:r w:rsidRPr="00B1135E">
              <w:t xml:space="preserve">           </w:t>
            </w:r>
          </w:p>
        </w:tc>
        <w:tc>
          <w:tcPr>
            <w:tcW w:w="1559" w:type="dxa"/>
          </w:tcPr>
          <w:p w:rsidR="005D1689" w:rsidRPr="00B1135E" w:rsidRDefault="005D1689" w:rsidP="004A15C7">
            <w:pPr>
              <w:pStyle w:val="Body"/>
            </w:pPr>
          </w:p>
        </w:tc>
      </w:tr>
      <w:tr w:rsidR="005D1689" w:rsidRPr="00B1135E" w:rsidTr="00654770">
        <w:tc>
          <w:tcPr>
            <w:tcW w:w="2835" w:type="dxa"/>
            <w:vAlign w:val="center"/>
          </w:tcPr>
          <w:p w:rsidR="005D1689" w:rsidRPr="00B1135E" w:rsidRDefault="005D1689" w:rsidP="004A15C7">
            <w:pPr>
              <w:pStyle w:val="Body"/>
            </w:pPr>
            <w:r w:rsidRPr="00B1135E">
              <w:t>Principal economic activity</w:t>
            </w:r>
          </w:p>
        </w:tc>
        <w:tc>
          <w:tcPr>
            <w:tcW w:w="4111" w:type="dxa"/>
            <w:vAlign w:val="center"/>
          </w:tcPr>
          <w:p w:rsidR="005D1689" w:rsidRPr="00B1135E" w:rsidRDefault="00B72F4C" w:rsidP="00FD778E">
            <w:pPr>
              <w:pStyle w:val="Body"/>
              <w:jc w:val="left"/>
            </w:pPr>
            <w:r w:rsidRPr="00B1135E">
              <w:t>Economic activity according to</w:t>
            </w:r>
            <w:r w:rsidR="005D1689" w:rsidRPr="00B1135E">
              <w:t xml:space="preserve"> </w:t>
            </w:r>
            <w:r w:rsidR="008A3368" w:rsidRPr="00B1135E">
              <w:t xml:space="preserve">the </w:t>
            </w:r>
            <w:r w:rsidR="005D1689" w:rsidRPr="00B1135E">
              <w:t xml:space="preserve">NACE </w:t>
            </w:r>
            <w:r w:rsidR="004E6973" w:rsidRPr="00B1135E">
              <w:t>R</w:t>
            </w:r>
            <w:r w:rsidR="005D1689" w:rsidRPr="00B1135E">
              <w:t>e</w:t>
            </w:r>
            <w:r w:rsidR="008A3368" w:rsidRPr="00B1135E">
              <w:t>v. </w:t>
            </w:r>
            <w:r w:rsidR="00887A2F" w:rsidRPr="00B1135E">
              <w:t xml:space="preserve">2 </w:t>
            </w:r>
            <w:r w:rsidR="008A3368" w:rsidRPr="00B1135E">
              <w:t>classification</w:t>
            </w:r>
            <w:r w:rsidR="004E6973" w:rsidRPr="00B1135E">
              <w:t>*</w:t>
            </w:r>
            <w:r w:rsidR="008A3368" w:rsidRPr="00B1135E">
              <w:t xml:space="preserve"> </w:t>
            </w:r>
            <w:r w:rsidRPr="00B1135E">
              <w:t>at section level</w:t>
            </w:r>
          </w:p>
        </w:tc>
        <w:tc>
          <w:tcPr>
            <w:tcW w:w="1559" w:type="dxa"/>
          </w:tcPr>
          <w:p w:rsidR="005D1689" w:rsidRPr="00B1135E" w:rsidRDefault="005D1689" w:rsidP="004A15C7">
            <w:pPr>
              <w:pStyle w:val="Body"/>
            </w:pPr>
            <w:r w:rsidRPr="00B1135E">
              <w:t>Variable 1.3</w:t>
            </w:r>
          </w:p>
        </w:tc>
      </w:tr>
      <w:tr w:rsidR="005D1689" w:rsidRPr="00B1135E" w:rsidTr="00654770">
        <w:tc>
          <w:tcPr>
            <w:tcW w:w="2835" w:type="dxa"/>
            <w:vAlign w:val="center"/>
          </w:tcPr>
          <w:p w:rsidR="005D1689" w:rsidRPr="00B1135E" w:rsidRDefault="005D1689" w:rsidP="004A15C7">
            <w:pPr>
              <w:pStyle w:val="Body"/>
            </w:pPr>
            <w:r w:rsidRPr="00B1135E">
              <w:t xml:space="preserve">Enterprise size </w:t>
            </w:r>
          </w:p>
        </w:tc>
        <w:tc>
          <w:tcPr>
            <w:tcW w:w="4111" w:type="dxa"/>
            <w:vAlign w:val="center"/>
          </w:tcPr>
          <w:p w:rsidR="005D1689" w:rsidRPr="00B1135E" w:rsidRDefault="008A3368" w:rsidP="003124F9">
            <w:pPr>
              <w:pStyle w:val="Body"/>
              <w:jc w:val="left"/>
            </w:pPr>
            <w:r w:rsidRPr="00B1135E">
              <w:t>Enterprise</w:t>
            </w:r>
            <w:r w:rsidR="005D1689" w:rsidRPr="00B1135E">
              <w:t xml:space="preserve"> with 1</w:t>
            </w:r>
            <w:r w:rsidR="000D73F2" w:rsidRPr="00B1135E">
              <w:t>0-49</w:t>
            </w:r>
            <w:r w:rsidR="003124F9" w:rsidRPr="00B1135E">
              <w:t xml:space="preserve"> employees</w:t>
            </w:r>
            <w:r w:rsidR="000D73F2" w:rsidRPr="00B1135E">
              <w:t>, 50-249</w:t>
            </w:r>
            <w:r w:rsidR="003124F9" w:rsidRPr="00B1135E">
              <w:t xml:space="preserve"> employees</w:t>
            </w:r>
            <w:r w:rsidR="000D73F2" w:rsidRPr="00B1135E">
              <w:t>, 250-499</w:t>
            </w:r>
            <w:r w:rsidR="003124F9" w:rsidRPr="00B1135E">
              <w:t xml:space="preserve"> employees</w:t>
            </w:r>
            <w:r w:rsidR="000D73F2" w:rsidRPr="00B1135E">
              <w:t xml:space="preserve">, </w:t>
            </w:r>
            <w:r w:rsidR="00654770" w:rsidRPr="00B1135E">
              <w:br/>
            </w:r>
            <w:r w:rsidR="000D73F2" w:rsidRPr="00B1135E">
              <w:t>500-999</w:t>
            </w:r>
            <w:r w:rsidR="003124F9" w:rsidRPr="00B1135E">
              <w:t xml:space="preserve"> employees</w:t>
            </w:r>
            <w:r w:rsidR="000D73F2" w:rsidRPr="00B1135E">
              <w:t xml:space="preserve"> or </w:t>
            </w:r>
            <w:r w:rsidR="005D1689" w:rsidRPr="00B1135E">
              <w:t>1</w:t>
            </w:r>
            <w:r w:rsidR="007B68BA">
              <w:t> 000</w:t>
            </w:r>
            <w:r w:rsidR="005D1689" w:rsidRPr="00B1135E">
              <w:t>+ employ</w:t>
            </w:r>
            <w:r w:rsidR="00887A2F" w:rsidRPr="00B1135E">
              <w:t xml:space="preserve">ees </w:t>
            </w:r>
          </w:p>
        </w:tc>
        <w:tc>
          <w:tcPr>
            <w:tcW w:w="1559" w:type="dxa"/>
          </w:tcPr>
          <w:p w:rsidR="005D1689" w:rsidRPr="00B1135E" w:rsidRDefault="005D1689" w:rsidP="004A15C7">
            <w:pPr>
              <w:pStyle w:val="Body"/>
            </w:pPr>
            <w:r w:rsidRPr="00B1135E">
              <w:t>Variable 1.2</w:t>
            </w:r>
          </w:p>
        </w:tc>
      </w:tr>
      <w:tr w:rsidR="005D1689" w:rsidRPr="00B1135E" w:rsidTr="00654770">
        <w:tc>
          <w:tcPr>
            <w:tcW w:w="2835" w:type="dxa"/>
          </w:tcPr>
          <w:p w:rsidR="005D1689" w:rsidRPr="00B1135E" w:rsidRDefault="005D1689" w:rsidP="004A15C7">
            <w:pPr>
              <w:pStyle w:val="Body"/>
            </w:pPr>
            <w:r w:rsidRPr="00B1135E">
              <w:t>Enterprise control</w:t>
            </w:r>
          </w:p>
        </w:tc>
        <w:tc>
          <w:tcPr>
            <w:tcW w:w="4111" w:type="dxa"/>
          </w:tcPr>
          <w:p w:rsidR="005D1689" w:rsidRPr="00B1135E" w:rsidRDefault="000D73F2" w:rsidP="003124F9">
            <w:pPr>
              <w:pStyle w:val="Body"/>
              <w:jc w:val="left"/>
            </w:pPr>
            <w:r w:rsidRPr="00B1135E">
              <w:t xml:space="preserve">Public or </w:t>
            </w:r>
            <w:r w:rsidR="00887A2F" w:rsidRPr="00B1135E">
              <w:t xml:space="preserve">private </w:t>
            </w:r>
          </w:p>
        </w:tc>
        <w:tc>
          <w:tcPr>
            <w:tcW w:w="1559" w:type="dxa"/>
          </w:tcPr>
          <w:p w:rsidR="005D1689" w:rsidRPr="00B1135E" w:rsidRDefault="005D1689" w:rsidP="004A15C7">
            <w:pPr>
              <w:pStyle w:val="Body"/>
            </w:pPr>
            <w:r w:rsidRPr="00B1135E">
              <w:t>Variable 1.4</w:t>
            </w:r>
          </w:p>
        </w:tc>
      </w:tr>
    </w:tbl>
    <w:p w:rsidR="00DE06D8" w:rsidRPr="00B1135E" w:rsidRDefault="003124F9" w:rsidP="001475CA">
      <w:pPr>
        <w:pStyle w:val="footnote"/>
        <w:spacing w:before="120"/>
        <w:ind w:left="0" w:firstLine="0"/>
      </w:pPr>
      <w:r w:rsidRPr="00B1135E">
        <w:t>NACE Rev. 2: Statistical classification of economic activities in the European Community; ISCED: International Standard Classification of Education; ISCO-08: International Standard Classification of Occupations</w:t>
      </w:r>
    </w:p>
    <w:p w:rsidR="00887A2F" w:rsidRPr="00B1135E" w:rsidRDefault="00BA614F" w:rsidP="00F219FD">
      <w:pPr>
        <w:pStyle w:val="Body"/>
      </w:pPr>
      <w:r w:rsidRPr="00B1135E">
        <w:t>T</w:t>
      </w:r>
      <w:r w:rsidR="00DE06D8" w:rsidRPr="00B1135E">
        <w:t xml:space="preserve">he </w:t>
      </w:r>
      <w:r w:rsidR="005D1689" w:rsidRPr="00B1135E">
        <w:t>regression</w:t>
      </w:r>
      <w:r w:rsidRPr="00B1135E">
        <w:t xml:space="preserve"> equations are a result of adjusting and expanding </w:t>
      </w:r>
      <w:r w:rsidR="005D1689" w:rsidRPr="00B1135E">
        <w:t>the standard Mincer (1974) earnings equation</w:t>
      </w:r>
      <w:r w:rsidR="00662612">
        <w:t>,</w:t>
      </w:r>
      <w:r w:rsidR="005D1689" w:rsidRPr="00B1135E">
        <w:t xml:space="preserve"> which relates</w:t>
      </w:r>
      <w:r w:rsidR="00323894">
        <w:t>,</w:t>
      </w:r>
      <w:r w:rsidR="005D1689" w:rsidRPr="00B1135E">
        <w:t xml:space="preserve"> </w:t>
      </w:r>
      <w:r w:rsidR="000352C9" w:rsidRPr="00B1135E">
        <w:t>in a linear way</w:t>
      </w:r>
      <w:r w:rsidR="00323894">
        <w:t>,</w:t>
      </w:r>
      <w:r w:rsidR="000352C9">
        <w:t xml:space="preserve"> </w:t>
      </w:r>
      <w:r w:rsidR="005D1689" w:rsidRPr="00B1135E">
        <w:t>the log hourly earnings to years of education and a quadratic function of job</w:t>
      </w:r>
      <w:r w:rsidR="00DE06D8" w:rsidRPr="00B1135E">
        <w:t xml:space="preserve"> experience</w:t>
      </w:r>
      <w:r w:rsidR="00AE35E9" w:rsidRPr="00B1135E">
        <w:t xml:space="preserve"> (tenure)</w:t>
      </w:r>
      <w:r w:rsidR="005D1689" w:rsidRPr="00B1135E">
        <w:t xml:space="preserve">. </w:t>
      </w:r>
      <w:r w:rsidRPr="00B1135E">
        <w:t>In Eurostat</w:t>
      </w:r>
      <w:r w:rsidR="00B1135E">
        <w:t>’</w:t>
      </w:r>
      <w:r w:rsidRPr="00B1135E">
        <w:t xml:space="preserve">s model, </w:t>
      </w:r>
      <w:r w:rsidR="005F51E3" w:rsidRPr="00B1135E">
        <w:t>t</w:t>
      </w:r>
      <w:r w:rsidRPr="00B1135E">
        <w:t>he regression equations relate</w:t>
      </w:r>
      <w:r w:rsidR="00887A2F" w:rsidRPr="00B1135E">
        <w:t xml:space="preserve"> the log hourly earnings</w:t>
      </w:r>
      <w:r w:rsidR="009957C8" w:rsidRPr="00B1135E">
        <w:t xml:space="preserve"> </w:t>
      </w:r>
      <w:r w:rsidRPr="00B1135E">
        <w:t>to</w:t>
      </w:r>
      <w:r w:rsidR="009957C8" w:rsidRPr="00B1135E">
        <w:t xml:space="preserve"> </w:t>
      </w:r>
      <w:r w:rsidR="00302435" w:rsidRPr="00B1135E">
        <w:t xml:space="preserve">age and </w:t>
      </w:r>
      <w:r w:rsidR="009957C8" w:rsidRPr="00B1135E">
        <w:t>age squared, education, occupation, job experience (in the current enterprise)</w:t>
      </w:r>
      <w:r w:rsidR="00302435" w:rsidRPr="00B1135E">
        <w:t xml:space="preserve"> and </w:t>
      </w:r>
      <w:r w:rsidR="009957C8" w:rsidRPr="00B1135E">
        <w:t>job experience squared, employment contract, working time</w:t>
      </w:r>
      <w:r w:rsidR="00CD69F2" w:rsidRPr="00B1135E">
        <w:t>,</w:t>
      </w:r>
      <w:r w:rsidR="009957C8" w:rsidRPr="00B1135E">
        <w:t xml:space="preserve"> principal economic activity, enterprise size and enterprise control. </w:t>
      </w:r>
      <w:r w:rsidR="00CD69F2" w:rsidRPr="00B1135E">
        <w:t>The explanatory variables covering education, occupation, employment contract, working time, principal economic activity, enterprise size and enterprise control are categorical.</w:t>
      </w:r>
    </w:p>
    <w:p w:rsidR="005D1689" w:rsidRPr="00B1135E" w:rsidRDefault="00B93DDB" w:rsidP="00F219FD">
      <w:pPr>
        <w:pStyle w:val="Body"/>
      </w:pPr>
      <w:r w:rsidRPr="00B1135E">
        <w:t>Af</w:t>
      </w:r>
      <w:r w:rsidR="00C80349" w:rsidRPr="00B1135E">
        <w:t>ter fitting separate regression models</w:t>
      </w:r>
      <w:r w:rsidRPr="00B1135E">
        <w:t xml:space="preserve"> for men and women</w:t>
      </w:r>
      <w:r w:rsidR="005D1689" w:rsidRPr="00B1135E">
        <w:t>, a decomposition analysis of the difference between the means of log hourly earnings of men and women</w:t>
      </w:r>
      <w:r w:rsidRPr="00B1135E">
        <w:t xml:space="preserve"> is carried out</w:t>
      </w:r>
      <w:r w:rsidR="005D1689" w:rsidRPr="00B1135E">
        <w:t>:</w:t>
      </w:r>
    </w:p>
    <w:p w:rsidR="005D1689" w:rsidRPr="00B1135E" w:rsidRDefault="005D1689" w:rsidP="00CC6DDE">
      <w:pPr>
        <w:pStyle w:val="Body"/>
        <w:rPr>
          <w:sz w:val="22"/>
          <w:szCs w:val="22"/>
        </w:rPr>
      </w:pPr>
      <m:oMathPara>
        <m:oMath>
          <m:r>
            <w:rPr>
              <w:rFonts w:ascii="Cambria Math" w:hAnsi="Cambria Math"/>
              <w:sz w:val="22"/>
              <w:szCs w:val="22"/>
            </w:rPr>
            <m:t xml:space="preserve">∆ = </m:t>
          </m:r>
          <m:sSup>
            <m:sSupPr>
              <m:ctrlPr>
                <w:rPr>
                  <w:rFonts w:ascii="Cambria Math" w:hAnsi="Cambria Math"/>
                  <w:i/>
                  <w:sz w:val="22"/>
                  <w:szCs w:val="22"/>
                </w:rPr>
              </m:ctrlPr>
            </m:sSupPr>
            <m:e>
              <m:acc>
                <m:accPr>
                  <m:chr m:val="̅"/>
                  <m:ctrlPr>
                    <w:rPr>
                      <w:rFonts w:ascii="Cambria Math" w:hAnsi="Cambria Math"/>
                      <w:i/>
                      <w:sz w:val="22"/>
                      <w:szCs w:val="22"/>
                    </w:rPr>
                  </m:ctrlPr>
                </m:accPr>
                <m:e>
                  <m:func>
                    <m:funcPr>
                      <m:ctrlPr>
                        <w:rPr>
                          <w:rFonts w:ascii="Cambria Math" w:hAnsi="Cambria Math"/>
                          <w:i/>
                          <w:sz w:val="22"/>
                          <w:szCs w:val="22"/>
                        </w:rPr>
                      </m:ctrlPr>
                    </m:funcPr>
                    <m:fName>
                      <m:r>
                        <m:rPr>
                          <m:sty m:val="p"/>
                        </m:rPr>
                        <w:rPr>
                          <w:rFonts w:ascii="Cambria Math" w:hAnsi="Cambria Math"/>
                          <w:sz w:val="22"/>
                          <w:szCs w:val="22"/>
                        </w:rPr>
                        <m:t>ln</m:t>
                      </m:r>
                    </m:fName>
                    <m:e>
                      <m:r>
                        <w:rPr>
                          <w:rFonts w:ascii="Cambria Math" w:hAnsi="Cambria Math"/>
                          <w:sz w:val="22"/>
                          <w:szCs w:val="22"/>
                        </w:rPr>
                        <m:t>y</m:t>
                      </m:r>
                    </m:e>
                  </m:func>
                </m:e>
              </m:acc>
            </m:e>
            <m:sup>
              <m:r>
                <w:rPr>
                  <w:rFonts w:ascii="Cambria Math" w:hAnsi="Cambria Math"/>
                  <w:sz w:val="22"/>
                  <w:szCs w:val="22"/>
                </w:rPr>
                <m:t>M</m:t>
              </m:r>
            </m:sup>
          </m:sSup>
          <m:r>
            <w:rPr>
              <w:rFonts w:ascii="Cambria Math" w:hAnsi="Cambria Math"/>
              <w:sz w:val="22"/>
              <w:szCs w:val="22"/>
            </w:rPr>
            <m:t xml:space="preserve">- </m:t>
          </m:r>
          <m:sSup>
            <m:sSupPr>
              <m:ctrlPr>
                <w:rPr>
                  <w:rFonts w:ascii="Cambria Math" w:hAnsi="Cambria Math"/>
                  <w:i/>
                  <w:sz w:val="22"/>
                  <w:szCs w:val="22"/>
                </w:rPr>
              </m:ctrlPr>
            </m:sSupPr>
            <m:e>
              <m:acc>
                <m:accPr>
                  <m:chr m:val="̅"/>
                  <m:ctrlPr>
                    <w:rPr>
                      <w:rFonts w:ascii="Cambria Math" w:hAnsi="Cambria Math"/>
                      <w:i/>
                      <w:sz w:val="22"/>
                      <w:szCs w:val="22"/>
                    </w:rPr>
                  </m:ctrlPr>
                </m:accPr>
                <m:e>
                  <m:func>
                    <m:funcPr>
                      <m:ctrlPr>
                        <w:rPr>
                          <w:rFonts w:ascii="Cambria Math" w:hAnsi="Cambria Math"/>
                          <w:i/>
                          <w:sz w:val="22"/>
                          <w:szCs w:val="22"/>
                        </w:rPr>
                      </m:ctrlPr>
                    </m:funcPr>
                    <m:fName>
                      <m:r>
                        <m:rPr>
                          <m:sty m:val="p"/>
                        </m:rPr>
                        <w:rPr>
                          <w:rFonts w:ascii="Cambria Math" w:hAnsi="Cambria Math"/>
                          <w:sz w:val="22"/>
                          <w:szCs w:val="22"/>
                        </w:rPr>
                        <m:t>ln</m:t>
                      </m:r>
                    </m:fName>
                    <m:e>
                      <m:r>
                        <w:rPr>
                          <w:rFonts w:ascii="Cambria Math" w:hAnsi="Cambria Math"/>
                          <w:sz w:val="22"/>
                          <w:szCs w:val="22"/>
                        </w:rPr>
                        <m:t>y</m:t>
                      </m:r>
                    </m:e>
                  </m:func>
                </m:e>
              </m:acc>
            </m:e>
            <m:sup>
              <m:r>
                <w:rPr>
                  <w:rFonts w:ascii="Cambria Math" w:hAnsi="Cambria Math"/>
                  <w:sz w:val="22"/>
                  <w:szCs w:val="22"/>
                </w:rPr>
                <m:t>W</m:t>
              </m:r>
            </m:sup>
          </m:sSup>
        </m:oMath>
      </m:oMathPara>
    </w:p>
    <w:p w:rsidR="005D1689" w:rsidRPr="00B1135E" w:rsidRDefault="005D1689" w:rsidP="00F219FD">
      <w:pPr>
        <w:pStyle w:val="Body"/>
      </w:pPr>
      <w:r w:rsidRPr="00B1135E">
        <w:t>The Oaxaca decomposition uses th</w:t>
      </w:r>
      <w:r w:rsidR="00CF6211" w:rsidRPr="00B1135E">
        <w:t>e following regression property</w:t>
      </w:r>
      <w:r w:rsidR="001175A5" w:rsidRPr="00B1135E">
        <w:t xml:space="preserve"> </w:t>
      </w:r>
      <w:r w:rsidRPr="00B1135E">
        <w:t>for the means of log hourly earnings of men and women:</w:t>
      </w:r>
    </w:p>
    <w:p w:rsidR="005D1689" w:rsidRPr="00B1135E" w:rsidRDefault="001F30FD" w:rsidP="00CC6DDE">
      <w:pPr>
        <w:pStyle w:val="Body"/>
      </w:pPr>
      <m:oMathPara>
        <m:oMath>
          <m:sSup>
            <m:sSupPr>
              <m:ctrlPr>
                <w:rPr>
                  <w:rFonts w:ascii="Cambria Math" w:hAnsi="Cambria Math"/>
                  <w:i/>
                  <w:sz w:val="22"/>
                  <w:szCs w:val="22"/>
                </w:rPr>
              </m:ctrlPr>
            </m:sSupPr>
            <m:e>
              <m:acc>
                <m:accPr>
                  <m:chr m:val="̅"/>
                  <m:ctrlPr>
                    <w:rPr>
                      <w:rFonts w:ascii="Cambria Math" w:hAnsi="Cambria Math"/>
                      <w:i/>
                      <w:sz w:val="22"/>
                      <w:szCs w:val="22"/>
                    </w:rPr>
                  </m:ctrlPr>
                </m:accPr>
                <m:e>
                  <m:func>
                    <m:funcPr>
                      <m:ctrlPr>
                        <w:rPr>
                          <w:rFonts w:ascii="Cambria Math" w:hAnsi="Cambria Math"/>
                          <w:i/>
                          <w:sz w:val="22"/>
                          <w:szCs w:val="22"/>
                        </w:rPr>
                      </m:ctrlPr>
                    </m:funcPr>
                    <m:fName>
                      <m:r>
                        <m:rPr>
                          <m:sty m:val="p"/>
                        </m:rPr>
                        <w:rPr>
                          <w:rFonts w:ascii="Cambria Math" w:hAnsi="Cambria Math"/>
                          <w:sz w:val="22"/>
                          <w:szCs w:val="22"/>
                        </w:rPr>
                        <m:t>ln</m:t>
                      </m:r>
                    </m:fName>
                    <m:e>
                      <m:r>
                        <w:rPr>
                          <w:rFonts w:ascii="Cambria Math" w:hAnsi="Cambria Math"/>
                          <w:sz w:val="22"/>
                          <w:szCs w:val="22"/>
                        </w:rPr>
                        <m:t>y</m:t>
                      </m:r>
                    </m:e>
                  </m:func>
                </m:e>
              </m:acc>
            </m:e>
            <m:sup>
              <m:r>
                <w:rPr>
                  <w:rFonts w:ascii="Cambria Math" w:hAnsi="Cambria Math"/>
                  <w:sz w:val="22"/>
                  <w:szCs w:val="22"/>
                </w:rPr>
                <m:t>M</m:t>
              </m:r>
            </m:sup>
          </m:sSup>
          <m:r>
            <w:rPr>
              <w:rFonts w:ascii="Cambria Math" w:hAnsi="Cambria Math"/>
              <w:sz w:val="22"/>
              <w:szCs w:val="22"/>
            </w:rPr>
            <m:t xml:space="preserve">= </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β</m:t>
                  </m:r>
                </m:e>
              </m:acc>
            </m:e>
            <m:sub>
              <m:r>
                <w:rPr>
                  <w:rFonts w:ascii="Cambria Math" w:hAnsi="Cambria Math"/>
                  <w:sz w:val="22"/>
                  <w:szCs w:val="22"/>
                </w:rPr>
                <m:t>0</m:t>
              </m:r>
            </m:sub>
            <m:sup>
              <m:r>
                <w:rPr>
                  <w:rFonts w:ascii="Cambria Math" w:hAnsi="Cambria Math"/>
                  <w:sz w:val="22"/>
                  <w:szCs w:val="22"/>
                </w:rPr>
                <m:t>M</m:t>
              </m:r>
            </m:sup>
          </m:sSubSup>
          <m:r>
            <w:rPr>
              <w:rFonts w:ascii="Cambria Math" w:hAnsi="Cambria Math"/>
              <w:sz w:val="22"/>
              <w:szCs w:val="22"/>
            </w:rPr>
            <m:t xml:space="preserve">+ </m:t>
          </m:r>
          <m:nary>
            <m:naryPr>
              <m:chr m:val="∑"/>
              <m:limLoc m:val="undOvr"/>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K</m:t>
              </m:r>
            </m:sup>
            <m:e>
              <m:sSubSup>
                <m:sSubSupPr>
                  <m:ctrlPr>
                    <w:rPr>
                      <w:rFonts w:ascii="Cambria Math" w:hAnsi="Cambria Math"/>
                      <w:i/>
                      <w:sz w:val="22"/>
                      <w:szCs w:val="22"/>
                    </w:rPr>
                  </m:ctrlPr>
                </m:sSubSupPr>
                <m:e>
                  <m:acc>
                    <m:accPr>
                      <m:chr m:val="̅"/>
                      <m:ctrlPr>
                        <w:rPr>
                          <w:rFonts w:ascii="Cambria Math" w:hAnsi="Cambria Math"/>
                          <w:i/>
                          <w:sz w:val="22"/>
                          <w:szCs w:val="22"/>
                        </w:rPr>
                      </m:ctrlPr>
                    </m:accPr>
                    <m:e>
                      <m:r>
                        <w:rPr>
                          <w:rFonts w:ascii="Cambria Math" w:hAnsi="Cambria Math"/>
                          <w:sz w:val="22"/>
                          <w:szCs w:val="22"/>
                        </w:rPr>
                        <m:t>x</m:t>
                      </m:r>
                    </m:e>
                  </m:acc>
                </m:e>
                <m:sub>
                  <m:r>
                    <w:rPr>
                      <w:rFonts w:ascii="Cambria Math" w:hAnsi="Cambria Math"/>
                      <w:sz w:val="22"/>
                      <w:szCs w:val="22"/>
                    </w:rPr>
                    <m:t>k</m:t>
                  </m:r>
                </m:sub>
                <m:sup>
                  <m:r>
                    <w:rPr>
                      <w:rFonts w:ascii="Cambria Math" w:hAnsi="Cambria Math"/>
                      <w:sz w:val="22"/>
                      <w:szCs w:val="22"/>
                    </w:rPr>
                    <m:t>M</m:t>
                  </m:r>
                </m:sup>
              </m:sSubSup>
            </m:e>
          </m:nary>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β</m:t>
                  </m:r>
                </m:e>
              </m:acc>
            </m:e>
            <m:sub>
              <m:r>
                <w:rPr>
                  <w:rFonts w:ascii="Cambria Math" w:hAnsi="Cambria Math"/>
                  <w:sz w:val="22"/>
                  <w:szCs w:val="22"/>
                </w:rPr>
                <m:t>k</m:t>
              </m:r>
            </m:sub>
            <m:sup>
              <m:r>
                <w:rPr>
                  <w:rFonts w:ascii="Cambria Math" w:hAnsi="Cambria Math"/>
                  <w:sz w:val="22"/>
                  <w:szCs w:val="22"/>
                </w:rPr>
                <m:t>M</m:t>
              </m:r>
            </m:sup>
          </m:sSubSup>
        </m:oMath>
      </m:oMathPara>
    </w:p>
    <w:p w:rsidR="005D1689" w:rsidRPr="00B1135E" w:rsidRDefault="001F30FD" w:rsidP="00CC6DDE">
      <w:pPr>
        <w:pStyle w:val="Body"/>
      </w:pPr>
      <m:oMathPara>
        <m:oMath>
          <m:sSup>
            <m:sSupPr>
              <m:ctrlPr>
                <w:rPr>
                  <w:rFonts w:ascii="Cambria Math" w:hAnsi="Cambria Math"/>
                  <w:i/>
                  <w:sz w:val="22"/>
                  <w:szCs w:val="22"/>
                </w:rPr>
              </m:ctrlPr>
            </m:sSupPr>
            <m:e>
              <m:acc>
                <m:accPr>
                  <m:chr m:val="̅"/>
                  <m:ctrlPr>
                    <w:rPr>
                      <w:rFonts w:ascii="Cambria Math" w:hAnsi="Cambria Math"/>
                      <w:i/>
                      <w:sz w:val="22"/>
                      <w:szCs w:val="22"/>
                    </w:rPr>
                  </m:ctrlPr>
                </m:accPr>
                <m:e>
                  <m:func>
                    <m:funcPr>
                      <m:ctrlPr>
                        <w:rPr>
                          <w:rFonts w:ascii="Cambria Math" w:hAnsi="Cambria Math"/>
                          <w:i/>
                          <w:sz w:val="22"/>
                          <w:szCs w:val="22"/>
                        </w:rPr>
                      </m:ctrlPr>
                    </m:funcPr>
                    <m:fName>
                      <m:r>
                        <m:rPr>
                          <m:sty m:val="p"/>
                        </m:rPr>
                        <w:rPr>
                          <w:rFonts w:ascii="Cambria Math" w:hAnsi="Cambria Math"/>
                          <w:sz w:val="22"/>
                          <w:szCs w:val="22"/>
                        </w:rPr>
                        <m:t>ln</m:t>
                      </m:r>
                    </m:fName>
                    <m:e>
                      <m:r>
                        <w:rPr>
                          <w:rFonts w:ascii="Cambria Math" w:hAnsi="Cambria Math"/>
                          <w:sz w:val="22"/>
                          <w:szCs w:val="22"/>
                        </w:rPr>
                        <m:t>y</m:t>
                      </m:r>
                    </m:e>
                  </m:func>
                </m:e>
              </m:acc>
            </m:e>
            <m:sup>
              <m:r>
                <w:rPr>
                  <w:rFonts w:ascii="Cambria Math" w:hAnsi="Cambria Math"/>
                  <w:sz w:val="22"/>
                  <w:szCs w:val="22"/>
                </w:rPr>
                <m:t>W</m:t>
              </m:r>
            </m:sup>
          </m:sSup>
          <m:r>
            <w:rPr>
              <w:rFonts w:ascii="Cambria Math" w:hAnsi="Cambria Math"/>
              <w:sz w:val="22"/>
              <w:szCs w:val="22"/>
            </w:rPr>
            <m:t xml:space="preserve">= </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β</m:t>
                  </m:r>
                </m:e>
              </m:acc>
            </m:e>
            <m:sub>
              <m:r>
                <w:rPr>
                  <w:rFonts w:ascii="Cambria Math" w:hAnsi="Cambria Math"/>
                  <w:sz w:val="22"/>
                  <w:szCs w:val="22"/>
                </w:rPr>
                <m:t>0</m:t>
              </m:r>
            </m:sub>
            <m:sup>
              <m:r>
                <w:rPr>
                  <w:rFonts w:ascii="Cambria Math" w:hAnsi="Cambria Math"/>
                  <w:sz w:val="22"/>
                  <w:szCs w:val="22"/>
                </w:rPr>
                <m:t>W</m:t>
              </m:r>
            </m:sup>
          </m:sSubSup>
          <m:r>
            <w:rPr>
              <w:rFonts w:ascii="Cambria Math" w:hAnsi="Cambria Math"/>
              <w:sz w:val="22"/>
              <w:szCs w:val="22"/>
            </w:rPr>
            <m:t xml:space="preserve">+ </m:t>
          </m:r>
          <m:nary>
            <m:naryPr>
              <m:chr m:val="∑"/>
              <m:limLoc m:val="undOvr"/>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K</m:t>
              </m:r>
            </m:sup>
            <m:e>
              <m:sSubSup>
                <m:sSubSupPr>
                  <m:ctrlPr>
                    <w:rPr>
                      <w:rFonts w:ascii="Cambria Math" w:hAnsi="Cambria Math"/>
                      <w:i/>
                      <w:sz w:val="22"/>
                      <w:szCs w:val="22"/>
                    </w:rPr>
                  </m:ctrlPr>
                </m:sSubSupPr>
                <m:e>
                  <m:acc>
                    <m:accPr>
                      <m:chr m:val="̅"/>
                      <m:ctrlPr>
                        <w:rPr>
                          <w:rFonts w:ascii="Cambria Math" w:hAnsi="Cambria Math"/>
                          <w:i/>
                          <w:sz w:val="22"/>
                          <w:szCs w:val="22"/>
                        </w:rPr>
                      </m:ctrlPr>
                    </m:accPr>
                    <m:e>
                      <m:r>
                        <w:rPr>
                          <w:rFonts w:ascii="Cambria Math" w:hAnsi="Cambria Math"/>
                          <w:sz w:val="22"/>
                          <w:szCs w:val="22"/>
                        </w:rPr>
                        <m:t>x</m:t>
                      </m:r>
                    </m:e>
                  </m:acc>
                </m:e>
                <m:sub>
                  <m:r>
                    <w:rPr>
                      <w:rFonts w:ascii="Cambria Math" w:hAnsi="Cambria Math"/>
                      <w:sz w:val="22"/>
                      <w:szCs w:val="22"/>
                    </w:rPr>
                    <m:t>k</m:t>
                  </m:r>
                </m:sub>
                <m:sup>
                  <m:r>
                    <w:rPr>
                      <w:rFonts w:ascii="Cambria Math" w:hAnsi="Cambria Math"/>
                      <w:sz w:val="22"/>
                      <w:szCs w:val="22"/>
                    </w:rPr>
                    <m:t>W</m:t>
                  </m:r>
                </m:sup>
              </m:sSubSup>
            </m:e>
          </m:nary>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β</m:t>
                  </m:r>
                </m:e>
              </m:acc>
            </m:e>
            <m:sub>
              <m:r>
                <w:rPr>
                  <w:rFonts w:ascii="Cambria Math" w:hAnsi="Cambria Math"/>
                  <w:sz w:val="22"/>
                  <w:szCs w:val="22"/>
                </w:rPr>
                <m:t>k</m:t>
              </m:r>
            </m:sub>
            <m:sup>
              <m:r>
                <w:rPr>
                  <w:rFonts w:ascii="Cambria Math" w:hAnsi="Cambria Math"/>
                  <w:sz w:val="22"/>
                  <w:szCs w:val="22"/>
                </w:rPr>
                <m:t>W</m:t>
              </m:r>
            </m:sup>
          </m:sSubSup>
        </m:oMath>
      </m:oMathPara>
    </w:p>
    <w:p w:rsidR="00F371E0" w:rsidRPr="00B1135E" w:rsidRDefault="00B93DDB" w:rsidP="00F219FD">
      <w:pPr>
        <w:pStyle w:val="Body"/>
      </w:pPr>
      <w:r w:rsidRPr="00B1135E">
        <w:t>These equations provide insights into the male and female earnings structures by showing the relationship between the mean of log hourly earnings and the observed average characteristics for men and women</w:t>
      </w:r>
      <w:r w:rsidR="001175A5" w:rsidRPr="00B1135E">
        <w:t xml:space="preserve"> (</w:t>
      </w: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x</m:t>
                </m:r>
              </m:e>
            </m:acc>
          </m:e>
          <m:sub>
            <m:r>
              <w:rPr>
                <w:rFonts w:ascii="Cambria Math" w:hAnsi="Cambria Math"/>
              </w:rPr>
              <m:t>k</m:t>
            </m:r>
          </m:sub>
          <m:sup>
            <m:r>
              <w:rPr>
                <w:rFonts w:ascii="Cambria Math" w:hAnsi="Cambria Math"/>
              </w:rPr>
              <m:t>M</m:t>
            </m:r>
          </m:sup>
        </m:sSubSup>
      </m:oMath>
      <w:r w:rsidR="001175A5" w:rsidRPr="00B1135E">
        <w:t xml:space="preserve"> and </w:t>
      </w: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x</m:t>
                </m:r>
              </m:e>
            </m:acc>
          </m:e>
          <m:sub>
            <m:r>
              <w:rPr>
                <w:rFonts w:ascii="Cambria Math" w:hAnsi="Cambria Math"/>
              </w:rPr>
              <m:t>k</m:t>
            </m:r>
          </m:sub>
          <m:sup>
            <m:r>
              <w:rPr>
                <w:rFonts w:ascii="Cambria Math" w:hAnsi="Cambria Math"/>
              </w:rPr>
              <m:t>F</m:t>
            </m:r>
          </m:sup>
        </m:sSubSup>
      </m:oMath>
      <w:r w:rsidR="001175A5" w:rsidRPr="00B1135E">
        <w:t>, respectively)</w:t>
      </w:r>
      <w:r w:rsidRPr="00B1135E">
        <w:t xml:space="preserve">. In this relationship, the estimated constant </w:t>
      </w:r>
      <m:oMath>
        <m:sSubSup>
          <m:sSubSupPr>
            <m:ctrlPr>
              <w:rPr>
                <w:rFonts w:ascii="Cambria Math" w:hAnsi="Cambria Math"/>
                <w:i/>
                <w:szCs w:val="19"/>
              </w:rPr>
            </m:ctrlPr>
          </m:sSubSupPr>
          <m:e>
            <m:acc>
              <m:accPr>
                <m:ctrlPr>
                  <w:rPr>
                    <w:rFonts w:ascii="Cambria Math" w:hAnsi="Cambria Math"/>
                    <w:i/>
                    <w:szCs w:val="19"/>
                  </w:rPr>
                </m:ctrlPr>
              </m:accPr>
              <m:e>
                <m:r>
                  <w:rPr>
                    <w:rFonts w:ascii="Cambria Math" w:hAnsi="Cambria Math"/>
                    <w:szCs w:val="19"/>
                  </w:rPr>
                  <m:t>β</m:t>
                </m:r>
              </m:e>
            </m:acc>
          </m:e>
          <m:sub>
            <m:r>
              <w:rPr>
                <w:rFonts w:ascii="Cambria Math" w:hAnsi="Cambria Math"/>
                <w:szCs w:val="19"/>
              </w:rPr>
              <m:t>0</m:t>
            </m:r>
          </m:sub>
          <m:sup>
            <m:r>
              <w:rPr>
                <w:rFonts w:ascii="Cambria Math" w:hAnsi="Cambria Math"/>
                <w:szCs w:val="19"/>
              </w:rPr>
              <m:t>M</m:t>
            </m:r>
          </m:sup>
        </m:sSubSup>
      </m:oMath>
      <w:r w:rsidRPr="00B1135E">
        <w:t xml:space="preserve"> and coefficients </w:t>
      </w:r>
      <m:oMath>
        <m:sSubSup>
          <m:sSubSupPr>
            <m:ctrlPr>
              <w:rPr>
                <w:rFonts w:ascii="Cambria Math" w:hAnsi="Cambria Math"/>
                <w:i/>
                <w:szCs w:val="19"/>
              </w:rPr>
            </m:ctrlPr>
          </m:sSubSupPr>
          <m:e>
            <m:acc>
              <m:accPr>
                <m:ctrlPr>
                  <w:rPr>
                    <w:rFonts w:ascii="Cambria Math" w:hAnsi="Cambria Math"/>
                    <w:i/>
                    <w:szCs w:val="19"/>
                  </w:rPr>
                </m:ctrlPr>
              </m:accPr>
              <m:e>
                <m:r>
                  <w:rPr>
                    <w:rFonts w:ascii="Cambria Math" w:hAnsi="Cambria Math"/>
                    <w:szCs w:val="19"/>
                  </w:rPr>
                  <m:t>β</m:t>
                </m:r>
              </m:e>
            </m:acc>
          </m:e>
          <m:sub>
            <m:r>
              <w:rPr>
                <w:rFonts w:ascii="Cambria Math" w:hAnsi="Cambria Math"/>
                <w:szCs w:val="19"/>
              </w:rPr>
              <m:t>k</m:t>
            </m:r>
          </m:sub>
          <m:sup>
            <m:r>
              <w:rPr>
                <w:rFonts w:ascii="Cambria Math" w:hAnsi="Cambria Math"/>
                <w:szCs w:val="19"/>
              </w:rPr>
              <m:t>M</m:t>
            </m:r>
          </m:sup>
        </m:sSubSup>
      </m:oMath>
      <w:r w:rsidR="00173D6E">
        <w:rPr>
          <w:szCs w:val="19"/>
        </w:rPr>
        <w:t xml:space="preserve"> </w:t>
      </w:r>
      <w:r w:rsidR="0048212D" w:rsidRPr="00B1135E">
        <w:t xml:space="preserve">measure the </w:t>
      </w:r>
      <w:r w:rsidR="00173D6E">
        <w:t>financial</w:t>
      </w:r>
      <w:r w:rsidR="00173D6E" w:rsidRPr="00B1135E">
        <w:t xml:space="preserve"> </w:t>
      </w:r>
      <w:r w:rsidRPr="00B1135E">
        <w:t>returns to the characteristics</w:t>
      </w:r>
      <w:r w:rsidR="007D0415" w:rsidRPr="00B1135E">
        <w:t xml:space="preserve"> of</w:t>
      </w:r>
      <w:r w:rsidRPr="00B1135E">
        <w:t xml:space="preserve"> male employee</w:t>
      </w:r>
      <w:r w:rsidR="007D0415" w:rsidRPr="00B1135E">
        <w:t>s</w:t>
      </w:r>
      <w:r w:rsidRPr="00B1135E">
        <w:t xml:space="preserve">, whereas the estimated constant </w:t>
      </w:r>
      <m:oMath>
        <m:sSubSup>
          <m:sSubSupPr>
            <m:ctrlPr>
              <w:rPr>
                <w:rFonts w:ascii="Cambria Math" w:hAnsi="Cambria Math"/>
                <w:i/>
                <w:szCs w:val="19"/>
              </w:rPr>
            </m:ctrlPr>
          </m:sSubSupPr>
          <m:e>
            <m:acc>
              <m:accPr>
                <m:ctrlPr>
                  <w:rPr>
                    <w:rFonts w:ascii="Cambria Math" w:hAnsi="Cambria Math"/>
                    <w:i/>
                    <w:szCs w:val="19"/>
                  </w:rPr>
                </m:ctrlPr>
              </m:accPr>
              <m:e>
                <m:r>
                  <w:rPr>
                    <w:rFonts w:ascii="Cambria Math" w:hAnsi="Cambria Math"/>
                    <w:szCs w:val="19"/>
                  </w:rPr>
                  <m:t>β</m:t>
                </m:r>
              </m:e>
            </m:acc>
          </m:e>
          <m:sub>
            <m:r>
              <w:rPr>
                <w:rFonts w:ascii="Cambria Math" w:hAnsi="Cambria Math"/>
                <w:szCs w:val="19"/>
              </w:rPr>
              <m:t>0</m:t>
            </m:r>
          </m:sub>
          <m:sup>
            <m:r>
              <w:rPr>
                <w:rFonts w:ascii="Cambria Math" w:hAnsi="Cambria Math"/>
                <w:szCs w:val="19"/>
              </w:rPr>
              <m:t>K</m:t>
            </m:r>
          </m:sup>
        </m:sSubSup>
      </m:oMath>
      <w:r w:rsidRPr="00B1135E">
        <w:t xml:space="preserve"> and coefficients </w:t>
      </w:r>
      <m:oMath>
        <m:sSubSup>
          <m:sSubSupPr>
            <m:ctrlPr>
              <w:rPr>
                <w:rFonts w:ascii="Cambria Math" w:hAnsi="Cambria Math"/>
                <w:i/>
                <w:szCs w:val="19"/>
              </w:rPr>
            </m:ctrlPr>
          </m:sSubSupPr>
          <m:e>
            <m:acc>
              <m:accPr>
                <m:ctrlPr>
                  <w:rPr>
                    <w:rFonts w:ascii="Cambria Math" w:hAnsi="Cambria Math"/>
                    <w:i/>
                    <w:szCs w:val="19"/>
                  </w:rPr>
                </m:ctrlPr>
              </m:accPr>
              <m:e>
                <m:r>
                  <w:rPr>
                    <w:rFonts w:ascii="Cambria Math" w:hAnsi="Cambria Math"/>
                    <w:szCs w:val="19"/>
                  </w:rPr>
                  <m:t>β</m:t>
                </m:r>
              </m:e>
            </m:acc>
          </m:e>
          <m:sub>
            <m:r>
              <w:rPr>
                <w:rFonts w:ascii="Cambria Math" w:hAnsi="Cambria Math"/>
                <w:szCs w:val="19"/>
              </w:rPr>
              <m:t>k</m:t>
            </m:r>
          </m:sub>
          <m:sup>
            <m:r>
              <w:rPr>
                <w:rFonts w:ascii="Cambria Math" w:hAnsi="Cambria Math"/>
                <w:szCs w:val="19"/>
              </w:rPr>
              <m:t>K</m:t>
            </m:r>
          </m:sup>
        </m:sSubSup>
      </m:oMath>
      <w:r w:rsidR="0065775C">
        <w:rPr>
          <w:szCs w:val="19"/>
        </w:rPr>
        <w:t xml:space="preserve"> </w:t>
      </w:r>
      <w:r w:rsidRPr="00B1135E">
        <w:t xml:space="preserve">measure the </w:t>
      </w:r>
      <w:r w:rsidR="004701A4">
        <w:t>financial</w:t>
      </w:r>
      <w:r w:rsidR="004701A4" w:rsidRPr="00B1135E">
        <w:t xml:space="preserve"> </w:t>
      </w:r>
      <w:r w:rsidRPr="00B1135E">
        <w:t xml:space="preserve">returns to the characteristics </w:t>
      </w:r>
      <w:r w:rsidR="007D0415" w:rsidRPr="00B1135E">
        <w:t xml:space="preserve">of female </w:t>
      </w:r>
      <w:r w:rsidR="00AC5F41" w:rsidRPr="00B1135E">
        <w:t>employees</w:t>
      </w:r>
      <w:r w:rsidR="007D0415" w:rsidRPr="00B1135E">
        <w:t>.</w:t>
      </w:r>
    </w:p>
    <w:p w:rsidR="005D1689" w:rsidRPr="00B1135E" w:rsidRDefault="005D1689" w:rsidP="00F219FD">
      <w:pPr>
        <w:pStyle w:val="Body"/>
      </w:pPr>
      <w:r w:rsidRPr="00B1135E">
        <w:t>Within the decomposition approach, it must be decided which earnings structure constitutes the non-discriminatory benchmark against which to</w:t>
      </w:r>
      <w:r w:rsidR="00CC7EBF" w:rsidRPr="00B1135E">
        <w:t xml:space="preserve"> decompose the difference</w:t>
      </w:r>
      <w:r w:rsidRPr="00B1135E">
        <w:t xml:space="preserve"> </w:t>
      </w:r>
      <m:oMath>
        <m:r>
          <w:rPr>
            <w:rFonts w:ascii="Cambria Math" w:hAnsi="Cambria Math"/>
          </w:rPr>
          <m:t>∆</m:t>
        </m:r>
      </m:oMath>
      <w:r w:rsidR="00CC7EBF" w:rsidRPr="00B1135E">
        <w:t xml:space="preserve"> </w:t>
      </w:r>
      <w:r w:rsidRPr="00B1135E">
        <w:t>between the means of log hou</w:t>
      </w:r>
      <w:r w:rsidR="008D54D7" w:rsidRPr="00B1135E">
        <w:t>rly earnings of men and women</w:t>
      </w:r>
      <w:r w:rsidR="00347E26">
        <w:t xml:space="preserve"> </w:t>
      </w:r>
      <w:r w:rsidR="00347E26" w:rsidRPr="00347E26">
        <w:t>(Bazen 2011)</w:t>
      </w:r>
      <w:r w:rsidR="001175A5" w:rsidRPr="00B1135E">
        <w:t>. It is assumed</w:t>
      </w:r>
      <w:r w:rsidRPr="00B1135E">
        <w:t xml:space="preserve">, in accordance with the definition </w:t>
      </w:r>
      <w:r w:rsidR="008D54D7" w:rsidRPr="00B1135E">
        <w:t>of the unadjusted GPG</w:t>
      </w:r>
      <w:r w:rsidRPr="00B1135E">
        <w:t>, that the male earnings structure constitutes this benchmark</w:t>
      </w:r>
      <w:r w:rsidRPr="000352C9">
        <w:rPr>
          <w:rStyle w:val="FootnoteReference"/>
        </w:rPr>
        <w:footnoteReference w:id="8"/>
      </w:r>
      <w:r w:rsidRPr="00B1135E">
        <w:t xml:space="preserve">. The </w:t>
      </w:r>
      <w:r w:rsidR="001175A5" w:rsidRPr="00B1135E">
        <w:t xml:space="preserve">estimated constant and </w:t>
      </w:r>
      <w:r w:rsidRPr="00B1135E">
        <w:t>coefficients in the men</w:t>
      </w:r>
      <w:r w:rsidR="00B1135E">
        <w:t>’</w:t>
      </w:r>
      <w:r w:rsidRPr="00B1135E">
        <w:t>s equation are treated as the no</w:t>
      </w:r>
      <w:r w:rsidR="004701A4">
        <w:t>n</w:t>
      </w:r>
      <w:r w:rsidRPr="00B1135E">
        <w:t xml:space="preserve">-discriminatory benchmarks for the </w:t>
      </w:r>
      <w:r w:rsidR="004701A4">
        <w:t>financial</w:t>
      </w:r>
      <w:r w:rsidR="004701A4" w:rsidRPr="00B1135E">
        <w:t xml:space="preserve"> </w:t>
      </w:r>
      <w:r w:rsidRPr="00B1135E">
        <w:t xml:space="preserve">returns to characteristics of employees. </w:t>
      </w:r>
      <w:r w:rsidR="007B68BA">
        <w:t>Because</w:t>
      </w:r>
      <w:r w:rsidRPr="00B1135E">
        <w:t xml:space="preserve"> of this, a </w:t>
      </w:r>
      <w:r w:rsidR="0092026C" w:rsidRPr="00B1135E">
        <w:t>‘</w:t>
      </w:r>
      <w:r w:rsidRPr="00B1135E">
        <w:t>counterfactual</w:t>
      </w:r>
      <w:r w:rsidR="0092026C" w:rsidRPr="00B1135E">
        <w:t>’</w:t>
      </w:r>
      <w:r w:rsidRPr="00B1135E">
        <w:t xml:space="preserve"> equation is constructed where the constant and coefficients in the women</w:t>
      </w:r>
      <w:r w:rsidR="00B1135E">
        <w:t>’</w:t>
      </w:r>
      <w:r w:rsidRPr="00B1135E">
        <w:t>s equation are replaced by those of the men</w:t>
      </w:r>
      <w:r w:rsidR="00B1135E">
        <w:t>’</w:t>
      </w:r>
      <w:r w:rsidRPr="00B1135E">
        <w:t>s equation:</w:t>
      </w:r>
    </w:p>
    <w:p w:rsidR="005D1689" w:rsidRPr="00B1135E" w:rsidRDefault="001F30FD" w:rsidP="00CC6DDE">
      <w:pPr>
        <w:pStyle w:val="Body"/>
        <w:rPr>
          <w:sz w:val="22"/>
          <w:szCs w:val="22"/>
        </w:rPr>
      </w:pPr>
      <m:oMathPara>
        <m:oMath>
          <m:sSup>
            <m:sSupPr>
              <m:ctrlPr>
                <w:rPr>
                  <w:rFonts w:ascii="Cambria Math" w:hAnsi="Cambria Math"/>
                  <w:i/>
                  <w:sz w:val="22"/>
                  <w:szCs w:val="22"/>
                </w:rPr>
              </m:ctrlPr>
            </m:sSupPr>
            <m:e>
              <m:acc>
                <m:accPr>
                  <m:chr m:val="̅"/>
                  <m:ctrlPr>
                    <w:rPr>
                      <w:rFonts w:ascii="Cambria Math" w:hAnsi="Cambria Math"/>
                      <w:i/>
                      <w:sz w:val="22"/>
                      <w:szCs w:val="22"/>
                    </w:rPr>
                  </m:ctrlPr>
                </m:accPr>
                <m:e>
                  <m:func>
                    <m:funcPr>
                      <m:ctrlPr>
                        <w:rPr>
                          <w:rFonts w:ascii="Cambria Math" w:hAnsi="Cambria Math"/>
                          <w:i/>
                          <w:sz w:val="22"/>
                          <w:szCs w:val="22"/>
                        </w:rPr>
                      </m:ctrlPr>
                    </m:funcPr>
                    <m:fName>
                      <m:r>
                        <m:rPr>
                          <m:sty m:val="p"/>
                        </m:rPr>
                        <w:rPr>
                          <w:rFonts w:ascii="Cambria Math" w:hAnsi="Cambria Math"/>
                          <w:sz w:val="22"/>
                          <w:szCs w:val="22"/>
                        </w:rPr>
                        <m:t>ln</m:t>
                      </m:r>
                    </m:fName>
                    <m:e>
                      <m:r>
                        <w:rPr>
                          <w:rFonts w:ascii="Cambria Math" w:hAnsi="Cambria Math"/>
                          <w:sz w:val="22"/>
                          <w:szCs w:val="22"/>
                        </w:rPr>
                        <m:t>y</m:t>
                      </m:r>
                    </m:e>
                  </m:func>
                </m:e>
              </m:acc>
            </m:e>
            <m:sup>
              <m:r>
                <w:rPr>
                  <w:rFonts w:ascii="Cambria Math" w:hAnsi="Cambria Math"/>
                  <w:sz w:val="22"/>
                  <w:szCs w:val="22"/>
                </w:rPr>
                <m:t>W*</m:t>
              </m:r>
            </m:sup>
          </m:sSup>
          <m:r>
            <w:rPr>
              <w:rFonts w:ascii="Cambria Math" w:hAnsi="Cambria Math"/>
              <w:sz w:val="22"/>
              <w:szCs w:val="22"/>
            </w:rPr>
            <m:t xml:space="preserve">= </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β</m:t>
                  </m:r>
                </m:e>
              </m:acc>
            </m:e>
            <m:sub>
              <m:r>
                <w:rPr>
                  <w:rFonts w:ascii="Cambria Math" w:hAnsi="Cambria Math"/>
                  <w:sz w:val="22"/>
                  <w:szCs w:val="22"/>
                </w:rPr>
                <m:t>0</m:t>
              </m:r>
            </m:sub>
            <m:sup>
              <m:r>
                <w:rPr>
                  <w:rFonts w:ascii="Cambria Math" w:hAnsi="Cambria Math"/>
                  <w:sz w:val="22"/>
                  <w:szCs w:val="22"/>
                </w:rPr>
                <m:t>M</m:t>
              </m:r>
            </m:sup>
          </m:sSubSup>
          <m:r>
            <w:rPr>
              <w:rFonts w:ascii="Cambria Math" w:hAnsi="Cambria Math"/>
              <w:sz w:val="22"/>
              <w:szCs w:val="22"/>
            </w:rPr>
            <m:t xml:space="preserve">+ </m:t>
          </m:r>
          <m:nary>
            <m:naryPr>
              <m:chr m:val="∑"/>
              <m:limLoc m:val="undOvr"/>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K</m:t>
              </m:r>
            </m:sup>
            <m:e>
              <m:sSubSup>
                <m:sSubSupPr>
                  <m:ctrlPr>
                    <w:rPr>
                      <w:rFonts w:ascii="Cambria Math" w:hAnsi="Cambria Math"/>
                      <w:i/>
                      <w:sz w:val="22"/>
                      <w:szCs w:val="22"/>
                    </w:rPr>
                  </m:ctrlPr>
                </m:sSubSupPr>
                <m:e>
                  <m:acc>
                    <m:accPr>
                      <m:chr m:val="̅"/>
                      <m:ctrlPr>
                        <w:rPr>
                          <w:rFonts w:ascii="Cambria Math" w:hAnsi="Cambria Math"/>
                          <w:i/>
                          <w:sz w:val="22"/>
                          <w:szCs w:val="22"/>
                        </w:rPr>
                      </m:ctrlPr>
                    </m:accPr>
                    <m:e>
                      <m:r>
                        <w:rPr>
                          <w:rFonts w:ascii="Cambria Math" w:hAnsi="Cambria Math"/>
                          <w:sz w:val="22"/>
                          <w:szCs w:val="22"/>
                        </w:rPr>
                        <m:t>x</m:t>
                      </m:r>
                    </m:e>
                  </m:acc>
                </m:e>
                <m:sub>
                  <m:r>
                    <w:rPr>
                      <w:rFonts w:ascii="Cambria Math" w:hAnsi="Cambria Math"/>
                      <w:sz w:val="22"/>
                      <w:szCs w:val="22"/>
                    </w:rPr>
                    <m:t>k</m:t>
                  </m:r>
                </m:sub>
                <m:sup>
                  <m:r>
                    <w:rPr>
                      <w:rFonts w:ascii="Cambria Math" w:hAnsi="Cambria Math"/>
                      <w:sz w:val="22"/>
                      <w:szCs w:val="22"/>
                    </w:rPr>
                    <m:t>W</m:t>
                  </m:r>
                </m:sup>
              </m:sSubSup>
            </m:e>
          </m:nary>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β</m:t>
                  </m:r>
                </m:e>
              </m:acc>
            </m:e>
            <m:sub>
              <m:r>
                <w:rPr>
                  <w:rFonts w:ascii="Cambria Math" w:hAnsi="Cambria Math"/>
                  <w:sz w:val="22"/>
                  <w:szCs w:val="22"/>
                </w:rPr>
                <m:t>k</m:t>
              </m:r>
            </m:sub>
            <m:sup>
              <m:r>
                <w:rPr>
                  <w:rFonts w:ascii="Cambria Math" w:hAnsi="Cambria Math"/>
                  <w:sz w:val="22"/>
                  <w:szCs w:val="22"/>
                </w:rPr>
                <m:t>M</m:t>
              </m:r>
            </m:sup>
          </m:sSubSup>
        </m:oMath>
      </m:oMathPara>
    </w:p>
    <w:p w:rsidR="005D1689" w:rsidRPr="00B1135E" w:rsidRDefault="005D1689" w:rsidP="00F219FD">
      <w:pPr>
        <w:pStyle w:val="Body"/>
      </w:pPr>
      <w:r w:rsidRPr="00B1135E">
        <w:t xml:space="preserve">This equation can be interpreted as what the average female worker would have earned if she had been paid on the same basis as an equivalent male worker. The difference between the means of log hourly </w:t>
      </w:r>
      <w:r w:rsidR="001F30FD">
        <w:t>earnings of men and women can then</w:t>
      </w:r>
      <w:r w:rsidRPr="00B1135E">
        <w:t xml:space="preserve"> be decomposed as follows:</w:t>
      </w:r>
    </w:p>
    <w:p w:rsidR="005D1689" w:rsidRPr="00B1135E" w:rsidRDefault="005D1689" w:rsidP="00CC6DDE">
      <w:pPr>
        <w:pStyle w:val="Body"/>
        <w:rPr>
          <w:sz w:val="24"/>
          <w:szCs w:val="24"/>
        </w:rPr>
      </w:pPr>
      <m:oMathPara>
        <m:oMath>
          <m:r>
            <w:rPr>
              <w:rFonts w:ascii="Cambria Math" w:hAnsi="Cambria Math"/>
              <w:sz w:val="22"/>
              <w:szCs w:val="22"/>
            </w:rPr>
            <m:t>∆ =E+U</m:t>
          </m:r>
        </m:oMath>
      </m:oMathPara>
    </w:p>
    <w:p w:rsidR="005D1689" w:rsidRPr="00B1135E" w:rsidRDefault="00EB63AA" w:rsidP="00CC6DDE">
      <w:pPr>
        <w:pStyle w:val="Body"/>
        <w:jc w:val="center"/>
      </w:pPr>
      <w:r w:rsidRPr="00B1135E">
        <w:t>w</w:t>
      </w:r>
      <w:r w:rsidR="005D1689" w:rsidRPr="00B1135E">
        <w:t>here</w:t>
      </w:r>
      <w:r w:rsidR="005A5840" w:rsidRPr="00B1135E">
        <w:t xml:space="preserve"> </w:t>
      </w:r>
      <w:r w:rsidR="005D1689" w:rsidRPr="00B1135E">
        <w:t xml:space="preserve"> </w:t>
      </w:r>
      <m:oMath>
        <m:r>
          <w:rPr>
            <w:rFonts w:ascii="Cambria Math" w:hAnsi="Cambria Math"/>
            <w:sz w:val="22"/>
            <w:szCs w:val="22"/>
          </w:rPr>
          <m:t xml:space="preserve">E= </m:t>
        </m:r>
        <m:sSup>
          <m:sSupPr>
            <m:ctrlPr>
              <w:rPr>
                <w:rFonts w:ascii="Cambria Math" w:hAnsi="Cambria Math"/>
                <w:i/>
                <w:sz w:val="22"/>
                <w:szCs w:val="22"/>
              </w:rPr>
            </m:ctrlPr>
          </m:sSupPr>
          <m:e>
            <m:acc>
              <m:accPr>
                <m:chr m:val="̅"/>
                <m:ctrlPr>
                  <w:rPr>
                    <w:rFonts w:ascii="Cambria Math" w:hAnsi="Cambria Math"/>
                    <w:i/>
                    <w:sz w:val="22"/>
                    <w:szCs w:val="22"/>
                  </w:rPr>
                </m:ctrlPr>
              </m:accPr>
              <m:e>
                <m:func>
                  <m:funcPr>
                    <m:ctrlPr>
                      <w:rPr>
                        <w:rFonts w:ascii="Cambria Math" w:hAnsi="Cambria Math"/>
                        <w:i/>
                        <w:sz w:val="22"/>
                        <w:szCs w:val="22"/>
                      </w:rPr>
                    </m:ctrlPr>
                  </m:funcPr>
                  <m:fName>
                    <m:r>
                      <m:rPr>
                        <m:sty m:val="p"/>
                      </m:rPr>
                      <w:rPr>
                        <w:rFonts w:ascii="Cambria Math" w:hAnsi="Cambria Math"/>
                        <w:sz w:val="22"/>
                        <w:szCs w:val="22"/>
                      </w:rPr>
                      <m:t>ln</m:t>
                    </m:r>
                  </m:fName>
                  <m:e>
                    <m:r>
                      <w:rPr>
                        <w:rFonts w:ascii="Cambria Math" w:hAnsi="Cambria Math"/>
                        <w:sz w:val="22"/>
                        <w:szCs w:val="22"/>
                      </w:rPr>
                      <m:t>y</m:t>
                    </m:r>
                  </m:e>
                </m:func>
              </m:e>
            </m:acc>
          </m:e>
          <m:sup>
            <m:r>
              <w:rPr>
                <w:rFonts w:ascii="Cambria Math" w:hAnsi="Cambria Math"/>
                <w:sz w:val="22"/>
                <w:szCs w:val="22"/>
              </w:rPr>
              <m:t>M</m:t>
            </m:r>
          </m:sup>
        </m:sSup>
        <m:r>
          <w:rPr>
            <w:rFonts w:ascii="Cambria Math" w:hAnsi="Cambria Math"/>
            <w:sz w:val="22"/>
            <w:szCs w:val="22"/>
          </w:rPr>
          <m:t xml:space="preserve">- </m:t>
        </m:r>
        <m:sSup>
          <m:sSupPr>
            <m:ctrlPr>
              <w:rPr>
                <w:rFonts w:ascii="Cambria Math" w:hAnsi="Cambria Math"/>
                <w:i/>
                <w:sz w:val="22"/>
                <w:szCs w:val="22"/>
              </w:rPr>
            </m:ctrlPr>
          </m:sSupPr>
          <m:e>
            <m:acc>
              <m:accPr>
                <m:chr m:val="̅"/>
                <m:ctrlPr>
                  <w:rPr>
                    <w:rFonts w:ascii="Cambria Math" w:hAnsi="Cambria Math"/>
                    <w:i/>
                    <w:sz w:val="22"/>
                    <w:szCs w:val="22"/>
                  </w:rPr>
                </m:ctrlPr>
              </m:accPr>
              <m:e>
                <m:func>
                  <m:funcPr>
                    <m:ctrlPr>
                      <w:rPr>
                        <w:rFonts w:ascii="Cambria Math" w:hAnsi="Cambria Math"/>
                        <w:i/>
                        <w:sz w:val="22"/>
                        <w:szCs w:val="22"/>
                      </w:rPr>
                    </m:ctrlPr>
                  </m:funcPr>
                  <m:fName>
                    <m:r>
                      <m:rPr>
                        <m:sty m:val="p"/>
                      </m:rPr>
                      <w:rPr>
                        <w:rFonts w:ascii="Cambria Math" w:hAnsi="Cambria Math"/>
                        <w:sz w:val="22"/>
                        <w:szCs w:val="22"/>
                      </w:rPr>
                      <m:t>ln</m:t>
                    </m:r>
                  </m:fName>
                  <m:e>
                    <m:r>
                      <w:rPr>
                        <w:rFonts w:ascii="Cambria Math" w:hAnsi="Cambria Math"/>
                        <w:sz w:val="22"/>
                        <w:szCs w:val="22"/>
                      </w:rPr>
                      <m:t>y</m:t>
                    </m:r>
                  </m:e>
                </m:func>
              </m:e>
            </m:acc>
          </m:e>
          <m:sup>
            <m:r>
              <w:rPr>
                <w:rFonts w:ascii="Cambria Math" w:hAnsi="Cambria Math"/>
                <w:sz w:val="22"/>
                <w:szCs w:val="22"/>
              </w:rPr>
              <m:t>W*</m:t>
            </m:r>
          </m:sup>
        </m:sSup>
      </m:oMath>
      <w:r w:rsidR="005A5840" w:rsidRPr="00B1135E">
        <w:rPr>
          <w:sz w:val="22"/>
          <w:szCs w:val="22"/>
        </w:rPr>
        <w:t xml:space="preserve"> </w:t>
      </w:r>
      <w:r w:rsidR="005D1689" w:rsidRPr="00B1135E">
        <w:t xml:space="preserve"> </w:t>
      </w:r>
      <w:r w:rsidR="005A5840" w:rsidRPr="00B1135E">
        <w:t xml:space="preserve">and </w:t>
      </w:r>
      <w:r w:rsidR="005D1689" w:rsidRPr="00B1135E">
        <w:t xml:space="preserve"> </w:t>
      </w:r>
      <m:oMath>
        <m:r>
          <w:rPr>
            <w:rFonts w:ascii="Cambria Math" w:hAnsi="Cambria Math"/>
            <w:sz w:val="22"/>
            <w:szCs w:val="22"/>
          </w:rPr>
          <m:t>U=</m:t>
        </m:r>
        <m:sSup>
          <m:sSupPr>
            <m:ctrlPr>
              <w:rPr>
                <w:rFonts w:ascii="Cambria Math" w:hAnsi="Cambria Math"/>
                <w:i/>
                <w:sz w:val="22"/>
                <w:szCs w:val="22"/>
              </w:rPr>
            </m:ctrlPr>
          </m:sSupPr>
          <m:e>
            <m:acc>
              <m:accPr>
                <m:chr m:val="̅"/>
                <m:ctrlPr>
                  <w:rPr>
                    <w:rFonts w:ascii="Cambria Math" w:hAnsi="Cambria Math"/>
                    <w:i/>
                    <w:sz w:val="22"/>
                    <w:szCs w:val="22"/>
                  </w:rPr>
                </m:ctrlPr>
              </m:accPr>
              <m:e>
                <m:func>
                  <m:funcPr>
                    <m:ctrlPr>
                      <w:rPr>
                        <w:rFonts w:ascii="Cambria Math" w:hAnsi="Cambria Math"/>
                        <w:i/>
                        <w:sz w:val="22"/>
                        <w:szCs w:val="22"/>
                      </w:rPr>
                    </m:ctrlPr>
                  </m:funcPr>
                  <m:fName>
                    <m:r>
                      <m:rPr>
                        <m:sty m:val="p"/>
                      </m:rPr>
                      <w:rPr>
                        <w:rFonts w:ascii="Cambria Math" w:hAnsi="Cambria Math"/>
                        <w:sz w:val="22"/>
                        <w:szCs w:val="22"/>
                      </w:rPr>
                      <m:t>ln</m:t>
                    </m:r>
                  </m:fName>
                  <m:e>
                    <m:r>
                      <w:rPr>
                        <w:rFonts w:ascii="Cambria Math" w:hAnsi="Cambria Math"/>
                        <w:sz w:val="22"/>
                        <w:szCs w:val="22"/>
                      </w:rPr>
                      <m:t>y</m:t>
                    </m:r>
                  </m:e>
                </m:func>
              </m:e>
            </m:acc>
          </m:e>
          <m:sup>
            <m:r>
              <w:rPr>
                <w:rFonts w:ascii="Cambria Math" w:hAnsi="Cambria Math"/>
                <w:sz w:val="22"/>
                <w:szCs w:val="22"/>
              </w:rPr>
              <m:t>W*</m:t>
            </m:r>
          </m:sup>
        </m:sSup>
        <m:r>
          <w:rPr>
            <w:rFonts w:ascii="Cambria Math" w:hAnsi="Cambria Math"/>
            <w:sz w:val="22"/>
            <w:szCs w:val="22"/>
          </w:rPr>
          <m:t xml:space="preserve">- </m:t>
        </m:r>
        <m:sSup>
          <m:sSupPr>
            <m:ctrlPr>
              <w:rPr>
                <w:rFonts w:ascii="Cambria Math" w:hAnsi="Cambria Math"/>
                <w:i/>
                <w:sz w:val="22"/>
                <w:szCs w:val="22"/>
              </w:rPr>
            </m:ctrlPr>
          </m:sSupPr>
          <m:e>
            <m:acc>
              <m:accPr>
                <m:chr m:val="̅"/>
                <m:ctrlPr>
                  <w:rPr>
                    <w:rFonts w:ascii="Cambria Math" w:hAnsi="Cambria Math"/>
                    <w:i/>
                    <w:sz w:val="22"/>
                    <w:szCs w:val="22"/>
                  </w:rPr>
                </m:ctrlPr>
              </m:accPr>
              <m:e>
                <m:func>
                  <m:funcPr>
                    <m:ctrlPr>
                      <w:rPr>
                        <w:rFonts w:ascii="Cambria Math" w:hAnsi="Cambria Math"/>
                        <w:i/>
                        <w:sz w:val="22"/>
                        <w:szCs w:val="22"/>
                      </w:rPr>
                    </m:ctrlPr>
                  </m:funcPr>
                  <m:fName>
                    <m:r>
                      <m:rPr>
                        <m:sty m:val="p"/>
                      </m:rPr>
                      <w:rPr>
                        <w:rFonts w:ascii="Cambria Math" w:hAnsi="Cambria Math"/>
                        <w:sz w:val="22"/>
                        <w:szCs w:val="22"/>
                      </w:rPr>
                      <m:t>ln</m:t>
                    </m:r>
                  </m:fName>
                  <m:e>
                    <m:r>
                      <w:rPr>
                        <w:rFonts w:ascii="Cambria Math" w:hAnsi="Cambria Math"/>
                        <w:sz w:val="22"/>
                        <w:szCs w:val="22"/>
                      </w:rPr>
                      <m:t>y</m:t>
                    </m:r>
                  </m:e>
                </m:func>
              </m:e>
            </m:acc>
          </m:e>
          <m:sup>
            <m:r>
              <w:rPr>
                <w:rFonts w:ascii="Cambria Math" w:hAnsi="Cambria Math"/>
                <w:sz w:val="22"/>
                <w:szCs w:val="22"/>
              </w:rPr>
              <m:t>W</m:t>
            </m:r>
          </m:sup>
        </m:sSup>
      </m:oMath>
    </w:p>
    <w:p w:rsidR="005D1689" w:rsidRPr="00B1135E" w:rsidRDefault="005D1689" w:rsidP="00CC6DDE">
      <w:pPr>
        <w:pStyle w:val="Body"/>
      </w:pPr>
    </w:p>
    <w:p w:rsidR="005D1689" w:rsidRPr="00B1135E" w:rsidRDefault="0033382D" w:rsidP="00CC6DDE">
      <w:pPr>
        <w:pStyle w:val="Body"/>
      </w:pPr>
      <w:r w:rsidRPr="00B1135E">
        <w:t>The first</w:t>
      </w:r>
      <w:r w:rsidR="005D1689" w:rsidRPr="00B1135E">
        <w:t xml:space="preserve"> part of the equation, which is marked as </w:t>
      </w:r>
      <w:r w:rsidR="005D1689" w:rsidRPr="00B1135E">
        <w:rPr>
          <w:i/>
        </w:rPr>
        <w:t>E</w:t>
      </w:r>
      <w:r w:rsidR="005D1689" w:rsidRPr="00B1135E">
        <w:t xml:space="preserve">, is the difference between the actual mean of the log hourly earnings of men and the </w:t>
      </w:r>
      <w:r w:rsidR="00756CDA" w:rsidRPr="00B1135E">
        <w:t>‘</w:t>
      </w:r>
      <w:r w:rsidR="005D1689" w:rsidRPr="00B1135E">
        <w:t>counterfactual</w:t>
      </w:r>
      <w:r w:rsidR="00756CDA" w:rsidRPr="00B1135E">
        <w:t>’</w:t>
      </w:r>
      <w:r w:rsidR="005D1689" w:rsidRPr="00B1135E">
        <w:t xml:space="preserve"> mean of the log hourly earnings of women. </w:t>
      </w:r>
      <w:r w:rsidR="001F30FD">
        <w:t>T</w:t>
      </w:r>
      <w:r w:rsidR="005063F9">
        <w:t>his difference</w:t>
      </w:r>
      <w:r w:rsidR="005A5840" w:rsidRPr="00B1135E">
        <w:t xml:space="preserve">, </w:t>
      </w:r>
      <m:oMath>
        <m:sSup>
          <m:sSupPr>
            <m:ctrlPr>
              <w:rPr>
                <w:rFonts w:ascii="Cambria Math" w:hAnsi="Cambria Math"/>
                <w:i/>
              </w:rPr>
            </m:ctrlPr>
          </m:sSupPr>
          <m:e>
            <m:acc>
              <m:accPr>
                <m:chr m:val="̅"/>
                <m:ctrlPr>
                  <w:rPr>
                    <w:rFonts w:ascii="Cambria Math" w:hAnsi="Cambria Math"/>
                    <w:i/>
                  </w:rPr>
                </m:ctrlPr>
              </m:accPr>
              <m:e>
                <m:func>
                  <m:funcPr>
                    <m:ctrlPr>
                      <w:rPr>
                        <w:rFonts w:ascii="Cambria Math" w:hAnsi="Cambria Math"/>
                        <w:i/>
                      </w:rPr>
                    </m:ctrlPr>
                  </m:funcPr>
                  <m:fName>
                    <m:r>
                      <m:rPr>
                        <m:sty m:val="p"/>
                      </m:rPr>
                      <w:rPr>
                        <w:rFonts w:ascii="Cambria Math" w:hAnsi="Cambria Math"/>
                      </w:rPr>
                      <m:t>ln</m:t>
                    </m:r>
                  </m:fName>
                  <m:e>
                    <m:r>
                      <w:rPr>
                        <w:rFonts w:ascii="Cambria Math" w:hAnsi="Cambria Math"/>
                      </w:rPr>
                      <m:t>y</m:t>
                    </m:r>
                  </m:e>
                </m:func>
              </m:e>
            </m:acc>
          </m:e>
          <m:sup>
            <m:r>
              <w:rPr>
                <w:rFonts w:ascii="Cambria Math" w:hAnsi="Cambria Math"/>
              </w:rPr>
              <m:t>M</m:t>
            </m:r>
          </m:sup>
        </m:sSup>
        <m:r>
          <w:rPr>
            <w:rFonts w:ascii="Cambria Math" w:hAnsi="Cambria Math"/>
          </w:rPr>
          <m:t xml:space="preserve">- </m:t>
        </m:r>
        <m:sSup>
          <m:sSupPr>
            <m:ctrlPr>
              <w:rPr>
                <w:rFonts w:ascii="Cambria Math" w:hAnsi="Cambria Math"/>
                <w:i/>
              </w:rPr>
            </m:ctrlPr>
          </m:sSupPr>
          <m:e>
            <m:acc>
              <m:accPr>
                <m:chr m:val="̅"/>
                <m:ctrlPr>
                  <w:rPr>
                    <w:rFonts w:ascii="Cambria Math" w:hAnsi="Cambria Math"/>
                    <w:i/>
                  </w:rPr>
                </m:ctrlPr>
              </m:accPr>
              <m:e>
                <m:func>
                  <m:funcPr>
                    <m:ctrlPr>
                      <w:rPr>
                        <w:rFonts w:ascii="Cambria Math" w:hAnsi="Cambria Math"/>
                        <w:i/>
                      </w:rPr>
                    </m:ctrlPr>
                  </m:funcPr>
                  <m:fName>
                    <m:r>
                      <m:rPr>
                        <m:sty m:val="p"/>
                      </m:rPr>
                      <w:rPr>
                        <w:rFonts w:ascii="Cambria Math" w:hAnsi="Cambria Math"/>
                      </w:rPr>
                      <m:t>ln</m:t>
                    </m:r>
                  </m:fName>
                  <m:e>
                    <m:r>
                      <w:rPr>
                        <w:rFonts w:ascii="Cambria Math" w:hAnsi="Cambria Math"/>
                      </w:rPr>
                      <m:t>y</m:t>
                    </m:r>
                  </m:e>
                </m:func>
              </m:e>
            </m:acc>
          </m:e>
          <m:sup>
            <m:r>
              <w:rPr>
                <w:rFonts w:ascii="Cambria Math" w:hAnsi="Cambria Math"/>
              </w:rPr>
              <m:t>W*</m:t>
            </m:r>
          </m:sup>
        </m:sSup>
      </m:oMath>
      <w:r w:rsidR="005A5840" w:rsidRPr="00B1135E">
        <w:t xml:space="preserve">, </w:t>
      </w:r>
      <w:r w:rsidR="005D1689" w:rsidRPr="00B1135E">
        <w:t>can be expressed as:</w:t>
      </w:r>
    </w:p>
    <w:p w:rsidR="005D1689" w:rsidRPr="00B1135E" w:rsidRDefault="005D1689" w:rsidP="00CC6DDE">
      <w:pPr>
        <w:pStyle w:val="Body"/>
      </w:pPr>
      <m:oMathPara>
        <m:oMath>
          <m:r>
            <w:rPr>
              <w:rFonts w:ascii="Cambria Math" w:hAnsi="Cambria Math"/>
              <w:sz w:val="22"/>
              <w:szCs w:val="22"/>
            </w:rPr>
            <m:t xml:space="preserve">E= </m:t>
          </m:r>
          <m:nary>
            <m:naryPr>
              <m:chr m:val="∑"/>
              <m:limLoc m:val="undOvr"/>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K</m:t>
              </m:r>
            </m:sup>
            <m:e>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β</m:t>
                      </m:r>
                    </m:e>
                  </m:acc>
                </m:e>
                <m:sub>
                  <m:r>
                    <w:rPr>
                      <w:rFonts w:ascii="Cambria Math" w:hAnsi="Cambria Math"/>
                      <w:sz w:val="22"/>
                      <w:szCs w:val="22"/>
                    </w:rPr>
                    <m:t>k</m:t>
                  </m:r>
                </m:sub>
                <m:sup>
                  <m:r>
                    <w:rPr>
                      <w:rFonts w:ascii="Cambria Math" w:hAnsi="Cambria Math"/>
                      <w:sz w:val="22"/>
                      <w:szCs w:val="22"/>
                    </w:rPr>
                    <m:t>M</m:t>
                  </m:r>
                </m:sup>
              </m:sSubSup>
            </m:e>
          </m:nary>
          <m:r>
            <w:rPr>
              <w:rFonts w:ascii="Cambria Math" w:hAnsi="Cambria Math"/>
              <w:sz w:val="22"/>
              <w:szCs w:val="22"/>
            </w:rPr>
            <m:t>(</m:t>
          </m:r>
          <m:sSubSup>
            <m:sSubSupPr>
              <m:ctrlPr>
                <w:rPr>
                  <w:rFonts w:ascii="Cambria Math" w:hAnsi="Cambria Math"/>
                  <w:i/>
                  <w:sz w:val="22"/>
                  <w:szCs w:val="22"/>
                </w:rPr>
              </m:ctrlPr>
            </m:sSubSupPr>
            <m:e>
              <m:acc>
                <m:accPr>
                  <m:chr m:val="̅"/>
                  <m:ctrlPr>
                    <w:rPr>
                      <w:rFonts w:ascii="Cambria Math" w:hAnsi="Cambria Math"/>
                      <w:i/>
                      <w:sz w:val="22"/>
                      <w:szCs w:val="22"/>
                    </w:rPr>
                  </m:ctrlPr>
                </m:accPr>
                <m:e>
                  <m:r>
                    <w:rPr>
                      <w:rFonts w:ascii="Cambria Math" w:hAnsi="Cambria Math"/>
                      <w:sz w:val="22"/>
                      <w:szCs w:val="22"/>
                    </w:rPr>
                    <m:t>x</m:t>
                  </m:r>
                </m:e>
              </m:acc>
            </m:e>
            <m:sub>
              <m:r>
                <w:rPr>
                  <w:rFonts w:ascii="Cambria Math" w:hAnsi="Cambria Math"/>
                  <w:sz w:val="22"/>
                  <w:szCs w:val="22"/>
                </w:rPr>
                <m:t>k</m:t>
              </m:r>
            </m:sub>
            <m:sup>
              <m:r>
                <w:rPr>
                  <w:rFonts w:ascii="Cambria Math" w:hAnsi="Cambria Math"/>
                  <w:sz w:val="22"/>
                  <w:szCs w:val="22"/>
                </w:rPr>
                <m:t>M</m:t>
              </m:r>
            </m:sup>
          </m:sSubSup>
          <m:r>
            <w:rPr>
              <w:rFonts w:ascii="Cambria Math" w:hAnsi="Cambria Math"/>
              <w:sz w:val="22"/>
              <w:szCs w:val="22"/>
            </w:rPr>
            <m:t xml:space="preserve">- </m:t>
          </m:r>
          <m:sSubSup>
            <m:sSubSupPr>
              <m:ctrlPr>
                <w:rPr>
                  <w:rFonts w:ascii="Cambria Math" w:hAnsi="Cambria Math"/>
                  <w:i/>
                  <w:sz w:val="22"/>
                  <w:szCs w:val="22"/>
                </w:rPr>
              </m:ctrlPr>
            </m:sSubSupPr>
            <m:e>
              <m:acc>
                <m:accPr>
                  <m:chr m:val="̅"/>
                  <m:ctrlPr>
                    <w:rPr>
                      <w:rFonts w:ascii="Cambria Math" w:hAnsi="Cambria Math"/>
                      <w:i/>
                      <w:sz w:val="22"/>
                      <w:szCs w:val="22"/>
                    </w:rPr>
                  </m:ctrlPr>
                </m:accPr>
                <m:e>
                  <m:r>
                    <w:rPr>
                      <w:rFonts w:ascii="Cambria Math" w:hAnsi="Cambria Math"/>
                      <w:sz w:val="22"/>
                      <w:szCs w:val="22"/>
                    </w:rPr>
                    <m:t>x</m:t>
                  </m:r>
                </m:e>
              </m:acc>
            </m:e>
            <m:sub>
              <m:r>
                <w:rPr>
                  <w:rFonts w:ascii="Cambria Math" w:hAnsi="Cambria Math"/>
                  <w:sz w:val="22"/>
                  <w:szCs w:val="22"/>
                </w:rPr>
                <m:t>k</m:t>
              </m:r>
            </m:sub>
            <m:sup>
              <m:r>
                <w:rPr>
                  <w:rFonts w:ascii="Cambria Math" w:hAnsi="Cambria Math"/>
                  <w:sz w:val="22"/>
                  <w:szCs w:val="22"/>
                </w:rPr>
                <m:t>W</m:t>
              </m:r>
            </m:sup>
          </m:sSubSup>
          <m:r>
            <w:rPr>
              <w:rFonts w:ascii="Cambria Math" w:hAnsi="Cambria Math"/>
              <w:sz w:val="22"/>
              <w:szCs w:val="22"/>
            </w:rPr>
            <m:t>)</m:t>
          </m:r>
        </m:oMath>
      </m:oMathPara>
    </w:p>
    <w:p w:rsidR="001175A5" w:rsidRPr="00B1135E" w:rsidRDefault="005D1689" w:rsidP="00CC6DDE">
      <w:pPr>
        <w:pStyle w:val="Body"/>
      </w:pPr>
      <w:r w:rsidRPr="00B1135E">
        <w:t>It measures th</w:t>
      </w:r>
      <w:r w:rsidR="001A717D" w:rsidRPr="00B1135E">
        <w:t xml:space="preserve">e part of Δ </w:t>
      </w:r>
      <w:r w:rsidR="008F5921">
        <w:t>that</w:t>
      </w:r>
      <w:r w:rsidR="008F5921" w:rsidRPr="00B1135E">
        <w:t xml:space="preserve"> </w:t>
      </w:r>
      <w:r w:rsidR="001A717D" w:rsidRPr="00B1135E">
        <w:t xml:space="preserve">is due to </w:t>
      </w:r>
      <w:r w:rsidRPr="00B1135E">
        <w:t xml:space="preserve">differences in </w:t>
      </w:r>
      <w:r w:rsidR="001A717D" w:rsidRPr="00B1135E">
        <w:t xml:space="preserve">the </w:t>
      </w:r>
      <w:r w:rsidRPr="00B1135E">
        <w:t>average characteristics of men and women weighted by the male coe</w:t>
      </w:r>
      <w:r w:rsidR="00CF6211" w:rsidRPr="00B1135E">
        <w:t>fficients. This represents the ‘explained’</w:t>
      </w:r>
      <w:r w:rsidRPr="00B1135E">
        <w:t xml:space="preserve"> part (</w:t>
      </w:r>
      <w:r w:rsidRPr="00B1135E">
        <w:rPr>
          <w:i/>
        </w:rPr>
        <w:t>E</w:t>
      </w:r>
      <w:r w:rsidRPr="00B1135E">
        <w:t xml:space="preserve">) of the difference in earnings between men and </w:t>
      </w:r>
      <w:r w:rsidR="00CF6211" w:rsidRPr="00B1135E">
        <w:t>women (Δ).</w:t>
      </w:r>
    </w:p>
    <w:p w:rsidR="005A5840" w:rsidRPr="00B1135E" w:rsidRDefault="0033382D" w:rsidP="005A5840">
      <w:pPr>
        <w:pStyle w:val="Body"/>
      </w:pPr>
      <w:r w:rsidRPr="00B1135E">
        <w:t>The second</w:t>
      </w:r>
      <w:r w:rsidR="005A5840" w:rsidRPr="00B1135E">
        <w:t xml:space="preserve"> part of the equation, which is marked as </w:t>
      </w:r>
      <w:r w:rsidR="005A5840" w:rsidRPr="00B1135E">
        <w:rPr>
          <w:i/>
        </w:rPr>
        <w:t>U</w:t>
      </w:r>
      <w:r w:rsidR="005A5840" w:rsidRPr="00B1135E">
        <w:t>, is the difference between the ‘counterfactual’ and actual means of log hourly earnings</w:t>
      </w:r>
      <w:r w:rsidR="001F30FD">
        <w:t xml:space="preserve"> of women. T</w:t>
      </w:r>
      <w:r w:rsidR="005063F9">
        <w:t>his difference</w:t>
      </w:r>
      <w:r w:rsidR="005A5840" w:rsidRPr="00B1135E">
        <w:t>,</w:t>
      </w:r>
      <w:r w:rsidRPr="00B1135E">
        <w:br/>
      </w:r>
      <w:r w:rsidR="005A5840" w:rsidRPr="00B1135E">
        <w:lastRenderedPageBreak/>
        <w:t xml:space="preserve"> </w:t>
      </w:r>
      <m:oMath>
        <m:sSup>
          <m:sSupPr>
            <m:ctrlPr>
              <w:rPr>
                <w:rFonts w:ascii="Cambria Math" w:hAnsi="Cambria Math"/>
                <w:i/>
              </w:rPr>
            </m:ctrlPr>
          </m:sSupPr>
          <m:e>
            <m:acc>
              <m:accPr>
                <m:chr m:val="̅"/>
                <m:ctrlPr>
                  <w:rPr>
                    <w:rFonts w:ascii="Cambria Math" w:hAnsi="Cambria Math"/>
                    <w:i/>
                  </w:rPr>
                </m:ctrlPr>
              </m:accPr>
              <m:e>
                <m:func>
                  <m:funcPr>
                    <m:ctrlPr>
                      <w:rPr>
                        <w:rFonts w:ascii="Cambria Math" w:hAnsi="Cambria Math"/>
                        <w:i/>
                      </w:rPr>
                    </m:ctrlPr>
                  </m:funcPr>
                  <m:fName>
                    <m:r>
                      <m:rPr>
                        <m:sty m:val="p"/>
                      </m:rPr>
                      <w:rPr>
                        <w:rFonts w:ascii="Cambria Math" w:hAnsi="Cambria Math"/>
                      </w:rPr>
                      <m:t>ln</m:t>
                    </m:r>
                  </m:fName>
                  <m:e>
                    <m:r>
                      <w:rPr>
                        <w:rFonts w:ascii="Cambria Math" w:hAnsi="Cambria Math"/>
                      </w:rPr>
                      <m:t>y</m:t>
                    </m:r>
                  </m:e>
                </m:func>
              </m:e>
            </m:acc>
          </m:e>
          <m:sup>
            <m:r>
              <w:rPr>
                <w:rFonts w:ascii="Cambria Math" w:hAnsi="Cambria Math"/>
              </w:rPr>
              <m:t>W*</m:t>
            </m:r>
          </m:sup>
        </m:sSup>
        <m:r>
          <w:rPr>
            <w:rFonts w:ascii="Cambria Math" w:hAnsi="Cambria Math"/>
          </w:rPr>
          <m:t xml:space="preserve">- </m:t>
        </m:r>
        <m:sSup>
          <m:sSupPr>
            <m:ctrlPr>
              <w:rPr>
                <w:rFonts w:ascii="Cambria Math" w:hAnsi="Cambria Math"/>
                <w:i/>
              </w:rPr>
            </m:ctrlPr>
          </m:sSupPr>
          <m:e>
            <m:acc>
              <m:accPr>
                <m:chr m:val="̅"/>
                <m:ctrlPr>
                  <w:rPr>
                    <w:rFonts w:ascii="Cambria Math" w:hAnsi="Cambria Math"/>
                    <w:i/>
                  </w:rPr>
                </m:ctrlPr>
              </m:accPr>
              <m:e>
                <m:func>
                  <m:funcPr>
                    <m:ctrlPr>
                      <w:rPr>
                        <w:rFonts w:ascii="Cambria Math" w:hAnsi="Cambria Math"/>
                        <w:i/>
                      </w:rPr>
                    </m:ctrlPr>
                  </m:funcPr>
                  <m:fName>
                    <m:r>
                      <m:rPr>
                        <m:sty m:val="p"/>
                      </m:rPr>
                      <w:rPr>
                        <w:rFonts w:ascii="Cambria Math" w:hAnsi="Cambria Math"/>
                      </w:rPr>
                      <m:t>ln</m:t>
                    </m:r>
                  </m:fName>
                  <m:e>
                    <m:r>
                      <w:rPr>
                        <w:rFonts w:ascii="Cambria Math" w:hAnsi="Cambria Math"/>
                      </w:rPr>
                      <m:t>y</m:t>
                    </m:r>
                  </m:e>
                </m:func>
              </m:e>
            </m:acc>
          </m:e>
          <m:sup>
            <m:r>
              <w:rPr>
                <w:rFonts w:ascii="Cambria Math" w:hAnsi="Cambria Math"/>
              </w:rPr>
              <m:t>W</m:t>
            </m:r>
          </m:sup>
        </m:sSup>
      </m:oMath>
      <w:r w:rsidR="005A5840" w:rsidRPr="00B1135E">
        <w:t>, can be expressed as:</w:t>
      </w:r>
    </w:p>
    <w:p w:rsidR="005A5840" w:rsidRPr="00B1135E" w:rsidRDefault="005A5840" w:rsidP="005A5840">
      <w:pPr>
        <w:pStyle w:val="Body"/>
        <w:rPr>
          <w:sz w:val="24"/>
          <w:szCs w:val="24"/>
        </w:rPr>
      </w:pPr>
      <m:oMathPara>
        <m:oMath>
          <m:r>
            <w:rPr>
              <w:rFonts w:ascii="Cambria Math" w:hAnsi="Cambria Math"/>
              <w:sz w:val="22"/>
              <w:szCs w:val="22"/>
            </w:rPr>
            <m:t xml:space="preserve">U= </m:t>
          </m:r>
          <m:d>
            <m:dPr>
              <m:ctrlPr>
                <w:rPr>
                  <w:rFonts w:ascii="Cambria Math" w:hAnsi="Cambria Math"/>
                  <w:i/>
                  <w:sz w:val="22"/>
                  <w:szCs w:val="22"/>
                </w:rPr>
              </m:ctrlPr>
            </m:dPr>
            <m:e>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β</m:t>
                      </m:r>
                    </m:e>
                  </m:acc>
                </m:e>
                <m:sub>
                  <m:r>
                    <w:rPr>
                      <w:rFonts w:ascii="Cambria Math" w:hAnsi="Cambria Math"/>
                      <w:sz w:val="22"/>
                      <w:szCs w:val="22"/>
                    </w:rPr>
                    <m:t>0</m:t>
                  </m:r>
                </m:sub>
                <m:sup>
                  <m:r>
                    <w:rPr>
                      <w:rFonts w:ascii="Cambria Math" w:hAnsi="Cambria Math"/>
                      <w:sz w:val="22"/>
                      <w:szCs w:val="22"/>
                    </w:rPr>
                    <m:t>M</m:t>
                  </m:r>
                </m:sup>
              </m:sSubSup>
              <m:r>
                <w:rPr>
                  <w:rFonts w:ascii="Cambria Math" w:hAnsi="Cambria Math"/>
                  <w:sz w:val="22"/>
                  <w:szCs w:val="22"/>
                </w:rPr>
                <m:t xml:space="preserve">- </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β</m:t>
                      </m:r>
                    </m:e>
                  </m:acc>
                </m:e>
                <m:sub>
                  <m:r>
                    <w:rPr>
                      <w:rFonts w:ascii="Cambria Math" w:hAnsi="Cambria Math"/>
                      <w:sz w:val="22"/>
                      <w:szCs w:val="22"/>
                    </w:rPr>
                    <m:t>0</m:t>
                  </m:r>
                </m:sub>
                <m:sup>
                  <m:r>
                    <w:rPr>
                      <w:rFonts w:ascii="Cambria Math" w:hAnsi="Cambria Math"/>
                      <w:sz w:val="22"/>
                      <w:szCs w:val="22"/>
                    </w:rPr>
                    <m:t>W</m:t>
                  </m:r>
                </m:sup>
              </m:sSubSup>
            </m:e>
          </m:d>
          <m:r>
            <w:rPr>
              <w:rFonts w:ascii="Cambria Math" w:hAnsi="Cambria Math"/>
              <w:sz w:val="22"/>
              <w:szCs w:val="22"/>
            </w:rPr>
            <m:t xml:space="preserve">+ </m:t>
          </m:r>
          <m:nary>
            <m:naryPr>
              <m:chr m:val="∑"/>
              <m:limLoc m:val="undOvr"/>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K</m:t>
              </m:r>
            </m:sup>
            <m:e>
              <m:sSubSup>
                <m:sSubSupPr>
                  <m:ctrlPr>
                    <w:rPr>
                      <w:rFonts w:ascii="Cambria Math" w:hAnsi="Cambria Math"/>
                      <w:i/>
                      <w:sz w:val="22"/>
                      <w:szCs w:val="22"/>
                    </w:rPr>
                  </m:ctrlPr>
                </m:sSubSupPr>
                <m:e>
                  <m:acc>
                    <m:accPr>
                      <m:chr m:val="̅"/>
                      <m:ctrlPr>
                        <w:rPr>
                          <w:rFonts w:ascii="Cambria Math" w:hAnsi="Cambria Math"/>
                          <w:i/>
                          <w:sz w:val="22"/>
                          <w:szCs w:val="22"/>
                        </w:rPr>
                      </m:ctrlPr>
                    </m:accPr>
                    <m:e>
                      <m:r>
                        <w:rPr>
                          <w:rFonts w:ascii="Cambria Math" w:hAnsi="Cambria Math"/>
                          <w:sz w:val="22"/>
                          <w:szCs w:val="22"/>
                        </w:rPr>
                        <m:t>x</m:t>
                      </m:r>
                    </m:e>
                  </m:acc>
                </m:e>
                <m:sub>
                  <m:r>
                    <w:rPr>
                      <w:rFonts w:ascii="Cambria Math" w:hAnsi="Cambria Math"/>
                      <w:sz w:val="22"/>
                      <w:szCs w:val="22"/>
                    </w:rPr>
                    <m:t>k</m:t>
                  </m:r>
                </m:sub>
                <m:sup>
                  <m:r>
                    <w:rPr>
                      <w:rFonts w:ascii="Cambria Math" w:hAnsi="Cambria Math"/>
                      <w:sz w:val="22"/>
                      <w:szCs w:val="22"/>
                    </w:rPr>
                    <m:t>W</m:t>
                  </m:r>
                </m:sup>
              </m:sSubSup>
            </m:e>
          </m:nary>
          <m:d>
            <m:dPr>
              <m:ctrlPr>
                <w:rPr>
                  <w:rFonts w:ascii="Cambria Math" w:hAnsi="Cambria Math"/>
                  <w:i/>
                  <w:sz w:val="22"/>
                  <w:szCs w:val="22"/>
                </w:rPr>
              </m:ctrlPr>
            </m:dPr>
            <m:e>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β</m:t>
                      </m:r>
                    </m:e>
                  </m:acc>
                </m:e>
                <m:sub>
                  <m:r>
                    <w:rPr>
                      <w:rFonts w:ascii="Cambria Math" w:hAnsi="Cambria Math"/>
                      <w:sz w:val="22"/>
                      <w:szCs w:val="22"/>
                    </w:rPr>
                    <m:t>k</m:t>
                  </m:r>
                </m:sub>
                <m:sup>
                  <m:r>
                    <w:rPr>
                      <w:rFonts w:ascii="Cambria Math" w:hAnsi="Cambria Math"/>
                      <w:sz w:val="22"/>
                      <w:szCs w:val="22"/>
                    </w:rPr>
                    <m:t>M</m:t>
                  </m:r>
                </m:sup>
              </m:sSubSup>
              <m:r>
                <w:rPr>
                  <w:rFonts w:ascii="Cambria Math" w:hAnsi="Cambria Math"/>
                  <w:sz w:val="22"/>
                  <w:szCs w:val="22"/>
                </w:rPr>
                <m:t xml:space="preserve">- </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β</m:t>
                      </m:r>
                    </m:e>
                  </m:acc>
                </m:e>
                <m:sub>
                  <m:r>
                    <w:rPr>
                      <w:rFonts w:ascii="Cambria Math" w:hAnsi="Cambria Math"/>
                      <w:sz w:val="22"/>
                      <w:szCs w:val="22"/>
                    </w:rPr>
                    <m:t>k</m:t>
                  </m:r>
                </m:sub>
                <m:sup>
                  <m:r>
                    <w:rPr>
                      <w:rFonts w:ascii="Cambria Math" w:hAnsi="Cambria Math"/>
                      <w:sz w:val="22"/>
                      <w:szCs w:val="22"/>
                    </w:rPr>
                    <m:t>W</m:t>
                  </m:r>
                </m:sup>
              </m:sSubSup>
            </m:e>
          </m:d>
        </m:oMath>
      </m:oMathPara>
    </w:p>
    <w:p w:rsidR="00F02FC1" w:rsidRPr="00B1135E" w:rsidRDefault="005A5840" w:rsidP="005A5840">
      <w:pPr>
        <w:keepNext/>
        <w:spacing w:after="113" w:line="236" w:lineRule="atLeast"/>
        <w:jc w:val="both"/>
        <w:rPr>
          <w:rFonts w:ascii="Arial" w:hAnsi="Arial" w:cs="Arial"/>
          <w:sz w:val="19"/>
          <w:szCs w:val="19"/>
          <w:lang w:eastAsia="en-GB"/>
        </w:rPr>
      </w:pPr>
      <w:r w:rsidRPr="00B1135E">
        <w:rPr>
          <w:rFonts w:ascii="Arial" w:hAnsi="Arial" w:cs="Arial"/>
          <w:sz w:val="19"/>
          <w:szCs w:val="19"/>
          <w:lang w:eastAsia="en-GB"/>
        </w:rPr>
        <w:t xml:space="preserve">It measures the part of Δ </w:t>
      </w:r>
      <w:r w:rsidR="008F5921">
        <w:rPr>
          <w:rFonts w:ascii="Arial" w:hAnsi="Arial" w:cs="Arial"/>
          <w:sz w:val="19"/>
          <w:szCs w:val="19"/>
          <w:lang w:eastAsia="en-GB"/>
        </w:rPr>
        <w:t>that</w:t>
      </w:r>
      <w:r w:rsidR="008F5921" w:rsidRPr="00B1135E">
        <w:rPr>
          <w:rFonts w:ascii="Arial" w:hAnsi="Arial" w:cs="Arial"/>
          <w:sz w:val="19"/>
          <w:szCs w:val="19"/>
          <w:lang w:eastAsia="en-GB"/>
        </w:rPr>
        <w:t xml:space="preserve"> </w:t>
      </w:r>
      <w:r w:rsidRPr="00B1135E">
        <w:rPr>
          <w:rFonts w:ascii="Arial" w:hAnsi="Arial" w:cs="Arial"/>
          <w:sz w:val="19"/>
          <w:szCs w:val="19"/>
          <w:lang w:eastAsia="en-GB"/>
        </w:rPr>
        <w:t>is due to the difference in the estimated constants for men and women</w:t>
      </w:r>
      <w:r w:rsidR="00044E7D">
        <w:rPr>
          <w:rFonts w:ascii="Arial" w:hAnsi="Arial" w:cs="Arial"/>
          <w:sz w:val="19"/>
          <w:szCs w:val="19"/>
          <w:lang w:eastAsia="en-GB"/>
        </w:rPr>
        <w:t>,</w:t>
      </w:r>
      <w:r w:rsidRPr="00B1135E">
        <w:rPr>
          <w:rFonts w:ascii="Arial" w:hAnsi="Arial" w:cs="Arial"/>
          <w:sz w:val="19"/>
          <w:szCs w:val="19"/>
          <w:lang w:eastAsia="en-GB"/>
        </w:rPr>
        <w:t xml:space="preserve"> plus the difference in the estimated coefficients for men and women weighted by the average characteristics of women. The difference between the constants and the difference between the coefficients measure the difference between </w:t>
      </w:r>
      <w:r w:rsidR="008F5921">
        <w:rPr>
          <w:rFonts w:ascii="Arial" w:hAnsi="Arial" w:cs="Arial"/>
          <w:sz w:val="19"/>
          <w:szCs w:val="19"/>
          <w:lang w:eastAsia="en-GB"/>
        </w:rPr>
        <w:t>financial</w:t>
      </w:r>
      <w:r w:rsidR="008F5921" w:rsidRPr="00B1135E">
        <w:rPr>
          <w:rFonts w:ascii="Arial" w:hAnsi="Arial" w:cs="Arial"/>
          <w:sz w:val="19"/>
          <w:szCs w:val="19"/>
          <w:lang w:eastAsia="en-GB"/>
        </w:rPr>
        <w:t xml:space="preserve"> </w:t>
      </w:r>
      <w:r w:rsidRPr="00B1135E">
        <w:rPr>
          <w:rFonts w:ascii="Arial" w:hAnsi="Arial" w:cs="Arial"/>
          <w:sz w:val="19"/>
          <w:szCs w:val="19"/>
          <w:lang w:eastAsia="en-GB"/>
        </w:rPr>
        <w:t xml:space="preserve">returns to men and women. </w:t>
      </w:r>
      <w:r w:rsidR="001B67BF" w:rsidRPr="001B67BF">
        <w:rPr>
          <w:rFonts w:ascii="Arial" w:hAnsi="Arial" w:cs="Arial"/>
          <w:sz w:val="19"/>
          <w:szCs w:val="19"/>
          <w:lang w:eastAsia="en-GB"/>
        </w:rPr>
        <w:t>The latter component corresponds to the different financial returns paid to men versus women for each SES variable.</w:t>
      </w:r>
      <w:r w:rsidR="001C0656">
        <w:rPr>
          <w:rFonts w:ascii="Arial" w:hAnsi="Arial" w:cs="Arial"/>
          <w:sz w:val="19"/>
          <w:szCs w:val="19"/>
          <w:lang w:eastAsia="en-GB"/>
        </w:rPr>
        <w:t xml:space="preserve"> T</w:t>
      </w:r>
      <w:r w:rsidRPr="00B1135E">
        <w:rPr>
          <w:rFonts w:ascii="Arial" w:hAnsi="Arial" w:cs="Arial"/>
          <w:sz w:val="19"/>
          <w:szCs w:val="19"/>
          <w:lang w:eastAsia="en-GB"/>
        </w:rPr>
        <w:t xml:space="preserve">he part </w:t>
      </w:r>
      <w:r w:rsidRPr="00B1135E">
        <w:rPr>
          <w:rFonts w:ascii="Arial" w:hAnsi="Arial" w:cs="Arial"/>
          <w:i/>
          <w:sz w:val="19"/>
          <w:szCs w:val="19"/>
          <w:lang w:eastAsia="en-GB"/>
        </w:rPr>
        <w:t>U</w:t>
      </w:r>
      <w:r w:rsidRPr="00B1135E">
        <w:rPr>
          <w:rFonts w:ascii="Arial" w:hAnsi="Arial" w:cs="Arial"/>
          <w:sz w:val="19"/>
          <w:szCs w:val="19"/>
          <w:lang w:eastAsia="en-GB"/>
        </w:rPr>
        <w:t xml:space="preserve"> shows what a female worker with average characteristics would have earned if she had been treated in the same way as a typical male worker, and compare</w:t>
      </w:r>
      <w:r w:rsidR="008F5921">
        <w:rPr>
          <w:rFonts w:ascii="Arial" w:hAnsi="Arial" w:cs="Arial"/>
          <w:sz w:val="19"/>
          <w:szCs w:val="19"/>
          <w:lang w:eastAsia="en-GB"/>
        </w:rPr>
        <w:t>s</w:t>
      </w:r>
      <w:r w:rsidRPr="00B1135E">
        <w:rPr>
          <w:rFonts w:ascii="Arial" w:hAnsi="Arial" w:cs="Arial"/>
          <w:sz w:val="19"/>
          <w:szCs w:val="19"/>
          <w:lang w:eastAsia="en-GB"/>
        </w:rPr>
        <w:t xml:space="preserve"> that with what she actually earns</w:t>
      </w:r>
      <w:r w:rsidR="00AD5513" w:rsidRPr="00B1135E">
        <w:rPr>
          <w:rFonts w:ascii="Arial" w:hAnsi="Arial" w:cs="Arial"/>
          <w:sz w:val="19"/>
          <w:szCs w:val="19"/>
          <w:lang w:eastAsia="en-GB"/>
        </w:rPr>
        <w:t xml:space="preserve"> (Bazen 2011)</w:t>
      </w:r>
      <w:r w:rsidRPr="00B1135E">
        <w:rPr>
          <w:rFonts w:ascii="Arial" w:hAnsi="Arial" w:cs="Arial"/>
          <w:sz w:val="19"/>
          <w:szCs w:val="19"/>
          <w:lang w:eastAsia="en-GB"/>
        </w:rPr>
        <w:t>.</w:t>
      </w:r>
    </w:p>
    <w:p w:rsidR="007E16D1" w:rsidRDefault="005A5840" w:rsidP="005A5840">
      <w:pPr>
        <w:keepNext/>
        <w:spacing w:after="113" w:line="236" w:lineRule="atLeast"/>
        <w:jc w:val="both"/>
        <w:rPr>
          <w:rFonts w:ascii="Arial" w:hAnsi="Arial" w:cs="Arial"/>
          <w:sz w:val="19"/>
          <w:szCs w:val="19"/>
          <w:lang w:eastAsia="en-GB"/>
        </w:rPr>
      </w:pPr>
      <w:r w:rsidRPr="00B1135E">
        <w:rPr>
          <w:rFonts w:ascii="Arial" w:hAnsi="Arial" w:cs="Arial"/>
          <w:sz w:val="19"/>
          <w:szCs w:val="19"/>
          <w:lang w:eastAsia="en-GB"/>
        </w:rPr>
        <w:t xml:space="preserve">In the decomposition, the part </w:t>
      </w:r>
      <w:r w:rsidRPr="00B1135E">
        <w:rPr>
          <w:rFonts w:ascii="Arial" w:hAnsi="Arial" w:cs="Arial"/>
          <w:i/>
          <w:sz w:val="19"/>
          <w:szCs w:val="19"/>
          <w:lang w:eastAsia="en-GB"/>
        </w:rPr>
        <w:t>U</w:t>
      </w:r>
      <w:r w:rsidRPr="00B1135E">
        <w:rPr>
          <w:rFonts w:ascii="Arial" w:hAnsi="Arial" w:cs="Arial"/>
          <w:sz w:val="19"/>
          <w:szCs w:val="19"/>
          <w:lang w:eastAsia="en-GB"/>
        </w:rPr>
        <w:t xml:space="preserve"> is interpreted as the ‘unexplained’ part of the difference in earnings between men and women (Δ). An interpretation of the part </w:t>
      </w:r>
      <w:r w:rsidRPr="00B1135E">
        <w:rPr>
          <w:rFonts w:ascii="Arial" w:hAnsi="Arial" w:cs="Arial"/>
          <w:i/>
          <w:sz w:val="19"/>
          <w:szCs w:val="19"/>
          <w:lang w:eastAsia="en-GB"/>
        </w:rPr>
        <w:t>U</w:t>
      </w:r>
      <w:r w:rsidRPr="00B1135E">
        <w:rPr>
          <w:rFonts w:ascii="Arial" w:hAnsi="Arial" w:cs="Arial"/>
          <w:sz w:val="19"/>
          <w:szCs w:val="19"/>
          <w:lang w:eastAsia="en-GB"/>
        </w:rPr>
        <w:t xml:space="preserve"> as discrimination </w:t>
      </w:r>
      <w:r w:rsidR="0034137D" w:rsidRPr="0034137D">
        <w:rPr>
          <w:rFonts w:ascii="Arial" w:hAnsi="Arial" w:cs="Arial"/>
          <w:sz w:val="19"/>
          <w:szCs w:val="19"/>
          <w:lang w:eastAsia="en-GB"/>
        </w:rPr>
        <w:t xml:space="preserve">is not recommended </w:t>
      </w:r>
      <w:r w:rsidRPr="00B1135E">
        <w:rPr>
          <w:rFonts w:ascii="Arial" w:hAnsi="Arial" w:cs="Arial"/>
          <w:sz w:val="19"/>
          <w:szCs w:val="19"/>
          <w:lang w:eastAsia="en-GB"/>
        </w:rPr>
        <w:t xml:space="preserve">as </w:t>
      </w:r>
      <w:r w:rsidR="0033382D" w:rsidRPr="00B1135E">
        <w:rPr>
          <w:rFonts w:ascii="Arial" w:hAnsi="Arial" w:cs="Arial"/>
          <w:sz w:val="19"/>
          <w:szCs w:val="19"/>
          <w:lang w:eastAsia="en-GB"/>
        </w:rPr>
        <w:t xml:space="preserve">some </w:t>
      </w:r>
      <w:r w:rsidR="00561B5F" w:rsidRPr="00B1135E">
        <w:rPr>
          <w:rFonts w:ascii="Arial" w:hAnsi="Arial" w:cs="Arial"/>
          <w:sz w:val="19"/>
          <w:szCs w:val="19"/>
          <w:lang w:eastAsia="en-GB"/>
        </w:rPr>
        <w:t xml:space="preserve">other explanatory </w:t>
      </w:r>
      <w:r w:rsidR="0033382D" w:rsidRPr="00B1135E">
        <w:rPr>
          <w:rFonts w:ascii="Arial" w:hAnsi="Arial" w:cs="Arial"/>
          <w:sz w:val="19"/>
          <w:szCs w:val="19"/>
          <w:lang w:eastAsia="en-GB"/>
        </w:rPr>
        <w:t>factors that are not</w:t>
      </w:r>
      <w:r w:rsidRPr="00B1135E">
        <w:rPr>
          <w:rFonts w:ascii="Arial" w:hAnsi="Arial" w:cs="Arial"/>
          <w:sz w:val="19"/>
          <w:szCs w:val="19"/>
          <w:lang w:eastAsia="en-GB"/>
        </w:rPr>
        <w:t xml:space="preserve"> observed in the Structure of Earnings Survey </w:t>
      </w:r>
      <w:r w:rsidR="00553219" w:rsidRPr="00B1135E">
        <w:rPr>
          <w:rFonts w:ascii="Arial" w:hAnsi="Arial" w:cs="Arial"/>
          <w:sz w:val="19"/>
          <w:szCs w:val="19"/>
          <w:lang w:eastAsia="en-GB"/>
        </w:rPr>
        <w:t xml:space="preserve">(e.g. </w:t>
      </w:r>
      <w:r w:rsidRPr="00B1135E">
        <w:rPr>
          <w:rFonts w:ascii="Arial" w:hAnsi="Arial" w:cs="Arial"/>
          <w:sz w:val="19"/>
          <w:szCs w:val="19"/>
          <w:lang w:eastAsia="en-GB"/>
        </w:rPr>
        <w:t xml:space="preserve">the number of children and the age of children in a </w:t>
      </w:r>
      <w:r w:rsidR="0059167B" w:rsidRPr="00B1135E">
        <w:rPr>
          <w:rFonts w:ascii="Arial" w:hAnsi="Arial" w:cs="Arial"/>
          <w:sz w:val="19"/>
          <w:szCs w:val="19"/>
          <w:lang w:eastAsia="en-GB"/>
        </w:rPr>
        <w:t>family, personal abilities or negotiating skills</w:t>
      </w:r>
      <w:r w:rsidR="00D12150" w:rsidRPr="00B1135E">
        <w:rPr>
          <w:rFonts w:ascii="Arial" w:hAnsi="Arial" w:cs="Arial"/>
          <w:sz w:val="19"/>
          <w:szCs w:val="19"/>
          <w:lang w:eastAsia="en-GB"/>
        </w:rPr>
        <w:t xml:space="preserve">) </w:t>
      </w:r>
      <w:r w:rsidRPr="00B1135E">
        <w:rPr>
          <w:rFonts w:ascii="Arial" w:hAnsi="Arial" w:cs="Arial"/>
          <w:sz w:val="19"/>
          <w:szCs w:val="19"/>
          <w:lang w:eastAsia="en-GB"/>
        </w:rPr>
        <w:t xml:space="preserve">would most likely </w:t>
      </w:r>
      <w:r w:rsidR="00D12150" w:rsidRPr="00B1135E">
        <w:rPr>
          <w:rFonts w:ascii="Arial" w:hAnsi="Arial" w:cs="Arial"/>
          <w:sz w:val="19"/>
          <w:szCs w:val="19"/>
          <w:lang w:eastAsia="en-GB"/>
        </w:rPr>
        <w:t>change</w:t>
      </w:r>
      <w:r w:rsidRPr="00B1135E">
        <w:rPr>
          <w:rFonts w:ascii="Arial" w:hAnsi="Arial" w:cs="Arial"/>
          <w:sz w:val="19"/>
          <w:szCs w:val="19"/>
          <w:lang w:eastAsia="en-GB"/>
        </w:rPr>
        <w:t xml:space="preserve"> the unexplained part.</w:t>
      </w:r>
      <w:r w:rsidR="0033382D" w:rsidRPr="00B1135E">
        <w:rPr>
          <w:rFonts w:ascii="Arial" w:hAnsi="Arial" w:cs="Arial"/>
          <w:sz w:val="19"/>
          <w:szCs w:val="19"/>
          <w:lang w:eastAsia="en-GB"/>
        </w:rPr>
        <w:t xml:space="preserve"> </w:t>
      </w:r>
      <w:r w:rsidR="007E16D1" w:rsidRPr="007E16D1">
        <w:rPr>
          <w:rFonts w:ascii="Arial" w:hAnsi="Arial" w:cs="Arial"/>
          <w:sz w:val="19"/>
          <w:szCs w:val="19"/>
          <w:lang w:eastAsia="en-GB"/>
        </w:rPr>
        <w:t>This limitation should be borne in mind when interpreting the unexplained part, in particular, for those countries with a low coefficient of determination (see Appendix 2).</w:t>
      </w:r>
    </w:p>
    <w:p w:rsidR="00D12150" w:rsidRPr="00B1135E" w:rsidRDefault="0059167B" w:rsidP="005A5840">
      <w:pPr>
        <w:keepNext/>
        <w:spacing w:after="113" w:line="236" w:lineRule="atLeast"/>
        <w:jc w:val="both"/>
        <w:rPr>
          <w:rFonts w:ascii="Arial" w:hAnsi="Arial" w:cs="Arial"/>
          <w:sz w:val="19"/>
          <w:szCs w:val="19"/>
          <w:lang w:eastAsia="en-GB"/>
        </w:rPr>
      </w:pPr>
      <w:r w:rsidRPr="00B1135E">
        <w:rPr>
          <w:rFonts w:ascii="Arial" w:hAnsi="Arial" w:cs="Arial"/>
          <w:sz w:val="19"/>
          <w:szCs w:val="19"/>
          <w:lang w:eastAsia="en-GB"/>
        </w:rPr>
        <w:t xml:space="preserve">Furthermore, it </w:t>
      </w:r>
      <w:r w:rsidR="00512A02" w:rsidRPr="00B1135E">
        <w:rPr>
          <w:rFonts w:ascii="Arial" w:hAnsi="Arial" w:cs="Arial"/>
          <w:sz w:val="19"/>
          <w:szCs w:val="19"/>
          <w:lang w:eastAsia="en-GB"/>
        </w:rPr>
        <w:t xml:space="preserve">is rather </w:t>
      </w:r>
      <w:r w:rsidRPr="00B1135E">
        <w:rPr>
          <w:rFonts w:ascii="Arial" w:hAnsi="Arial" w:cs="Arial"/>
          <w:sz w:val="19"/>
          <w:szCs w:val="19"/>
          <w:lang w:eastAsia="en-GB"/>
        </w:rPr>
        <w:t>imperfect to use age and job experience</w:t>
      </w:r>
      <w:r w:rsidR="00AE35E9" w:rsidRPr="00B1135E">
        <w:rPr>
          <w:rFonts w:ascii="Arial" w:hAnsi="Arial" w:cs="Arial"/>
          <w:sz w:val="19"/>
          <w:szCs w:val="19"/>
          <w:lang w:eastAsia="en-GB"/>
        </w:rPr>
        <w:t xml:space="preserve"> (tenure)</w:t>
      </w:r>
      <w:r w:rsidR="004A2E99" w:rsidRPr="00B1135E">
        <w:rPr>
          <w:rFonts w:ascii="Arial" w:hAnsi="Arial" w:cs="Arial"/>
          <w:sz w:val="19"/>
          <w:szCs w:val="19"/>
          <w:lang w:eastAsia="en-GB"/>
        </w:rPr>
        <w:t xml:space="preserve"> in the current enterprise</w:t>
      </w:r>
      <w:r w:rsidRPr="00B1135E">
        <w:rPr>
          <w:rFonts w:ascii="Arial" w:hAnsi="Arial" w:cs="Arial"/>
          <w:sz w:val="19"/>
          <w:szCs w:val="19"/>
          <w:lang w:eastAsia="en-GB"/>
        </w:rPr>
        <w:t xml:space="preserve"> as a</w:t>
      </w:r>
      <w:r w:rsidR="00D12150" w:rsidRPr="00B1135E">
        <w:rPr>
          <w:rFonts w:ascii="Arial" w:hAnsi="Arial" w:cs="Arial"/>
          <w:sz w:val="19"/>
          <w:szCs w:val="19"/>
          <w:lang w:eastAsia="en-GB"/>
        </w:rPr>
        <w:t>n approximation of an employee</w:t>
      </w:r>
      <w:r w:rsidR="00B1135E">
        <w:rPr>
          <w:rFonts w:ascii="Arial" w:hAnsi="Arial" w:cs="Arial"/>
          <w:sz w:val="19"/>
          <w:szCs w:val="19"/>
          <w:lang w:eastAsia="en-GB"/>
        </w:rPr>
        <w:t>’</w:t>
      </w:r>
      <w:r w:rsidR="00D12150" w:rsidRPr="00B1135E">
        <w:rPr>
          <w:rFonts w:ascii="Arial" w:hAnsi="Arial" w:cs="Arial"/>
          <w:sz w:val="19"/>
          <w:szCs w:val="19"/>
          <w:lang w:eastAsia="en-GB"/>
        </w:rPr>
        <w:t>s potential experience</w:t>
      </w:r>
      <w:r w:rsidR="008F5921">
        <w:rPr>
          <w:rFonts w:ascii="Arial" w:hAnsi="Arial" w:cs="Arial"/>
          <w:sz w:val="19"/>
          <w:szCs w:val="19"/>
          <w:lang w:eastAsia="en-GB"/>
        </w:rPr>
        <w:t>,</w:t>
      </w:r>
      <w:r w:rsidR="00D12150" w:rsidRPr="00B1135E">
        <w:rPr>
          <w:rFonts w:ascii="Arial" w:hAnsi="Arial" w:cs="Arial"/>
          <w:sz w:val="19"/>
          <w:szCs w:val="19"/>
          <w:lang w:eastAsia="en-GB"/>
        </w:rPr>
        <w:t xml:space="preserve"> </w:t>
      </w:r>
      <w:r w:rsidR="00512A02" w:rsidRPr="00B1135E">
        <w:rPr>
          <w:rFonts w:ascii="Arial" w:hAnsi="Arial" w:cs="Arial"/>
          <w:sz w:val="19"/>
          <w:szCs w:val="19"/>
          <w:lang w:eastAsia="en-GB"/>
        </w:rPr>
        <w:t>because</w:t>
      </w:r>
      <w:r w:rsidR="00D12150" w:rsidRPr="00B1135E">
        <w:rPr>
          <w:rFonts w:ascii="Arial" w:hAnsi="Arial" w:cs="Arial"/>
          <w:sz w:val="19"/>
          <w:szCs w:val="19"/>
          <w:lang w:eastAsia="en-GB"/>
        </w:rPr>
        <w:t xml:space="preserve"> it does not account for gender differences in career breaks, especially </w:t>
      </w:r>
      <w:r w:rsidR="00512A02" w:rsidRPr="00B1135E">
        <w:rPr>
          <w:rFonts w:ascii="Arial" w:hAnsi="Arial" w:cs="Arial"/>
          <w:sz w:val="19"/>
          <w:szCs w:val="19"/>
          <w:lang w:eastAsia="en-GB"/>
        </w:rPr>
        <w:t xml:space="preserve">those </w:t>
      </w:r>
      <w:r w:rsidR="00D12150" w:rsidRPr="00B1135E">
        <w:rPr>
          <w:rFonts w:ascii="Arial" w:hAnsi="Arial" w:cs="Arial"/>
          <w:sz w:val="19"/>
          <w:szCs w:val="19"/>
          <w:lang w:eastAsia="en-GB"/>
        </w:rPr>
        <w:t xml:space="preserve">related to birth and child care. </w:t>
      </w:r>
      <w:r w:rsidR="004E706D" w:rsidRPr="00B1135E">
        <w:rPr>
          <w:rFonts w:ascii="Arial" w:hAnsi="Arial" w:cs="Arial"/>
          <w:sz w:val="19"/>
          <w:szCs w:val="19"/>
          <w:lang w:eastAsia="en-GB"/>
        </w:rPr>
        <w:t>T</w:t>
      </w:r>
      <w:r w:rsidR="00512A02" w:rsidRPr="00B1135E">
        <w:rPr>
          <w:rFonts w:ascii="Arial" w:hAnsi="Arial" w:cs="Arial"/>
          <w:sz w:val="19"/>
          <w:szCs w:val="19"/>
          <w:lang w:eastAsia="en-GB"/>
        </w:rPr>
        <w:t>he Structure of Earnings Survey does not collect information on the whole professional experience of employees.</w:t>
      </w:r>
      <w:r w:rsidR="00487834" w:rsidRPr="00B1135E">
        <w:rPr>
          <w:rFonts w:ascii="Arial" w:hAnsi="Arial" w:cs="Arial"/>
          <w:sz w:val="19"/>
          <w:szCs w:val="19"/>
          <w:lang w:eastAsia="en-GB"/>
        </w:rPr>
        <w:t xml:space="preserve"> This is why </w:t>
      </w:r>
      <w:r w:rsidR="00EC5814" w:rsidRPr="00B1135E">
        <w:rPr>
          <w:rFonts w:ascii="Arial" w:hAnsi="Arial" w:cs="Arial"/>
          <w:sz w:val="19"/>
          <w:szCs w:val="19"/>
          <w:lang w:eastAsia="en-GB"/>
        </w:rPr>
        <w:t xml:space="preserve">it seems to be more appropriate to view the part </w:t>
      </w:r>
      <w:r w:rsidR="000232AE" w:rsidRPr="00B1135E">
        <w:rPr>
          <w:rFonts w:ascii="Arial" w:hAnsi="Arial" w:cs="Arial"/>
          <w:i/>
          <w:sz w:val="19"/>
          <w:szCs w:val="19"/>
          <w:lang w:eastAsia="en-GB"/>
        </w:rPr>
        <w:t>U</w:t>
      </w:r>
      <w:r w:rsidR="000232AE" w:rsidRPr="00B1135E">
        <w:rPr>
          <w:rFonts w:ascii="Arial" w:hAnsi="Arial" w:cs="Arial"/>
          <w:sz w:val="19"/>
          <w:szCs w:val="19"/>
          <w:lang w:eastAsia="en-GB"/>
        </w:rPr>
        <w:t xml:space="preserve"> </w:t>
      </w:r>
      <w:r w:rsidR="00EC5814" w:rsidRPr="00B1135E">
        <w:rPr>
          <w:rFonts w:ascii="Arial" w:hAnsi="Arial" w:cs="Arial"/>
          <w:sz w:val="19"/>
          <w:szCs w:val="19"/>
          <w:lang w:eastAsia="en-GB"/>
        </w:rPr>
        <w:t xml:space="preserve">as a ‘residual’ in that it is the part of the difference in earnings between men and women (Δ) that is </w:t>
      </w:r>
      <w:r w:rsidR="00A06076">
        <w:rPr>
          <w:rFonts w:ascii="Arial" w:hAnsi="Arial" w:cs="Arial"/>
          <w:sz w:val="19"/>
          <w:szCs w:val="19"/>
          <w:lang w:eastAsia="en-GB"/>
        </w:rPr>
        <w:t xml:space="preserve">not </w:t>
      </w:r>
      <w:r w:rsidR="00EC5814" w:rsidRPr="00B1135E">
        <w:rPr>
          <w:rFonts w:ascii="Arial" w:hAnsi="Arial" w:cs="Arial"/>
          <w:sz w:val="19"/>
          <w:szCs w:val="19"/>
          <w:lang w:eastAsia="en-GB"/>
        </w:rPr>
        <w:t>explained</w:t>
      </w:r>
      <w:r w:rsidR="000232AE" w:rsidRPr="00B1135E">
        <w:rPr>
          <w:rFonts w:ascii="Arial" w:hAnsi="Arial" w:cs="Arial"/>
          <w:sz w:val="19"/>
          <w:szCs w:val="19"/>
          <w:lang w:eastAsia="en-GB"/>
        </w:rPr>
        <w:t xml:space="preserve"> by </w:t>
      </w:r>
      <w:r w:rsidR="00A06076">
        <w:rPr>
          <w:rFonts w:ascii="Arial" w:hAnsi="Arial" w:cs="Arial"/>
          <w:sz w:val="19"/>
          <w:szCs w:val="19"/>
          <w:lang w:eastAsia="en-GB"/>
        </w:rPr>
        <w:t xml:space="preserve">the </w:t>
      </w:r>
      <w:r w:rsidR="000232AE" w:rsidRPr="00B1135E">
        <w:rPr>
          <w:rFonts w:ascii="Arial" w:hAnsi="Arial" w:cs="Arial"/>
          <w:sz w:val="19"/>
          <w:szCs w:val="19"/>
          <w:lang w:eastAsia="en-GB"/>
        </w:rPr>
        <w:t>difference in average characteristics of male and female employees</w:t>
      </w:r>
      <w:r w:rsidR="004371B9" w:rsidRPr="00B1135E">
        <w:rPr>
          <w:rFonts w:ascii="Arial" w:hAnsi="Arial" w:cs="Arial"/>
          <w:sz w:val="19"/>
          <w:szCs w:val="19"/>
          <w:lang w:eastAsia="en-GB"/>
        </w:rPr>
        <w:t xml:space="preserve"> observed in the labour market</w:t>
      </w:r>
      <w:r w:rsidR="000232AE" w:rsidRPr="00B1135E">
        <w:rPr>
          <w:rFonts w:ascii="Arial" w:hAnsi="Arial" w:cs="Arial"/>
          <w:sz w:val="19"/>
          <w:szCs w:val="19"/>
          <w:lang w:eastAsia="en-GB"/>
        </w:rPr>
        <w:t>.</w:t>
      </w:r>
    </w:p>
    <w:p w:rsidR="005D1689" w:rsidRPr="00B1135E" w:rsidRDefault="0033382D" w:rsidP="005A5840">
      <w:pPr>
        <w:keepNext/>
        <w:spacing w:after="113" w:line="236" w:lineRule="atLeast"/>
        <w:rPr>
          <w:rFonts w:ascii="Arial" w:hAnsi="Arial" w:cs="Arial"/>
          <w:sz w:val="19"/>
          <w:szCs w:val="19"/>
          <w:lang w:eastAsia="en-GB"/>
        </w:rPr>
      </w:pPr>
      <w:r w:rsidRPr="00B1135E">
        <w:rPr>
          <w:rFonts w:ascii="Arial" w:hAnsi="Arial" w:cs="Arial"/>
          <w:noProof/>
          <w:sz w:val="19"/>
          <w:szCs w:val="19"/>
          <w:lang w:eastAsia="en-GB"/>
        </w:rPr>
        <mc:AlternateContent>
          <mc:Choice Requires="wps">
            <w:drawing>
              <wp:anchor distT="0" distB="0" distL="114300" distR="114300" simplePos="0" relativeHeight="251675648" behindDoc="0" locked="0" layoutInCell="1" allowOverlap="1" wp14:anchorId="4F24F3F8" wp14:editId="57B04157">
                <wp:simplePos x="0" y="0"/>
                <wp:positionH relativeFrom="column">
                  <wp:posOffset>2426335</wp:posOffset>
                </wp:positionH>
                <wp:positionV relativeFrom="paragraph">
                  <wp:posOffset>-99695</wp:posOffset>
                </wp:positionV>
                <wp:extent cx="240030" cy="2042160"/>
                <wp:effectExtent l="0" t="5715" r="20955" b="20955"/>
                <wp:wrapNone/>
                <wp:docPr id="23" name="Left Brace 23"/>
                <wp:cNvGraphicFramePr/>
                <a:graphic xmlns:a="http://schemas.openxmlformats.org/drawingml/2006/main">
                  <a:graphicData uri="http://schemas.microsoft.com/office/word/2010/wordprocessingShape">
                    <wps:wsp>
                      <wps:cNvSpPr/>
                      <wps:spPr>
                        <a:xfrm rot="16200000">
                          <a:off x="0" y="0"/>
                          <a:ext cx="240030" cy="204216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3" o:spid="_x0000_s1026" type="#_x0000_t87" style="position:absolute;margin-left:191.05pt;margin-top:-7.85pt;width:18.9pt;height:160.8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" adj="212" strokecolor="windowText"/>
            </w:pict>
          </mc:Fallback>
        </mc:AlternateContent>
      </w:r>
      <w:r w:rsidRPr="00B1135E">
        <w:rPr>
          <w:rFonts w:ascii="Arial" w:hAnsi="Arial" w:cs="Arial"/>
          <w:noProof/>
          <w:sz w:val="19"/>
          <w:szCs w:val="19"/>
          <w:lang w:eastAsia="en-GB"/>
        </w:rPr>
        <mc:AlternateContent>
          <mc:Choice Requires="wps">
            <w:drawing>
              <wp:anchor distT="0" distB="0" distL="114300" distR="114300" simplePos="0" relativeHeight="251666432" behindDoc="0" locked="0" layoutInCell="1" allowOverlap="1" wp14:anchorId="1FC7950D" wp14:editId="46ADE385">
                <wp:simplePos x="0" y="0"/>
                <wp:positionH relativeFrom="column">
                  <wp:posOffset>4162425</wp:posOffset>
                </wp:positionH>
                <wp:positionV relativeFrom="paragraph">
                  <wp:posOffset>351789</wp:posOffset>
                </wp:positionV>
                <wp:extent cx="243205" cy="1143635"/>
                <wp:effectExtent l="6985" t="0" r="11430" b="11430"/>
                <wp:wrapNone/>
                <wp:docPr id="9" name="Left Brace 9"/>
                <wp:cNvGraphicFramePr/>
                <a:graphic xmlns:a="http://schemas.openxmlformats.org/drawingml/2006/main">
                  <a:graphicData uri="http://schemas.microsoft.com/office/word/2010/wordprocessingShape">
                    <wps:wsp>
                      <wps:cNvSpPr/>
                      <wps:spPr>
                        <a:xfrm rot="16200000">
                          <a:off x="0" y="0"/>
                          <a:ext cx="243205" cy="114363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9" o:spid="_x0000_s1026" type="#_x0000_t87" style="position:absolute;margin-left:327.75pt;margin-top:27.7pt;width:19.15pt;height:90.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" adj="383" strokecolor="windowText"/>
            </w:pict>
          </mc:Fallback>
        </mc:AlternateContent>
      </w:r>
      <w:r w:rsidR="005D1689" w:rsidRPr="00B1135E">
        <w:rPr>
          <w:rFonts w:ascii="Arial" w:hAnsi="Arial" w:cs="Arial"/>
          <w:sz w:val="19"/>
          <w:szCs w:val="19"/>
          <w:lang w:eastAsia="en-GB"/>
        </w:rPr>
        <w:t>The final decomposition equation for the difference between the means of log hourly earnings of men and women is as follows:</w:t>
      </w:r>
    </w:p>
    <w:p w:rsidR="005D1689" w:rsidRPr="00B1135E" w:rsidRDefault="001F30FD" w:rsidP="004A15C7">
      <w:pPr>
        <w:pStyle w:val="Body"/>
        <w:rPr>
          <w:rFonts w:ascii="Cambria Math" w:hAnsi="Cambria Math"/>
        </w:rPr>
      </w:pPr>
      <m:oMathPara>
        <m:oMath>
          <m:sSup>
            <m:sSupPr>
              <m:ctrlPr>
                <w:rPr>
                  <w:rFonts w:ascii="Cambria Math" w:hAnsi="Cambria Math"/>
                  <w:i/>
                  <w:sz w:val="22"/>
                  <w:szCs w:val="22"/>
                </w:rPr>
              </m:ctrlPr>
            </m:sSupPr>
            <m:e>
              <m:acc>
                <m:accPr>
                  <m:chr m:val="̅"/>
                  <m:ctrlPr>
                    <w:rPr>
                      <w:rFonts w:ascii="Cambria Math" w:hAnsi="Cambria Math"/>
                      <w:i/>
                      <w:sz w:val="22"/>
                      <w:szCs w:val="22"/>
                    </w:rPr>
                  </m:ctrlPr>
                </m:accPr>
                <m:e>
                  <m:func>
                    <m:funcPr>
                      <m:ctrlPr>
                        <w:rPr>
                          <w:rFonts w:ascii="Cambria Math" w:hAnsi="Cambria Math"/>
                          <w:i/>
                          <w:sz w:val="22"/>
                          <w:szCs w:val="22"/>
                        </w:rPr>
                      </m:ctrlPr>
                    </m:funcPr>
                    <m:fName>
                      <m:r>
                        <m:rPr>
                          <m:sty m:val="p"/>
                        </m:rPr>
                        <w:rPr>
                          <w:rFonts w:ascii="Cambria Math" w:hAnsi="Cambria Math"/>
                          <w:sz w:val="22"/>
                          <w:szCs w:val="22"/>
                        </w:rPr>
                        <m:t>ln</m:t>
                      </m:r>
                    </m:fName>
                    <m:e>
                      <m:r>
                        <w:rPr>
                          <w:rFonts w:ascii="Cambria Math" w:hAnsi="Cambria Math"/>
                          <w:sz w:val="22"/>
                          <w:szCs w:val="22"/>
                        </w:rPr>
                        <m:t>y</m:t>
                      </m:r>
                    </m:e>
                  </m:func>
                </m:e>
              </m:acc>
            </m:e>
            <m:sup>
              <m:r>
                <w:rPr>
                  <w:rFonts w:ascii="Cambria Math" w:hAnsi="Cambria Math"/>
                  <w:sz w:val="22"/>
                  <w:szCs w:val="22"/>
                </w:rPr>
                <m:t>M</m:t>
              </m:r>
            </m:sup>
          </m:sSup>
          <m:r>
            <w:rPr>
              <w:rFonts w:ascii="Cambria Math" w:hAnsi="Cambria Math"/>
              <w:sz w:val="22"/>
              <w:szCs w:val="22"/>
            </w:rPr>
            <m:t xml:space="preserve">- </m:t>
          </m:r>
          <m:sSup>
            <m:sSupPr>
              <m:ctrlPr>
                <w:rPr>
                  <w:rFonts w:ascii="Cambria Math" w:hAnsi="Cambria Math"/>
                  <w:i/>
                  <w:sz w:val="22"/>
                  <w:szCs w:val="22"/>
                </w:rPr>
              </m:ctrlPr>
            </m:sSupPr>
            <m:e>
              <m:acc>
                <m:accPr>
                  <m:chr m:val="̅"/>
                  <m:ctrlPr>
                    <w:rPr>
                      <w:rFonts w:ascii="Cambria Math" w:hAnsi="Cambria Math"/>
                      <w:i/>
                      <w:sz w:val="22"/>
                      <w:szCs w:val="22"/>
                    </w:rPr>
                  </m:ctrlPr>
                </m:accPr>
                <m:e>
                  <m:func>
                    <m:funcPr>
                      <m:ctrlPr>
                        <w:rPr>
                          <w:rFonts w:ascii="Cambria Math" w:hAnsi="Cambria Math"/>
                          <w:i/>
                          <w:sz w:val="22"/>
                          <w:szCs w:val="22"/>
                        </w:rPr>
                      </m:ctrlPr>
                    </m:funcPr>
                    <m:fName>
                      <m:r>
                        <m:rPr>
                          <m:sty m:val="p"/>
                        </m:rPr>
                        <w:rPr>
                          <w:rFonts w:ascii="Cambria Math" w:hAnsi="Cambria Math"/>
                          <w:sz w:val="22"/>
                          <w:szCs w:val="22"/>
                        </w:rPr>
                        <m:t>ln</m:t>
                      </m:r>
                    </m:fName>
                    <m:e>
                      <m:r>
                        <w:rPr>
                          <w:rFonts w:ascii="Cambria Math" w:hAnsi="Cambria Math"/>
                          <w:sz w:val="22"/>
                          <w:szCs w:val="22"/>
                        </w:rPr>
                        <m:t>y</m:t>
                      </m:r>
                    </m:e>
                  </m:func>
                </m:e>
              </m:acc>
            </m:e>
            <m:sup>
              <m:r>
                <w:rPr>
                  <w:rFonts w:ascii="Cambria Math" w:hAnsi="Cambria Math"/>
                  <w:sz w:val="22"/>
                  <w:szCs w:val="22"/>
                </w:rPr>
                <m:t>W</m:t>
              </m:r>
            </m:sup>
          </m:sSup>
          <m:r>
            <w:rPr>
              <w:rFonts w:ascii="Cambria Math" w:hAnsi="Cambria Math"/>
              <w:sz w:val="22"/>
              <w:szCs w:val="22"/>
            </w:rPr>
            <m:t>=</m:t>
          </m:r>
          <m:d>
            <m:dPr>
              <m:ctrlPr>
                <w:rPr>
                  <w:rFonts w:ascii="Cambria Math" w:hAnsi="Cambria Math"/>
                  <w:sz w:val="22"/>
                  <w:szCs w:val="22"/>
                </w:rPr>
              </m:ctrlPr>
            </m:dPr>
            <m:e>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β</m:t>
                      </m:r>
                    </m:e>
                  </m:acc>
                </m:e>
                <m:sub>
                  <m:r>
                    <w:rPr>
                      <w:rFonts w:ascii="Cambria Math" w:hAnsi="Cambria Math"/>
                      <w:sz w:val="22"/>
                      <w:szCs w:val="22"/>
                    </w:rPr>
                    <m:t>0</m:t>
                  </m:r>
                </m:sub>
                <m:sup>
                  <m:r>
                    <w:rPr>
                      <w:rFonts w:ascii="Cambria Math" w:hAnsi="Cambria Math"/>
                      <w:sz w:val="22"/>
                      <w:szCs w:val="22"/>
                    </w:rPr>
                    <m:t>M</m:t>
                  </m:r>
                </m:sup>
              </m:sSubSup>
              <m:r>
                <w:rPr>
                  <w:rFonts w:ascii="Cambria Math" w:hAnsi="Cambria Math"/>
                  <w:sz w:val="22"/>
                  <w:szCs w:val="22"/>
                </w:rPr>
                <m:t xml:space="preserve">- </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β</m:t>
                      </m:r>
                    </m:e>
                  </m:acc>
                </m:e>
                <m:sub>
                  <m:r>
                    <w:rPr>
                      <w:rFonts w:ascii="Cambria Math" w:hAnsi="Cambria Math"/>
                      <w:sz w:val="22"/>
                      <w:szCs w:val="22"/>
                    </w:rPr>
                    <m:t>0</m:t>
                  </m:r>
                </m:sub>
                <m:sup>
                  <m:r>
                    <w:rPr>
                      <w:rFonts w:ascii="Cambria Math" w:hAnsi="Cambria Math"/>
                      <w:sz w:val="22"/>
                      <w:szCs w:val="22"/>
                    </w:rPr>
                    <m:t>W</m:t>
                  </m:r>
                </m:sup>
              </m:sSubSup>
            </m:e>
          </m:d>
          <m:r>
            <w:rPr>
              <w:rFonts w:ascii="Cambria Math" w:hAnsi="Cambria Math"/>
              <w:sz w:val="22"/>
              <w:szCs w:val="22"/>
            </w:rPr>
            <m:t xml:space="preserve">+ </m:t>
          </m:r>
          <m:nary>
            <m:naryPr>
              <m:chr m:val="∑"/>
              <m:limLoc m:val="undOvr"/>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K</m:t>
              </m:r>
            </m:sup>
            <m:e>
              <m:sSubSup>
                <m:sSubSupPr>
                  <m:ctrlPr>
                    <w:rPr>
                      <w:rFonts w:ascii="Cambria Math" w:hAnsi="Cambria Math"/>
                      <w:i/>
                      <w:sz w:val="22"/>
                      <w:szCs w:val="22"/>
                    </w:rPr>
                  </m:ctrlPr>
                </m:sSubSupPr>
                <m:e>
                  <m:acc>
                    <m:accPr>
                      <m:chr m:val="̅"/>
                      <m:ctrlPr>
                        <w:rPr>
                          <w:rFonts w:ascii="Cambria Math" w:hAnsi="Cambria Math"/>
                          <w:i/>
                          <w:sz w:val="22"/>
                          <w:szCs w:val="22"/>
                        </w:rPr>
                      </m:ctrlPr>
                    </m:accPr>
                    <m:e>
                      <m:r>
                        <w:rPr>
                          <w:rFonts w:ascii="Cambria Math" w:hAnsi="Cambria Math"/>
                          <w:sz w:val="22"/>
                          <w:szCs w:val="22"/>
                        </w:rPr>
                        <m:t>x</m:t>
                      </m:r>
                    </m:e>
                  </m:acc>
                </m:e>
                <m:sub>
                  <m:r>
                    <w:rPr>
                      <w:rFonts w:ascii="Cambria Math" w:hAnsi="Cambria Math"/>
                      <w:sz w:val="22"/>
                      <w:szCs w:val="22"/>
                    </w:rPr>
                    <m:t>k</m:t>
                  </m:r>
                </m:sub>
                <m:sup>
                  <m:r>
                    <w:rPr>
                      <w:rFonts w:ascii="Cambria Math" w:hAnsi="Cambria Math"/>
                      <w:sz w:val="22"/>
                      <w:szCs w:val="22"/>
                    </w:rPr>
                    <m:t>W</m:t>
                  </m:r>
                </m:sup>
              </m:sSubSup>
            </m:e>
          </m:nary>
          <m:d>
            <m:dPr>
              <m:ctrlPr>
                <w:rPr>
                  <w:rFonts w:ascii="Cambria Math" w:hAnsi="Cambria Math"/>
                  <w:sz w:val="22"/>
                  <w:szCs w:val="22"/>
                </w:rPr>
              </m:ctrlPr>
            </m:dPr>
            <m:e>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β</m:t>
                      </m:r>
                    </m:e>
                  </m:acc>
                </m:e>
                <m:sub>
                  <m:r>
                    <w:rPr>
                      <w:rFonts w:ascii="Cambria Math" w:hAnsi="Cambria Math"/>
                      <w:sz w:val="22"/>
                      <w:szCs w:val="22"/>
                    </w:rPr>
                    <m:t>k</m:t>
                  </m:r>
                </m:sub>
                <m:sup>
                  <m:r>
                    <w:rPr>
                      <w:rFonts w:ascii="Cambria Math" w:hAnsi="Cambria Math"/>
                      <w:sz w:val="22"/>
                      <w:szCs w:val="22"/>
                    </w:rPr>
                    <m:t>M</m:t>
                  </m:r>
                </m:sup>
              </m:sSubSup>
              <m:r>
                <w:rPr>
                  <w:rFonts w:ascii="Cambria Math" w:hAnsi="Cambria Math"/>
                  <w:sz w:val="22"/>
                  <w:szCs w:val="22"/>
                </w:rPr>
                <m:t xml:space="preserve">- </m:t>
              </m:r>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β</m:t>
                      </m:r>
                    </m:e>
                  </m:acc>
                </m:e>
                <m:sub>
                  <m:r>
                    <w:rPr>
                      <w:rFonts w:ascii="Cambria Math" w:hAnsi="Cambria Math"/>
                      <w:sz w:val="22"/>
                      <w:szCs w:val="22"/>
                    </w:rPr>
                    <m:t>k</m:t>
                  </m:r>
                </m:sub>
                <m:sup>
                  <m:r>
                    <w:rPr>
                      <w:rFonts w:ascii="Cambria Math" w:hAnsi="Cambria Math"/>
                      <w:sz w:val="22"/>
                      <w:szCs w:val="22"/>
                    </w:rPr>
                    <m:t>W</m:t>
                  </m:r>
                </m:sup>
              </m:sSubSup>
            </m:e>
          </m:d>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K</m:t>
              </m:r>
            </m:sup>
            <m:e>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β</m:t>
                      </m:r>
                    </m:e>
                  </m:acc>
                </m:e>
                <m:sub>
                  <m:r>
                    <w:rPr>
                      <w:rFonts w:ascii="Cambria Math" w:hAnsi="Cambria Math"/>
                      <w:sz w:val="22"/>
                      <w:szCs w:val="22"/>
                    </w:rPr>
                    <m:t>k</m:t>
                  </m:r>
                </m:sub>
                <m:sup>
                  <m:r>
                    <w:rPr>
                      <w:rFonts w:ascii="Cambria Math" w:hAnsi="Cambria Math"/>
                      <w:sz w:val="22"/>
                      <w:szCs w:val="22"/>
                    </w:rPr>
                    <m:t>M</m:t>
                  </m:r>
                </m:sup>
              </m:sSubSup>
            </m:e>
          </m:nary>
          <m:r>
            <w:rPr>
              <w:rFonts w:ascii="Cambria Math" w:hAnsi="Cambria Math"/>
              <w:sz w:val="22"/>
              <w:szCs w:val="22"/>
            </w:rPr>
            <m:t>(</m:t>
          </m:r>
          <m:sSubSup>
            <m:sSubSupPr>
              <m:ctrlPr>
                <w:rPr>
                  <w:rFonts w:ascii="Cambria Math" w:hAnsi="Cambria Math"/>
                  <w:i/>
                  <w:sz w:val="22"/>
                  <w:szCs w:val="22"/>
                </w:rPr>
              </m:ctrlPr>
            </m:sSubSupPr>
            <m:e>
              <m:acc>
                <m:accPr>
                  <m:chr m:val="̅"/>
                  <m:ctrlPr>
                    <w:rPr>
                      <w:rFonts w:ascii="Cambria Math" w:hAnsi="Cambria Math"/>
                      <w:i/>
                      <w:sz w:val="22"/>
                      <w:szCs w:val="22"/>
                    </w:rPr>
                  </m:ctrlPr>
                </m:accPr>
                <m:e>
                  <m:r>
                    <w:rPr>
                      <w:rFonts w:ascii="Cambria Math" w:hAnsi="Cambria Math"/>
                      <w:sz w:val="22"/>
                      <w:szCs w:val="22"/>
                    </w:rPr>
                    <m:t>x</m:t>
                  </m:r>
                </m:e>
              </m:acc>
            </m:e>
            <m:sub>
              <m:r>
                <w:rPr>
                  <w:rFonts w:ascii="Cambria Math" w:hAnsi="Cambria Math"/>
                  <w:sz w:val="22"/>
                  <w:szCs w:val="22"/>
                </w:rPr>
                <m:t>k</m:t>
              </m:r>
            </m:sub>
            <m:sup>
              <m:r>
                <w:rPr>
                  <w:rFonts w:ascii="Cambria Math" w:hAnsi="Cambria Math"/>
                  <w:sz w:val="22"/>
                  <w:szCs w:val="22"/>
                </w:rPr>
                <m:t>M</m:t>
              </m:r>
            </m:sup>
          </m:sSubSup>
          <m:r>
            <w:rPr>
              <w:rFonts w:ascii="Cambria Math" w:hAnsi="Cambria Math"/>
              <w:sz w:val="22"/>
              <w:szCs w:val="22"/>
            </w:rPr>
            <m:t xml:space="preserve">- </m:t>
          </m:r>
          <m:sSubSup>
            <m:sSubSupPr>
              <m:ctrlPr>
                <w:rPr>
                  <w:rFonts w:ascii="Cambria Math" w:hAnsi="Cambria Math"/>
                  <w:i/>
                  <w:sz w:val="22"/>
                  <w:szCs w:val="22"/>
                </w:rPr>
              </m:ctrlPr>
            </m:sSubSupPr>
            <m:e>
              <m:acc>
                <m:accPr>
                  <m:chr m:val="̅"/>
                  <m:ctrlPr>
                    <w:rPr>
                      <w:rFonts w:ascii="Cambria Math" w:hAnsi="Cambria Math"/>
                      <w:i/>
                      <w:sz w:val="22"/>
                      <w:szCs w:val="22"/>
                    </w:rPr>
                  </m:ctrlPr>
                </m:accPr>
                <m:e>
                  <m:r>
                    <w:rPr>
                      <w:rFonts w:ascii="Cambria Math" w:hAnsi="Cambria Math"/>
                      <w:sz w:val="22"/>
                      <w:szCs w:val="22"/>
                    </w:rPr>
                    <m:t>x</m:t>
                  </m:r>
                </m:e>
              </m:acc>
            </m:e>
            <m:sub>
              <m:r>
                <w:rPr>
                  <w:rFonts w:ascii="Cambria Math" w:hAnsi="Cambria Math"/>
                  <w:sz w:val="22"/>
                  <w:szCs w:val="22"/>
                </w:rPr>
                <m:t>k</m:t>
              </m:r>
            </m:sub>
            <m:sup>
              <m:r>
                <w:rPr>
                  <w:rFonts w:ascii="Cambria Math" w:hAnsi="Cambria Math"/>
                  <w:sz w:val="22"/>
                  <w:szCs w:val="22"/>
                </w:rPr>
                <m:t>W</m:t>
              </m:r>
            </m:sup>
          </m:sSubSup>
          <m:r>
            <w:rPr>
              <w:rFonts w:ascii="Cambria Math" w:hAnsi="Cambria Math"/>
              <w:sz w:val="22"/>
              <w:szCs w:val="22"/>
            </w:rPr>
            <m:t>)</m:t>
          </m:r>
        </m:oMath>
      </m:oMathPara>
    </w:p>
    <w:p w:rsidR="005D1689" w:rsidRPr="00B1135E" w:rsidRDefault="005D1689" w:rsidP="004A15C7">
      <w:pPr>
        <w:pStyle w:val="Body"/>
        <w:spacing w:before="240"/>
        <w:rPr>
          <w:rFonts w:ascii="Cambria Math" w:hAnsi="Cambria Math"/>
        </w:rPr>
      </w:pPr>
      <w:r w:rsidRPr="00B1135E">
        <w:rPr>
          <w:rFonts w:ascii="Cambria Math" w:hAnsi="Cambria Math"/>
        </w:rPr>
        <w:t xml:space="preserve">                                                                  </w:t>
      </w:r>
      <w:r w:rsidR="004A15C7" w:rsidRPr="00B1135E">
        <w:rPr>
          <w:rFonts w:ascii="Cambria Math" w:hAnsi="Cambria Math"/>
        </w:rPr>
        <w:t xml:space="preserve">                 </w:t>
      </w:r>
      <w:r w:rsidRPr="00B1135E">
        <w:rPr>
          <w:rFonts w:cs="Arial"/>
          <w:b/>
        </w:rPr>
        <w:t>U</w:t>
      </w:r>
      <w:r w:rsidRPr="00B1135E">
        <w:rPr>
          <w:rFonts w:cs="Arial"/>
        </w:rPr>
        <w:t>nexplained</w:t>
      </w:r>
      <w:r w:rsidRPr="00B1135E">
        <w:rPr>
          <w:rFonts w:ascii="Cambria Math" w:hAnsi="Cambria Math"/>
        </w:rPr>
        <w:t xml:space="preserve">                                   </w:t>
      </w:r>
      <w:r w:rsidR="004A15C7" w:rsidRPr="00B1135E">
        <w:rPr>
          <w:rFonts w:ascii="Cambria Math" w:hAnsi="Cambria Math"/>
        </w:rPr>
        <w:t xml:space="preserve">       </w:t>
      </w:r>
      <w:r w:rsidRPr="00B1135E">
        <w:rPr>
          <w:rFonts w:cs="Arial"/>
          <w:b/>
        </w:rPr>
        <w:t>E</w:t>
      </w:r>
      <w:r w:rsidRPr="00B1135E">
        <w:rPr>
          <w:rFonts w:cs="Arial"/>
        </w:rPr>
        <w:t>xplained</w:t>
      </w:r>
    </w:p>
    <w:p w:rsidR="005D1689" w:rsidRPr="00B1135E" w:rsidRDefault="005D1689" w:rsidP="00A75E93">
      <w:pPr>
        <w:pStyle w:val="Body"/>
      </w:pPr>
      <w:r w:rsidRPr="00B1135E">
        <w:t xml:space="preserve">Each of the components, </w:t>
      </w:r>
      <w:r w:rsidRPr="00B1135E">
        <w:rPr>
          <w:i/>
        </w:rPr>
        <w:t>E</w:t>
      </w:r>
      <w:r w:rsidRPr="00B1135E">
        <w:t xml:space="preserve"> and </w:t>
      </w:r>
      <w:r w:rsidRPr="00B1135E">
        <w:rPr>
          <w:i/>
        </w:rPr>
        <w:t>U</w:t>
      </w:r>
      <w:r w:rsidRPr="00B1135E">
        <w:t>, can be expressed as a proportion of the overall difference </w:t>
      </w:r>
      <w:r w:rsidRPr="00B1135E">
        <w:rPr>
          <w:i/>
        </w:rPr>
        <w:t>Δ</w:t>
      </w:r>
      <w:r w:rsidRPr="00B1135E">
        <w:t xml:space="preserve">. </w:t>
      </w:r>
      <w:r w:rsidR="002A4D83" w:rsidRPr="00B1135E">
        <w:t>Furthermore, e</w:t>
      </w:r>
      <w:r w:rsidRPr="00B1135E">
        <w:t xml:space="preserve">ach subcomponent of </w:t>
      </w:r>
      <w:r w:rsidR="002A4D83" w:rsidRPr="00B1135E">
        <w:t xml:space="preserve">the explained part </w:t>
      </w:r>
      <w:r w:rsidRPr="00B1135E">
        <w:rPr>
          <w:i/>
        </w:rPr>
        <w:t xml:space="preserve">E, </w:t>
      </w:r>
      <w:r w:rsidR="00235A3E" w:rsidRPr="00B1135E">
        <w:t>i.e.</w:t>
      </w:r>
      <w:r w:rsidRPr="00B1135E">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m:t>
            </m:r>
            <m:acc>
              <m:accPr>
                <m:ctrlPr>
                  <w:rPr>
                    <w:rFonts w:ascii="Cambria Math" w:hAnsi="Cambria Math"/>
                    <w:i/>
                  </w:rPr>
                </m:ctrlPr>
              </m:accPr>
              <m:e>
                <m:r>
                  <w:rPr>
                    <w:rFonts w:ascii="Cambria Math" w:hAnsi="Cambria Math"/>
                  </w:rPr>
                  <m:t>β</m:t>
                </m:r>
              </m:e>
            </m:acc>
          </m:e>
          <m:sub>
            <m:r>
              <w:rPr>
                <w:rFonts w:ascii="Cambria Math" w:hAnsi="Cambria Math"/>
              </w:rPr>
              <m:t>k</m:t>
            </m:r>
          </m:sub>
          <m:sup>
            <m:r>
              <w:rPr>
                <w:rFonts w:ascii="Cambria Math" w:hAnsi="Cambria Math"/>
              </w:rPr>
              <m:t>M</m:t>
            </m:r>
          </m:sup>
        </m:sSubSup>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r>
                  <w:rPr>
                    <w:rFonts w:ascii="Cambria Math" w:hAnsi="Cambria Math"/>
                  </w:rPr>
                  <m:t>x</m:t>
                </m:r>
              </m:e>
            </m:acc>
          </m:e>
          <m:sub>
            <m:r>
              <w:rPr>
                <w:rFonts w:ascii="Cambria Math" w:hAnsi="Cambria Math"/>
              </w:rPr>
              <m:t>k</m:t>
            </m:r>
          </m:sub>
          <m:sup>
            <m:r>
              <w:rPr>
                <w:rFonts w:ascii="Cambria Math" w:hAnsi="Cambria Math"/>
              </w:rPr>
              <m:t>M</m:t>
            </m:r>
          </m:sup>
        </m:sSubSup>
        <m:r>
          <w:rPr>
            <w:rFonts w:ascii="Cambria Math" w:hAnsi="Cambria Math"/>
          </w:rPr>
          <m:t xml:space="preserve">- </m:t>
        </m:r>
        <m:sSubSup>
          <m:sSubSupPr>
            <m:ctrlPr>
              <w:rPr>
                <w:rFonts w:ascii="Cambria Math" w:hAnsi="Cambria Math"/>
                <w:i/>
              </w:rPr>
            </m:ctrlPr>
          </m:sSubSupPr>
          <m:e>
            <m:acc>
              <m:accPr>
                <m:chr m:val="̅"/>
                <m:ctrlPr>
                  <w:rPr>
                    <w:rFonts w:ascii="Cambria Math" w:hAnsi="Cambria Math"/>
                    <w:i/>
                  </w:rPr>
                </m:ctrlPr>
              </m:accPr>
              <m:e>
                <m:r>
                  <w:rPr>
                    <w:rFonts w:ascii="Cambria Math" w:hAnsi="Cambria Math"/>
                  </w:rPr>
                  <m:t>x</m:t>
                </m:r>
              </m:e>
            </m:acc>
          </m:e>
          <m:sub>
            <m:r>
              <w:rPr>
                <w:rFonts w:ascii="Cambria Math" w:hAnsi="Cambria Math"/>
              </w:rPr>
              <m:t>k</m:t>
            </m:r>
          </m:sub>
          <m:sup>
            <m:r>
              <w:rPr>
                <w:rFonts w:ascii="Cambria Math" w:hAnsi="Cambria Math"/>
              </w:rPr>
              <m:t>W</m:t>
            </m:r>
          </m:sup>
        </m:sSubSup>
        <m:r>
          <w:rPr>
            <w:rFonts w:ascii="Cambria Math" w:hAnsi="Cambria Math"/>
          </w:rPr>
          <m:t>)</m:t>
        </m:r>
      </m:oMath>
      <w:r w:rsidRPr="00B1135E">
        <w:t xml:space="preserve">, </w:t>
      </w:r>
      <w:r w:rsidR="002A4D83" w:rsidRPr="00B1135E">
        <w:t>can be</w:t>
      </w:r>
      <w:r w:rsidR="00972DF1" w:rsidRPr="00B1135E">
        <w:t xml:space="preserve"> </w:t>
      </w:r>
      <w:r w:rsidR="002A4D83" w:rsidRPr="00B1135E">
        <w:t>presented</w:t>
      </w:r>
      <w:r w:rsidR="00A75E93" w:rsidRPr="00B1135E">
        <w:t xml:space="preserve"> </w:t>
      </w:r>
      <w:r w:rsidRPr="00B1135E">
        <w:t>as a proportion of the overall difference Δ</w:t>
      </w:r>
      <w:r w:rsidR="002A4D83" w:rsidRPr="00B1135E">
        <w:t xml:space="preserve"> in order to</w:t>
      </w:r>
      <w:r w:rsidR="001C3FCE">
        <w:t xml:space="preserve"> estimate the</w:t>
      </w:r>
      <w:r w:rsidRPr="00B1135E">
        <w:t xml:space="preserve"> magnitude of the effects of the specific </w:t>
      </w:r>
      <w:r w:rsidR="00972DF1" w:rsidRPr="00B1135E">
        <w:t xml:space="preserve">personal, job and enterprise </w:t>
      </w:r>
      <w:r w:rsidRPr="00B1135E">
        <w:t xml:space="preserve">characteristics </w:t>
      </w:r>
      <w:r w:rsidR="002A4D83" w:rsidRPr="00B1135E">
        <w:t xml:space="preserve">in explaining the </w:t>
      </w:r>
      <w:r w:rsidRPr="00B1135E">
        <w:t>difference Δ</w:t>
      </w:r>
      <w:r w:rsidR="00D75152" w:rsidRPr="00B1135E">
        <w:t xml:space="preserve">. These effects will be </w:t>
      </w:r>
      <w:r w:rsidR="00EE0846" w:rsidRPr="00B1135E">
        <w:t>called ‘explanatory factors</w:t>
      </w:r>
      <w:r w:rsidR="00D75152" w:rsidRPr="00B1135E">
        <w:t>’</w:t>
      </w:r>
      <w:r w:rsidR="00F02FC1" w:rsidRPr="00B1135E">
        <w:rPr>
          <w:rStyle w:val="FootnoteReference"/>
        </w:rPr>
        <w:footnoteReference w:id="9"/>
      </w:r>
      <w:r w:rsidR="00EE0846" w:rsidRPr="00B1135E">
        <w:t>.</w:t>
      </w:r>
    </w:p>
    <w:p w:rsidR="00DF5563" w:rsidRPr="00B1135E" w:rsidRDefault="00296C9F" w:rsidP="00803EA1">
      <w:pPr>
        <w:pStyle w:val="Body"/>
      </w:pPr>
      <w:r w:rsidRPr="00B1135E">
        <w:t>Finally, the explained</w:t>
      </w:r>
      <w:r w:rsidR="00DF5563" w:rsidRPr="00B1135E">
        <w:t xml:space="preserve"> </w:t>
      </w:r>
      <w:r w:rsidR="00803EA1" w:rsidRPr="00B1135E">
        <w:t xml:space="preserve">and unexplained </w:t>
      </w:r>
      <w:r w:rsidR="00DF5563" w:rsidRPr="00B1135E">
        <w:t>GPG</w:t>
      </w:r>
      <w:r w:rsidR="00803EA1" w:rsidRPr="00B1135E">
        <w:t>s</w:t>
      </w:r>
      <w:r w:rsidR="00DF5563" w:rsidRPr="00B1135E">
        <w:t xml:space="preserve"> can be calculated </w:t>
      </w:r>
      <w:r w:rsidR="00803EA1" w:rsidRPr="00B1135E">
        <w:t xml:space="preserve">by applying the decomposition </w:t>
      </w:r>
      <w:r w:rsidR="006B7460" w:rsidRPr="00B1135E">
        <w:t xml:space="preserve">results </w:t>
      </w:r>
      <w:r w:rsidR="00803EA1" w:rsidRPr="00B1135E">
        <w:t xml:space="preserve">to the unadjusted GPG </w:t>
      </w:r>
      <w:r w:rsidR="00DF5563" w:rsidRPr="00B1135E">
        <w:t>as follows:</w:t>
      </w:r>
    </w:p>
    <w:p w:rsidR="00DF5563" w:rsidRPr="00B1135E" w:rsidRDefault="001F30FD" w:rsidP="00803EA1">
      <w:pPr>
        <w:pStyle w:val="Body"/>
        <w:jc w:val="center"/>
        <w:rPr>
          <w:sz w:val="22"/>
          <w:szCs w:val="22"/>
        </w:rPr>
      </w:pPr>
      <m:oMath>
        <m:sSub>
          <m:sSubPr>
            <m:ctrlPr>
              <w:rPr>
                <w:rFonts w:ascii="Cambria Math" w:hAnsi="Cambria Math"/>
                <w:i/>
                <w:sz w:val="22"/>
                <w:szCs w:val="22"/>
              </w:rPr>
            </m:ctrlPr>
          </m:sSubPr>
          <m:e>
            <m:r>
              <w:rPr>
                <w:rFonts w:ascii="Cambria Math" w:hAnsi="Cambria Math"/>
                <w:sz w:val="22"/>
                <w:szCs w:val="22"/>
              </w:rPr>
              <m:t>GPG</m:t>
            </m:r>
          </m:e>
          <m:sub>
            <m:r>
              <w:rPr>
                <w:rFonts w:ascii="Cambria Math" w:hAnsi="Cambria Math"/>
                <w:sz w:val="22"/>
                <w:szCs w:val="22"/>
              </w:rPr>
              <m:t>expl</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GPG</m:t>
            </m:r>
          </m:e>
          <m:sub>
            <m:r>
              <w:rPr>
                <w:rFonts w:ascii="Cambria Math" w:hAnsi="Cambria Math"/>
                <w:sz w:val="22"/>
                <w:szCs w:val="22"/>
              </w:rPr>
              <m:t>unadj</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E</m:t>
            </m:r>
          </m:num>
          <m:den>
            <m:r>
              <w:rPr>
                <w:rFonts w:ascii="Cambria Math" w:hAnsi="Cambria Math"/>
                <w:sz w:val="22"/>
                <w:szCs w:val="22"/>
              </w:rPr>
              <m:t>∆</m:t>
            </m:r>
          </m:den>
        </m:f>
      </m:oMath>
      <w:r w:rsidR="00DF5563" w:rsidRPr="00B1135E">
        <w:rPr>
          <w:sz w:val="22"/>
          <w:szCs w:val="22"/>
        </w:rPr>
        <w:t xml:space="preserve">  </w:t>
      </w:r>
      <w:r w:rsidR="00F23E67" w:rsidRPr="00B1135E">
        <w:rPr>
          <w:szCs w:val="19"/>
        </w:rPr>
        <w:t>and</w:t>
      </w:r>
      <w:r w:rsidR="00DF5563" w:rsidRPr="00B1135E">
        <w:rPr>
          <w:sz w:val="22"/>
          <w:szCs w:val="22"/>
        </w:rPr>
        <w:t xml:space="preserve"> </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GPG</m:t>
            </m:r>
          </m:e>
          <m:sub>
            <m:r>
              <w:rPr>
                <w:rFonts w:ascii="Cambria Math" w:hAnsi="Cambria Math"/>
                <w:sz w:val="22"/>
                <w:szCs w:val="22"/>
              </w:rPr>
              <m:t>unexpl</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GPG</m:t>
            </m:r>
          </m:e>
          <m:sub>
            <m:r>
              <w:rPr>
                <w:rFonts w:ascii="Cambria Math" w:hAnsi="Cambria Math"/>
                <w:sz w:val="22"/>
                <w:szCs w:val="22"/>
              </w:rPr>
              <m:t>unadj</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U</m:t>
            </m:r>
          </m:num>
          <m:den>
            <m:r>
              <w:rPr>
                <w:rFonts w:ascii="Cambria Math" w:hAnsi="Cambria Math"/>
                <w:sz w:val="22"/>
                <w:szCs w:val="22"/>
              </w:rPr>
              <m:t>∆</m:t>
            </m:r>
          </m:den>
        </m:f>
      </m:oMath>
    </w:p>
    <w:p w:rsidR="00DF5563" w:rsidRDefault="006B7460" w:rsidP="004A15C7">
      <w:pPr>
        <w:pStyle w:val="Body"/>
      </w:pPr>
      <w:r w:rsidRPr="00B1135E">
        <w:t>We can also calculate the subcomponents of the explained GPG by applying the decomposition results</w:t>
      </w:r>
      <w:r w:rsidR="00F02FC1" w:rsidRPr="00B1135E">
        <w:t xml:space="preserve"> (</w:t>
      </w:r>
      <m:oMath>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k</m:t>
                </m:r>
              </m:sub>
            </m:sSub>
          </m:num>
          <m:den>
            <m:r>
              <w:rPr>
                <w:rFonts w:ascii="Cambria Math" w:hAnsi="Cambria Math"/>
                <w:sz w:val="22"/>
                <w:szCs w:val="22"/>
              </w:rPr>
              <m:t>∆</m:t>
            </m:r>
          </m:den>
        </m:f>
      </m:oMath>
      <w:r w:rsidR="00F02FC1" w:rsidRPr="00B1135E">
        <w:t xml:space="preserve">) </w:t>
      </w:r>
      <w:r w:rsidRPr="00B1135E">
        <w:t>to the unadjusted GPG.</w:t>
      </w:r>
    </w:p>
    <w:p w:rsidR="00347E26" w:rsidRPr="00B1135E" w:rsidRDefault="00347E26" w:rsidP="004A15C7">
      <w:pPr>
        <w:pStyle w:val="Body"/>
      </w:pPr>
    </w:p>
    <w:p w:rsidR="005D1689" w:rsidRPr="00B1135E" w:rsidRDefault="00716F42" w:rsidP="00716F42">
      <w:pPr>
        <w:pStyle w:val="Heading20"/>
        <w:rPr>
          <w:lang w:eastAsia="en-GB"/>
        </w:rPr>
      </w:pPr>
      <w:bookmarkStart w:id="9" w:name="_Toc511814811"/>
      <w:r w:rsidRPr="00B1135E">
        <w:rPr>
          <w:lang w:eastAsia="en-GB"/>
        </w:rPr>
        <w:t xml:space="preserve">2.3 </w:t>
      </w:r>
      <w:r w:rsidR="0081507B" w:rsidRPr="00B1135E">
        <w:rPr>
          <w:lang w:eastAsia="en-GB"/>
        </w:rPr>
        <w:t>Statistical s</w:t>
      </w:r>
      <w:r w:rsidR="005D1689" w:rsidRPr="00B1135E">
        <w:rPr>
          <w:lang w:eastAsia="en-GB"/>
        </w:rPr>
        <w:t>oftware</w:t>
      </w:r>
      <w:bookmarkEnd w:id="9"/>
    </w:p>
    <w:p w:rsidR="000F5259" w:rsidRPr="00B1135E" w:rsidRDefault="000F5259" w:rsidP="004A15C7">
      <w:pPr>
        <w:pStyle w:val="Body"/>
      </w:pPr>
      <w:r w:rsidRPr="00B1135E">
        <w:t xml:space="preserve">The software </w:t>
      </w:r>
      <w:r w:rsidR="00347E26">
        <w:t xml:space="preserve">programme SAS </w:t>
      </w:r>
      <w:r w:rsidRPr="00B1135E">
        <w:t>was used to carry out</w:t>
      </w:r>
      <w:r w:rsidR="005D1689" w:rsidRPr="00B1135E">
        <w:t xml:space="preserve"> the regression analysis and </w:t>
      </w:r>
      <w:r w:rsidRPr="00B1135E">
        <w:t>decomposition</w:t>
      </w:r>
      <w:r w:rsidR="005D1689" w:rsidRPr="00B1135E">
        <w:t xml:space="preserve">. </w:t>
      </w:r>
      <w:r w:rsidR="00AC41EA">
        <w:t>Because</w:t>
      </w:r>
      <w:r w:rsidR="00AC41EA" w:rsidRPr="00B1135E">
        <w:t xml:space="preserve"> </w:t>
      </w:r>
      <w:r w:rsidR="005D1689" w:rsidRPr="00B1135E">
        <w:t xml:space="preserve">the </w:t>
      </w:r>
      <w:r w:rsidRPr="00B1135E">
        <w:t xml:space="preserve">Structure of Earnings Survey </w:t>
      </w:r>
      <w:r w:rsidR="005D1689" w:rsidRPr="00B1135E">
        <w:t xml:space="preserve">is a </w:t>
      </w:r>
      <w:r w:rsidR="00AC41EA">
        <w:t>two</w:t>
      </w:r>
      <w:r w:rsidR="005D1689" w:rsidRPr="00B1135E">
        <w:t xml:space="preserve">-stage survey, Eurostat applied the SAS procedures </w:t>
      </w:r>
      <w:r w:rsidR="00AC41EA">
        <w:t>that</w:t>
      </w:r>
      <w:r w:rsidR="00AC41EA" w:rsidRPr="00B1135E">
        <w:t xml:space="preserve"> </w:t>
      </w:r>
      <w:r w:rsidR="005D1689" w:rsidRPr="00B1135E">
        <w:t xml:space="preserve">have been created for complex surveys (Lewis 2017), namely </w:t>
      </w:r>
      <w:r w:rsidRPr="00B1135E">
        <w:t>‘</w:t>
      </w:r>
      <w:r w:rsidR="005D1689" w:rsidRPr="00B1135E">
        <w:t>proc surveyreg</w:t>
      </w:r>
      <w:r w:rsidRPr="00B1135E">
        <w:t>’</w:t>
      </w:r>
      <w:r w:rsidR="005D1689" w:rsidRPr="00B1135E">
        <w:t xml:space="preserve"> and </w:t>
      </w:r>
      <w:r w:rsidRPr="00B1135E">
        <w:t>‘</w:t>
      </w:r>
      <w:r w:rsidR="005D1689" w:rsidRPr="00B1135E">
        <w:t>proc surveymean</w:t>
      </w:r>
      <w:r w:rsidRPr="00B1135E">
        <w:t>’</w:t>
      </w:r>
      <w:r w:rsidR="005D1689" w:rsidRPr="00B1135E">
        <w:t xml:space="preserve">. The procedure </w:t>
      </w:r>
      <w:r w:rsidRPr="00B1135E">
        <w:t>‘</w:t>
      </w:r>
      <w:r w:rsidR="005D1689" w:rsidRPr="00B1135E">
        <w:t>proc surveyreg</w:t>
      </w:r>
      <w:r w:rsidRPr="00B1135E">
        <w:t>’</w:t>
      </w:r>
      <w:r w:rsidR="005D1689" w:rsidRPr="00B1135E">
        <w:rPr>
          <w:i/>
        </w:rPr>
        <w:t xml:space="preserve"> </w:t>
      </w:r>
      <w:r w:rsidR="006F40BF" w:rsidRPr="00B1135E">
        <w:t xml:space="preserve">was used to fit </w:t>
      </w:r>
      <w:r w:rsidR="00D96EA6" w:rsidRPr="00B1135E">
        <w:t xml:space="preserve">the </w:t>
      </w:r>
      <w:r w:rsidR="006F40BF" w:rsidRPr="00B1135E">
        <w:t>linear regression models</w:t>
      </w:r>
      <w:r w:rsidR="005D1689" w:rsidRPr="00B1135E">
        <w:t xml:space="preserve"> and the procedure </w:t>
      </w:r>
      <w:r w:rsidRPr="00B1135E">
        <w:t>‘</w:t>
      </w:r>
      <w:r w:rsidR="005D1689" w:rsidRPr="00B1135E">
        <w:t>proc surveymean</w:t>
      </w:r>
      <w:r w:rsidRPr="00B1135E">
        <w:t>’</w:t>
      </w:r>
      <w:r w:rsidR="005D1689" w:rsidRPr="00B1135E">
        <w:t xml:space="preserve"> was used to calculate the means of the variables.</w:t>
      </w:r>
    </w:p>
    <w:p w:rsidR="00F67287" w:rsidRPr="00B1135E" w:rsidRDefault="005D1689" w:rsidP="004A15C7">
      <w:pPr>
        <w:pStyle w:val="Body"/>
      </w:pPr>
      <w:r w:rsidRPr="00B1135E">
        <w:t>When applying these SAS procedures</w:t>
      </w:r>
      <w:r w:rsidR="000F5259" w:rsidRPr="00B1135E">
        <w:t>, the sampling design of the Structure of Earnings Survey</w:t>
      </w:r>
      <w:r w:rsidRPr="00B1135E">
        <w:t xml:space="preserve"> was taken into account.</w:t>
      </w:r>
      <w:r w:rsidR="000F5259" w:rsidRPr="00B1135E">
        <w:t xml:space="preserve"> </w:t>
      </w:r>
      <w:r w:rsidRPr="00B1135E">
        <w:t>The sam</w:t>
      </w:r>
      <w:r w:rsidR="000F5259" w:rsidRPr="00B1135E">
        <w:t>pling procedure used for the Structure of Earnings Survey</w:t>
      </w:r>
      <w:r w:rsidRPr="00B1135E">
        <w:t xml:space="preserve"> </w:t>
      </w:r>
      <w:r w:rsidR="00AC41EA">
        <w:t xml:space="preserve">usually </w:t>
      </w:r>
      <w:r w:rsidRPr="00B1135E">
        <w:t xml:space="preserve">contains two stages. In the first stage, a stratified random sample of enterprises (or local units) is drawn. For the second stage, a simple random sample of employees is usually taken within each of the selected enterprises. This sample design implies that enterprises can be treated as clusters of employees. These clusters can be identified using one of the SES keys, namely </w:t>
      </w:r>
      <w:r w:rsidR="000F5259" w:rsidRPr="00B1135E">
        <w:t>‘</w:t>
      </w:r>
      <w:r w:rsidRPr="00B1135E">
        <w:t>KEY_L</w:t>
      </w:r>
      <w:r w:rsidR="000F5259" w:rsidRPr="00B1135E">
        <w:t>’</w:t>
      </w:r>
      <w:r w:rsidRPr="00B1135E">
        <w:t>. The sample weights for employees ar</w:t>
      </w:r>
      <w:r w:rsidR="000F5259" w:rsidRPr="00B1135E">
        <w:t>e provided in the SES variable 5.2</w:t>
      </w:r>
      <w:r w:rsidRPr="00B1135E">
        <w:t xml:space="preserve"> </w:t>
      </w:r>
      <w:r w:rsidR="000F5259" w:rsidRPr="00B1135E">
        <w:t>‘</w:t>
      </w:r>
      <w:r w:rsidRPr="00B1135E">
        <w:t>Grossing up factor for the employees</w:t>
      </w:r>
      <w:r w:rsidR="000F5259" w:rsidRPr="00B1135E">
        <w:t>’</w:t>
      </w:r>
      <w:r w:rsidRPr="00B1135E">
        <w:t xml:space="preserve">. The sample weights and clusters were specified in the SAS procedures </w:t>
      </w:r>
      <w:r w:rsidR="000F5259" w:rsidRPr="00B1135E">
        <w:t>‘</w:t>
      </w:r>
      <w:r w:rsidRPr="00B1135E">
        <w:t>proc surveyreg</w:t>
      </w:r>
      <w:r w:rsidR="000F5259" w:rsidRPr="00B1135E">
        <w:t>’</w:t>
      </w:r>
      <w:r w:rsidRPr="00B1135E">
        <w:t xml:space="preserve"> and </w:t>
      </w:r>
      <w:r w:rsidR="000F5259" w:rsidRPr="00B1135E">
        <w:t>‘</w:t>
      </w:r>
      <w:r w:rsidRPr="00B1135E">
        <w:t>proc surveymean</w:t>
      </w:r>
      <w:r w:rsidR="000F5259" w:rsidRPr="00B1135E">
        <w:t>’</w:t>
      </w:r>
      <w:r w:rsidRPr="00B1135E">
        <w:t xml:space="preserve">. </w:t>
      </w:r>
      <w:r w:rsidR="0055400B" w:rsidRPr="00B1135E">
        <w:t>More information on the SES keys and weights</w:t>
      </w:r>
      <w:r w:rsidR="00D75152" w:rsidRPr="00B1135E">
        <w:t xml:space="preserve"> </w:t>
      </w:r>
      <w:r w:rsidR="0055400B" w:rsidRPr="00B1135E">
        <w:t>can be found in the SES implementing a</w:t>
      </w:r>
      <w:r w:rsidR="009F4C77" w:rsidRPr="00B1135E">
        <w:t>rrangements (Eurostat</w:t>
      </w:r>
      <w:r w:rsidR="0055400B" w:rsidRPr="00B1135E">
        <w:t xml:space="preserve"> 2014).</w:t>
      </w:r>
    </w:p>
    <w:p w:rsidR="00C80349" w:rsidRPr="00B1135E" w:rsidRDefault="00C80349" w:rsidP="00DE259E">
      <w:pPr>
        <w:pStyle w:val="Body"/>
      </w:pPr>
    </w:p>
    <w:p w:rsidR="00BD64ED" w:rsidRPr="00BD64ED" w:rsidRDefault="00C80349" w:rsidP="00BD64ED">
      <w:pPr>
        <w:pStyle w:val="Heading1"/>
        <w:rPr>
          <w:rFonts w:cs="Times-Roman"/>
          <w:color w:val="000000"/>
          <w:sz w:val="19"/>
          <w:szCs w:val="20"/>
          <w:lang w:eastAsia="en-GB"/>
        </w:rPr>
      </w:pPr>
      <w:r w:rsidRPr="00B1135E">
        <w:br w:type="page"/>
      </w:r>
      <w:bookmarkStart w:id="10" w:name="_Toc511814813"/>
      <w:r w:rsidR="00BD64ED">
        <w:rPr>
          <w:lang w:eastAsia="en-GB"/>
        </w:rPr>
        <w:lastRenderedPageBreak/>
        <w:t xml:space="preserve">3. </w:t>
      </w:r>
      <w:r w:rsidR="00BD64ED" w:rsidRPr="00BD64ED">
        <w:rPr>
          <w:lang w:eastAsia="en-GB"/>
        </w:rPr>
        <w:t>Results and analysis</w:t>
      </w:r>
    </w:p>
    <w:p w:rsidR="006659A9" w:rsidRPr="00B1135E" w:rsidRDefault="00716F42" w:rsidP="00716F42">
      <w:pPr>
        <w:pStyle w:val="Heading20"/>
        <w:rPr>
          <w:lang w:eastAsia="en-GB"/>
        </w:rPr>
      </w:pPr>
      <w:r w:rsidRPr="00B1135E">
        <w:rPr>
          <w:lang w:eastAsia="en-GB"/>
        </w:rPr>
        <w:t xml:space="preserve">3.1 </w:t>
      </w:r>
      <w:r w:rsidR="00877AC3" w:rsidRPr="00B1135E">
        <w:rPr>
          <w:lang w:eastAsia="en-GB"/>
        </w:rPr>
        <w:t>Decomposition of the difference between log hourly earnings of men and women</w:t>
      </w:r>
      <w:bookmarkEnd w:id="10"/>
    </w:p>
    <w:p w:rsidR="009E3507" w:rsidRPr="00B1135E" w:rsidRDefault="00877AC3" w:rsidP="002F498A">
      <w:pPr>
        <w:pStyle w:val="Body"/>
      </w:pPr>
      <w:r w:rsidRPr="00B1135E">
        <w:t>This section presents the results of the decomposition analysis based on</w:t>
      </w:r>
      <w:r w:rsidR="00FD4328" w:rsidRPr="00B1135E">
        <w:t xml:space="preserve"> the 2014 microdata of t</w:t>
      </w:r>
      <w:r w:rsidRPr="00B1135E">
        <w:t xml:space="preserve">he Structure of Earnings Survey. </w:t>
      </w:r>
      <w:r w:rsidR="00337E2D" w:rsidRPr="00B1135E">
        <w:t xml:space="preserve">Table </w:t>
      </w:r>
      <w:r w:rsidR="00D54A30">
        <w:t>2</w:t>
      </w:r>
      <w:r w:rsidR="00337E2D" w:rsidRPr="00B1135E">
        <w:t xml:space="preserve"> shows </w:t>
      </w:r>
      <w:r w:rsidR="00BD7537" w:rsidRPr="00B1135E">
        <w:t xml:space="preserve">the results of the decomposition of </w:t>
      </w:r>
      <w:r w:rsidR="00337E2D" w:rsidRPr="00B1135E">
        <w:t xml:space="preserve">the </w:t>
      </w:r>
      <w:r w:rsidR="00BD7537" w:rsidRPr="00B1135E">
        <w:t xml:space="preserve">difference between log hourly earnings of men and women. The </w:t>
      </w:r>
      <w:r w:rsidR="00337E2D" w:rsidRPr="00B1135E">
        <w:t>ov</w:t>
      </w:r>
      <w:r w:rsidR="00BD7537" w:rsidRPr="00B1135E">
        <w:t>erall explained part</w:t>
      </w:r>
      <w:r w:rsidR="00337E2D" w:rsidRPr="00B1135E">
        <w:t xml:space="preserve"> </w:t>
      </w:r>
      <w:r w:rsidR="00CF77CF" w:rsidRPr="00B1135E">
        <w:t>(</w:t>
      </w:r>
      <w:r w:rsidR="00CF77CF" w:rsidRPr="00B1135E">
        <w:rPr>
          <w:i/>
        </w:rPr>
        <w:t>E</w:t>
      </w:r>
      <w:r w:rsidR="00CF77CF" w:rsidRPr="00B1135E">
        <w:t xml:space="preserve">) </w:t>
      </w:r>
      <w:r w:rsidR="00337E2D" w:rsidRPr="00B1135E">
        <w:t xml:space="preserve">and its subcomponents </w:t>
      </w:r>
      <w:r w:rsidR="00337E2D" w:rsidRPr="00B1135E">
        <w:rPr>
          <w:rFonts w:cs="Arial"/>
        </w:rPr>
        <w:t>(</w:t>
      </w:r>
      <m:oMath>
        <m:sSub>
          <m:sSubPr>
            <m:ctrlPr>
              <w:rPr>
                <w:rFonts w:ascii="Cambria Math" w:hAnsi="Cambria Math" w:cs="Arial"/>
                <w:i/>
              </w:rPr>
            </m:ctrlPr>
          </m:sSubPr>
          <m:e>
            <m:r>
              <w:rPr>
                <w:rFonts w:ascii="Cambria Math" w:hAnsi="Cambria Math" w:cs="Arial"/>
              </w:rPr>
              <m:t>E</m:t>
            </m:r>
          </m:e>
          <m:sub>
            <m:r>
              <w:rPr>
                <w:rFonts w:ascii="Cambria Math" w:hAnsi="Cambria Math" w:cs="Arial"/>
              </w:rPr>
              <m:t>k</m:t>
            </m:r>
          </m:sub>
        </m:sSub>
      </m:oMath>
      <w:r w:rsidR="00CF77CF" w:rsidRPr="00B1135E">
        <w:rPr>
          <w:rFonts w:cs="Arial"/>
        </w:rPr>
        <w:t xml:space="preserve"> -</w:t>
      </w:r>
      <w:r w:rsidR="00CF77CF" w:rsidRPr="00B1135E">
        <w:t xml:space="preserve"> </w:t>
      </w:r>
      <w:r w:rsidR="00337E2D" w:rsidRPr="00B1135E">
        <w:t>explanatory factors) as well as th</w:t>
      </w:r>
      <w:r w:rsidR="00BD7537" w:rsidRPr="00B1135E">
        <w:t xml:space="preserve">e unexplained part </w:t>
      </w:r>
      <w:r w:rsidR="00CF77CF" w:rsidRPr="00B1135E">
        <w:t>(</w:t>
      </w:r>
      <w:r w:rsidR="00CF77CF" w:rsidRPr="00B1135E">
        <w:rPr>
          <w:i/>
        </w:rPr>
        <w:t>U</w:t>
      </w:r>
      <w:r w:rsidR="00CF77CF" w:rsidRPr="00B1135E">
        <w:t xml:space="preserve">) </w:t>
      </w:r>
      <w:r w:rsidR="00BD7537" w:rsidRPr="00B1135E">
        <w:t>are</w:t>
      </w:r>
      <w:r w:rsidR="00337E2D" w:rsidRPr="00B1135E">
        <w:t xml:space="preserve"> expressed as a percentage of the difference between log ho</w:t>
      </w:r>
      <w:r w:rsidR="00BD7537" w:rsidRPr="00B1135E">
        <w:t>urly earnings of men and women</w:t>
      </w:r>
      <w:r w:rsidR="00337E2D" w:rsidRPr="00B1135E">
        <w:t xml:space="preserve">. The positive explained part means that </w:t>
      </w:r>
      <w:r w:rsidR="000C4962" w:rsidRPr="00B1135E">
        <w:t>the differences in average characteristics between male and female workers are in favour of men</w:t>
      </w:r>
      <w:r w:rsidR="00337E2D" w:rsidRPr="00B1135E">
        <w:t>, whereas the neg</w:t>
      </w:r>
      <w:r w:rsidR="00BD7537" w:rsidRPr="00B1135E">
        <w:t>ative explained part means that</w:t>
      </w:r>
      <w:r w:rsidR="000C4962" w:rsidRPr="00B1135E">
        <w:t xml:space="preserve"> the differences in average characteristics between male and female workers are in favour of women</w:t>
      </w:r>
      <w:r w:rsidR="00337E2D" w:rsidRPr="00B1135E">
        <w:t>.</w:t>
      </w:r>
      <w:r w:rsidR="002C3D7D" w:rsidRPr="00B1135E">
        <w:t xml:space="preserve"> </w:t>
      </w:r>
      <w:r w:rsidR="00EE6A77" w:rsidRPr="00B1135E">
        <w:t>The differences concern</w:t>
      </w:r>
      <w:r w:rsidR="002C3D7D" w:rsidRPr="00B1135E">
        <w:t xml:space="preserve"> only those </w:t>
      </w:r>
      <w:r w:rsidR="00EE6A77" w:rsidRPr="00B1135E">
        <w:t>characteristics that are measured in the Structure of Earnings Survey.</w:t>
      </w:r>
      <w:r w:rsidR="008E1A3B" w:rsidRPr="00B1135E">
        <w:t xml:space="preserve"> The proportions of the overall explained part (positive or negative) and the unexplained part sum up to 100</w:t>
      </w:r>
      <w:r w:rsidR="00B1135E">
        <w:t> </w:t>
      </w:r>
      <w:r w:rsidR="008E1A3B" w:rsidRPr="00B1135E">
        <w:t>%.</w:t>
      </w:r>
    </w:p>
    <w:p w:rsidR="006659A9" w:rsidRPr="00B1135E" w:rsidRDefault="000664BA" w:rsidP="002F498A">
      <w:pPr>
        <w:pStyle w:val="Body"/>
      </w:pPr>
      <w:r w:rsidRPr="00B1135E">
        <w:t>T</w:t>
      </w:r>
      <w:r w:rsidR="009E3507" w:rsidRPr="00B1135E">
        <w:t>he difference</w:t>
      </w:r>
      <w:r w:rsidRPr="00B1135E">
        <w:t>s</w:t>
      </w:r>
      <w:r w:rsidR="009E3507" w:rsidRPr="00B1135E">
        <w:t xml:space="preserve"> in a</w:t>
      </w:r>
      <w:r w:rsidRPr="00B1135E">
        <w:t>verage characteristics for categorical</w:t>
      </w:r>
      <w:r w:rsidR="009E3507" w:rsidRPr="00B1135E">
        <w:t xml:space="preserve"> variables </w:t>
      </w:r>
      <w:r w:rsidRPr="00B1135E">
        <w:t>covering job and enterprise characteristics</w:t>
      </w:r>
      <w:r w:rsidR="00AC41EA">
        <w:t xml:space="preserve"> (</w:t>
      </w:r>
      <w:r w:rsidRPr="00B1135E">
        <w:t>namely</w:t>
      </w:r>
      <w:r w:rsidR="00AC41EA">
        <w:t>:</w:t>
      </w:r>
      <w:r w:rsidRPr="00B1135E">
        <w:t xml:space="preserve"> occupation, employment contract, working time, principal economic activity, enterprise size and enterprise control</w:t>
      </w:r>
      <w:r w:rsidR="00AC41EA">
        <w:t>)</w:t>
      </w:r>
      <w:r w:rsidRPr="00B1135E">
        <w:t xml:space="preserve"> </w:t>
      </w:r>
      <w:r w:rsidR="009E3507" w:rsidRPr="00B1135E">
        <w:t>can be interpreted as gender segregation. For e</w:t>
      </w:r>
      <w:r w:rsidR="00551EE3" w:rsidRPr="00B1135E">
        <w:t xml:space="preserve">xample, a </w:t>
      </w:r>
      <w:r w:rsidRPr="00B1135E">
        <w:t xml:space="preserve">positive </w:t>
      </w:r>
      <w:r w:rsidR="00551EE3" w:rsidRPr="00B1135E">
        <w:t>value</w:t>
      </w:r>
      <w:r w:rsidR="009E3507" w:rsidRPr="00B1135E">
        <w:t xml:space="preserve"> </w:t>
      </w:r>
      <w:r w:rsidR="00551EE3" w:rsidRPr="00B1135E">
        <w:t xml:space="preserve">for </w:t>
      </w:r>
      <w:r w:rsidR="009E3507" w:rsidRPr="00B1135E">
        <w:t xml:space="preserve">economic activity means that men worked, on average, in better paid </w:t>
      </w:r>
      <w:r w:rsidR="00544301" w:rsidRPr="00B1135E">
        <w:t>economic sectors</w:t>
      </w:r>
      <w:r w:rsidR="009E3507" w:rsidRPr="00B1135E">
        <w:t xml:space="preserve"> </w:t>
      </w:r>
      <w:r w:rsidR="00C72F82">
        <w:t>than</w:t>
      </w:r>
      <w:r w:rsidR="009E3507" w:rsidRPr="00B1135E">
        <w:t xml:space="preserve"> women, while a negative </w:t>
      </w:r>
      <w:r w:rsidR="00551EE3" w:rsidRPr="00B1135E">
        <w:t>value</w:t>
      </w:r>
      <w:r w:rsidR="009E3507" w:rsidRPr="00B1135E">
        <w:t xml:space="preserve"> means that women worked, on average, in better paid </w:t>
      </w:r>
      <w:r w:rsidR="00544301" w:rsidRPr="00B1135E">
        <w:t>economic sectors</w:t>
      </w:r>
      <w:r w:rsidR="009E3507" w:rsidRPr="00B1135E">
        <w:t xml:space="preserve"> </w:t>
      </w:r>
      <w:r w:rsidR="00C72F82">
        <w:t>than</w:t>
      </w:r>
      <w:r w:rsidR="009E3507" w:rsidRPr="00B1135E">
        <w:t xml:space="preserve"> men.</w:t>
      </w:r>
    </w:p>
    <w:p w:rsidR="002C3D7D" w:rsidRPr="00B1135E" w:rsidRDefault="002C3D7D" w:rsidP="002C3D7D">
      <w:pPr>
        <w:pStyle w:val="Body"/>
      </w:pPr>
      <w:r w:rsidRPr="00B1135E">
        <w:t xml:space="preserve">At the EU level, the overall explained part </w:t>
      </w:r>
      <w:r w:rsidRPr="00B1135E">
        <w:rPr>
          <w:rFonts w:cs="Arial"/>
        </w:rPr>
        <w:t>−</w:t>
      </w:r>
      <w:r w:rsidRPr="00B1135E">
        <w:t xml:space="preserve"> calculated as the weighted average of the </w:t>
      </w:r>
      <w:r w:rsidR="007A39F9" w:rsidRPr="00B1135E">
        <w:t xml:space="preserve">overall </w:t>
      </w:r>
      <w:r w:rsidRPr="00B1135E">
        <w:t xml:space="preserve">explained parts in EU Member States </w:t>
      </w:r>
      <w:r w:rsidRPr="00B1135E">
        <w:rPr>
          <w:rFonts w:cs="Arial"/>
        </w:rPr>
        <w:t>−</w:t>
      </w:r>
      <w:r w:rsidRPr="00B1135E">
        <w:t xml:space="preserve"> is 31</w:t>
      </w:r>
      <w:r w:rsidR="00B1135E">
        <w:t> </w:t>
      </w:r>
      <w:r w:rsidRPr="00B1135E">
        <w:t>%. This means that 31</w:t>
      </w:r>
      <w:r w:rsidR="00B1135E">
        <w:t> </w:t>
      </w:r>
      <w:r w:rsidRPr="00B1135E">
        <w:t>% of the difference between log hourly earnings of men and women can be attributed to the difference in average characteristics between male and female workers that is in favour of men at the EU level. The EU explained part is mostly driven by two explanatory factors, namely, economic activity and working time</w:t>
      </w:r>
      <w:r w:rsidR="00AC41EA">
        <w:t>,</w:t>
      </w:r>
      <w:r w:rsidRPr="00B1135E">
        <w:t xml:space="preserve"> which attribute 32</w:t>
      </w:r>
      <w:r w:rsidR="00B1135E">
        <w:t> </w:t>
      </w:r>
      <w:r w:rsidRPr="00B1135E">
        <w:t>% and 13</w:t>
      </w:r>
      <w:r w:rsidR="00B1135E">
        <w:t> </w:t>
      </w:r>
      <w:r w:rsidRPr="00B1135E">
        <w:t xml:space="preserve">% respectively to the difference between log hourly earnings of men and women. Job experience </w:t>
      </w:r>
      <w:r w:rsidR="00AE35E9" w:rsidRPr="00B1135E">
        <w:t xml:space="preserve">(tenure) </w:t>
      </w:r>
      <w:r w:rsidRPr="00B1135E">
        <w:t>explains only 1</w:t>
      </w:r>
      <w:r w:rsidR="00B1135E">
        <w:t> </w:t>
      </w:r>
      <w:r w:rsidRPr="00B1135E">
        <w:t>% of the difference</w:t>
      </w:r>
      <w:r w:rsidR="00AC41EA">
        <w:t>,</w:t>
      </w:r>
      <w:r w:rsidRPr="00B1135E">
        <w:t xml:space="preserve"> whereas age and enterprise control have no explanatory effect. The positive explanatory factors are partially cancelled out by the negative explanatory factors for education (-7</w:t>
      </w:r>
      <w:r w:rsidR="00B1135E">
        <w:t> </w:t>
      </w:r>
      <w:r w:rsidRPr="00B1135E">
        <w:t>%), enterprise size (-5</w:t>
      </w:r>
      <w:r w:rsidR="00B1135E">
        <w:t> </w:t>
      </w:r>
      <w:r w:rsidRPr="00B1135E">
        <w:t>%), occupation (-3</w:t>
      </w:r>
      <w:r w:rsidR="00B1135E">
        <w:t> </w:t>
      </w:r>
      <w:r w:rsidRPr="00B1135E">
        <w:t>%) and employment contract (-1</w:t>
      </w:r>
      <w:r w:rsidR="00B1135E">
        <w:t> </w:t>
      </w:r>
      <w:r w:rsidRPr="00B1135E">
        <w:t xml:space="preserve">%). At the EU level, the effect of occupation is rather smaller than expected due to its </w:t>
      </w:r>
      <w:r w:rsidR="007B68BA">
        <w:t>uneven</w:t>
      </w:r>
      <w:r w:rsidR="007B68BA" w:rsidRPr="00B1135E">
        <w:t xml:space="preserve"> </w:t>
      </w:r>
      <w:r w:rsidRPr="00B1135E">
        <w:t>effect across EU Member States</w:t>
      </w:r>
      <w:r w:rsidR="00AC41EA">
        <w:t>,</w:t>
      </w:r>
      <w:r w:rsidRPr="00B1135E">
        <w:t xml:space="preserve"> as can be seen in Table </w:t>
      </w:r>
      <w:r w:rsidR="00D54A30">
        <w:t>2</w:t>
      </w:r>
      <w:r w:rsidRPr="00B1135E">
        <w:t>.</w:t>
      </w:r>
    </w:p>
    <w:p w:rsidR="002C3D7D" w:rsidRPr="00B1135E" w:rsidRDefault="002C3D7D" w:rsidP="002C3D7D">
      <w:pPr>
        <w:pStyle w:val="Body"/>
      </w:pPr>
      <w:r w:rsidRPr="00B1135E">
        <w:t>Across EU Member States, the overall explained part varies from -283</w:t>
      </w:r>
      <w:r w:rsidR="00B1135E">
        <w:t> </w:t>
      </w:r>
      <w:r w:rsidRPr="00B1135E">
        <w:t>% in Romania to 65</w:t>
      </w:r>
      <w:r w:rsidR="00B1135E">
        <w:t> </w:t>
      </w:r>
      <w:r w:rsidRPr="00B1135E">
        <w:t xml:space="preserve">% in Germany. The explained part is mostly driven by </w:t>
      </w:r>
      <w:r w:rsidR="00544301" w:rsidRPr="00B1135E">
        <w:t>three</w:t>
      </w:r>
      <w:r w:rsidRPr="00B1135E">
        <w:t xml:space="preserve"> explanatory factors: economic activity, occupation</w:t>
      </w:r>
      <w:r w:rsidR="00544301" w:rsidRPr="00B1135E">
        <w:t xml:space="preserve"> and</w:t>
      </w:r>
      <w:r w:rsidRPr="00B1135E">
        <w:t xml:space="preserve"> education. Economic activity accounts for </w:t>
      </w:r>
      <w:r w:rsidR="00C91185" w:rsidRPr="00B1135E">
        <w:t>more than 10</w:t>
      </w:r>
      <w:r w:rsidR="00B1135E">
        <w:t> </w:t>
      </w:r>
      <w:r w:rsidR="00C91185" w:rsidRPr="00B1135E">
        <w:t>%, i</w:t>
      </w:r>
      <w:r w:rsidR="00B66F54" w:rsidRPr="00B1135E">
        <w:t>rrespective of the sign</w:t>
      </w:r>
      <w:r w:rsidR="00C91185" w:rsidRPr="00B1135E">
        <w:t xml:space="preserve">, </w:t>
      </w:r>
      <w:r w:rsidRPr="00B1135E">
        <w:t xml:space="preserve">of the difference between log hourly earnings of men and women (as highlighted in Table </w:t>
      </w:r>
      <w:r w:rsidR="00D54A30">
        <w:t>2</w:t>
      </w:r>
      <w:r w:rsidRPr="00B1135E">
        <w:t>) in</w:t>
      </w:r>
      <w:r w:rsidR="00B63E5D" w:rsidRPr="00B1135E">
        <w:br/>
      </w:r>
      <w:r w:rsidR="00AC41EA">
        <w:t>25</w:t>
      </w:r>
      <w:r w:rsidRPr="00B1135E">
        <w:t xml:space="preserve"> Member States, occupation in </w:t>
      </w:r>
      <w:r w:rsidR="00AC41EA">
        <w:t>20</w:t>
      </w:r>
      <w:r w:rsidR="00544301" w:rsidRPr="00B1135E">
        <w:t xml:space="preserve"> and</w:t>
      </w:r>
      <w:r w:rsidRPr="00B1135E">
        <w:t xml:space="preserve"> education in </w:t>
      </w:r>
      <w:r w:rsidR="00AC41EA">
        <w:t>14</w:t>
      </w:r>
      <w:r w:rsidRPr="00B1135E">
        <w:t>.</w:t>
      </w:r>
    </w:p>
    <w:p w:rsidR="002C3D7D" w:rsidRPr="00B1135E" w:rsidRDefault="002C3D7D" w:rsidP="002F498A">
      <w:pPr>
        <w:pStyle w:val="Body"/>
      </w:pPr>
    </w:p>
    <w:p w:rsidR="006659A9" w:rsidRPr="00B1135E" w:rsidRDefault="00317695" w:rsidP="00576F79">
      <w:pPr>
        <w:pStyle w:val="Table-graph-maptitle"/>
        <w:keepNext/>
        <w:spacing w:after="120" w:line="240" w:lineRule="auto"/>
        <w:ind w:left="0"/>
        <w:rPr>
          <w:sz w:val="15"/>
          <w:szCs w:val="15"/>
        </w:rPr>
      </w:pPr>
      <w:r w:rsidRPr="00B1135E">
        <w:lastRenderedPageBreak/>
        <w:t xml:space="preserve">Table </w:t>
      </w:r>
      <w:r w:rsidR="00634124">
        <w:t>2</w:t>
      </w:r>
      <w:r w:rsidR="006659A9" w:rsidRPr="00B1135E">
        <w:t xml:space="preserve">: </w:t>
      </w:r>
      <w:r w:rsidR="00576F79" w:rsidRPr="00B1135E">
        <w:t xml:space="preserve">Decomposition of the difference between log hourly earnings of men and women, 2014* </w:t>
      </w:r>
      <w:r w:rsidR="00576F79" w:rsidRPr="00B1135E">
        <w:rPr>
          <w:sz w:val="15"/>
          <w:szCs w:val="15"/>
        </w:rPr>
        <w:t>(</w:t>
      </w:r>
      <w:r w:rsidR="00B95BE7" w:rsidRPr="00B1135E">
        <w:rPr>
          <w:sz w:val="15"/>
          <w:szCs w:val="15"/>
        </w:rPr>
        <w:t>%</w:t>
      </w:r>
      <w:r w:rsidR="00361353" w:rsidRPr="00B1135E">
        <w:rPr>
          <w:sz w:val="15"/>
          <w:szCs w:val="15"/>
        </w:rPr>
        <w:t xml:space="preserve"> of the difference between log hourly earnings of men and women</w:t>
      </w:r>
      <w:r w:rsidR="00576F79" w:rsidRPr="00B1135E">
        <w:rPr>
          <w:sz w:val="15"/>
          <w:szCs w:val="15"/>
        </w:rPr>
        <w:t>)</w:t>
      </w:r>
      <w:r w:rsidR="00CC065B" w:rsidRPr="00B1135E">
        <w:rPr>
          <w:sz w:val="15"/>
          <w:szCs w:val="15"/>
        </w:rPr>
        <w:t>*</w:t>
      </w:r>
    </w:p>
    <w:p w:rsidR="006659A9" w:rsidRPr="00B1135E" w:rsidRDefault="00FD41FF" w:rsidP="006659A9">
      <w:pPr>
        <w:rPr>
          <w:rFonts w:ascii="Times New Roman" w:hAnsi="Times New Roman"/>
          <w:sz w:val="24"/>
          <w:lang w:eastAsia="en-GB"/>
        </w:rPr>
      </w:pPr>
      <w:r w:rsidRPr="00B1135E">
        <w:rPr>
          <w:noProof/>
          <w:lang w:eastAsia="en-GB"/>
        </w:rPr>
        <w:drawing>
          <wp:inline distT="0" distB="0" distL="0" distR="0" wp14:anchorId="393C9178" wp14:editId="63A57B2A">
            <wp:extent cx="5395595" cy="456234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5595" cy="4562347"/>
                    </a:xfrm>
                    <a:prstGeom prst="rect">
                      <a:avLst/>
                    </a:prstGeom>
                    <a:noFill/>
                    <a:ln>
                      <a:noFill/>
                    </a:ln>
                  </pic:spPr>
                </pic:pic>
              </a:graphicData>
            </a:graphic>
          </wp:inline>
        </w:drawing>
      </w:r>
    </w:p>
    <w:p w:rsidR="00700799" w:rsidRPr="00B1135E" w:rsidRDefault="00700799" w:rsidP="00C553A7">
      <w:pPr>
        <w:pStyle w:val="Body"/>
        <w:spacing w:before="120" w:after="0" w:line="0" w:lineRule="atLeast"/>
        <w:rPr>
          <w:sz w:val="14"/>
          <w:szCs w:val="14"/>
        </w:rPr>
      </w:pPr>
      <w:r w:rsidRPr="00B1135E">
        <w:rPr>
          <w:sz w:val="14"/>
          <w:szCs w:val="14"/>
        </w:rPr>
        <w:t xml:space="preserve">* The figures for </w:t>
      </w:r>
      <w:r w:rsidR="00430B22" w:rsidRPr="00B1135E">
        <w:rPr>
          <w:sz w:val="14"/>
          <w:szCs w:val="14"/>
        </w:rPr>
        <w:t>the explanatory factor ‘</w:t>
      </w:r>
      <w:r w:rsidRPr="00B1135E">
        <w:rPr>
          <w:sz w:val="14"/>
          <w:szCs w:val="14"/>
        </w:rPr>
        <w:t>age</w:t>
      </w:r>
      <w:r w:rsidR="00430B22" w:rsidRPr="00B1135E">
        <w:rPr>
          <w:sz w:val="14"/>
          <w:szCs w:val="14"/>
        </w:rPr>
        <w:t>’</w:t>
      </w:r>
      <w:r w:rsidRPr="00B1135E">
        <w:rPr>
          <w:sz w:val="14"/>
          <w:szCs w:val="14"/>
        </w:rPr>
        <w:t xml:space="preserve"> are t</w:t>
      </w:r>
      <w:r w:rsidR="00F33CBE" w:rsidRPr="00B1135E">
        <w:rPr>
          <w:sz w:val="14"/>
          <w:szCs w:val="14"/>
        </w:rPr>
        <w:t xml:space="preserve">he sums of the results for the </w:t>
      </w:r>
      <w:r w:rsidR="00430B22" w:rsidRPr="00B1135E">
        <w:rPr>
          <w:sz w:val="14"/>
          <w:szCs w:val="14"/>
        </w:rPr>
        <w:t>variables ‘age’ and ‘</w:t>
      </w:r>
      <w:r w:rsidRPr="00B1135E">
        <w:rPr>
          <w:sz w:val="14"/>
          <w:szCs w:val="14"/>
        </w:rPr>
        <w:t>age squared</w:t>
      </w:r>
      <w:r w:rsidR="00430B22" w:rsidRPr="00B1135E">
        <w:rPr>
          <w:sz w:val="14"/>
          <w:szCs w:val="14"/>
        </w:rPr>
        <w:t>’</w:t>
      </w:r>
      <w:r w:rsidRPr="00B1135E">
        <w:rPr>
          <w:sz w:val="14"/>
          <w:szCs w:val="14"/>
        </w:rPr>
        <w:t xml:space="preserve">; the figures of </w:t>
      </w:r>
      <w:r w:rsidR="00430B22" w:rsidRPr="00B1135E">
        <w:rPr>
          <w:sz w:val="14"/>
          <w:szCs w:val="14"/>
        </w:rPr>
        <w:t>the explanatory factor ‘</w:t>
      </w:r>
      <w:r w:rsidR="00DB3A29">
        <w:rPr>
          <w:sz w:val="14"/>
          <w:szCs w:val="14"/>
        </w:rPr>
        <w:t>job experience</w:t>
      </w:r>
      <w:r w:rsidR="00430B22" w:rsidRPr="00B1135E">
        <w:rPr>
          <w:sz w:val="14"/>
          <w:szCs w:val="14"/>
        </w:rPr>
        <w:t>’</w:t>
      </w:r>
      <w:r w:rsidRPr="00B1135E">
        <w:rPr>
          <w:sz w:val="14"/>
          <w:szCs w:val="14"/>
        </w:rPr>
        <w:t xml:space="preserve"> are t</w:t>
      </w:r>
      <w:r w:rsidR="00430B22" w:rsidRPr="00B1135E">
        <w:rPr>
          <w:sz w:val="14"/>
          <w:szCs w:val="14"/>
        </w:rPr>
        <w:t>he sums of the results for the variables ‘job experience’ and ‘job experience squared’</w:t>
      </w:r>
      <w:r w:rsidRPr="00B1135E">
        <w:rPr>
          <w:sz w:val="14"/>
          <w:szCs w:val="14"/>
        </w:rPr>
        <w:t xml:space="preserve">; for Romania, employees whose weights belong to </w:t>
      </w:r>
      <w:r w:rsidR="007B68BA">
        <w:rPr>
          <w:sz w:val="14"/>
          <w:szCs w:val="14"/>
        </w:rPr>
        <w:t>the fif</w:t>
      </w:r>
      <w:r w:rsidRPr="00B1135E">
        <w:rPr>
          <w:sz w:val="14"/>
          <w:szCs w:val="14"/>
        </w:rPr>
        <w:t>th highest percentile are excluded.</w:t>
      </w:r>
    </w:p>
    <w:p w:rsidR="002C3D7D" w:rsidRPr="00B1135E" w:rsidRDefault="002C3D7D" w:rsidP="00C553A7">
      <w:pPr>
        <w:pStyle w:val="Body"/>
        <w:spacing w:before="120" w:after="0" w:line="0" w:lineRule="atLeast"/>
        <w:rPr>
          <w:sz w:val="14"/>
          <w:szCs w:val="14"/>
        </w:rPr>
      </w:pPr>
    </w:p>
    <w:p w:rsidR="002F498A" w:rsidRPr="00B1135E" w:rsidRDefault="00716F42" w:rsidP="00716F42">
      <w:pPr>
        <w:pStyle w:val="Heading20"/>
        <w:rPr>
          <w:lang w:eastAsia="en-GB"/>
        </w:rPr>
      </w:pPr>
      <w:bookmarkStart w:id="11" w:name="_Toc511814814"/>
      <w:r w:rsidRPr="00B1135E">
        <w:rPr>
          <w:lang w:eastAsia="en-GB"/>
        </w:rPr>
        <w:t xml:space="preserve">3.2 </w:t>
      </w:r>
      <w:r w:rsidR="00877AC3" w:rsidRPr="00B1135E">
        <w:rPr>
          <w:lang w:eastAsia="en-GB"/>
        </w:rPr>
        <w:t>Decomposition of the unadjusted gender pay gap</w:t>
      </w:r>
      <w:bookmarkEnd w:id="11"/>
    </w:p>
    <w:p w:rsidR="00BA11FC" w:rsidRPr="00B1135E" w:rsidRDefault="00BA11FC" w:rsidP="00BA11FC">
      <w:pPr>
        <w:pStyle w:val="Body"/>
      </w:pPr>
      <w:r w:rsidRPr="00B1135E">
        <w:t>Figure 1 presents the results of a decomposition of the unadjusted GPG</w:t>
      </w:r>
      <w:r w:rsidR="00B315C9" w:rsidRPr="00B1135E">
        <w:t xml:space="preserve"> for 2014</w:t>
      </w:r>
      <w:r w:rsidRPr="00B1135E">
        <w:t xml:space="preserve"> into the explained GPG and the unexplained GPG. At the EU level, the overall explained GPG is 5.1</w:t>
      </w:r>
      <w:r w:rsidR="00B1135E">
        <w:t> </w:t>
      </w:r>
      <w:r w:rsidRPr="00B1135E">
        <w:t>% against 16.6</w:t>
      </w:r>
      <w:r w:rsidR="00B1135E">
        <w:t> </w:t>
      </w:r>
      <w:r w:rsidRPr="00B1135E">
        <w:t>% for the unadjusted GPG. This means that women are expected to earn 5.1</w:t>
      </w:r>
      <w:r w:rsidR="00B1135E">
        <w:t> </w:t>
      </w:r>
      <w:r w:rsidRPr="00B1135E">
        <w:t xml:space="preserve">% less than men </w:t>
      </w:r>
      <w:r w:rsidR="004F35CD" w:rsidRPr="00B1135E">
        <w:t xml:space="preserve">according to </w:t>
      </w:r>
      <w:r w:rsidR="0011211C" w:rsidRPr="00B1135E">
        <w:t>the</w:t>
      </w:r>
      <w:r w:rsidR="00C26EB1" w:rsidRPr="00B1135E">
        <w:t xml:space="preserve">ir average </w:t>
      </w:r>
      <w:r w:rsidR="0011211C" w:rsidRPr="00B1135E">
        <w:t xml:space="preserve">characteristics </w:t>
      </w:r>
      <w:r w:rsidR="00C26EB1" w:rsidRPr="00B1135E">
        <w:t>on the labour market</w:t>
      </w:r>
      <w:r w:rsidR="006A0FD9">
        <w:t>,</w:t>
      </w:r>
      <w:r w:rsidR="00C26EB1" w:rsidRPr="00B1135E">
        <w:t xml:space="preserve"> which are less remu</w:t>
      </w:r>
      <w:r w:rsidR="004E482E" w:rsidRPr="00B1135E">
        <w:t>nerative than those of males</w:t>
      </w:r>
      <w:r w:rsidRPr="00B1135E">
        <w:t>.</w:t>
      </w:r>
    </w:p>
    <w:p w:rsidR="00BA11FC" w:rsidRPr="00B1135E" w:rsidRDefault="00BA11FC" w:rsidP="00BA11FC">
      <w:pPr>
        <w:pStyle w:val="Body"/>
      </w:pPr>
      <w:r w:rsidRPr="00B1135E">
        <w:t>Across EU Member States, the overall explained GPG varies from -12.7</w:t>
      </w:r>
      <w:r w:rsidR="00B1135E">
        <w:t> </w:t>
      </w:r>
      <w:r w:rsidRPr="00B1135E">
        <w:t>% in Romania to 14.5</w:t>
      </w:r>
      <w:r w:rsidR="00B1135E">
        <w:t> </w:t>
      </w:r>
      <w:r w:rsidRPr="00B1135E">
        <w:t>% in Germany. A negative gap of 12.7</w:t>
      </w:r>
      <w:r w:rsidR="00B1135E">
        <w:t> </w:t>
      </w:r>
      <w:r w:rsidRPr="00B1135E">
        <w:t>% in Romania means that women are expected to earn 12.7</w:t>
      </w:r>
      <w:r w:rsidR="00B1135E">
        <w:t> </w:t>
      </w:r>
      <w:r w:rsidRPr="00B1135E">
        <w:t xml:space="preserve">% more than men </w:t>
      </w:r>
      <w:r w:rsidR="004F35CD" w:rsidRPr="00B1135E">
        <w:t>according to their average characteristics on the labour market</w:t>
      </w:r>
      <w:r w:rsidR="006A0FD9">
        <w:t>,</w:t>
      </w:r>
      <w:r w:rsidR="004F35CD" w:rsidRPr="00B1135E">
        <w:t xml:space="preserve"> which are more favourable than for </w:t>
      </w:r>
      <w:r w:rsidR="0011211C" w:rsidRPr="00B1135E">
        <w:t>men.</w:t>
      </w:r>
    </w:p>
    <w:p w:rsidR="00ED07E7" w:rsidRPr="00B1135E" w:rsidRDefault="00BA11FC" w:rsidP="00BA11FC">
      <w:pPr>
        <w:pStyle w:val="Body"/>
      </w:pPr>
      <w:r w:rsidRPr="00B1135E">
        <w:t xml:space="preserve">The overall explained gap is negative in </w:t>
      </w:r>
      <w:r w:rsidR="006A0FD9">
        <w:t>11</w:t>
      </w:r>
      <w:r w:rsidR="006A0FD9" w:rsidRPr="00B1135E">
        <w:t xml:space="preserve"> </w:t>
      </w:r>
      <w:r w:rsidRPr="00B1135E">
        <w:t xml:space="preserve">Member States: Bulgaria, </w:t>
      </w:r>
      <w:r w:rsidR="009D0E41" w:rsidRPr="00B1135E">
        <w:t>Ireland,</w:t>
      </w:r>
      <w:r w:rsidR="009D0E41">
        <w:t xml:space="preserve"> </w:t>
      </w:r>
      <w:r w:rsidRPr="00B1135E">
        <w:t xml:space="preserve">Croatia, Italy, Lithuania, Luxembourg, </w:t>
      </w:r>
      <w:r w:rsidR="009D0E41" w:rsidRPr="00B1135E">
        <w:t>Hungary,</w:t>
      </w:r>
      <w:r w:rsidR="009D0E41">
        <w:t xml:space="preserve"> </w:t>
      </w:r>
      <w:r w:rsidRPr="00B1135E">
        <w:t xml:space="preserve">Malta, Poland, Romania and Slovenia, and positive in </w:t>
      </w:r>
      <w:r w:rsidR="006A0FD9">
        <w:t>17</w:t>
      </w:r>
      <w:r w:rsidR="006A0FD9" w:rsidRPr="00B1135E">
        <w:t xml:space="preserve"> </w:t>
      </w:r>
      <w:r w:rsidRPr="00B1135E">
        <w:t>Member States. For the countries with the negative explained gap, the unexplained GPG is higher than the unadjusted figure.</w:t>
      </w:r>
    </w:p>
    <w:p w:rsidR="009C0400" w:rsidRPr="00B1135E" w:rsidRDefault="00AA3D9C" w:rsidP="00AA3D9C">
      <w:pPr>
        <w:pStyle w:val="Body"/>
      </w:pPr>
      <w:r w:rsidRPr="00B1135E">
        <w:t>For the EU as a whole, the estimated unexplained GPG is 11.5</w:t>
      </w:r>
      <w:r w:rsidR="00B1135E">
        <w:t> </w:t>
      </w:r>
      <w:r w:rsidRPr="00B1135E">
        <w:t>% against 16.6</w:t>
      </w:r>
      <w:r w:rsidR="00B1135E">
        <w:t> </w:t>
      </w:r>
      <w:r w:rsidRPr="00B1135E">
        <w:t xml:space="preserve">% for the unadjusted </w:t>
      </w:r>
      <w:r w:rsidRPr="00B1135E">
        <w:lastRenderedPageBreak/>
        <w:t xml:space="preserve">GPG. This means that women </w:t>
      </w:r>
      <w:r w:rsidR="000530E9" w:rsidRPr="00B1135E">
        <w:t xml:space="preserve">still </w:t>
      </w:r>
      <w:r w:rsidRPr="00B1135E">
        <w:t>earn 11.5</w:t>
      </w:r>
      <w:r w:rsidR="00B1135E">
        <w:t> </w:t>
      </w:r>
      <w:r w:rsidRPr="00B1135E">
        <w:t xml:space="preserve">% less than men </w:t>
      </w:r>
      <w:r w:rsidR="000530E9" w:rsidRPr="00B1135E">
        <w:t>after correcting for the different average characteristics of men and women.</w:t>
      </w:r>
    </w:p>
    <w:p w:rsidR="00AA3D9C" w:rsidRPr="00B1135E" w:rsidRDefault="006A0FD9" w:rsidP="00AA3D9C">
      <w:pPr>
        <w:pStyle w:val="Body"/>
      </w:pPr>
      <w:r>
        <w:t xml:space="preserve">However, </w:t>
      </w:r>
      <w:r w:rsidR="00214BE7">
        <w:t>this does not mean that</w:t>
      </w:r>
      <w:r w:rsidR="003E4419" w:rsidRPr="00B1135E">
        <w:t xml:space="preserve"> the unexplained GPG </w:t>
      </w:r>
      <w:r w:rsidR="00516A07" w:rsidRPr="00B1135E">
        <w:t>measur</w:t>
      </w:r>
      <w:r w:rsidR="00214BE7">
        <w:t>es</w:t>
      </w:r>
      <w:r w:rsidR="00516A07" w:rsidRPr="00B1135E">
        <w:t xml:space="preserve"> </w:t>
      </w:r>
      <w:r w:rsidR="003E4419" w:rsidRPr="00B1135E">
        <w:t xml:space="preserve">discrimination </w:t>
      </w:r>
      <w:r w:rsidR="007B68BA">
        <w:t>through</w:t>
      </w:r>
      <w:r w:rsidR="003E4419" w:rsidRPr="00B1135E">
        <w:t xml:space="preserve"> ‘unequal pay for equal work’</w:t>
      </w:r>
      <w:r w:rsidR="00214BE7">
        <w:t>.</w:t>
      </w:r>
      <w:r w:rsidR="009C0400" w:rsidRPr="00B1135E">
        <w:t xml:space="preserve"> </w:t>
      </w:r>
      <w:r w:rsidR="00516A07" w:rsidRPr="00B1135E">
        <w:t>Indeed, SES data miss some important variables such as the total working experience</w:t>
      </w:r>
      <w:r w:rsidR="002F6CAA">
        <w:t>,</w:t>
      </w:r>
      <w:r w:rsidR="00516A07" w:rsidRPr="00B1135E">
        <w:t xml:space="preserve"> which, if taken into account, might </w:t>
      </w:r>
      <w:r w:rsidR="003E4419" w:rsidRPr="00B1135E">
        <w:t xml:space="preserve">change the unexplained gap. </w:t>
      </w:r>
      <w:r w:rsidR="001A19E2" w:rsidRPr="00B1135E">
        <w:t xml:space="preserve">The unexplained GPG </w:t>
      </w:r>
      <w:r w:rsidR="003E4419" w:rsidRPr="00B1135E">
        <w:t xml:space="preserve">should rather </w:t>
      </w:r>
      <w:r w:rsidR="001A19E2" w:rsidRPr="00B1135E">
        <w:t xml:space="preserve">be </w:t>
      </w:r>
      <w:r w:rsidR="003E4419" w:rsidRPr="00B1135E">
        <w:t xml:space="preserve">viewed as a ‘residual gap’ </w:t>
      </w:r>
      <w:r w:rsidR="001A19E2" w:rsidRPr="00B1135E">
        <w:t xml:space="preserve">i.e. </w:t>
      </w:r>
      <w:r w:rsidR="003E4419" w:rsidRPr="00B1135E">
        <w:t xml:space="preserve">the part of the unadjusted GPG </w:t>
      </w:r>
      <w:r w:rsidR="001A19E2" w:rsidRPr="00B1135E">
        <w:t>that remains after correcting for</w:t>
      </w:r>
      <w:r w:rsidR="003E4419" w:rsidRPr="00B1135E">
        <w:t xml:space="preserve"> differen</w:t>
      </w:r>
      <w:r w:rsidR="001A19E2" w:rsidRPr="00B1135E">
        <w:t xml:space="preserve">t characteristics </w:t>
      </w:r>
      <w:r w:rsidR="003E4419" w:rsidRPr="00B1135E">
        <w:t xml:space="preserve">of men and women </w:t>
      </w:r>
      <w:r w:rsidR="001A19E2" w:rsidRPr="00B1135E">
        <w:t xml:space="preserve">in the labour market as </w:t>
      </w:r>
      <w:r w:rsidR="003E4419" w:rsidRPr="00B1135E">
        <w:t xml:space="preserve">observed </w:t>
      </w:r>
      <w:r w:rsidR="001A19E2" w:rsidRPr="00B1135E">
        <w:t>in SES data</w:t>
      </w:r>
      <w:r w:rsidR="003E4419" w:rsidRPr="00B1135E">
        <w:t>.</w:t>
      </w:r>
    </w:p>
    <w:p w:rsidR="00516A07" w:rsidRPr="00B1135E" w:rsidRDefault="00516A07" w:rsidP="00AA3D9C">
      <w:pPr>
        <w:pStyle w:val="Body"/>
      </w:pPr>
      <w:r w:rsidRPr="00B1135E">
        <w:t>The unadjusted GPG varies from 4.5</w:t>
      </w:r>
      <w:r w:rsidR="00B1135E">
        <w:t> </w:t>
      </w:r>
      <w:r w:rsidRPr="00B1135E">
        <w:t>% in Romania to 28.1</w:t>
      </w:r>
      <w:r w:rsidR="00B1135E">
        <w:t> </w:t>
      </w:r>
      <w:r w:rsidRPr="00B1135E">
        <w:t>% in Estonia, whereas the unexplained GPG varies from 2.5</w:t>
      </w:r>
      <w:r w:rsidR="00B1135E">
        <w:t> </w:t>
      </w:r>
      <w:r w:rsidRPr="00B1135E">
        <w:t>% in Belgium to 24.2</w:t>
      </w:r>
      <w:r w:rsidR="00B1135E">
        <w:t> </w:t>
      </w:r>
      <w:r w:rsidRPr="00B1135E">
        <w:t>% in Lithuania.</w:t>
      </w:r>
    </w:p>
    <w:p w:rsidR="00506F3E" w:rsidRPr="00B1135E" w:rsidRDefault="00506F3E" w:rsidP="00AA3D9C">
      <w:pPr>
        <w:pStyle w:val="Body"/>
      </w:pPr>
    </w:p>
    <w:p w:rsidR="00BA11FC" w:rsidRPr="00B1135E" w:rsidRDefault="006659A9" w:rsidP="00FD41FF">
      <w:pPr>
        <w:pStyle w:val="Table-graph-maptitle"/>
        <w:spacing w:before="0" w:line="240" w:lineRule="auto"/>
        <w:ind w:left="0"/>
      </w:pPr>
      <w:r w:rsidRPr="00B1135E">
        <w:t xml:space="preserve">Figure 1: </w:t>
      </w:r>
      <w:r w:rsidR="00BA11FC" w:rsidRPr="00B1135E">
        <w:t>Decomposition of the unadjusted GPG</w:t>
      </w:r>
      <w:r w:rsidR="00B315C9" w:rsidRPr="00B1135E">
        <w:t>, 2014</w:t>
      </w:r>
    </w:p>
    <w:p w:rsidR="006659A9" w:rsidRPr="00B1135E" w:rsidRDefault="00BA11FC" w:rsidP="00FD41FF">
      <w:pPr>
        <w:pStyle w:val="Table-graph-maptitle"/>
        <w:spacing w:before="0" w:after="120" w:line="240" w:lineRule="auto"/>
        <w:ind w:left="0"/>
        <w:rPr>
          <w:sz w:val="15"/>
          <w:szCs w:val="15"/>
        </w:rPr>
      </w:pPr>
      <w:r w:rsidRPr="00B1135E">
        <w:rPr>
          <w:sz w:val="15"/>
          <w:szCs w:val="15"/>
        </w:rPr>
        <w:t>(</w:t>
      </w:r>
      <w:r w:rsidR="00361353" w:rsidRPr="00B1135E">
        <w:rPr>
          <w:sz w:val="15"/>
          <w:szCs w:val="15"/>
        </w:rPr>
        <w:t>difference between male and female hourly earnings</w:t>
      </w:r>
      <w:r w:rsidR="00361353" w:rsidRPr="00B1135E" w:rsidDel="00361353">
        <w:rPr>
          <w:sz w:val="15"/>
          <w:szCs w:val="15"/>
        </w:rPr>
        <w:t xml:space="preserve"> </w:t>
      </w:r>
      <w:r w:rsidR="00361353" w:rsidRPr="00B1135E">
        <w:rPr>
          <w:sz w:val="15"/>
          <w:szCs w:val="15"/>
        </w:rPr>
        <w:t xml:space="preserve">as </w:t>
      </w:r>
      <w:r w:rsidRPr="00B1135E">
        <w:rPr>
          <w:sz w:val="15"/>
          <w:szCs w:val="15"/>
        </w:rPr>
        <w:t>% of male hourly earnings)</w:t>
      </w:r>
    </w:p>
    <w:p w:rsidR="006659A9" w:rsidRPr="00B1135E" w:rsidRDefault="0050264C" w:rsidP="006659A9">
      <w:pPr>
        <w:keepNext/>
        <w:spacing w:after="120"/>
        <w:jc w:val="both"/>
        <w:rPr>
          <w:rFonts w:ascii="Times New Roman" w:hAnsi="Times New Roman"/>
          <w:sz w:val="24"/>
          <w:lang w:eastAsia="en-GB"/>
        </w:rPr>
      </w:pPr>
      <w:r w:rsidRPr="00B1135E">
        <w:rPr>
          <w:noProof/>
          <w:lang w:eastAsia="en-GB"/>
        </w:rPr>
        <w:drawing>
          <wp:inline distT="0" distB="0" distL="0" distR="0" wp14:anchorId="1A01B0B5" wp14:editId="4DE4BD9C">
            <wp:extent cx="5395595" cy="25606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5595" cy="2560659"/>
                    </a:xfrm>
                    <a:prstGeom prst="rect">
                      <a:avLst/>
                    </a:prstGeom>
                    <a:noFill/>
                    <a:ln>
                      <a:noFill/>
                    </a:ln>
                  </pic:spPr>
                </pic:pic>
              </a:graphicData>
            </a:graphic>
          </wp:inline>
        </w:drawing>
      </w:r>
    </w:p>
    <w:p w:rsidR="00BE7016" w:rsidRPr="00B1135E" w:rsidRDefault="00C80164" w:rsidP="00BE7016">
      <w:pPr>
        <w:pStyle w:val="Body"/>
      </w:pPr>
      <w:r w:rsidRPr="00B1135E">
        <w:t xml:space="preserve">Having presented the overall explained and unexplained GPGs, it is interesting to look closer at the explanatory factors. </w:t>
      </w:r>
      <w:r w:rsidR="004A59DF" w:rsidRPr="00B1135E">
        <w:t xml:space="preserve">As shown in Table </w:t>
      </w:r>
      <w:r w:rsidR="00D54A30">
        <w:t>3</w:t>
      </w:r>
      <w:r w:rsidR="007D6419" w:rsidRPr="00B1135E">
        <w:t xml:space="preserve"> and Figure 2</w:t>
      </w:r>
      <w:r w:rsidR="004A59DF" w:rsidRPr="00B1135E">
        <w:t>, t</w:t>
      </w:r>
      <w:r w:rsidR="00BE7016" w:rsidRPr="00B1135E">
        <w:t xml:space="preserve">he EU explained GPG is </w:t>
      </w:r>
      <w:r w:rsidR="00AA3D9C" w:rsidRPr="00B1135E">
        <w:t>strongly</w:t>
      </w:r>
      <w:r w:rsidR="00BE7016" w:rsidRPr="00B1135E">
        <w:t xml:space="preserve"> driven by economic activity (5.4</w:t>
      </w:r>
      <w:r w:rsidR="00B1135E">
        <w:t> </w:t>
      </w:r>
      <w:r w:rsidR="00BE7016" w:rsidRPr="00B1135E">
        <w:t>% gap) and working time (2.1</w:t>
      </w:r>
      <w:r w:rsidR="00B1135E">
        <w:t> </w:t>
      </w:r>
      <w:r w:rsidR="00BE7016" w:rsidRPr="00B1135E">
        <w:t>% gap</w:t>
      </w:r>
      <w:r w:rsidR="007D6419" w:rsidRPr="00B1135E">
        <w:t>)</w:t>
      </w:r>
      <w:r w:rsidR="002F6CAA">
        <w:t>,</w:t>
      </w:r>
      <w:r w:rsidR="009273FC" w:rsidRPr="00B1135E">
        <w:t xml:space="preserve"> whereas a</w:t>
      </w:r>
      <w:r w:rsidR="001A19E2" w:rsidRPr="00B1135E">
        <w:t xml:space="preserve"> </w:t>
      </w:r>
      <w:r w:rsidR="009273FC" w:rsidRPr="00B1135E">
        <w:t xml:space="preserve">small </w:t>
      </w:r>
      <w:r w:rsidR="00BE7016" w:rsidRPr="00B1135E">
        <w:t xml:space="preserve">positive </w:t>
      </w:r>
      <w:r w:rsidR="009273FC" w:rsidRPr="00B1135E">
        <w:t xml:space="preserve">value </w:t>
      </w:r>
      <w:r w:rsidR="00BE7016" w:rsidRPr="00B1135E">
        <w:t>(0.1</w:t>
      </w:r>
      <w:r w:rsidR="00B1135E">
        <w:t> </w:t>
      </w:r>
      <w:r w:rsidR="00BE7016" w:rsidRPr="00B1135E">
        <w:t>%) is recorded for job experience</w:t>
      </w:r>
      <w:r w:rsidR="00AE35E9" w:rsidRPr="00B1135E">
        <w:t xml:space="preserve"> (tenure)</w:t>
      </w:r>
      <w:r w:rsidR="00BE7016" w:rsidRPr="00B1135E">
        <w:t xml:space="preserve">. The positive explained gaps for those characteristics </w:t>
      </w:r>
      <w:r w:rsidR="009273FC" w:rsidRPr="00B1135E">
        <w:t xml:space="preserve">are partially offset </w:t>
      </w:r>
      <w:r w:rsidR="00BE7016" w:rsidRPr="00B1135E">
        <w:t xml:space="preserve">by the negative gaps </w:t>
      </w:r>
      <w:r w:rsidR="009273FC" w:rsidRPr="00B1135E">
        <w:t xml:space="preserve">recorded </w:t>
      </w:r>
      <w:r w:rsidR="00BE7016" w:rsidRPr="00B1135E">
        <w:t>for education (-1.2</w:t>
      </w:r>
      <w:r w:rsidR="00B1135E">
        <w:t> </w:t>
      </w:r>
      <w:r w:rsidR="00BE7016" w:rsidRPr="00B1135E">
        <w:t>%), enterprise size (-0.8</w:t>
      </w:r>
      <w:r w:rsidR="00B1135E">
        <w:t> </w:t>
      </w:r>
      <w:r w:rsidR="00BE7016" w:rsidRPr="00B1135E">
        <w:t>%) occupation (-0.4</w:t>
      </w:r>
      <w:r w:rsidR="00B1135E">
        <w:t> </w:t>
      </w:r>
      <w:r w:rsidR="00BE7016" w:rsidRPr="00B1135E">
        <w:t>%), age and employment contract (both -0.1</w:t>
      </w:r>
      <w:r w:rsidR="00B1135E">
        <w:t> </w:t>
      </w:r>
      <w:r w:rsidR="00BE7016" w:rsidRPr="00B1135E">
        <w:t xml:space="preserve">%). </w:t>
      </w:r>
      <w:r w:rsidR="007D6419" w:rsidRPr="00B1135E">
        <w:t>For example, the</w:t>
      </w:r>
      <w:r w:rsidR="00BE7016" w:rsidRPr="00B1135E">
        <w:t xml:space="preserve"> negative gap of 1.2</w:t>
      </w:r>
      <w:r w:rsidR="00B1135E">
        <w:t> </w:t>
      </w:r>
      <w:r w:rsidR="00BE7016" w:rsidRPr="00B1135E">
        <w:t>% for education means that women are expected to earn 1.2</w:t>
      </w:r>
      <w:r w:rsidR="00B1135E">
        <w:t> </w:t>
      </w:r>
      <w:r w:rsidR="00BE7016" w:rsidRPr="00B1135E">
        <w:t xml:space="preserve">% more than men </w:t>
      </w:r>
      <w:r w:rsidR="009273FC" w:rsidRPr="00B1135E">
        <w:t>due</w:t>
      </w:r>
      <w:r w:rsidR="006A0FD9">
        <w:t xml:space="preserve"> to</w:t>
      </w:r>
      <w:r w:rsidR="009273FC" w:rsidRPr="00B1135E">
        <w:t xml:space="preserve"> their average education level being higher than for men. </w:t>
      </w:r>
      <w:r w:rsidR="00BE7016" w:rsidRPr="00B1135E">
        <w:t>Finally, there is no explained gap for ente</w:t>
      </w:r>
      <w:r w:rsidR="007C7033" w:rsidRPr="00B1135E">
        <w:t>rprise control at the EU level.</w:t>
      </w:r>
    </w:p>
    <w:p w:rsidR="00AA3D9C" w:rsidRPr="00B1135E" w:rsidRDefault="00AA3D9C" w:rsidP="00BE7016">
      <w:pPr>
        <w:pStyle w:val="Body"/>
      </w:pPr>
      <w:r w:rsidRPr="00B1135E">
        <w:t xml:space="preserve">Across EU Member States, the overall explained GPG is mostly driven by </w:t>
      </w:r>
      <w:r w:rsidR="004F6403" w:rsidRPr="00B1135E">
        <w:t>the following three explanatory factors</w:t>
      </w:r>
      <w:r w:rsidRPr="00B1135E">
        <w:t>: economic activity, occupation and education. The explained gap of at least 1</w:t>
      </w:r>
      <w:r w:rsidR="00B1135E">
        <w:t> </w:t>
      </w:r>
      <w:r w:rsidRPr="00B1135E">
        <w:t>% (irrespective of the sign</w:t>
      </w:r>
      <w:r w:rsidR="004F6403" w:rsidRPr="00B1135E">
        <w:t xml:space="preserve">) as highlighted in Table </w:t>
      </w:r>
      <w:r w:rsidR="00D54A30">
        <w:t>3</w:t>
      </w:r>
      <w:r w:rsidRPr="00B1135E">
        <w:t xml:space="preserve"> is recorded for economic activity in </w:t>
      </w:r>
      <w:r w:rsidR="006A0FD9">
        <w:t>25</w:t>
      </w:r>
      <w:r w:rsidRPr="00B1135E">
        <w:t xml:space="preserve"> Member States, for occupation in </w:t>
      </w:r>
      <w:r w:rsidR="006A0FD9">
        <w:t>22</w:t>
      </w:r>
      <w:r w:rsidRPr="00B1135E">
        <w:t xml:space="preserve">, and for education in </w:t>
      </w:r>
      <w:r w:rsidR="006A0FD9">
        <w:t>18</w:t>
      </w:r>
      <w:r w:rsidRPr="00B1135E">
        <w:t xml:space="preserve">. Among those three characteristics, economic activity and education have the most </w:t>
      </w:r>
      <w:r w:rsidR="007B68BA">
        <w:t>uniform</w:t>
      </w:r>
      <w:r w:rsidR="007B68BA" w:rsidRPr="00B1135E">
        <w:t xml:space="preserve"> </w:t>
      </w:r>
      <w:r w:rsidRPr="00B1135E">
        <w:t>effect across EU Member States.</w:t>
      </w:r>
    </w:p>
    <w:p w:rsidR="00DC4F40" w:rsidRPr="00B1135E" w:rsidRDefault="00DC4F40" w:rsidP="00DC4F40">
      <w:pPr>
        <w:pStyle w:val="Body"/>
      </w:pPr>
      <w:r w:rsidRPr="00B1135E">
        <w:t>The explained gender pay gap is positive for economic activity in all EU Member States, except, Ireland, Luxembourg, Malta and the Netherlands</w:t>
      </w:r>
      <w:r w:rsidR="007E4281">
        <w:t>,</w:t>
      </w:r>
      <w:r w:rsidRPr="00B1135E">
        <w:t xml:space="preserve"> which is the only country with the explained gap below -1</w:t>
      </w:r>
      <w:r w:rsidR="00B1135E">
        <w:t> </w:t>
      </w:r>
      <w:r w:rsidRPr="00B1135E">
        <w:t>%</w:t>
      </w:r>
      <w:r w:rsidR="001325F2" w:rsidRPr="00B1135E">
        <w:t xml:space="preserve"> for that </w:t>
      </w:r>
      <w:r w:rsidR="003233CC" w:rsidRPr="00B1135E">
        <w:t>characteristic</w:t>
      </w:r>
      <w:r w:rsidRPr="00B1135E">
        <w:t xml:space="preserve">. On the other hand, in </w:t>
      </w:r>
      <w:r w:rsidR="006A0FD9">
        <w:t>the Netherlands</w:t>
      </w:r>
      <w:r w:rsidRPr="00B1135E">
        <w:t xml:space="preserve">, the highest explained gap </w:t>
      </w:r>
      <w:r w:rsidR="003233CC" w:rsidRPr="00B1135E">
        <w:t>of 5.9</w:t>
      </w:r>
      <w:r w:rsidR="00B1135E">
        <w:t> </w:t>
      </w:r>
      <w:r w:rsidR="003233CC" w:rsidRPr="00B1135E">
        <w:t xml:space="preserve">% </w:t>
      </w:r>
      <w:r w:rsidRPr="00B1135E">
        <w:t xml:space="preserve">is recorded for enterprise control </w:t>
      </w:r>
      <w:r w:rsidR="001325F2" w:rsidRPr="00B1135E">
        <w:t xml:space="preserve">due to a </w:t>
      </w:r>
      <w:r w:rsidRPr="00B1135E">
        <w:t xml:space="preserve">higher </w:t>
      </w:r>
      <w:r w:rsidR="001325F2" w:rsidRPr="00B1135E">
        <w:t xml:space="preserve">proportion </w:t>
      </w:r>
      <w:r w:rsidRPr="00B1135E">
        <w:t>of men work</w:t>
      </w:r>
      <w:r w:rsidR="001325F2" w:rsidRPr="00B1135E">
        <w:t>ing</w:t>
      </w:r>
      <w:r w:rsidRPr="00B1135E">
        <w:t xml:space="preserve"> in the private sector where earnings are higher on average than in the public sector.</w:t>
      </w:r>
    </w:p>
    <w:p w:rsidR="00DC4F40" w:rsidRPr="00B1135E" w:rsidRDefault="006A0FD9" w:rsidP="00DC4F40">
      <w:pPr>
        <w:pStyle w:val="Body"/>
      </w:pPr>
      <w:r>
        <w:t xml:space="preserve">For education, </w:t>
      </w:r>
      <w:r w:rsidR="00DC4F40" w:rsidRPr="00B1135E">
        <w:t>the explained gender pay gap is negative in all EU Member States, except Belgium</w:t>
      </w:r>
      <w:r w:rsidR="009D0E41">
        <w:t xml:space="preserve">, </w:t>
      </w:r>
      <w:r w:rsidR="00DC4F40" w:rsidRPr="00B1135E">
        <w:t>Germany</w:t>
      </w:r>
      <w:r w:rsidR="009D0E41" w:rsidRPr="009D0E41">
        <w:t xml:space="preserve"> </w:t>
      </w:r>
      <w:r w:rsidR="009D0E41">
        <w:t xml:space="preserve">and </w:t>
      </w:r>
      <w:r w:rsidR="009D0E41" w:rsidRPr="00B1135E">
        <w:t>Austria,</w:t>
      </w:r>
      <w:r w:rsidR="009D0E41">
        <w:t xml:space="preserve"> </w:t>
      </w:r>
      <w:r w:rsidR="00C03B64" w:rsidRPr="00B1135E">
        <w:t xml:space="preserve">of </w:t>
      </w:r>
      <w:r w:rsidR="00AF3C15" w:rsidRPr="00B1135E">
        <w:t>which</w:t>
      </w:r>
      <w:r w:rsidR="00DC4F40" w:rsidRPr="00B1135E">
        <w:t xml:space="preserve"> Belgium and Germany record</w:t>
      </w:r>
      <w:r w:rsidR="00C80164" w:rsidRPr="00B1135E">
        <w:t xml:space="preserve">ed </w:t>
      </w:r>
      <w:r w:rsidR="00AF3C15" w:rsidRPr="00B1135E">
        <w:t>an</w:t>
      </w:r>
      <w:r w:rsidR="00C80164" w:rsidRPr="00B1135E">
        <w:t xml:space="preserve"> explained gap of</w:t>
      </w:r>
      <w:r w:rsidR="00DC4F40" w:rsidRPr="00B1135E">
        <w:t xml:space="preserve"> 1</w:t>
      </w:r>
      <w:r w:rsidR="00B1135E">
        <w:t> </w:t>
      </w:r>
      <w:r w:rsidR="00DC4F40" w:rsidRPr="00B1135E">
        <w:t xml:space="preserve">% </w:t>
      </w:r>
      <w:r w:rsidR="00C80164" w:rsidRPr="00B1135E">
        <w:t xml:space="preserve">or </w:t>
      </w:r>
      <w:r w:rsidR="00AF3C15" w:rsidRPr="00B1135E">
        <w:t>more</w:t>
      </w:r>
      <w:r w:rsidR="00C80164" w:rsidRPr="00B1135E">
        <w:t xml:space="preserve"> </w:t>
      </w:r>
      <w:r w:rsidR="00DC4F40" w:rsidRPr="00B1135E">
        <w:t xml:space="preserve">for </w:t>
      </w:r>
      <w:r w:rsidR="00DC4F40" w:rsidRPr="00B1135E">
        <w:lastRenderedPageBreak/>
        <w:t xml:space="preserve">that characteristic. </w:t>
      </w:r>
      <w:r w:rsidR="00F73FDD" w:rsidRPr="00F73FDD">
        <w:t>This means that women have, on average, a higher level of education than men in most European labour markets, which should translate into their higher earnings, thus making a negative contribution to the unadjusted GPG.</w:t>
      </w:r>
    </w:p>
    <w:p w:rsidR="00DC4F40" w:rsidRPr="00B1135E" w:rsidRDefault="00DC4F40" w:rsidP="00BE7016">
      <w:pPr>
        <w:pStyle w:val="Body"/>
      </w:pPr>
    </w:p>
    <w:p w:rsidR="00B315C9" w:rsidRPr="00B1135E" w:rsidRDefault="00FD41FF" w:rsidP="00BE7016">
      <w:pPr>
        <w:pStyle w:val="Table-graph-maptitle"/>
        <w:keepNext/>
        <w:spacing w:before="0" w:line="240" w:lineRule="auto"/>
        <w:ind w:left="0"/>
      </w:pPr>
      <w:r w:rsidRPr="00B1135E">
        <w:t xml:space="preserve">Table </w:t>
      </w:r>
      <w:r w:rsidR="00D54A30">
        <w:t>3</w:t>
      </w:r>
      <w:r w:rsidR="006659A9" w:rsidRPr="00B1135E">
        <w:t xml:space="preserve">: </w:t>
      </w:r>
      <w:r w:rsidRPr="00B1135E">
        <w:t>Decomposition of the unadjusted GPG</w:t>
      </w:r>
      <w:r w:rsidR="007D6419" w:rsidRPr="00B1135E">
        <w:t>, 2014</w:t>
      </w:r>
    </w:p>
    <w:p w:rsidR="006659A9" w:rsidRPr="00B1135E" w:rsidRDefault="00BE7016" w:rsidP="00BE7016">
      <w:pPr>
        <w:pStyle w:val="Table-graph-maptitle"/>
        <w:keepNext/>
        <w:spacing w:before="0" w:after="120" w:line="240" w:lineRule="auto"/>
        <w:ind w:left="0"/>
        <w:rPr>
          <w:sz w:val="15"/>
          <w:szCs w:val="15"/>
        </w:rPr>
      </w:pPr>
      <w:r w:rsidRPr="00B1135E">
        <w:rPr>
          <w:sz w:val="15"/>
          <w:szCs w:val="15"/>
        </w:rPr>
        <w:t>(</w:t>
      </w:r>
      <w:r w:rsidR="00361353" w:rsidRPr="00B1135E">
        <w:rPr>
          <w:sz w:val="15"/>
          <w:szCs w:val="15"/>
        </w:rPr>
        <w:t>difference between male and female hourly earnings as % of male hourly earnings)</w:t>
      </w:r>
    </w:p>
    <w:p w:rsidR="00B315C9" w:rsidRPr="00B1135E" w:rsidRDefault="00B315C9" w:rsidP="006659A9">
      <w:pPr>
        <w:pStyle w:val="Body"/>
      </w:pPr>
      <w:r w:rsidRPr="00B1135E">
        <w:rPr>
          <w:noProof/>
        </w:rPr>
        <w:drawing>
          <wp:inline distT="0" distB="0" distL="0" distR="0" wp14:anchorId="5B4AE9CE" wp14:editId="63F85F65">
            <wp:extent cx="5395595" cy="4742557"/>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5595" cy="4742557"/>
                    </a:xfrm>
                    <a:prstGeom prst="rect">
                      <a:avLst/>
                    </a:prstGeom>
                    <a:noFill/>
                    <a:ln>
                      <a:noFill/>
                    </a:ln>
                  </pic:spPr>
                </pic:pic>
              </a:graphicData>
            </a:graphic>
          </wp:inline>
        </w:drawing>
      </w:r>
    </w:p>
    <w:p w:rsidR="00BE7016" w:rsidRPr="00B1135E" w:rsidRDefault="00BE7016" w:rsidP="00BE7016">
      <w:pPr>
        <w:widowControl w:val="0"/>
        <w:autoSpaceDE w:val="0"/>
        <w:autoSpaceDN w:val="0"/>
        <w:adjustRightInd w:val="0"/>
        <w:spacing w:before="120" w:line="0" w:lineRule="atLeast"/>
        <w:jc w:val="both"/>
        <w:textAlignment w:val="center"/>
        <w:rPr>
          <w:rFonts w:ascii="Arial" w:hAnsi="Arial" w:cs="Times-Roman"/>
          <w:color w:val="000000"/>
          <w:sz w:val="14"/>
          <w:szCs w:val="14"/>
          <w:lang w:eastAsia="en-GB"/>
        </w:rPr>
      </w:pPr>
      <w:r w:rsidRPr="00B1135E">
        <w:rPr>
          <w:rFonts w:ascii="Arial" w:hAnsi="Arial" w:cs="Times-Roman"/>
          <w:color w:val="000000"/>
          <w:sz w:val="14"/>
          <w:szCs w:val="14"/>
          <w:lang w:eastAsia="en-GB"/>
        </w:rPr>
        <w:t>The figures for the explanatory factor ‘age’ are the sums of the results for the variables ‘age’ and ‘age squared’; the figures of the explanat</w:t>
      </w:r>
      <w:r w:rsidR="00DB3A29">
        <w:rPr>
          <w:rFonts w:ascii="Arial" w:hAnsi="Arial" w:cs="Times-Roman"/>
          <w:color w:val="000000"/>
          <w:sz w:val="14"/>
          <w:szCs w:val="14"/>
          <w:lang w:eastAsia="en-GB"/>
        </w:rPr>
        <w:t>ory factor ‘job experience</w:t>
      </w:r>
      <w:r w:rsidRPr="00B1135E">
        <w:rPr>
          <w:rFonts w:ascii="Arial" w:hAnsi="Arial" w:cs="Times-Roman"/>
          <w:color w:val="000000"/>
          <w:sz w:val="14"/>
          <w:szCs w:val="14"/>
          <w:lang w:eastAsia="en-GB"/>
        </w:rPr>
        <w:t xml:space="preserve">’ are the sums of the results for the variables ‘job experience’ and ‘job experience squared’; for Romania, employees whose weights belong to </w:t>
      </w:r>
      <w:r w:rsidR="007B68BA">
        <w:rPr>
          <w:rFonts w:ascii="Arial" w:hAnsi="Arial" w:cs="Times-Roman"/>
          <w:color w:val="000000"/>
          <w:sz w:val="14"/>
          <w:szCs w:val="14"/>
          <w:lang w:eastAsia="en-GB"/>
        </w:rPr>
        <w:t>the fifth</w:t>
      </w:r>
      <w:r w:rsidRPr="00B1135E">
        <w:rPr>
          <w:rFonts w:ascii="Arial" w:hAnsi="Arial" w:cs="Times-Roman"/>
          <w:color w:val="000000"/>
          <w:sz w:val="14"/>
          <w:szCs w:val="14"/>
          <w:lang w:eastAsia="en-GB"/>
        </w:rPr>
        <w:t xml:space="preserve"> highest percentile are excluded.</w:t>
      </w:r>
    </w:p>
    <w:p w:rsidR="00BE7016" w:rsidRPr="00B1135E" w:rsidRDefault="00BE7016" w:rsidP="006659A9">
      <w:pPr>
        <w:pStyle w:val="Body"/>
      </w:pPr>
    </w:p>
    <w:p w:rsidR="00243F14" w:rsidRPr="00B1135E" w:rsidRDefault="00BE7016" w:rsidP="00BE7016">
      <w:pPr>
        <w:pStyle w:val="Body"/>
      </w:pPr>
      <w:r w:rsidRPr="00B1135E">
        <w:t>A more mixed picture can be observed for occupation</w:t>
      </w:r>
      <w:r w:rsidR="00AF3C15" w:rsidRPr="00B1135E">
        <w:t>s</w:t>
      </w:r>
      <w:r w:rsidR="00EC5FCE">
        <w:t>,</w:t>
      </w:r>
      <w:r w:rsidRPr="00B1135E">
        <w:t xml:space="preserve"> as the countries are split almost equally between those recording positive or negative gaps. The explained gap for occupation varies from</w:t>
      </w:r>
      <w:r w:rsidR="00457DA7" w:rsidRPr="00B1135E">
        <w:br/>
      </w:r>
      <w:r w:rsidRPr="00B1135E">
        <w:t>-9.5</w:t>
      </w:r>
      <w:r w:rsidR="00B1135E">
        <w:t> </w:t>
      </w:r>
      <w:r w:rsidRPr="00B1135E">
        <w:t>% in Lithuania to 4.4</w:t>
      </w:r>
      <w:r w:rsidR="00B1135E">
        <w:t> </w:t>
      </w:r>
      <w:r w:rsidRPr="00B1135E">
        <w:t>% in the United Kingdom. Nevertheless</w:t>
      </w:r>
      <w:r w:rsidR="00AF3C15" w:rsidRPr="00B1135E">
        <w:t>,</w:t>
      </w:r>
      <w:r w:rsidRPr="00B1135E">
        <w:t xml:space="preserve"> quite a clear pattern can be observed for countries such as Italy, Lithuania, Poland, Romania and Slovenia </w:t>
      </w:r>
      <w:r w:rsidR="00AF3C15" w:rsidRPr="00B1135E">
        <w:t xml:space="preserve">showing </w:t>
      </w:r>
      <w:r w:rsidRPr="00B1135E">
        <w:t>an overall explained gap below -5</w:t>
      </w:r>
      <w:r w:rsidR="00B1135E">
        <w:t> </w:t>
      </w:r>
      <w:r w:rsidRPr="00B1135E">
        <w:t>%</w:t>
      </w:r>
      <w:r w:rsidR="00521D8A">
        <w:t>. Those countries</w:t>
      </w:r>
      <w:r w:rsidR="00AF3C15" w:rsidRPr="00B1135E">
        <w:t xml:space="preserve"> </w:t>
      </w:r>
      <w:r w:rsidRPr="00B1135E">
        <w:t xml:space="preserve">recorded </w:t>
      </w:r>
      <w:r w:rsidR="00AF3C15" w:rsidRPr="00B1135E">
        <w:t xml:space="preserve">negative </w:t>
      </w:r>
      <w:r w:rsidRPr="00B1135E">
        <w:t>explained gap</w:t>
      </w:r>
      <w:r w:rsidR="00AF3C15" w:rsidRPr="00B1135E">
        <w:t>s</w:t>
      </w:r>
      <w:r w:rsidRPr="00B1135E">
        <w:t xml:space="preserve"> for </w:t>
      </w:r>
      <w:r w:rsidR="00AF3C15" w:rsidRPr="00B1135E">
        <w:t xml:space="preserve">both </w:t>
      </w:r>
      <w:r w:rsidRPr="00B1135E">
        <w:t xml:space="preserve">occupation </w:t>
      </w:r>
      <w:r w:rsidR="00AF3C15" w:rsidRPr="00B1135E">
        <w:t>and education. This illustrate</w:t>
      </w:r>
      <w:r w:rsidR="00243F14" w:rsidRPr="00B1135E">
        <w:t>s</w:t>
      </w:r>
      <w:r w:rsidR="00AF3C15" w:rsidRPr="00B1135E">
        <w:t xml:space="preserve"> the impact of </w:t>
      </w:r>
      <w:r w:rsidR="00457DA7" w:rsidRPr="00B1135E">
        <w:t>‘</w:t>
      </w:r>
      <w:r w:rsidR="00AF3C15" w:rsidRPr="00B1135E">
        <w:t>self-selection</w:t>
      </w:r>
      <w:r w:rsidR="00457DA7" w:rsidRPr="00B1135E">
        <w:t>’</w:t>
      </w:r>
      <w:r w:rsidR="00AF3C15" w:rsidRPr="00B1135E">
        <w:t xml:space="preserve"> in the labour market</w:t>
      </w:r>
      <w:r w:rsidR="00243F14" w:rsidRPr="00B1135E">
        <w:t xml:space="preserve">: </w:t>
      </w:r>
      <w:r w:rsidR="00283034" w:rsidRPr="00B1135E">
        <w:t>female employees</w:t>
      </w:r>
      <w:r w:rsidR="00AF3C15" w:rsidRPr="00B1135E">
        <w:t xml:space="preserve"> tend to have </w:t>
      </w:r>
      <w:r w:rsidR="00283034" w:rsidRPr="00B1135E">
        <w:t xml:space="preserve">a </w:t>
      </w:r>
      <w:r w:rsidR="00243F14" w:rsidRPr="00B1135E">
        <w:t>higher education</w:t>
      </w:r>
      <w:r w:rsidR="00283034" w:rsidRPr="00B1135E">
        <w:t xml:space="preserve"> level and to take </w:t>
      </w:r>
      <w:r w:rsidR="00503971">
        <w:t xml:space="preserve">better paid </w:t>
      </w:r>
      <w:r w:rsidR="00283034" w:rsidRPr="00B1135E">
        <w:t>occupations than men.</w:t>
      </w:r>
    </w:p>
    <w:p w:rsidR="00BE7016" w:rsidRPr="00B1135E" w:rsidRDefault="00783D20" w:rsidP="00BE7016">
      <w:pPr>
        <w:pStyle w:val="Body"/>
      </w:pPr>
      <w:r>
        <w:t>N</w:t>
      </w:r>
      <w:r w:rsidR="00BE7016" w:rsidRPr="00B1135E">
        <w:t xml:space="preserve">ote that working time </w:t>
      </w:r>
      <w:r w:rsidR="004F6403" w:rsidRPr="00B1135E">
        <w:t>(full/part</w:t>
      </w:r>
      <w:r w:rsidR="00A13E73">
        <w:t xml:space="preserve"> time</w:t>
      </w:r>
      <w:r w:rsidR="004F6403" w:rsidRPr="00B1135E">
        <w:t xml:space="preserve">) </w:t>
      </w:r>
      <w:r w:rsidR="00BE7016" w:rsidRPr="00B1135E">
        <w:t>plays a significant role in explaining the unadjusted gender pay gap in Germany</w:t>
      </w:r>
      <w:r w:rsidR="004F6403" w:rsidRPr="00B1135E">
        <w:t xml:space="preserve">. It </w:t>
      </w:r>
      <w:r w:rsidR="00BE7016" w:rsidRPr="00B1135E">
        <w:t>is the only country with an explained gap above 5</w:t>
      </w:r>
      <w:r w:rsidR="00B1135E">
        <w:t> </w:t>
      </w:r>
      <w:r w:rsidR="00BE7016" w:rsidRPr="00B1135E">
        <w:t>%</w:t>
      </w:r>
      <w:r w:rsidR="004F6403" w:rsidRPr="00B1135E">
        <w:t xml:space="preserve"> for working time</w:t>
      </w:r>
      <w:r w:rsidR="00243F14" w:rsidRPr="00B1135E">
        <w:t xml:space="preserve"> due to women working more frequently on a part-time basis than men</w:t>
      </w:r>
      <w:r w:rsidR="00BE7016" w:rsidRPr="00B1135E">
        <w:t>.</w:t>
      </w:r>
      <w:r w:rsidR="00243F14" w:rsidRPr="00B1135E">
        <w:t xml:space="preserve"> This is also the case, albeit to a </w:t>
      </w:r>
      <w:r w:rsidR="00EC5FCE">
        <w:t>lesser</w:t>
      </w:r>
      <w:r w:rsidR="00EC5FCE" w:rsidRPr="00B1135E">
        <w:t xml:space="preserve"> </w:t>
      </w:r>
      <w:r w:rsidR="00243F14" w:rsidRPr="00B1135E">
        <w:t xml:space="preserve">extent, for </w:t>
      </w:r>
      <w:r w:rsidR="009D0E41" w:rsidRPr="00B1135E">
        <w:t>Belgium</w:t>
      </w:r>
      <w:r w:rsidR="009D0E41">
        <w:t>,</w:t>
      </w:r>
      <w:r w:rsidR="009D0E41" w:rsidRPr="00B1135E">
        <w:t xml:space="preserve"> Greece</w:t>
      </w:r>
      <w:r w:rsidR="009D0E41">
        <w:t xml:space="preserve">, </w:t>
      </w:r>
      <w:r w:rsidR="009D0E41" w:rsidRPr="00B1135E">
        <w:t xml:space="preserve">Italy, the Netherlands </w:t>
      </w:r>
      <w:r w:rsidR="009D0E41">
        <w:t>and Austria</w:t>
      </w:r>
      <w:r w:rsidR="00457DA7" w:rsidRPr="00B1135E">
        <w:t>.</w:t>
      </w:r>
      <w:r w:rsidR="002758A7" w:rsidRPr="00B1135E">
        <w:t xml:space="preserve"> At the other extreme, Hungary recorded </w:t>
      </w:r>
      <w:r w:rsidR="00EC5FCE">
        <w:t>a</w:t>
      </w:r>
      <w:r w:rsidR="00EC5FCE" w:rsidRPr="00B1135E">
        <w:t xml:space="preserve"> </w:t>
      </w:r>
      <w:r w:rsidR="002758A7" w:rsidRPr="00B1135E">
        <w:t>negative explained gap of -3.2</w:t>
      </w:r>
      <w:r w:rsidR="00B1135E">
        <w:t> </w:t>
      </w:r>
      <w:r w:rsidR="00521D8A">
        <w:t>% for this variable.</w:t>
      </w:r>
    </w:p>
    <w:p w:rsidR="006659A9" w:rsidRPr="00B1135E" w:rsidRDefault="006659A9" w:rsidP="006659A9">
      <w:pPr>
        <w:spacing w:after="120"/>
        <w:jc w:val="both"/>
        <w:rPr>
          <w:rFonts w:ascii="Times New Roman" w:hAnsi="Times New Roman"/>
          <w:b/>
          <w:i/>
          <w:sz w:val="24"/>
          <w:lang w:eastAsia="en-GB"/>
        </w:rPr>
      </w:pPr>
    </w:p>
    <w:p w:rsidR="007D6419" w:rsidRPr="00B1135E" w:rsidRDefault="006659A9" w:rsidP="007D6419">
      <w:pPr>
        <w:pStyle w:val="Table-graph-maptitle"/>
        <w:keepNext/>
        <w:spacing w:before="0" w:line="240" w:lineRule="auto"/>
        <w:ind w:left="0"/>
      </w:pPr>
      <w:r w:rsidRPr="00B1135E">
        <w:t xml:space="preserve">Figure </w:t>
      </w:r>
      <w:r w:rsidR="009C0400" w:rsidRPr="00B1135E">
        <w:t>2</w:t>
      </w:r>
      <w:r w:rsidRPr="00B1135E">
        <w:t xml:space="preserve">: </w:t>
      </w:r>
      <w:r w:rsidR="006A0E01" w:rsidRPr="00B1135E">
        <w:t>Decomposition of the explained</w:t>
      </w:r>
      <w:r w:rsidR="007D6419" w:rsidRPr="00B1135E">
        <w:t xml:space="preserve"> GPG, 2014</w:t>
      </w:r>
    </w:p>
    <w:p w:rsidR="007D6419" w:rsidRPr="00B1135E" w:rsidRDefault="007D6419" w:rsidP="007D6419">
      <w:pPr>
        <w:pStyle w:val="Table-graph-maptitle"/>
        <w:keepNext/>
        <w:spacing w:before="0" w:after="120" w:line="240" w:lineRule="auto"/>
        <w:ind w:left="0"/>
        <w:rPr>
          <w:sz w:val="15"/>
          <w:szCs w:val="15"/>
        </w:rPr>
      </w:pPr>
      <w:r w:rsidRPr="00B1135E">
        <w:rPr>
          <w:sz w:val="15"/>
          <w:szCs w:val="15"/>
        </w:rPr>
        <w:t>(</w:t>
      </w:r>
      <w:r w:rsidR="00361353" w:rsidRPr="00B1135E">
        <w:rPr>
          <w:sz w:val="15"/>
          <w:szCs w:val="15"/>
        </w:rPr>
        <w:t>difference between male and female hourly earnings as % of male hourly earnings</w:t>
      </w:r>
      <w:r w:rsidRPr="00B1135E">
        <w:rPr>
          <w:sz w:val="15"/>
          <w:szCs w:val="15"/>
        </w:rPr>
        <w:t>)</w:t>
      </w:r>
    </w:p>
    <w:p w:rsidR="006659A9" w:rsidRPr="00B1135E" w:rsidRDefault="007D6419" w:rsidP="006659A9">
      <w:pPr>
        <w:pStyle w:val="Table-graph-maptitle"/>
        <w:keepNext/>
        <w:ind w:left="0"/>
      </w:pPr>
      <w:r w:rsidRPr="00B1135E">
        <w:rPr>
          <w:noProof/>
        </w:rPr>
        <w:drawing>
          <wp:inline distT="0" distB="0" distL="0" distR="0" wp14:anchorId="33DAC6AB" wp14:editId="6B0464F6">
            <wp:extent cx="5395595" cy="2773331"/>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5595" cy="2773331"/>
                    </a:xfrm>
                    <a:prstGeom prst="rect">
                      <a:avLst/>
                    </a:prstGeom>
                    <a:noFill/>
                    <a:ln>
                      <a:noFill/>
                    </a:ln>
                  </pic:spPr>
                </pic:pic>
              </a:graphicData>
            </a:graphic>
          </wp:inline>
        </w:drawing>
      </w:r>
    </w:p>
    <w:p w:rsidR="007D6419" w:rsidRPr="00B1135E" w:rsidRDefault="00C15DF3" w:rsidP="00C15DF3">
      <w:pPr>
        <w:pStyle w:val="Body"/>
      </w:pPr>
      <w:r w:rsidRPr="00B1135E">
        <w:t xml:space="preserve">Figure </w:t>
      </w:r>
      <w:r w:rsidR="00CD5493" w:rsidRPr="00B1135E">
        <w:t>3</w:t>
      </w:r>
      <w:r w:rsidRPr="00B1135E">
        <w:t xml:space="preserve"> compares the unexplained and unadjusted GPGs. When comparing the ranking of EU countries (arranged from the smallest to largest gaps) we observe the most significant impact for Romania, Lithuania, Croatia, Poland, Slovenia, Bulgaria and Italy</w:t>
      </w:r>
      <w:r w:rsidR="00EC5FCE">
        <w:t>. All these countries</w:t>
      </w:r>
      <w:r w:rsidRPr="00B1135E">
        <w:t xml:space="preserve"> mov</w:t>
      </w:r>
      <w:r w:rsidR="00EC5FCE">
        <w:t>ed</w:t>
      </w:r>
      <w:r w:rsidRPr="00B1135E">
        <w:t xml:space="preserve"> by at least 10 positions downwards in the ranking </w:t>
      </w:r>
      <w:r w:rsidR="00EC5FCE">
        <w:t>when moving from the</w:t>
      </w:r>
      <w:r w:rsidR="004E6F46">
        <w:t xml:space="preserve"> unadjusted </w:t>
      </w:r>
      <w:r w:rsidR="00EC5FCE">
        <w:t xml:space="preserve">GPG to the </w:t>
      </w:r>
      <w:r w:rsidR="004E6F46">
        <w:t xml:space="preserve">unexplained </w:t>
      </w:r>
      <w:r w:rsidR="00EC5FCE">
        <w:t>GPG, whereas</w:t>
      </w:r>
      <w:r w:rsidRPr="00B1135E">
        <w:t xml:space="preserve"> Germany, Austria, the Netherlands</w:t>
      </w:r>
      <w:r w:rsidR="00EC5FCE">
        <w:t>,</w:t>
      </w:r>
      <w:r w:rsidRPr="00B1135E">
        <w:t xml:space="preserve"> Finland and Denmark </w:t>
      </w:r>
      <w:r w:rsidR="00EC5FCE">
        <w:t xml:space="preserve">all </w:t>
      </w:r>
      <w:r w:rsidRPr="00B1135E">
        <w:t>mov</w:t>
      </w:r>
      <w:r w:rsidR="00EC5FCE">
        <w:t>ed</w:t>
      </w:r>
      <w:r w:rsidRPr="00B1135E">
        <w:t xml:space="preserve"> by at least 10 positions upwards.</w:t>
      </w:r>
    </w:p>
    <w:p w:rsidR="00FC5F76" w:rsidRPr="00B1135E" w:rsidRDefault="00FC5F76" w:rsidP="00C15DF3">
      <w:pPr>
        <w:pStyle w:val="Body"/>
      </w:pPr>
    </w:p>
    <w:p w:rsidR="00FC5F76" w:rsidRPr="00B1135E" w:rsidRDefault="007D5BDD" w:rsidP="00FC5F76">
      <w:pPr>
        <w:pStyle w:val="Table-graph-maptitle"/>
        <w:keepNext/>
        <w:spacing w:before="0" w:line="240" w:lineRule="auto"/>
        <w:ind w:left="0"/>
      </w:pPr>
      <w:r w:rsidRPr="00B1135E">
        <w:t xml:space="preserve">Figure </w:t>
      </w:r>
      <w:r w:rsidR="009C0400" w:rsidRPr="00B1135E">
        <w:t>3</w:t>
      </w:r>
      <w:r w:rsidR="00FC5F76" w:rsidRPr="00B1135E">
        <w:t>: Unexplained and unadjusted GPGs, 2014</w:t>
      </w:r>
    </w:p>
    <w:p w:rsidR="00FC5F76" w:rsidRPr="00B1135E" w:rsidRDefault="00FC5F76" w:rsidP="00FC5F76">
      <w:pPr>
        <w:pStyle w:val="Table-graph-maptitle"/>
        <w:keepNext/>
        <w:spacing w:before="0" w:after="120" w:line="240" w:lineRule="auto"/>
        <w:ind w:left="0"/>
        <w:rPr>
          <w:sz w:val="15"/>
          <w:szCs w:val="15"/>
        </w:rPr>
      </w:pPr>
      <w:r w:rsidRPr="00B1135E">
        <w:rPr>
          <w:sz w:val="15"/>
          <w:szCs w:val="15"/>
        </w:rPr>
        <w:t>(</w:t>
      </w:r>
      <w:r w:rsidR="00361353" w:rsidRPr="00B1135E">
        <w:rPr>
          <w:sz w:val="15"/>
          <w:szCs w:val="15"/>
        </w:rPr>
        <w:t>difference between male and female hourly earnings as % of male hourly earnings</w:t>
      </w:r>
      <w:r w:rsidRPr="00B1135E">
        <w:rPr>
          <w:sz w:val="15"/>
          <w:szCs w:val="15"/>
        </w:rPr>
        <w:t>)</w:t>
      </w:r>
    </w:p>
    <w:p w:rsidR="00C15DF3" w:rsidRPr="00B1135E" w:rsidRDefault="00FC5F76" w:rsidP="00C15DF3">
      <w:pPr>
        <w:pStyle w:val="Body"/>
      </w:pPr>
      <w:r w:rsidRPr="00B1135E">
        <w:rPr>
          <w:noProof/>
        </w:rPr>
        <w:drawing>
          <wp:inline distT="0" distB="0" distL="0" distR="0" wp14:anchorId="22A21F37" wp14:editId="40943F65">
            <wp:extent cx="5395595" cy="33936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5595" cy="3393610"/>
                    </a:xfrm>
                    <a:prstGeom prst="rect">
                      <a:avLst/>
                    </a:prstGeom>
                    <a:noFill/>
                    <a:ln>
                      <a:noFill/>
                    </a:ln>
                  </pic:spPr>
                </pic:pic>
              </a:graphicData>
            </a:graphic>
          </wp:inline>
        </w:drawing>
      </w:r>
    </w:p>
    <w:p w:rsidR="00C15DF3" w:rsidRPr="00B1135E" w:rsidRDefault="00C15DF3" w:rsidP="00C15DF3">
      <w:pPr>
        <w:pStyle w:val="Body"/>
      </w:pPr>
    </w:p>
    <w:p w:rsidR="00415E8A" w:rsidRPr="00B1135E" w:rsidRDefault="007D6419" w:rsidP="00415E8A">
      <w:pPr>
        <w:pStyle w:val="Heading20"/>
      </w:pPr>
      <w:bookmarkStart w:id="12" w:name="_Toc511814815"/>
      <w:r w:rsidRPr="00B1135E">
        <w:t>3.</w:t>
      </w:r>
      <w:r w:rsidR="00A471F9" w:rsidRPr="00B1135E">
        <w:t>3</w:t>
      </w:r>
      <w:r w:rsidRPr="00B1135E">
        <w:t xml:space="preserve"> </w:t>
      </w:r>
      <w:r w:rsidR="00415E8A" w:rsidRPr="00B1135E">
        <w:t xml:space="preserve">Other </w:t>
      </w:r>
      <w:r w:rsidR="0081507B" w:rsidRPr="00B1135E">
        <w:t xml:space="preserve">gender </w:t>
      </w:r>
      <w:r w:rsidR="00415E8A" w:rsidRPr="00B1135E">
        <w:t>segregation effects</w:t>
      </w:r>
      <w:r w:rsidR="00452585" w:rsidRPr="00B1135E">
        <w:t xml:space="preserve"> and </w:t>
      </w:r>
      <w:r w:rsidR="00F3339B" w:rsidRPr="00B1135E">
        <w:t>‘self-selection’</w:t>
      </w:r>
      <w:bookmarkEnd w:id="12"/>
    </w:p>
    <w:p w:rsidR="00415E8A" w:rsidRPr="00B1135E" w:rsidRDefault="00783D20" w:rsidP="00C15DF3">
      <w:pPr>
        <w:pStyle w:val="Body"/>
      </w:pPr>
      <w:r>
        <w:t>N</w:t>
      </w:r>
      <w:r w:rsidR="0084546A" w:rsidRPr="00B1135E">
        <w:t>ote that the decomposition of the unadjusted GPG does not capture all segregation effects between men and women in the labour market</w:t>
      </w:r>
      <w:r w:rsidR="00C0608B" w:rsidRPr="00B1135E">
        <w:t xml:space="preserve"> (see Figure </w:t>
      </w:r>
      <w:r w:rsidR="00CD5493" w:rsidRPr="00B1135E">
        <w:t>4</w:t>
      </w:r>
      <w:r w:rsidR="00C0608B" w:rsidRPr="00B1135E">
        <w:t>)</w:t>
      </w:r>
      <w:r w:rsidR="0084546A" w:rsidRPr="00B1135E">
        <w:t xml:space="preserve">. In particular, </w:t>
      </w:r>
      <w:r w:rsidR="00593B85" w:rsidRPr="00B1135E">
        <w:t xml:space="preserve">women </w:t>
      </w:r>
      <w:r w:rsidR="005F3AA8">
        <w:t>work</w:t>
      </w:r>
      <w:r w:rsidR="00593B85" w:rsidRPr="00B1135E">
        <w:t>, on average, fewer hours per month</w:t>
      </w:r>
      <w:r w:rsidR="0084546A" w:rsidRPr="00B1135E">
        <w:t xml:space="preserve"> than men</w:t>
      </w:r>
      <w:r w:rsidR="00361353" w:rsidRPr="00B1135E">
        <w:t xml:space="preserve"> in the labour market</w:t>
      </w:r>
      <w:r w:rsidR="0084546A" w:rsidRPr="00B1135E">
        <w:t>. This is not captured by the unadjusted GPG</w:t>
      </w:r>
      <w:r>
        <w:t>,</w:t>
      </w:r>
      <w:r w:rsidR="0084546A" w:rsidRPr="00B1135E">
        <w:t xml:space="preserve"> which is calculated on an hourly basis. Moreover, a lower proportion of women </w:t>
      </w:r>
      <w:r w:rsidR="00C72F82">
        <w:t>than</w:t>
      </w:r>
      <w:r w:rsidR="0084546A" w:rsidRPr="00B1135E">
        <w:t xml:space="preserve"> men participate in the labour market</w:t>
      </w:r>
      <w:r w:rsidR="00415E8A" w:rsidRPr="00B1135E">
        <w:t>.</w:t>
      </w:r>
      <w:r w:rsidR="00C0608B" w:rsidRPr="00B1135E">
        <w:t xml:space="preserve"> This is shown by the lower employment rates for women </w:t>
      </w:r>
      <w:r w:rsidR="00C72F82">
        <w:t>than</w:t>
      </w:r>
      <w:r w:rsidR="00C0608B" w:rsidRPr="00B1135E">
        <w:t xml:space="preserve"> men across EU Member States.</w:t>
      </w:r>
    </w:p>
    <w:p w:rsidR="00415E8A" w:rsidRPr="00B1135E" w:rsidRDefault="007D5BDD" w:rsidP="005E2AC3">
      <w:pPr>
        <w:pStyle w:val="Table-graph-maptitle"/>
        <w:spacing w:after="120"/>
        <w:ind w:left="0"/>
      </w:pPr>
      <w:r w:rsidRPr="00B1135E">
        <w:t xml:space="preserve">Figure </w:t>
      </w:r>
      <w:r w:rsidR="009C0400" w:rsidRPr="00B1135E">
        <w:t>4</w:t>
      </w:r>
      <w:r w:rsidR="00415E8A" w:rsidRPr="00B1135E">
        <w:t xml:space="preserve">: </w:t>
      </w:r>
      <w:r w:rsidR="006A0E01" w:rsidRPr="00B1135E">
        <w:t>Gender segregation effects</w:t>
      </w:r>
    </w:p>
    <w:p w:rsidR="00415E8A" w:rsidRPr="00B1135E" w:rsidRDefault="00415E8A" w:rsidP="00EF29A2">
      <w:pPr>
        <w:pBdr>
          <w:top w:val="single" w:sz="4" w:space="1" w:color="auto"/>
          <w:left w:val="single" w:sz="4" w:space="4" w:color="auto"/>
          <w:bottom w:val="single" w:sz="4" w:space="1" w:color="auto"/>
          <w:right w:val="single" w:sz="4" w:space="4" w:color="auto"/>
        </w:pBdr>
        <w:shd w:val="clear" w:color="auto" w:fill="FEF0CF"/>
        <w:spacing w:after="120"/>
        <w:jc w:val="both"/>
        <w:rPr>
          <w:rFonts w:ascii="Times New Roman" w:hAnsi="Times New Roman"/>
          <w:sz w:val="24"/>
          <w:lang w:eastAsia="en-GB"/>
        </w:rPr>
      </w:pPr>
      <w:r w:rsidRPr="00B1135E">
        <w:rPr>
          <w:rFonts w:ascii="Times New Roman" w:hAnsi="Times New Roman"/>
          <w:noProof/>
          <w:color w:val="6C4600"/>
          <w:sz w:val="24"/>
          <w:lang w:eastAsia="en-GB"/>
        </w:rPr>
        <mc:AlternateContent>
          <mc:Choice Requires="wps">
            <w:drawing>
              <wp:anchor distT="0" distB="0" distL="114300" distR="114300" simplePos="0" relativeHeight="251672576" behindDoc="0" locked="0" layoutInCell="1" allowOverlap="1" wp14:anchorId="1250EB4C" wp14:editId="455F81C6">
                <wp:simplePos x="0" y="0"/>
                <wp:positionH relativeFrom="column">
                  <wp:posOffset>2445847</wp:posOffset>
                </wp:positionH>
                <wp:positionV relativeFrom="paragraph">
                  <wp:posOffset>97213</wp:posOffset>
                </wp:positionV>
                <wp:extent cx="893445" cy="1488440"/>
                <wp:effectExtent l="0" t="0" r="20955" b="16510"/>
                <wp:wrapNone/>
                <wp:docPr id="4" name="Right Brace 4"/>
                <wp:cNvGraphicFramePr/>
                <a:graphic xmlns:a="http://schemas.openxmlformats.org/drawingml/2006/main">
                  <a:graphicData uri="http://schemas.microsoft.com/office/word/2010/wordprocessingShape">
                    <wps:wsp>
                      <wps:cNvSpPr/>
                      <wps:spPr>
                        <a:xfrm>
                          <a:off x="0" y="0"/>
                          <a:ext cx="893445" cy="1488440"/>
                        </a:xfrm>
                        <a:prstGeom prst="rightBrace">
                          <a:avLst>
                            <a:gd name="adj1" fmla="val 8333"/>
                            <a:gd name="adj2" fmla="val 50465"/>
                          </a:avLst>
                        </a:prstGeom>
                        <a:noFill/>
                        <a:ln w="19050" cap="flat" cmpd="sng" algn="ctr">
                          <a:solidFill>
                            <a:srgbClr val="6C46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192.6pt;margin-top:7.65pt;width:70.35pt;height:11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" adj="1080,10900" strokecolor="#6c4600" strokeweight="1.5pt"/>
            </w:pict>
          </mc:Fallback>
        </mc:AlternateContent>
      </w:r>
    </w:p>
    <w:p w:rsidR="00415E8A" w:rsidRPr="00B1135E" w:rsidRDefault="0081507B" w:rsidP="00EF29A2">
      <w:pPr>
        <w:pBdr>
          <w:top w:val="single" w:sz="4" w:space="1" w:color="auto"/>
          <w:left w:val="single" w:sz="4" w:space="4" w:color="auto"/>
          <w:bottom w:val="single" w:sz="4" w:space="1" w:color="auto"/>
          <w:right w:val="single" w:sz="4" w:space="4" w:color="auto"/>
        </w:pBdr>
        <w:shd w:val="clear" w:color="auto" w:fill="FEF0CF"/>
        <w:spacing w:after="120"/>
        <w:jc w:val="both"/>
        <w:rPr>
          <w:rFonts w:ascii="Arial" w:hAnsi="Arial" w:cs="Arial"/>
          <w:b/>
          <w:color w:val="BC7900"/>
          <w:sz w:val="22"/>
          <w:szCs w:val="22"/>
          <w:lang w:eastAsia="en-GB"/>
        </w:rPr>
      </w:pPr>
      <w:r w:rsidRPr="00B1135E">
        <w:rPr>
          <w:rFonts w:ascii="Arial" w:hAnsi="Arial" w:cs="Arial"/>
          <w:b/>
          <w:color w:val="00B050"/>
          <w:sz w:val="24"/>
          <w:lang w:eastAsia="en-GB"/>
        </w:rPr>
        <w:t xml:space="preserve"> </w:t>
      </w:r>
      <w:r w:rsidR="00415E8A" w:rsidRPr="00B1135E">
        <w:rPr>
          <w:rFonts w:ascii="Arial" w:hAnsi="Arial" w:cs="Arial"/>
          <w:b/>
          <w:color w:val="BC7900"/>
          <w:sz w:val="22"/>
          <w:szCs w:val="22"/>
          <w:lang w:eastAsia="en-GB"/>
        </w:rPr>
        <w:t>Lower employment rate of women</w:t>
      </w:r>
      <w:r w:rsidR="00415E8A" w:rsidRPr="00B1135E">
        <w:rPr>
          <w:rFonts w:ascii="Arial" w:hAnsi="Arial" w:cs="Arial"/>
          <w:b/>
          <w:color w:val="BC7900"/>
          <w:sz w:val="22"/>
          <w:szCs w:val="22"/>
          <w:lang w:eastAsia="en-GB"/>
        </w:rPr>
        <w:tab/>
      </w:r>
      <w:r w:rsidR="00415E8A" w:rsidRPr="00B1135E">
        <w:rPr>
          <w:rFonts w:ascii="Arial" w:hAnsi="Arial" w:cs="Arial"/>
          <w:b/>
          <w:color w:val="BC7900"/>
          <w:sz w:val="22"/>
          <w:szCs w:val="22"/>
          <w:lang w:eastAsia="en-GB"/>
        </w:rPr>
        <w:tab/>
      </w:r>
      <w:r w:rsidR="00415E8A" w:rsidRPr="00B1135E">
        <w:rPr>
          <w:rFonts w:ascii="Arial" w:hAnsi="Arial" w:cs="Arial"/>
          <w:b/>
          <w:color w:val="BC7900"/>
          <w:sz w:val="22"/>
          <w:szCs w:val="22"/>
          <w:lang w:eastAsia="en-GB"/>
        </w:rPr>
        <w:tab/>
      </w:r>
      <w:r w:rsidR="00415E8A" w:rsidRPr="00B1135E">
        <w:rPr>
          <w:rFonts w:ascii="Arial" w:hAnsi="Arial" w:cs="Arial"/>
          <w:b/>
          <w:color w:val="BC7900"/>
          <w:sz w:val="22"/>
          <w:szCs w:val="22"/>
          <w:lang w:eastAsia="en-GB"/>
        </w:rPr>
        <w:tab/>
      </w:r>
    </w:p>
    <w:p w:rsidR="00415E8A" w:rsidRPr="00B1135E" w:rsidRDefault="00415E8A" w:rsidP="00EF29A2">
      <w:pPr>
        <w:pBdr>
          <w:top w:val="single" w:sz="4" w:space="1" w:color="auto"/>
          <w:left w:val="single" w:sz="4" w:space="4" w:color="auto"/>
          <w:bottom w:val="single" w:sz="4" w:space="1" w:color="auto"/>
          <w:right w:val="single" w:sz="4" w:space="4" w:color="auto"/>
        </w:pBdr>
        <w:shd w:val="clear" w:color="auto" w:fill="FEF0CF"/>
        <w:spacing w:after="120"/>
        <w:jc w:val="both"/>
        <w:rPr>
          <w:rFonts w:ascii="Arial" w:hAnsi="Arial" w:cs="Arial"/>
          <w:b/>
          <w:color w:val="BC7900"/>
          <w:sz w:val="22"/>
          <w:szCs w:val="22"/>
          <w:lang w:eastAsia="en-GB"/>
        </w:rPr>
      </w:pPr>
    </w:p>
    <w:p w:rsidR="00415E8A" w:rsidRPr="00B1135E" w:rsidRDefault="0081507B" w:rsidP="00EF29A2">
      <w:pPr>
        <w:pBdr>
          <w:top w:val="single" w:sz="4" w:space="1" w:color="auto"/>
          <w:left w:val="single" w:sz="4" w:space="4" w:color="auto"/>
          <w:bottom w:val="single" w:sz="4" w:space="1" w:color="auto"/>
          <w:right w:val="single" w:sz="4" w:space="4" w:color="auto"/>
        </w:pBdr>
        <w:shd w:val="clear" w:color="auto" w:fill="FEF0CF"/>
        <w:spacing w:after="120"/>
        <w:jc w:val="both"/>
        <w:rPr>
          <w:rFonts w:ascii="Arial" w:hAnsi="Arial" w:cs="Arial"/>
          <w:b/>
          <w:color w:val="BC7900"/>
          <w:sz w:val="22"/>
          <w:szCs w:val="22"/>
          <w:lang w:eastAsia="en-GB"/>
        </w:rPr>
      </w:pPr>
      <w:r w:rsidRPr="00B1135E">
        <w:rPr>
          <w:rFonts w:ascii="Arial" w:hAnsi="Arial" w:cs="Arial"/>
          <w:b/>
          <w:color w:val="BC7900"/>
          <w:sz w:val="22"/>
          <w:szCs w:val="22"/>
          <w:lang w:eastAsia="en-GB"/>
        </w:rPr>
        <w:t xml:space="preserve"> </w:t>
      </w:r>
      <w:r w:rsidR="00415E8A" w:rsidRPr="00B1135E">
        <w:rPr>
          <w:rFonts w:ascii="Arial" w:hAnsi="Arial" w:cs="Arial"/>
          <w:b/>
          <w:color w:val="BC7900"/>
          <w:sz w:val="22"/>
          <w:szCs w:val="22"/>
          <w:lang w:eastAsia="en-GB"/>
        </w:rPr>
        <w:t xml:space="preserve">Lower number of hours </w:t>
      </w:r>
      <w:r w:rsidR="005F3AA8">
        <w:rPr>
          <w:rFonts w:ascii="Arial" w:hAnsi="Arial" w:cs="Arial"/>
          <w:b/>
          <w:color w:val="BC7900"/>
          <w:sz w:val="22"/>
          <w:szCs w:val="22"/>
          <w:lang w:eastAsia="en-GB"/>
        </w:rPr>
        <w:t>worked</w:t>
      </w:r>
      <w:r w:rsidR="00415E8A" w:rsidRPr="00B1135E">
        <w:rPr>
          <w:rFonts w:ascii="Arial" w:hAnsi="Arial" w:cs="Arial"/>
          <w:b/>
          <w:color w:val="BC7900"/>
          <w:sz w:val="22"/>
          <w:szCs w:val="22"/>
          <w:lang w:eastAsia="en-GB"/>
        </w:rPr>
        <w:tab/>
      </w:r>
      <w:r w:rsidR="00415E8A" w:rsidRPr="00B1135E">
        <w:rPr>
          <w:rFonts w:ascii="Times New Roman" w:hAnsi="Times New Roman"/>
          <w:b/>
          <w:color w:val="BC7900"/>
          <w:sz w:val="22"/>
          <w:szCs w:val="22"/>
          <w:lang w:eastAsia="en-GB"/>
        </w:rPr>
        <w:tab/>
      </w:r>
      <w:r w:rsidR="00415E8A" w:rsidRPr="00B1135E">
        <w:rPr>
          <w:rFonts w:ascii="Times New Roman" w:hAnsi="Times New Roman"/>
          <w:b/>
          <w:color w:val="BC7900"/>
          <w:sz w:val="22"/>
          <w:szCs w:val="22"/>
          <w:lang w:eastAsia="en-GB"/>
        </w:rPr>
        <w:tab/>
      </w:r>
      <w:r w:rsidR="00FB3400" w:rsidRPr="00B1135E">
        <w:rPr>
          <w:rFonts w:ascii="Times New Roman" w:hAnsi="Times New Roman"/>
          <w:b/>
          <w:color w:val="BC7900"/>
          <w:sz w:val="22"/>
          <w:szCs w:val="22"/>
          <w:lang w:eastAsia="en-GB"/>
        </w:rPr>
        <w:t xml:space="preserve">     </w:t>
      </w:r>
      <w:r w:rsidR="00FB3400" w:rsidRPr="00B1135E">
        <w:rPr>
          <w:rFonts w:ascii="Arial" w:hAnsi="Arial" w:cs="Arial"/>
          <w:b/>
          <w:color w:val="BC7900"/>
          <w:sz w:val="22"/>
          <w:szCs w:val="22"/>
          <w:lang w:eastAsia="en-GB"/>
        </w:rPr>
        <w:t xml:space="preserve">Gender </w:t>
      </w:r>
      <w:r w:rsidR="00415E8A" w:rsidRPr="00B1135E">
        <w:rPr>
          <w:rFonts w:ascii="Arial" w:hAnsi="Arial" w:cs="Arial"/>
          <w:b/>
          <w:color w:val="BC7900"/>
          <w:sz w:val="22"/>
          <w:szCs w:val="22"/>
          <w:lang w:eastAsia="en-GB"/>
        </w:rPr>
        <w:t>segregation effects</w:t>
      </w:r>
    </w:p>
    <w:p w:rsidR="00415E8A" w:rsidRPr="00B1135E" w:rsidRDefault="00FB3400" w:rsidP="00EF29A2">
      <w:pPr>
        <w:pBdr>
          <w:top w:val="single" w:sz="4" w:space="1" w:color="auto"/>
          <w:left w:val="single" w:sz="4" w:space="4" w:color="auto"/>
          <w:bottom w:val="single" w:sz="4" w:space="1" w:color="auto"/>
          <w:right w:val="single" w:sz="4" w:space="4" w:color="auto"/>
        </w:pBdr>
        <w:shd w:val="clear" w:color="auto" w:fill="FEF0CF"/>
        <w:spacing w:after="120"/>
        <w:jc w:val="both"/>
        <w:rPr>
          <w:rFonts w:ascii="Times New Roman" w:hAnsi="Times New Roman"/>
          <w:b/>
          <w:color w:val="00B050"/>
          <w:sz w:val="22"/>
          <w:szCs w:val="22"/>
          <w:lang w:eastAsia="en-GB"/>
        </w:rPr>
      </w:pPr>
      <w:r w:rsidRPr="00B1135E">
        <w:rPr>
          <w:rFonts w:ascii="Times New Roman" w:hAnsi="Times New Roman"/>
          <w:b/>
          <w:noProof/>
          <w:color w:val="1F497D" w:themeColor="text2"/>
          <w:sz w:val="22"/>
          <w:szCs w:val="22"/>
          <w:lang w:eastAsia="en-GB"/>
        </w:rPr>
        <mc:AlternateContent>
          <mc:Choice Requires="wps">
            <w:drawing>
              <wp:anchor distT="0" distB="0" distL="114300" distR="114300" simplePos="0" relativeHeight="251673600" behindDoc="0" locked="0" layoutInCell="1" allowOverlap="1" wp14:anchorId="7C02677C" wp14:editId="03490918">
                <wp:simplePos x="0" y="0"/>
                <wp:positionH relativeFrom="column">
                  <wp:posOffset>2445847</wp:posOffset>
                </wp:positionH>
                <wp:positionV relativeFrom="paragraph">
                  <wp:posOffset>155229</wp:posOffset>
                </wp:positionV>
                <wp:extent cx="976745" cy="798830"/>
                <wp:effectExtent l="0" t="0" r="13970" b="20320"/>
                <wp:wrapNone/>
                <wp:docPr id="5" name="Right Brace 5"/>
                <wp:cNvGraphicFramePr/>
                <a:graphic xmlns:a="http://schemas.openxmlformats.org/drawingml/2006/main">
                  <a:graphicData uri="http://schemas.microsoft.com/office/word/2010/wordprocessingShape">
                    <wps:wsp>
                      <wps:cNvSpPr/>
                      <wps:spPr>
                        <a:xfrm>
                          <a:off x="0" y="0"/>
                          <a:ext cx="976745" cy="798830"/>
                        </a:xfrm>
                        <a:prstGeom prst="rightBrace">
                          <a:avLst>
                            <a:gd name="adj1" fmla="val 8333"/>
                            <a:gd name="adj2" fmla="val 48266"/>
                          </a:avLst>
                        </a:prstGeom>
                        <a:noFill/>
                        <a:ln w="1905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5" o:spid="_x0000_s1026" type="#_x0000_t88" style="position:absolute;margin-left:192.6pt;margin-top:12.2pt;width:76.9pt;height:6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" adj=",10425" strokecolor="#1f497d [3215]" strokeweight="1.5pt"/>
            </w:pict>
          </mc:Fallback>
        </mc:AlternateContent>
      </w:r>
    </w:p>
    <w:p w:rsidR="00415E8A" w:rsidRPr="00B1135E" w:rsidRDefault="0081507B" w:rsidP="00EF29A2">
      <w:pPr>
        <w:pBdr>
          <w:top w:val="single" w:sz="4" w:space="1" w:color="auto"/>
          <w:left w:val="single" w:sz="4" w:space="4" w:color="auto"/>
          <w:bottom w:val="single" w:sz="4" w:space="1" w:color="auto"/>
          <w:right w:val="single" w:sz="4" w:space="4" w:color="auto"/>
        </w:pBdr>
        <w:shd w:val="clear" w:color="auto" w:fill="FEF0CF"/>
        <w:spacing w:after="120"/>
        <w:jc w:val="both"/>
        <w:rPr>
          <w:rFonts w:ascii="Arial" w:hAnsi="Arial" w:cs="Arial"/>
          <w:b/>
          <w:color w:val="00B050"/>
          <w:sz w:val="22"/>
          <w:szCs w:val="22"/>
          <w:lang w:eastAsia="en-GB"/>
        </w:rPr>
      </w:pPr>
      <w:r w:rsidRPr="00B1135E">
        <w:rPr>
          <w:rFonts w:ascii="Times New Roman" w:hAnsi="Times New Roman"/>
          <w:b/>
          <w:color w:val="00B050"/>
          <w:sz w:val="22"/>
          <w:szCs w:val="22"/>
          <w:lang w:eastAsia="en-GB"/>
        </w:rPr>
        <w:t xml:space="preserve"> </w:t>
      </w:r>
      <w:r w:rsidR="00415E8A" w:rsidRPr="00B1135E">
        <w:rPr>
          <w:rFonts w:ascii="Arial" w:hAnsi="Arial" w:cs="Arial"/>
          <w:b/>
          <w:color w:val="BC7900"/>
          <w:sz w:val="22"/>
          <w:szCs w:val="22"/>
          <w:lang w:eastAsia="en-GB"/>
        </w:rPr>
        <w:t>Sector</w:t>
      </w:r>
      <w:r w:rsidR="00FB3400" w:rsidRPr="00B1135E">
        <w:rPr>
          <w:rFonts w:ascii="Arial" w:hAnsi="Arial" w:cs="Arial"/>
          <w:b/>
          <w:color w:val="BC7900"/>
          <w:sz w:val="22"/>
          <w:szCs w:val="22"/>
          <w:lang w:eastAsia="en-GB"/>
        </w:rPr>
        <w:t>al</w:t>
      </w:r>
      <w:r w:rsidR="00415E8A" w:rsidRPr="00B1135E">
        <w:rPr>
          <w:rFonts w:ascii="Arial" w:hAnsi="Arial" w:cs="Arial"/>
          <w:b/>
          <w:color w:val="BC7900"/>
          <w:sz w:val="22"/>
          <w:szCs w:val="22"/>
          <w:lang w:eastAsia="en-GB"/>
        </w:rPr>
        <w:t xml:space="preserve"> and occupational segregation</w:t>
      </w:r>
    </w:p>
    <w:p w:rsidR="00415E8A" w:rsidRPr="00B1135E" w:rsidRDefault="00415E8A" w:rsidP="00EF29A2">
      <w:pPr>
        <w:pBdr>
          <w:top w:val="single" w:sz="4" w:space="1" w:color="auto"/>
          <w:left w:val="single" w:sz="4" w:space="4" w:color="auto"/>
          <w:bottom w:val="single" w:sz="4" w:space="1" w:color="auto"/>
          <w:right w:val="single" w:sz="4" w:space="4" w:color="auto"/>
        </w:pBdr>
        <w:shd w:val="clear" w:color="auto" w:fill="FEF0CF"/>
        <w:spacing w:after="120"/>
        <w:jc w:val="both"/>
        <w:rPr>
          <w:rFonts w:ascii="Arial" w:hAnsi="Arial" w:cs="Arial"/>
          <w:b/>
          <w:sz w:val="22"/>
          <w:szCs w:val="22"/>
          <w:lang w:eastAsia="en-GB"/>
        </w:rPr>
      </w:pPr>
      <w:r w:rsidRPr="00B1135E">
        <w:rPr>
          <w:rFonts w:ascii="Arial" w:hAnsi="Arial" w:cs="Arial"/>
          <w:b/>
          <w:sz w:val="22"/>
          <w:szCs w:val="22"/>
          <w:lang w:eastAsia="en-GB"/>
        </w:rPr>
        <w:tab/>
      </w:r>
      <w:r w:rsidRPr="00B1135E">
        <w:rPr>
          <w:rFonts w:ascii="Arial" w:hAnsi="Arial" w:cs="Arial"/>
          <w:b/>
          <w:sz w:val="22"/>
          <w:szCs w:val="22"/>
          <w:lang w:eastAsia="en-GB"/>
        </w:rPr>
        <w:tab/>
      </w:r>
      <w:r w:rsidRPr="00B1135E">
        <w:rPr>
          <w:rFonts w:ascii="Arial" w:hAnsi="Arial" w:cs="Arial"/>
          <w:b/>
          <w:sz w:val="22"/>
          <w:szCs w:val="22"/>
          <w:lang w:eastAsia="en-GB"/>
        </w:rPr>
        <w:tab/>
      </w:r>
      <w:r w:rsidRPr="00B1135E">
        <w:rPr>
          <w:rFonts w:ascii="Arial" w:hAnsi="Arial" w:cs="Arial"/>
          <w:b/>
          <w:sz w:val="22"/>
          <w:szCs w:val="22"/>
          <w:lang w:eastAsia="en-GB"/>
        </w:rPr>
        <w:tab/>
      </w:r>
      <w:r w:rsidRPr="00B1135E">
        <w:rPr>
          <w:rFonts w:ascii="Arial" w:hAnsi="Arial" w:cs="Arial"/>
          <w:b/>
          <w:sz w:val="22"/>
          <w:szCs w:val="22"/>
          <w:lang w:eastAsia="en-GB"/>
        </w:rPr>
        <w:tab/>
      </w:r>
      <w:r w:rsidRPr="00B1135E">
        <w:rPr>
          <w:rFonts w:ascii="Arial" w:hAnsi="Arial" w:cs="Arial"/>
          <w:b/>
          <w:sz w:val="22"/>
          <w:szCs w:val="22"/>
          <w:lang w:eastAsia="en-GB"/>
        </w:rPr>
        <w:tab/>
      </w:r>
      <w:r w:rsidRPr="00B1135E">
        <w:rPr>
          <w:rFonts w:ascii="Arial" w:hAnsi="Arial" w:cs="Arial"/>
          <w:b/>
          <w:sz w:val="22"/>
          <w:szCs w:val="22"/>
          <w:lang w:eastAsia="en-GB"/>
        </w:rPr>
        <w:tab/>
        <w:t xml:space="preserve">      </w:t>
      </w:r>
      <w:r w:rsidRPr="00B1135E">
        <w:rPr>
          <w:rFonts w:ascii="Arial" w:hAnsi="Arial" w:cs="Arial"/>
          <w:b/>
          <w:color w:val="365F91" w:themeColor="accent1" w:themeShade="BF"/>
          <w:sz w:val="22"/>
          <w:szCs w:val="22"/>
          <w:lang w:eastAsia="en-GB"/>
        </w:rPr>
        <w:t>Unadjusted gender pay gap</w:t>
      </w:r>
    </w:p>
    <w:p w:rsidR="00415E8A" w:rsidRPr="00B1135E" w:rsidRDefault="0081507B" w:rsidP="00EF29A2">
      <w:pPr>
        <w:pBdr>
          <w:top w:val="single" w:sz="4" w:space="1" w:color="auto"/>
          <w:left w:val="single" w:sz="4" w:space="4" w:color="auto"/>
          <w:bottom w:val="single" w:sz="4" w:space="1" w:color="auto"/>
          <w:right w:val="single" w:sz="4" w:space="4" w:color="auto"/>
        </w:pBdr>
        <w:shd w:val="clear" w:color="auto" w:fill="FEF0CF"/>
        <w:spacing w:after="120"/>
        <w:jc w:val="both"/>
        <w:rPr>
          <w:rFonts w:ascii="Arial" w:hAnsi="Arial" w:cs="Arial"/>
          <w:b/>
          <w:color w:val="002060"/>
          <w:sz w:val="22"/>
          <w:szCs w:val="22"/>
          <w:lang w:eastAsia="en-GB"/>
        </w:rPr>
      </w:pPr>
      <w:r w:rsidRPr="00B1135E">
        <w:rPr>
          <w:rFonts w:ascii="Arial" w:hAnsi="Arial" w:cs="Arial"/>
          <w:b/>
          <w:color w:val="002060"/>
          <w:sz w:val="22"/>
          <w:szCs w:val="22"/>
          <w:lang w:eastAsia="en-GB"/>
        </w:rPr>
        <w:t xml:space="preserve"> </w:t>
      </w:r>
      <w:r w:rsidR="00415E8A" w:rsidRPr="00B1135E">
        <w:rPr>
          <w:rFonts w:ascii="Arial" w:hAnsi="Arial" w:cs="Arial"/>
          <w:b/>
          <w:color w:val="365F91" w:themeColor="accent1" w:themeShade="BF"/>
          <w:sz w:val="22"/>
          <w:szCs w:val="22"/>
          <w:lang w:eastAsia="en-GB"/>
        </w:rPr>
        <w:t>Unequal pay for equal work</w:t>
      </w:r>
    </w:p>
    <w:p w:rsidR="00415E8A" w:rsidRPr="00B1135E" w:rsidRDefault="00415E8A" w:rsidP="00EF29A2">
      <w:pPr>
        <w:pBdr>
          <w:top w:val="single" w:sz="4" w:space="1" w:color="auto"/>
          <w:left w:val="single" w:sz="4" w:space="4" w:color="auto"/>
          <w:bottom w:val="single" w:sz="4" w:space="1" w:color="auto"/>
          <w:right w:val="single" w:sz="4" w:space="4" w:color="auto"/>
        </w:pBdr>
        <w:shd w:val="clear" w:color="auto" w:fill="FEF0CF"/>
        <w:spacing w:after="120"/>
        <w:jc w:val="both"/>
        <w:rPr>
          <w:rFonts w:ascii="Times New Roman" w:hAnsi="Times New Roman"/>
          <w:b/>
          <w:sz w:val="24"/>
          <w:lang w:eastAsia="en-GB"/>
        </w:rPr>
      </w:pPr>
    </w:p>
    <w:p w:rsidR="00C25131" w:rsidRPr="00B1135E" w:rsidRDefault="00C25131"/>
    <w:p w:rsidR="00FF4100" w:rsidRPr="00B1135E" w:rsidRDefault="00C0608B" w:rsidP="001860B0">
      <w:pPr>
        <w:pStyle w:val="Body"/>
      </w:pPr>
      <w:r w:rsidRPr="00B1135E">
        <w:t xml:space="preserve">Table </w:t>
      </w:r>
      <w:r w:rsidR="004E6F46">
        <w:t>4</w:t>
      </w:r>
      <w:r w:rsidRPr="00B1135E">
        <w:t xml:space="preserve"> presents Eurostat</w:t>
      </w:r>
      <w:r w:rsidR="00B1135E">
        <w:t>’</w:t>
      </w:r>
      <w:r w:rsidRPr="00B1135E">
        <w:t xml:space="preserve">s data on the </w:t>
      </w:r>
      <w:r w:rsidR="00E61369" w:rsidRPr="00B1135E">
        <w:t xml:space="preserve">average </w:t>
      </w:r>
      <w:r w:rsidRPr="00B1135E">
        <w:t xml:space="preserve">number of hours paid </w:t>
      </w:r>
      <w:r w:rsidR="00E61369" w:rsidRPr="00B1135E">
        <w:t xml:space="preserve">per month </w:t>
      </w:r>
      <w:r w:rsidRPr="00B1135E">
        <w:t xml:space="preserve">and the employment rate. </w:t>
      </w:r>
      <w:r w:rsidR="00355FA7" w:rsidRPr="00B1135E">
        <w:t>In 2014, women were paid on average 14</w:t>
      </w:r>
      <w:r w:rsidR="00B1135E">
        <w:t> </w:t>
      </w:r>
      <w:r w:rsidR="00355FA7" w:rsidRPr="00B1135E">
        <w:t xml:space="preserve">% fewer hours </w:t>
      </w:r>
      <w:r w:rsidR="00E61369" w:rsidRPr="00B1135E">
        <w:t xml:space="preserve">per month </w:t>
      </w:r>
      <w:r w:rsidR="00EE3277" w:rsidRPr="00B1135E">
        <w:t>than men</w:t>
      </w:r>
      <w:r w:rsidR="00355FA7" w:rsidRPr="00B1135E">
        <w:t xml:space="preserve"> at the EU level. The </w:t>
      </w:r>
      <w:r w:rsidR="00E61369" w:rsidRPr="00B1135E">
        <w:t xml:space="preserve">gap between the </w:t>
      </w:r>
      <w:r w:rsidR="00355FA7" w:rsidRPr="00B1135E">
        <w:t xml:space="preserve">number of hours paid to men </w:t>
      </w:r>
      <w:r w:rsidR="00E61369" w:rsidRPr="00B1135E">
        <w:t>versus women varies substantially across EU countries</w:t>
      </w:r>
      <w:r w:rsidR="008A07CE" w:rsidRPr="00B1135E">
        <w:t xml:space="preserve">. </w:t>
      </w:r>
      <w:r w:rsidR="005640A4" w:rsidRPr="00B1135E">
        <w:t xml:space="preserve">At one end of the scale, </w:t>
      </w:r>
      <w:r w:rsidR="008A07CE" w:rsidRPr="00B1135E">
        <w:t>women were paid on average 28</w:t>
      </w:r>
      <w:r w:rsidR="00B1135E">
        <w:t> </w:t>
      </w:r>
      <w:r w:rsidR="008A07CE" w:rsidRPr="00B1135E">
        <w:t>% fewer hours than men per month</w:t>
      </w:r>
      <w:r w:rsidR="005640A4" w:rsidRPr="00B1135E">
        <w:t xml:space="preserve"> in the Netherlands. </w:t>
      </w:r>
      <w:r w:rsidR="00355FA7" w:rsidRPr="00B1135E">
        <w:t xml:space="preserve">At the other end of the scale, </w:t>
      </w:r>
      <w:r w:rsidR="008A07CE" w:rsidRPr="00B1135E">
        <w:t xml:space="preserve">this difference was </w:t>
      </w:r>
      <w:r w:rsidR="00E61369" w:rsidRPr="00B1135E">
        <w:t xml:space="preserve">about </w:t>
      </w:r>
      <w:r w:rsidR="00457DA7" w:rsidRPr="00B1135E">
        <w:t xml:space="preserve">only </w:t>
      </w:r>
      <w:r w:rsidR="008A07CE" w:rsidRPr="00B1135E">
        <w:t>1</w:t>
      </w:r>
      <w:r w:rsidR="00B1135E">
        <w:t> </w:t>
      </w:r>
      <w:r w:rsidR="008A07CE" w:rsidRPr="00B1135E">
        <w:t>%</w:t>
      </w:r>
      <w:r w:rsidR="00E61369" w:rsidRPr="00B1135E">
        <w:t xml:space="preserve"> </w:t>
      </w:r>
      <w:r w:rsidR="008A07CE" w:rsidRPr="00B1135E">
        <w:t>in Bulgaria, Latvia and Romania.</w:t>
      </w:r>
    </w:p>
    <w:p w:rsidR="00A63AA8" w:rsidRPr="00B1135E" w:rsidRDefault="000F74FB" w:rsidP="001860B0">
      <w:pPr>
        <w:pStyle w:val="Body"/>
      </w:pPr>
      <w:r w:rsidRPr="00B1135E">
        <w:t xml:space="preserve">In 2014, the employment rate of men was 10.5 percentage points higher </w:t>
      </w:r>
      <w:r w:rsidR="00892E8D">
        <w:t>than</w:t>
      </w:r>
      <w:r w:rsidRPr="00B1135E">
        <w:t xml:space="preserve"> that of women at the EU level. </w:t>
      </w:r>
      <w:r w:rsidR="00A63AA8" w:rsidRPr="00B1135E">
        <w:t>Across EU Member States, t</w:t>
      </w:r>
      <w:r w:rsidRPr="00B1135E">
        <w:t xml:space="preserve">he </w:t>
      </w:r>
      <w:r w:rsidR="00A63AA8" w:rsidRPr="00B1135E">
        <w:t xml:space="preserve">difference between the </w:t>
      </w:r>
      <w:r w:rsidRPr="00B1135E">
        <w:t xml:space="preserve">employment rate of men </w:t>
      </w:r>
      <w:r w:rsidR="00A63AA8" w:rsidRPr="00B1135E">
        <w:t xml:space="preserve">and women </w:t>
      </w:r>
      <w:r w:rsidRPr="00B1135E">
        <w:t xml:space="preserve">varied from 1.5 </w:t>
      </w:r>
      <w:r w:rsidR="00A63AA8" w:rsidRPr="00B1135E">
        <w:t xml:space="preserve">percentage points </w:t>
      </w:r>
      <w:r w:rsidRPr="00B1135E">
        <w:t xml:space="preserve">in </w:t>
      </w:r>
      <w:r w:rsidR="00A63AA8" w:rsidRPr="00B1135E">
        <w:t>Finland</w:t>
      </w:r>
      <w:r w:rsidRPr="00B1135E">
        <w:t xml:space="preserve"> to </w:t>
      </w:r>
      <w:r w:rsidR="00A63AA8" w:rsidRPr="00B1135E">
        <w:t>25.4 percentage points in Malta.</w:t>
      </w:r>
    </w:p>
    <w:p w:rsidR="003732BF" w:rsidRPr="00B1135E" w:rsidRDefault="003732BF" w:rsidP="001860B0">
      <w:pPr>
        <w:pStyle w:val="Body"/>
      </w:pPr>
      <w:r w:rsidRPr="00B1135E">
        <w:t xml:space="preserve">To give a complete picture of the gender earnings gap, </w:t>
      </w:r>
      <w:r w:rsidR="00687877" w:rsidRPr="00B1135E">
        <w:t>Eurostat developed a new synthetic indicator,</w:t>
      </w:r>
      <w:r w:rsidR="00E61369" w:rsidRPr="00B1135E">
        <w:t xml:space="preserve"> the</w:t>
      </w:r>
      <w:r w:rsidR="00687877" w:rsidRPr="00B1135E">
        <w:t xml:space="preserve"> ‘gender overall earnings gap’</w:t>
      </w:r>
      <w:r w:rsidR="00506F3E" w:rsidRPr="00B1135E">
        <w:t>,</w:t>
      </w:r>
      <w:r w:rsidR="00687877" w:rsidRPr="00B1135E">
        <w:t xml:space="preserve"> which </w:t>
      </w:r>
      <w:r w:rsidRPr="00B1135E">
        <w:t>measures the impact of the thre</w:t>
      </w:r>
      <w:r w:rsidR="00687877" w:rsidRPr="00B1135E">
        <w:t xml:space="preserve">e combined factors, namely: </w:t>
      </w:r>
      <w:r w:rsidR="00F11743" w:rsidRPr="00B1135E">
        <w:t xml:space="preserve">the difference in </w:t>
      </w:r>
      <w:r w:rsidR="00687877" w:rsidRPr="00B1135E">
        <w:t>the average hourly earnings,</w:t>
      </w:r>
      <w:r w:rsidRPr="00B1135E">
        <w:t xml:space="preserve"> the monthly average of the number o</w:t>
      </w:r>
      <w:r w:rsidR="00F11743" w:rsidRPr="00B1135E">
        <w:t>f hours paid</w:t>
      </w:r>
      <w:r w:rsidR="00687877" w:rsidRPr="00B1135E">
        <w:t xml:space="preserve"> and the employment rate</w:t>
      </w:r>
      <w:r w:rsidR="00F11743" w:rsidRPr="00B1135E">
        <w:t xml:space="preserve"> for men and women</w:t>
      </w:r>
      <w:r w:rsidR="00CF3897">
        <w:t>.</w:t>
      </w:r>
      <w:r w:rsidR="00687877" w:rsidRPr="00B1135E">
        <w:t xml:space="preserve"> The results are published in</w:t>
      </w:r>
      <w:r w:rsidR="00783D20">
        <w:t xml:space="preserve"> a</w:t>
      </w:r>
      <w:r w:rsidR="00687877" w:rsidRPr="00B1135E">
        <w:t xml:space="preserve"> </w:t>
      </w:r>
      <w:r w:rsidR="00687877" w:rsidRPr="00B1135E">
        <w:rPr>
          <w:i/>
        </w:rPr>
        <w:t>Statistics Explained</w:t>
      </w:r>
      <w:r w:rsidR="00687877" w:rsidRPr="00B1135E">
        <w:t xml:space="preserve"> article on gender statistics</w:t>
      </w:r>
      <w:r w:rsidR="004E6F46">
        <w:t xml:space="preserve"> (Eurostat 2013)</w:t>
      </w:r>
      <w:r w:rsidR="00687877" w:rsidRPr="00B1135E">
        <w:t>.</w:t>
      </w:r>
    </w:p>
    <w:p w:rsidR="00FC27BB" w:rsidRPr="00B1135E" w:rsidRDefault="007D5BDD" w:rsidP="005E2AC3">
      <w:pPr>
        <w:pStyle w:val="Table-graph-maptitle"/>
        <w:keepNext/>
        <w:spacing w:after="120"/>
        <w:ind w:left="0"/>
      </w:pPr>
      <w:r w:rsidRPr="00B1135E">
        <w:lastRenderedPageBreak/>
        <w:t xml:space="preserve">Table </w:t>
      </w:r>
      <w:r w:rsidR="004E6F46">
        <w:t>4</w:t>
      </w:r>
      <w:r w:rsidR="00FC27BB" w:rsidRPr="00B1135E">
        <w:t>: Average number of hours paid per month and employment rate, 2014</w:t>
      </w:r>
    </w:p>
    <w:p w:rsidR="00FC27BB" w:rsidRPr="00B1135E" w:rsidRDefault="00FC27BB" w:rsidP="00355FA7">
      <w:pPr>
        <w:pStyle w:val="Table-graph-maptitle"/>
        <w:spacing w:before="0" w:line="240" w:lineRule="auto"/>
        <w:ind w:left="0"/>
      </w:pPr>
      <w:r w:rsidRPr="00B1135E">
        <w:rPr>
          <w:noProof/>
        </w:rPr>
        <w:drawing>
          <wp:inline distT="0" distB="0" distL="0" distR="0" wp14:anchorId="7652663F" wp14:editId="52296B15">
            <wp:extent cx="4505333" cy="58137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9068" cy="5818566"/>
                    </a:xfrm>
                    <a:prstGeom prst="rect">
                      <a:avLst/>
                    </a:prstGeom>
                    <a:noFill/>
                    <a:ln>
                      <a:noFill/>
                    </a:ln>
                  </pic:spPr>
                </pic:pic>
              </a:graphicData>
            </a:graphic>
          </wp:inline>
        </w:drawing>
      </w:r>
    </w:p>
    <w:p w:rsidR="00FC27BB" w:rsidRPr="00B1135E" w:rsidRDefault="00DB3687" w:rsidP="00355FA7">
      <w:pPr>
        <w:pStyle w:val="Table-graph-maptitle"/>
        <w:spacing w:before="0" w:line="240" w:lineRule="auto"/>
        <w:ind w:left="0"/>
        <w:rPr>
          <w:b w:val="0"/>
          <w:color w:val="000000" w:themeColor="text1"/>
        </w:rPr>
      </w:pPr>
      <w:r w:rsidRPr="00B1135E">
        <w:rPr>
          <w:b w:val="0"/>
          <w:i/>
          <w:color w:val="000000" w:themeColor="text1"/>
        </w:rPr>
        <w:t>Source</w:t>
      </w:r>
      <w:r w:rsidRPr="00B1135E">
        <w:rPr>
          <w:b w:val="0"/>
          <w:color w:val="000000" w:themeColor="text1"/>
        </w:rPr>
        <w:t>: Eurostat</w:t>
      </w:r>
      <w:r w:rsidR="00355FA7" w:rsidRPr="00B1135E">
        <w:rPr>
          <w:b w:val="0"/>
          <w:color w:val="000000" w:themeColor="text1"/>
        </w:rPr>
        <w:t xml:space="preserve"> </w:t>
      </w:r>
      <w:r w:rsidR="00355FA7" w:rsidRPr="00B1135E">
        <w:rPr>
          <w:rFonts w:ascii="Times" w:hAnsi="Times" w:cs="Times New Roman"/>
          <w:b w:val="0"/>
          <w:color w:val="000000" w:themeColor="text1"/>
          <w:spacing w:val="0"/>
          <w:sz w:val="20"/>
          <w:szCs w:val="24"/>
          <w:u w:val="single"/>
        </w:rPr>
        <w:t>(</w:t>
      </w:r>
      <w:r w:rsidRPr="00B1135E">
        <w:rPr>
          <w:rFonts w:ascii="Times" w:hAnsi="Times" w:cs="Times New Roman"/>
          <w:b w:val="0"/>
          <w:color w:val="000000" w:themeColor="text1"/>
          <w:spacing w:val="0"/>
          <w:sz w:val="20"/>
          <w:szCs w:val="24"/>
          <w:u w:val="single"/>
        </w:rPr>
        <w:t xml:space="preserve">online data codes: </w:t>
      </w:r>
      <w:r w:rsidR="00355FA7" w:rsidRPr="00B1135E">
        <w:rPr>
          <w:rFonts w:ascii="Times" w:hAnsi="Times" w:cs="Times New Roman"/>
          <w:b w:val="0"/>
          <w:color w:val="0000FF"/>
          <w:spacing w:val="0"/>
          <w:sz w:val="20"/>
          <w:szCs w:val="24"/>
          <w:u w:val="single"/>
        </w:rPr>
        <w:t>earn_ses_monthly</w:t>
      </w:r>
      <w:r w:rsidR="00355FA7" w:rsidRPr="00B1135E">
        <w:rPr>
          <w:rFonts w:ascii="Times" w:hAnsi="Times" w:cs="Times New Roman"/>
          <w:b w:val="0"/>
          <w:color w:val="000000" w:themeColor="text1"/>
          <w:spacing w:val="0"/>
          <w:sz w:val="20"/>
          <w:szCs w:val="24"/>
          <w:u w:val="single"/>
        </w:rPr>
        <w:t>,</w:t>
      </w:r>
      <w:r w:rsidR="00355FA7" w:rsidRPr="00B1135E">
        <w:rPr>
          <w:rFonts w:ascii="Times" w:hAnsi="Times" w:cs="Times New Roman"/>
          <w:b w:val="0"/>
          <w:color w:val="auto"/>
          <w:spacing w:val="0"/>
          <w:sz w:val="20"/>
          <w:szCs w:val="24"/>
        </w:rPr>
        <w:t xml:space="preserve"> </w:t>
      </w:r>
      <w:hyperlink r:id="rId16" w:history="1">
        <w:r w:rsidR="00355FA7" w:rsidRPr="00B1135E">
          <w:rPr>
            <w:rFonts w:ascii="Times" w:hAnsi="Times" w:cs="Times New Roman"/>
            <w:b w:val="0"/>
            <w:color w:val="0000FF"/>
            <w:spacing w:val="0"/>
            <w:sz w:val="20"/>
            <w:szCs w:val="24"/>
            <w:u w:val="single"/>
          </w:rPr>
          <w:t>lfsa_ergaed)</w:t>
        </w:r>
      </w:hyperlink>
    </w:p>
    <w:p w:rsidR="00FC27BB" w:rsidRPr="00B1135E" w:rsidRDefault="00FC27BB" w:rsidP="00355FA7">
      <w:pPr>
        <w:pStyle w:val="Table-graph-maptitle"/>
        <w:spacing w:before="0" w:line="240" w:lineRule="auto"/>
        <w:ind w:left="0"/>
      </w:pPr>
    </w:p>
    <w:p w:rsidR="00E933A1" w:rsidRPr="00B1135E" w:rsidRDefault="00783D20" w:rsidP="00B62744">
      <w:pPr>
        <w:pStyle w:val="Body"/>
      </w:pPr>
      <w:r>
        <w:t>F</w:t>
      </w:r>
      <w:r w:rsidRPr="00B1135E">
        <w:t xml:space="preserve">urther </w:t>
      </w:r>
      <w:r w:rsidR="00B62744" w:rsidRPr="00B1135E">
        <w:t>investigat</w:t>
      </w:r>
      <w:r>
        <w:t>ion of</w:t>
      </w:r>
      <w:r w:rsidR="00B62744" w:rsidRPr="00B1135E">
        <w:t xml:space="preserve"> a possible relationship between the employment rate </w:t>
      </w:r>
      <w:r w:rsidR="00B2522C" w:rsidRPr="00B1135E">
        <w:t xml:space="preserve">of women </w:t>
      </w:r>
      <w:r w:rsidR="006A498F" w:rsidRPr="00B1135E">
        <w:t>and the</w:t>
      </w:r>
      <w:r w:rsidR="00B62744" w:rsidRPr="00B1135E">
        <w:t xml:space="preserve"> unadj</w:t>
      </w:r>
      <w:r w:rsidR="00AD5513" w:rsidRPr="00B1135E">
        <w:t>usted gender pay gap</w:t>
      </w:r>
      <w:r>
        <w:t xml:space="preserve"> would be helpful</w:t>
      </w:r>
      <w:r w:rsidR="00AD5513" w:rsidRPr="00B1135E">
        <w:t xml:space="preserve">. Figure </w:t>
      </w:r>
      <w:r w:rsidR="00E61369" w:rsidRPr="00B1135E">
        <w:t>5</w:t>
      </w:r>
      <w:r w:rsidR="00B62744" w:rsidRPr="00B1135E">
        <w:t xml:space="preserve"> </w:t>
      </w:r>
      <w:r w:rsidR="006A498F" w:rsidRPr="00B1135E">
        <w:t>s</w:t>
      </w:r>
      <w:r w:rsidR="00B62744" w:rsidRPr="00B1135E">
        <w:t xml:space="preserve">hows a positive relationship between </w:t>
      </w:r>
      <w:r w:rsidR="00E61369" w:rsidRPr="00B1135E">
        <w:t>both</w:t>
      </w:r>
      <w:r w:rsidR="00B62744" w:rsidRPr="00B1135E">
        <w:t xml:space="preserve"> measures: countries with </w:t>
      </w:r>
      <w:r w:rsidR="00E61369" w:rsidRPr="00B1135E">
        <w:t xml:space="preserve">a </w:t>
      </w:r>
      <w:r w:rsidR="00B62744" w:rsidRPr="00B1135E">
        <w:t xml:space="preserve">high female employment rate tend to exhibit </w:t>
      </w:r>
      <w:r w:rsidR="00E61369" w:rsidRPr="00B1135E">
        <w:t xml:space="preserve">a </w:t>
      </w:r>
      <w:r w:rsidR="00B62744" w:rsidRPr="00B1135E">
        <w:t>large unadjusted gender pay gap</w:t>
      </w:r>
      <w:r w:rsidR="00E61369" w:rsidRPr="00B1135E">
        <w:t xml:space="preserve"> and vice versa</w:t>
      </w:r>
      <w:r w:rsidR="00B62744" w:rsidRPr="00B1135E">
        <w:t xml:space="preserve">. </w:t>
      </w:r>
      <w:r w:rsidR="004A6A42" w:rsidRPr="00B1135E">
        <w:t>Th</w:t>
      </w:r>
      <w:r w:rsidR="00E933A1" w:rsidRPr="00B1135E">
        <w:t xml:space="preserve">is could be </w:t>
      </w:r>
      <w:r w:rsidR="004A6A42" w:rsidRPr="00B1135E">
        <w:t>due to</w:t>
      </w:r>
      <w:r w:rsidR="00B2522C" w:rsidRPr="00B1135E">
        <w:t xml:space="preserve"> </w:t>
      </w:r>
      <w:r w:rsidR="00F3339B" w:rsidRPr="00B1135E">
        <w:t>‘self-selection’</w:t>
      </w:r>
      <w:r w:rsidR="00B62744" w:rsidRPr="00B1135E">
        <w:t xml:space="preserve"> of women into paid employment</w:t>
      </w:r>
      <w:r w:rsidR="004A6A42" w:rsidRPr="00B1135E">
        <w:t xml:space="preserve">. This </w:t>
      </w:r>
      <w:r w:rsidR="0056481A" w:rsidRPr="00B1135E">
        <w:t xml:space="preserve">is </w:t>
      </w:r>
      <w:r w:rsidR="004A6A42" w:rsidRPr="00B1135E">
        <w:t xml:space="preserve">more evident for countries </w:t>
      </w:r>
      <w:r w:rsidR="00E933A1" w:rsidRPr="00B1135E">
        <w:t>such as Croatia, Italy, Luxembourg, Poland</w:t>
      </w:r>
      <w:r>
        <w:t>,</w:t>
      </w:r>
      <w:r w:rsidR="00E933A1" w:rsidRPr="00B1135E">
        <w:t xml:space="preserve"> Malta, Romania and Slovenia</w:t>
      </w:r>
      <w:r>
        <w:t>, which</w:t>
      </w:r>
      <w:r w:rsidR="00E933A1" w:rsidRPr="00B1135E">
        <w:t xml:space="preserve"> </w:t>
      </w:r>
      <w:r w:rsidR="004A6A42" w:rsidRPr="00B1135E">
        <w:t xml:space="preserve">record </w:t>
      </w:r>
      <w:r w:rsidR="00E933A1" w:rsidRPr="00B1135E">
        <w:t xml:space="preserve">a </w:t>
      </w:r>
      <w:r w:rsidR="00580C41" w:rsidRPr="00B1135E">
        <w:t xml:space="preserve">negative </w:t>
      </w:r>
      <w:r w:rsidR="004A6A42" w:rsidRPr="00B1135E">
        <w:t>explained GPG</w:t>
      </w:r>
      <w:r w:rsidR="00E933A1" w:rsidRPr="00B1135E">
        <w:t>.</w:t>
      </w:r>
    </w:p>
    <w:p w:rsidR="004A6A42" w:rsidRPr="00B1135E" w:rsidRDefault="00E933A1" w:rsidP="00B62744">
      <w:pPr>
        <w:pStyle w:val="Body"/>
      </w:pPr>
      <w:r w:rsidRPr="00B1135E">
        <w:t xml:space="preserve">As already mentioned </w:t>
      </w:r>
      <w:r w:rsidR="00783D20">
        <w:t xml:space="preserve">in Chapter </w:t>
      </w:r>
      <w:r w:rsidRPr="00B1135E">
        <w:t>3.2, lower-educated or lower-skilled w</w:t>
      </w:r>
      <w:r w:rsidR="004A6A42" w:rsidRPr="00B1135E">
        <w:t xml:space="preserve">omen </w:t>
      </w:r>
      <w:r w:rsidRPr="00B1135E">
        <w:t xml:space="preserve">tend not to engage in the labour market in </w:t>
      </w:r>
      <w:r w:rsidR="00216AAE" w:rsidRPr="00B1135E">
        <w:t xml:space="preserve">some </w:t>
      </w:r>
      <w:r w:rsidRPr="00B1135E">
        <w:t>countries</w:t>
      </w:r>
      <w:r w:rsidR="004A6A42" w:rsidRPr="00B1135E">
        <w:t>.</w:t>
      </w:r>
      <w:r w:rsidR="00AD5513" w:rsidRPr="00B1135E">
        <w:t xml:space="preserve"> </w:t>
      </w:r>
      <w:r w:rsidR="001206EA" w:rsidRPr="00B1135E">
        <w:t>In its earlier methodological study, Eurostat</w:t>
      </w:r>
      <w:r w:rsidR="008F7B5C" w:rsidRPr="00B1135E">
        <w:t xml:space="preserve"> (2009)</w:t>
      </w:r>
      <w:r w:rsidR="001206EA" w:rsidRPr="00B1135E">
        <w:t xml:space="preserve"> quantified the effect of the </w:t>
      </w:r>
      <w:r w:rsidR="009425F1" w:rsidRPr="00B1135E">
        <w:t xml:space="preserve">‘self-selection’ </w:t>
      </w:r>
      <w:r w:rsidR="008604F0" w:rsidRPr="00B1135E">
        <w:t xml:space="preserve">of women </w:t>
      </w:r>
      <w:r w:rsidR="001206EA" w:rsidRPr="00B1135E">
        <w:t>on the unadjusted GPG using other data sources.</w:t>
      </w:r>
    </w:p>
    <w:p w:rsidR="004A6A42" w:rsidRPr="00B1135E" w:rsidRDefault="004A6A42" w:rsidP="00B62744">
      <w:pPr>
        <w:pStyle w:val="Body"/>
      </w:pPr>
    </w:p>
    <w:p w:rsidR="006A0E01" w:rsidRPr="00B1135E" w:rsidRDefault="007D5BDD" w:rsidP="00361244">
      <w:pPr>
        <w:pStyle w:val="Table-graph-maptitle"/>
        <w:keepNext/>
        <w:spacing w:before="0" w:line="240" w:lineRule="auto"/>
        <w:ind w:left="0"/>
      </w:pPr>
      <w:r w:rsidRPr="00B1135E">
        <w:lastRenderedPageBreak/>
        <w:t xml:space="preserve">Figure </w:t>
      </w:r>
      <w:r w:rsidR="009C0400" w:rsidRPr="00B1135E">
        <w:t>5</w:t>
      </w:r>
      <w:r w:rsidR="006A0E01" w:rsidRPr="00B1135E">
        <w:t>: Employment rate for women and the unadjusted gender pay gap, 2014</w:t>
      </w:r>
    </w:p>
    <w:p w:rsidR="00361244" w:rsidRPr="00B1135E" w:rsidRDefault="002277D6" w:rsidP="00FF4100">
      <w:pPr>
        <w:keepNext/>
      </w:pPr>
      <w:r w:rsidRPr="00B1135E">
        <w:rPr>
          <w:noProof/>
          <w:lang w:eastAsia="en-GB"/>
        </w:rPr>
        <w:drawing>
          <wp:inline distT="0" distB="0" distL="0" distR="0" wp14:anchorId="6D184662" wp14:editId="5750FD22">
            <wp:extent cx="5395595" cy="6220913"/>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5595" cy="6220913"/>
                    </a:xfrm>
                    <a:prstGeom prst="rect">
                      <a:avLst/>
                    </a:prstGeom>
                    <a:noFill/>
                    <a:ln>
                      <a:noFill/>
                    </a:ln>
                  </pic:spPr>
                </pic:pic>
              </a:graphicData>
            </a:graphic>
          </wp:inline>
        </w:drawing>
      </w:r>
    </w:p>
    <w:p w:rsidR="00AE311F" w:rsidRDefault="00AE311F">
      <w:pPr>
        <w:rPr>
          <w:rFonts w:ascii="Arial" w:hAnsi="Arial" w:cs="MyriadPro-Regular"/>
          <w:b/>
          <w:color w:val="E6A532"/>
          <w:sz w:val="40"/>
          <w:szCs w:val="40"/>
        </w:rPr>
      </w:pPr>
      <w:r>
        <w:br w:type="page"/>
      </w:r>
    </w:p>
    <w:p w:rsidR="004A15C7" w:rsidRPr="00B1135E" w:rsidRDefault="00BD64ED" w:rsidP="00AE311F">
      <w:pPr>
        <w:pStyle w:val="Heading1"/>
      </w:pPr>
      <w:r>
        <w:lastRenderedPageBreak/>
        <w:t>4.</w:t>
      </w:r>
      <w:r w:rsidRPr="00BD64ED">
        <w:t xml:space="preserve"> Conclusions</w:t>
      </w:r>
    </w:p>
    <w:p w:rsidR="00D330AA" w:rsidRPr="00B1135E" w:rsidRDefault="005252AE" w:rsidP="00A471F9">
      <w:pPr>
        <w:pStyle w:val="Body"/>
      </w:pPr>
      <w:r w:rsidRPr="00B1135E">
        <w:t xml:space="preserve">‘Unequal pay for male and female workers for equal work’ </w:t>
      </w:r>
      <w:r w:rsidR="006F4F26" w:rsidRPr="00B1135E">
        <w:t xml:space="preserve">is just one of </w:t>
      </w:r>
      <w:r w:rsidR="00783D20">
        <w:t xml:space="preserve">the </w:t>
      </w:r>
      <w:r w:rsidR="001512D8" w:rsidRPr="00B1135E">
        <w:t>possible causes of</w:t>
      </w:r>
      <w:r w:rsidR="00F35CAF" w:rsidRPr="00B1135E">
        <w:t xml:space="preserve"> the </w:t>
      </w:r>
      <w:r w:rsidR="004B3E3C" w:rsidRPr="00B1135E">
        <w:t xml:space="preserve">unadjusted </w:t>
      </w:r>
      <w:r w:rsidR="00F35CAF" w:rsidRPr="00B1135E">
        <w:t xml:space="preserve">gender pay </w:t>
      </w:r>
      <w:r w:rsidR="007C6BFA" w:rsidRPr="00B1135E">
        <w:t>gap</w:t>
      </w:r>
      <w:r w:rsidR="00783D20">
        <w:t>,</w:t>
      </w:r>
      <w:r w:rsidR="007C6BFA" w:rsidRPr="00B1135E">
        <w:t xml:space="preserve"> </w:t>
      </w:r>
      <w:r w:rsidR="006A7372" w:rsidRPr="00B1135E">
        <w:t>and</w:t>
      </w:r>
      <w:r w:rsidR="00BF6F05" w:rsidRPr="00B1135E">
        <w:t xml:space="preserve"> understanding </w:t>
      </w:r>
      <w:r w:rsidR="004B3E3C" w:rsidRPr="00B1135E">
        <w:t xml:space="preserve">all its </w:t>
      </w:r>
      <w:r w:rsidR="00783D20">
        <w:t>causes</w:t>
      </w:r>
      <w:r w:rsidR="00783D20" w:rsidRPr="00B1135E">
        <w:t xml:space="preserve"> </w:t>
      </w:r>
      <w:r w:rsidR="004B3E3C" w:rsidRPr="00B1135E">
        <w:t xml:space="preserve">is therefore very </w:t>
      </w:r>
      <w:r w:rsidR="00BF6F05" w:rsidRPr="00B1135E">
        <w:t>important.</w:t>
      </w:r>
      <w:r w:rsidR="0044102E" w:rsidRPr="00B1135E">
        <w:t xml:space="preserve"> </w:t>
      </w:r>
      <w:r w:rsidR="007B68BA">
        <w:t>T</w:t>
      </w:r>
      <w:r w:rsidR="007B68BA" w:rsidRPr="00B1135E">
        <w:t xml:space="preserve">he </w:t>
      </w:r>
      <w:r w:rsidR="0044102E" w:rsidRPr="00B1135E">
        <w:t>results</w:t>
      </w:r>
      <w:r w:rsidR="00BF6F05" w:rsidRPr="00B1135E">
        <w:t xml:space="preserve"> presented</w:t>
      </w:r>
      <w:r w:rsidR="001512D8" w:rsidRPr="00B1135E">
        <w:t xml:space="preserve"> in the </w:t>
      </w:r>
      <w:r w:rsidR="001217FF">
        <w:t>paper</w:t>
      </w:r>
      <w:r w:rsidR="007B68BA">
        <w:t xml:space="preserve"> show that</w:t>
      </w:r>
      <w:r w:rsidR="0044102E" w:rsidRPr="00B1135E">
        <w:t xml:space="preserve"> there are clear policy and statistical reasons to decompose the unadjusted GPG</w:t>
      </w:r>
      <w:r w:rsidR="00B67690" w:rsidRPr="00B1135E">
        <w:t xml:space="preserve"> into the explained and unexplained parts</w:t>
      </w:r>
      <w:r w:rsidR="0044102E" w:rsidRPr="00B1135E">
        <w:t xml:space="preserve">. </w:t>
      </w:r>
      <w:r w:rsidR="00B67690" w:rsidRPr="00B1135E">
        <w:t>The unadjusted GPG</w:t>
      </w:r>
      <w:r w:rsidR="006B7EF5" w:rsidRPr="00B1135E">
        <w:t xml:space="preserve"> indicator</w:t>
      </w:r>
      <w:r w:rsidR="00783D20">
        <w:t>,</w:t>
      </w:r>
      <w:r w:rsidR="00B67690" w:rsidRPr="00B1135E">
        <w:t xml:space="preserve"> together with th</w:t>
      </w:r>
      <w:r w:rsidR="006B7EF5" w:rsidRPr="00B1135E">
        <w:t xml:space="preserve">e explained </w:t>
      </w:r>
      <w:r w:rsidR="006A7372" w:rsidRPr="00B1135E">
        <w:t>gap and its explanatory factors</w:t>
      </w:r>
      <w:r w:rsidR="00783D20">
        <w:t>,</w:t>
      </w:r>
      <w:r w:rsidR="006A7372" w:rsidRPr="00B1135E">
        <w:t xml:space="preserve"> allow</w:t>
      </w:r>
      <w:r w:rsidR="0044102E" w:rsidRPr="00B1135E">
        <w:t xml:space="preserve"> for </w:t>
      </w:r>
      <w:r w:rsidR="004B3E3C" w:rsidRPr="00B1135E">
        <w:t xml:space="preserve">a </w:t>
      </w:r>
      <w:r w:rsidR="0044102E" w:rsidRPr="00B1135E">
        <w:t xml:space="preserve">better </w:t>
      </w:r>
      <w:r w:rsidR="00ED3B6C" w:rsidRPr="00B1135E">
        <w:t xml:space="preserve">identification and </w:t>
      </w:r>
      <w:r w:rsidR="0044102E" w:rsidRPr="00B1135E">
        <w:t xml:space="preserve">interpretation of </w:t>
      </w:r>
      <w:r w:rsidR="00D330AA" w:rsidRPr="00B1135E">
        <w:t xml:space="preserve">the </w:t>
      </w:r>
      <w:r w:rsidR="006A7372" w:rsidRPr="00B1135E">
        <w:t>causes</w:t>
      </w:r>
      <w:r w:rsidR="00D330AA" w:rsidRPr="00B1135E">
        <w:t xml:space="preserve"> </w:t>
      </w:r>
      <w:r w:rsidR="006A7372" w:rsidRPr="00B1135E">
        <w:t xml:space="preserve">of </w:t>
      </w:r>
      <w:r w:rsidR="00B67690" w:rsidRPr="00B1135E">
        <w:t>the gender pay gap</w:t>
      </w:r>
      <w:r w:rsidR="0044102E" w:rsidRPr="00B1135E">
        <w:t>.</w:t>
      </w:r>
      <w:r w:rsidR="00B5446D" w:rsidRPr="00B1135E">
        <w:t xml:space="preserve"> </w:t>
      </w:r>
      <w:r w:rsidR="0035078D" w:rsidRPr="00B1135E">
        <w:t xml:space="preserve">As a consequence, policy actions can be </w:t>
      </w:r>
      <w:r w:rsidR="004B3E3C" w:rsidRPr="00B1135E">
        <w:t>better targeted</w:t>
      </w:r>
      <w:r w:rsidR="00D330AA" w:rsidRPr="00B1135E">
        <w:t>.</w:t>
      </w:r>
    </w:p>
    <w:p w:rsidR="004B3E3C" w:rsidRPr="00B1135E" w:rsidRDefault="00D4233D" w:rsidP="00A471F9">
      <w:pPr>
        <w:pStyle w:val="Body"/>
      </w:pPr>
      <w:r w:rsidRPr="00B1135E">
        <w:t>The explained</w:t>
      </w:r>
      <w:r w:rsidR="00611290" w:rsidRPr="00B1135E">
        <w:t xml:space="preserve"> GPG </w:t>
      </w:r>
      <w:r w:rsidR="006B7EF5" w:rsidRPr="00B1135E">
        <w:t xml:space="preserve">shows the gap between male and female </w:t>
      </w:r>
      <w:r w:rsidR="00C33CF6" w:rsidRPr="00B1135E">
        <w:t xml:space="preserve">hourly </w:t>
      </w:r>
      <w:r w:rsidR="006B7EF5" w:rsidRPr="00B1135E">
        <w:t xml:space="preserve">earnings that is due to </w:t>
      </w:r>
      <w:r w:rsidR="00611290" w:rsidRPr="00B1135E">
        <w:t>differences in the average characteristics of male and female employees</w:t>
      </w:r>
      <w:r w:rsidR="00A40137" w:rsidRPr="00B1135E">
        <w:t xml:space="preserve"> as observed in Structure of Earnings data</w:t>
      </w:r>
      <w:r w:rsidR="00487834" w:rsidRPr="00B1135E">
        <w:t>.</w:t>
      </w:r>
      <w:r w:rsidR="00086FD3" w:rsidRPr="00B1135E">
        <w:t xml:space="preserve"> The unexplained </w:t>
      </w:r>
      <w:r w:rsidR="002B3E4A" w:rsidRPr="00B1135E">
        <w:t xml:space="preserve">GPG </w:t>
      </w:r>
      <w:r w:rsidR="00BA4AC6" w:rsidRPr="00B1135E">
        <w:t>can</w:t>
      </w:r>
      <w:r w:rsidR="002B3E4A" w:rsidRPr="00B1135E">
        <w:t xml:space="preserve"> be viewed</w:t>
      </w:r>
      <w:r w:rsidR="00086FD3" w:rsidRPr="00B1135E">
        <w:t xml:space="preserve"> a</w:t>
      </w:r>
      <w:r w:rsidR="005C5750" w:rsidRPr="00B1135E">
        <w:t>s a</w:t>
      </w:r>
      <w:r w:rsidR="00086FD3" w:rsidRPr="00B1135E">
        <w:t xml:space="preserve"> ‘residual</w:t>
      </w:r>
      <w:r w:rsidR="001665F4" w:rsidRPr="00B1135E">
        <w:t xml:space="preserve"> gap</w:t>
      </w:r>
      <w:r w:rsidR="00086FD3" w:rsidRPr="00B1135E">
        <w:t xml:space="preserve">’ </w:t>
      </w:r>
      <w:r w:rsidR="004B3E3C" w:rsidRPr="00B1135E">
        <w:t xml:space="preserve">i.e. </w:t>
      </w:r>
      <w:r w:rsidR="00086FD3" w:rsidRPr="00B1135E">
        <w:t xml:space="preserve">the part of the </w:t>
      </w:r>
      <w:r w:rsidR="001665F4" w:rsidRPr="00B1135E">
        <w:t xml:space="preserve">unadjusted GPG </w:t>
      </w:r>
      <w:r w:rsidR="008F72A7">
        <w:t>that</w:t>
      </w:r>
      <w:r w:rsidR="008F72A7" w:rsidRPr="00B1135E">
        <w:t xml:space="preserve"> </w:t>
      </w:r>
      <w:r w:rsidR="00086FD3" w:rsidRPr="00B1135E">
        <w:t xml:space="preserve">is </w:t>
      </w:r>
      <w:r w:rsidR="00A06076">
        <w:t xml:space="preserve">not </w:t>
      </w:r>
      <w:r w:rsidR="00086FD3" w:rsidRPr="00B1135E">
        <w:t xml:space="preserve">explained by </w:t>
      </w:r>
      <w:r w:rsidR="00A40137" w:rsidRPr="00B1135E">
        <w:t xml:space="preserve">those </w:t>
      </w:r>
      <w:r w:rsidR="00086FD3" w:rsidRPr="00B1135E">
        <w:t>difference</w:t>
      </w:r>
      <w:r w:rsidR="004B3E3C" w:rsidRPr="00B1135E">
        <w:t>s</w:t>
      </w:r>
      <w:r w:rsidR="00086FD3" w:rsidRPr="00B1135E">
        <w:t>.</w:t>
      </w:r>
    </w:p>
    <w:p w:rsidR="00487834" w:rsidRPr="00B1135E" w:rsidRDefault="00A64C81" w:rsidP="00A471F9">
      <w:pPr>
        <w:pStyle w:val="Body"/>
      </w:pPr>
      <w:r w:rsidRPr="00B1135E">
        <w:t>Being a residual, it</w:t>
      </w:r>
      <w:r w:rsidR="004B3E3C" w:rsidRPr="00B1135E">
        <w:t xml:space="preserve"> is not recommended to </w:t>
      </w:r>
      <w:r w:rsidR="001665F4" w:rsidRPr="00B1135E">
        <w:t xml:space="preserve">interpret the unexplained GPG as </w:t>
      </w:r>
      <w:r w:rsidR="004B3E3C" w:rsidRPr="00B1135E">
        <w:t xml:space="preserve">a measurement of a possible </w:t>
      </w:r>
      <w:r w:rsidR="001665F4" w:rsidRPr="00B1135E">
        <w:t xml:space="preserve">discrimination </w:t>
      </w:r>
      <w:r w:rsidR="007B68BA">
        <w:t>through</w:t>
      </w:r>
      <w:r w:rsidR="001665F4" w:rsidRPr="00B1135E">
        <w:t xml:space="preserve"> ‘unequal pay for equal work’</w:t>
      </w:r>
      <w:r w:rsidR="004B3E3C" w:rsidRPr="00B1135E">
        <w:t xml:space="preserve">. </w:t>
      </w:r>
      <w:r w:rsidR="00094951" w:rsidRPr="00094951">
        <w:t>This limitation should be borne in mind when interpreting the unexplained GPG, in particular, for those countries with a low coefficient of determination.</w:t>
      </w:r>
      <w:r w:rsidR="00094951">
        <w:t xml:space="preserve"> </w:t>
      </w:r>
      <w:r w:rsidRPr="00B1135E">
        <w:t>Indeed, some important variables</w:t>
      </w:r>
      <w:r w:rsidR="008F72A7">
        <w:t>,</w:t>
      </w:r>
      <w:r w:rsidRPr="00B1135E">
        <w:t xml:space="preserve"> such as the total work experience</w:t>
      </w:r>
      <w:r w:rsidR="008F72A7">
        <w:t>,</w:t>
      </w:r>
      <w:r w:rsidRPr="00B1135E">
        <w:t xml:space="preserve"> are not </w:t>
      </w:r>
      <w:r w:rsidR="00A40137" w:rsidRPr="00B1135E">
        <w:t xml:space="preserve">collected </w:t>
      </w:r>
      <w:r w:rsidRPr="00B1135E">
        <w:t>in the Structure of Earnings Survey</w:t>
      </w:r>
      <w:r w:rsidR="00A40137" w:rsidRPr="00B1135E">
        <w:t>.</w:t>
      </w:r>
      <w:r w:rsidRPr="00B1135E">
        <w:t xml:space="preserve"> Including such additional variables </w:t>
      </w:r>
      <w:r w:rsidR="00A40137" w:rsidRPr="00B1135E">
        <w:t xml:space="preserve">in the regression analysis </w:t>
      </w:r>
      <w:r w:rsidRPr="00B1135E">
        <w:t xml:space="preserve">may substantially change </w:t>
      </w:r>
      <w:r w:rsidR="00A40137" w:rsidRPr="00B1135E">
        <w:t>t</w:t>
      </w:r>
      <w:r w:rsidRPr="00B1135E">
        <w:t>h</w:t>
      </w:r>
      <w:r w:rsidR="00A40137" w:rsidRPr="00B1135E">
        <w:t>e</w:t>
      </w:r>
      <w:r w:rsidRPr="00B1135E">
        <w:t xml:space="preserve"> results.</w:t>
      </w:r>
    </w:p>
    <w:p w:rsidR="00A40137" w:rsidRPr="00B1135E" w:rsidRDefault="00E83C55" w:rsidP="00A471F9">
      <w:pPr>
        <w:pStyle w:val="Body"/>
      </w:pPr>
      <w:r>
        <w:t xml:space="preserve">The users of GPG data should </w:t>
      </w:r>
      <w:r w:rsidR="00A40137" w:rsidRPr="00B1135E">
        <w:t>focus on the explained part of the decomposition</w:t>
      </w:r>
      <w:r w:rsidR="00D17401">
        <w:t>.</w:t>
      </w:r>
      <w:r w:rsidR="005F3AA8">
        <w:t xml:space="preserve"> </w:t>
      </w:r>
      <w:r w:rsidR="00A40137" w:rsidRPr="00B1135E">
        <w:t xml:space="preserve">For some </w:t>
      </w:r>
      <w:r w:rsidR="007051BF" w:rsidRPr="00B1135E">
        <w:t>countries</w:t>
      </w:r>
      <w:r w:rsidR="00A40137" w:rsidRPr="00B1135E">
        <w:t xml:space="preserve">, the </w:t>
      </w:r>
      <w:r w:rsidR="00B51849" w:rsidRPr="00B1135E">
        <w:t xml:space="preserve">explained GPG constitutes more than half of the unadjusted GPG. </w:t>
      </w:r>
      <w:r w:rsidR="001E3EFE" w:rsidRPr="00B1135E">
        <w:t xml:space="preserve">In those cases, </w:t>
      </w:r>
      <w:r w:rsidR="00023FEE" w:rsidRPr="00B1135E">
        <w:t xml:space="preserve">more than half of the unadjusted gap can be explained by differences in the average characteristics </w:t>
      </w:r>
      <w:r w:rsidR="001E3EFE" w:rsidRPr="00B1135E">
        <w:t xml:space="preserve">(economic sectors, occupations, management responsibilities etc.) </w:t>
      </w:r>
      <w:r w:rsidR="00023FEE" w:rsidRPr="00B1135E">
        <w:t xml:space="preserve">of male and female employees </w:t>
      </w:r>
      <w:r w:rsidR="00A40137" w:rsidRPr="00B1135E">
        <w:t>on the labour market</w:t>
      </w:r>
      <w:r w:rsidR="001E3EFE" w:rsidRPr="00B1135E">
        <w:t>, in favour of men</w:t>
      </w:r>
      <w:r w:rsidR="00023FEE" w:rsidRPr="00B1135E">
        <w:t>.</w:t>
      </w:r>
    </w:p>
    <w:p w:rsidR="00195E6E" w:rsidRPr="00B1135E" w:rsidRDefault="00B51849" w:rsidP="00A471F9">
      <w:pPr>
        <w:pStyle w:val="Body"/>
      </w:pPr>
      <w:r w:rsidRPr="00B1135E">
        <w:t xml:space="preserve">At </w:t>
      </w:r>
      <w:r w:rsidR="001E3EFE" w:rsidRPr="00B1135E">
        <w:t xml:space="preserve">the </w:t>
      </w:r>
      <w:r w:rsidRPr="00B1135E">
        <w:t xml:space="preserve">other extreme, </w:t>
      </w:r>
      <w:r w:rsidR="001E3EFE" w:rsidRPr="00B1135E">
        <w:t xml:space="preserve">some </w:t>
      </w:r>
      <w:r w:rsidRPr="00B1135E">
        <w:t>countries record</w:t>
      </w:r>
      <w:r w:rsidR="001E3EFE" w:rsidRPr="00B1135E">
        <w:t xml:space="preserve"> a </w:t>
      </w:r>
      <w:r w:rsidRPr="00B1135E">
        <w:t>negative explained GPG</w:t>
      </w:r>
      <w:r w:rsidR="00D17401">
        <w:t>,</w:t>
      </w:r>
      <w:r w:rsidR="00023FEE" w:rsidRPr="00B1135E">
        <w:t xml:space="preserve"> </w:t>
      </w:r>
      <w:r w:rsidR="001E3EFE" w:rsidRPr="00B1135E">
        <w:t xml:space="preserve">meaning that </w:t>
      </w:r>
      <w:r w:rsidR="00023FEE" w:rsidRPr="00B1135E">
        <w:t xml:space="preserve">female employees </w:t>
      </w:r>
      <w:r w:rsidR="001E3EFE" w:rsidRPr="00B1135E">
        <w:t>present average characteristics on the labour market tha</w:t>
      </w:r>
      <w:r w:rsidR="00BC45CF">
        <w:t>t</w:t>
      </w:r>
      <w:r w:rsidR="001E3EFE" w:rsidRPr="00B1135E">
        <w:t xml:space="preserve"> are more remunerative than those of men.</w:t>
      </w:r>
      <w:r w:rsidR="00195E6E" w:rsidRPr="00B1135E">
        <w:t xml:space="preserve"> This is the case in particular for countries where</w:t>
      </w:r>
      <w:r w:rsidR="00283034" w:rsidRPr="00B1135E">
        <w:t xml:space="preserve"> </w:t>
      </w:r>
      <w:r w:rsidR="00035360" w:rsidRPr="00B1135E">
        <w:t xml:space="preserve">only women with higher education and skills engage in the labour market </w:t>
      </w:r>
      <w:r w:rsidR="00195E6E" w:rsidRPr="00B1135E">
        <w:t>(</w:t>
      </w:r>
      <w:r w:rsidR="00D17401">
        <w:t xml:space="preserve">the </w:t>
      </w:r>
      <w:r w:rsidR="00035262" w:rsidRPr="00B1135E">
        <w:t>‘</w:t>
      </w:r>
      <w:r w:rsidR="00195E6E" w:rsidRPr="00B1135E">
        <w:t>self-selection</w:t>
      </w:r>
      <w:r w:rsidR="00035262" w:rsidRPr="00B1135E">
        <w:t>’</w:t>
      </w:r>
      <w:r w:rsidR="00195E6E" w:rsidRPr="00B1135E">
        <w:t xml:space="preserve"> effect).</w:t>
      </w:r>
    </w:p>
    <w:p w:rsidR="00B51849" w:rsidRPr="00B1135E" w:rsidRDefault="00195E6E" w:rsidP="00A471F9">
      <w:pPr>
        <w:pStyle w:val="Body"/>
      </w:pPr>
      <w:r w:rsidRPr="00B1135E">
        <w:t xml:space="preserve">When the </w:t>
      </w:r>
      <w:r w:rsidR="005252AE" w:rsidRPr="00B1135E">
        <w:t>explained GPG</w:t>
      </w:r>
      <w:r w:rsidR="00B51849" w:rsidRPr="00B1135E">
        <w:t xml:space="preserve"> </w:t>
      </w:r>
      <w:r w:rsidRPr="00B1135E">
        <w:t xml:space="preserve">is negative, this turns into </w:t>
      </w:r>
      <w:r w:rsidR="00B51849" w:rsidRPr="00B1135E">
        <w:t>the unexplained GPG being higher than the unadjusted GPG. As a consequence</w:t>
      </w:r>
      <w:r w:rsidR="008A1307" w:rsidRPr="00B1135E">
        <w:t>, t</w:t>
      </w:r>
      <w:r w:rsidR="00B51849" w:rsidRPr="00B1135E">
        <w:t>he ranking of countries bas</w:t>
      </w:r>
      <w:r w:rsidR="008A1307" w:rsidRPr="00B1135E">
        <w:t>ed on the size of the unexplained</w:t>
      </w:r>
      <w:r w:rsidR="00B51849" w:rsidRPr="00B1135E">
        <w:t xml:space="preserve"> GPG differs significantly from the one based on the siz</w:t>
      </w:r>
      <w:r w:rsidR="008A1307" w:rsidRPr="00B1135E">
        <w:t>e of the unadjusted</w:t>
      </w:r>
      <w:r w:rsidR="00B51849" w:rsidRPr="00B1135E">
        <w:t xml:space="preserve"> GPG.</w:t>
      </w:r>
      <w:r w:rsidR="00283034" w:rsidRPr="00B1135E">
        <w:t xml:space="preserve"> This confirms that the unadjusted GPG is not a good indicator to rank countries </w:t>
      </w:r>
      <w:r w:rsidR="00D17401">
        <w:t>according to</w:t>
      </w:r>
      <w:r w:rsidR="00283034" w:rsidRPr="00B1135E">
        <w:t xml:space="preserve"> possible gender discrimination in the labour market.</w:t>
      </w:r>
    </w:p>
    <w:p w:rsidR="005F3AA8" w:rsidRDefault="008A1307" w:rsidP="00E545EB">
      <w:pPr>
        <w:pStyle w:val="Body"/>
      </w:pPr>
      <w:r w:rsidRPr="00B1135E">
        <w:t xml:space="preserve">The decomposition </w:t>
      </w:r>
      <w:r w:rsidR="00283034" w:rsidRPr="00B1135E">
        <w:t xml:space="preserve">also </w:t>
      </w:r>
      <w:r w:rsidR="00D17401">
        <w:t>makes it possible to</w:t>
      </w:r>
      <w:r w:rsidR="00D17401" w:rsidRPr="00B1135E">
        <w:t xml:space="preserve"> </w:t>
      </w:r>
      <w:r w:rsidR="00186A54" w:rsidRPr="00B1135E">
        <w:t xml:space="preserve">identify the main </w:t>
      </w:r>
      <w:r w:rsidRPr="00B1135E">
        <w:t xml:space="preserve">factors behind the explained GPG. In </w:t>
      </w:r>
      <w:r w:rsidR="00AF6FFA" w:rsidRPr="00B1135E">
        <w:t>most</w:t>
      </w:r>
      <w:r w:rsidRPr="00B1135E">
        <w:t xml:space="preserve"> EU Member States, the explained GPG is strongly driven by three explanatory factors: economic activity, occupation and education. </w:t>
      </w:r>
      <w:r w:rsidR="00D17401">
        <w:t>However, t</w:t>
      </w:r>
      <w:r w:rsidR="00E545EB" w:rsidRPr="00B1135E">
        <w:t>hese factors</w:t>
      </w:r>
      <w:r w:rsidR="002B3B1C" w:rsidRPr="00B1135E">
        <w:t xml:space="preserve"> have different </w:t>
      </w:r>
      <w:r w:rsidR="00E545EB" w:rsidRPr="00B1135E">
        <w:t xml:space="preserve">explanatory </w:t>
      </w:r>
      <w:r w:rsidR="002B3B1C" w:rsidRPr="00B1135E">
        <w:t xml:space="preserve">effects </w:t>
      </w:r>
      <w:r w:rsidR="00283034" w:rsidRPr="00B1135E">
        <w:t>o</w:t>
      </w:r>
      <w:r w:rsidR="002B3B1C" w:rsidRPr="00B1135E">
        <w:t xml:space="preserve">n the decomposition. </w:t>
      </w:r>
    </w:p>
    <w:p w:rsidR="00035360" w:rsidRPr="00B1135E" w:rsidRDefault="00E545EB" w:rsidP="00E545EB">
      <w:pPr>
        <w:pStyle w:val="Body"/>
      </w:pPr>
      <w:r w:rsidRPr="00B1135E">
        <w:t>On the one hand</w:t>
      </w:r>
      <w:r w:rsidR="00283034" w:rsidRPr="00B1135E">
        <w:t>,</w:t>
      </w:r>
      <w:r w:rsidRPr="00B1135E">
        <w:t xml:space="preserve"> t</w:t>
      </w:r>
      <w:r w:rsidR="008A1307" w:rsidRPr="00B1135E">
        <w:t xml:space="preserve">he explained gender pay gap </w:t>
      </w:r>
      <w:r w:rsidRPr="00B1135E">
        <w:t xml:space="preserve">for education </w:t>
      </w:r>
      <w:r w:rsidR="008A1307" w:rsidRPr="00B1135E">
        <w:t xml:space="preserve">is negative in the vast majority of EU Member States. This means that </w:t>
      </w:r>
      <w:r w:rsidR="00283034" w:rsidRPr="00B1135E">
        <w:t xml:space="preserve">employed </w:t>
      </w:r>
      <w:r w:rsidR="008A1307" w:rsidRPr="00B1135E">
        <w:t xml:space="preserve">women have, on average, a higher level of education than men in most European labour markets. </w:t>
      </w:r>
      <w:r w:rsidRPr="00B1135E">
        <w:t>On the other hand</w:t>
      </w:r>
      <w:r w:rsidR="008A1307" w:rsidRPr="00B1135E">
        <w:t xml:space="preserve">, the explained gender pay gap </w:t>
      </w:r>
      <w:r w:rsidRPr="00B1135E">
        <w:t xml:space="preserve">for economic activity </w:t>
      </w:r>
      <w:r w:rsidR="008A1307" w:rsidRPr="00B1135E">
        <w:t>is positive in the vast majority of EU Member States.</w:t>
      </w:r>
      <w:r w:rsidR="00AF6FFA" w:rsidRPr="00B1135E">
        <w:t xml:space="preserve"> </w:t>
      </w:r>
      <w:r w:rsidR="008A1307" w:rsidRPr="00B1135E">
        <w:t>This mea</w:t>
      </w:r>
      <w:r w:rsidR="00186A54" w:rsidRPr="00B1135E">
        <w:t>ns that men tend to be employed</w:t>
      </w:r>
      <w:r w:rsidR="008A1307" w:rsidRPr="00B1135E">
        <w:t xml:space="preserve"> in better paid economic activities </w:t>
      </w:r>
      <w:r w:rsidR="00C72F82">
        <w:t>than</w:t>
      </w:r>
      <w:r w:rsidR="008A1307" w:rsidRPr="00B1135E">
        <w:t xml:space="preserve"> women</w:t>
      </w:r>
      <w:r w:rsidR="00035360" w:rsidRPr="00B1135E">
        <w:t xml:space="preserve"> (sectoral segregation)</w:t>
      </w:r>
      <w:r w:rsidR="008A1307" w:rsidRPr="00B1135E">
        <w:t>.</w:t>
      </w:r>
    </w:p>
    <w:p w:rsidR="008A1307" w:rsidRPr="00B1135E" w:rsidRDefault="008A1307" w:rsidP="00E545EB">
      <w:pPr>
        <w:pStyle w:val="Body"/>
      </w:pPr>
      <w:r w:rsidRPr="00B1135E">
        <w:t>A more mixed picture can be observed for occupation</w:t>
      </w:r>
      <w:r w:rsidR="00D17401">
        <w:t>, where</w:t>
      </w:r>
      <w:r w:rsidRPr="00B1135E">
        <w:t xml:space="preserve"> the countries are split almost equally between those recording positive or negative gaps for this explanatory factor. This means that in the EU Member States with </w:t>
      </w:r>
      <w:r w:rsidR="00D17401">
        <w:t>a</w:t>
      </w:r>
      <w:r w:rsidR="00D17401" w:rsidRPr="00B1135E">
        <w:t xml:space="preserve"> </w:t>
      </w:r>
      <w:r w:rsidRPr="00B1135E">
        <w:t xml:space="preserve">positive gap for occupation, men tend to work in better paid occupations </w:t>
      </w:r>
      <w:r w:rsidR="00BC45CF">
        <w:t>than</w:t>
      </w:r>
      <w:r w:rsidRPr="00B1135E">
        <w:t xml:space="preserve"> women, whereas in the countries with </w:t>
      </w:r>
      <w:r w:rsidR="00D17401">
        <w:t>a</w:t>
      </w:r>
      <w:r w:rsidR="00D17401" w:rsidRPr="00B1135E">
        <w:t xml:space="preserve"> </w:t>
      </w:r>
      <w:r w:rsidRPr="00B1135E">
        <w:t xml:space="preserve">negative gap, women tend to work in better paid occupations </w:t>
      </w:r>
      <w:r w:rsidR="00BC45CF">
        <w:t>than</w:t>
      </w:r>
      <w:r w:rsidRPr="00B1135E">
        <w:t xml:space="preserve"> men</w:t>
      </w:r>
      <w:r w:rsidR="00035360" w:rsidRPr="00B1135E">
        <w:t xml:space="preserve">, generally due to </w:t>
      </w:r>
      <w:r w:rsidR="003B49DA" w:rsidRPr="00B1135E">
        <w:t>‘</w:t>
      </w:r>
      <w:r w:rsidR="00035360" w:rsidRPr="00B1135E">
        <w:t>self-selection</w:t>
      </w:r>
      <w:r w:rsidR="003B49DA" w:rsidRPr="00B1135E">
        <w:t>’</w:t>
      </w:r>
      <w:r w:rsidR="00035360" w:rsidRPr="00B1135E">
        <w:t xml:space="preserve"> effects</w:t>
      </w:r>
      <w:r w:rsidRPr="00B1135E">
        <w:t>.</w:t>
      </w:r>
      <w:r w:rsidR="00A35937" w:rsidRPr="00B1135E">
        <w:t xml:space="preserve"> </w:t>
      </w:r>
      <w:r w:rsidR="00CA2F8F" w:rsidRPr="00B1135E">
        <w:t xml:space="preserve">Occupational gender segregation </w:t>
      </w:r>
      <w:r w:rsidR="00D17401">
        <w:t>thus has a</w:t>
      </w:r>
      <w:r w:rsidR="00AC2222" w:rsidRPr="00B1135E">
        <w:t xml:space="preserve"> </w:t>
      </w:r>
      <w:r w:rsidR="00CA2F8F" w:rsidRPr="00B1135E">
        <w:t xml:space="preserve">more </w:t>
      </w:r>
      <w:r w:rsidR="007B68BA">
        <w:t>uneven</w:t>
      </w:r>
      <w:r w:rsidR="007B68BA" w:rsidRPr="00B1135E">
        <w:t xml:space="preserve"> </w:t>
      </w:r>
      <w:r w:rsidR="00CA2F8F" w:rsidRPr="00B1135E">
        <w:t xml:space="preserve">effect across EU Member States </w:t>
      </w:r>
      <w:r w:rsidR="00BC45CF">
        <w:t>than</w:t>
      </w:r>
      <w:r w:rsidR="00CA2F8F" w:rsidRPr="00B1135E">
        <w:t xml:space="preserve"> s</w:t>
      </w:r>
      <w:r w:rsidR="00AC2222" w:rsidRPr="00B1135E">
        <w:t>ectoral gender segregation.</w:t>
      </w:r>
    </w:p>
    <w:p w:rsidR="00361244" w:rsidRPr="00B1135E" w:rsidRDefault="00D17401" w:rsidP="00A471F9">
      <w:pPr>
        <w:pStyle w:val="Body"/>
      </w:pPr>
      <w:r>
        <w:t>N</w:t>
      </w:r>
      <w:r w:rsidR="00361244" w:rsidRPr="00B1135E">
        <w:t>ote that the decomposition of the unadjusted GPG does not capture all segregation effects between men and women in the labour market</w:t>
      </w:r>
      <w:r w:rsidR="0084546A" w:rsidRPr="00B1135E">
        <w:t xml:space="preserve">. In particular, </w:t>
      </w:r>
      <w:r w:rsidR="00593B85" w:rsidRPr="00B1135E">
        <w:t xml:space="preserve">women </w:t>
      </w:r>
      <w:r w:rsidR="004E6F46">
        <w:t>work</w:t>
      </w:r>
      <w:r w:rsidR="00593B85" w:rsidRPr="00B1135E">
        <w:t>, on average, fewer hours per month than men</w:t>
      </w:r>
      <w:r w:rsidR="0084546A" w:rsidRPr="00B1135E">
        <w:t>. This is not captured by the unadjusted GPG</w:t>
      </w:r>
      <w:r>
        <w:t>,</w:t>
      </w:r>
      <w:r w:rsidR="0084546A" w:rsidRPr="00B1135E">
        <w:t xml:space="preserve"> which is calculated on an hourly basis.</w:t>
      </w:r>
      <w:r w:rsidR="00890795">
        <w:t xml:space="preserve"> </w:t>
      </w:r>
      <w:r w:rsidR="0084546A" w:rsidRPr="00B1135E">
        <w:lastRenderedPageBreak/>
        <w:t xml:space="preserve">Moreover, </w:t>
      </w:r>
      <w:r w:rsidR="00361244" w:rsidRPr="00B1135E">
        <w:t xml:space="preserve">a lower proportion of women </w:t>
      </w:r>
      <w:r w:rsidR="00BC45CF">
        <w:t>than</w:t>
      </w:r>
      <w:r w:rsidR="00361244" w:rsidRPr="00B1135E">
        <w:t xml:space="preserve"> men </w:t>
      </w:r>
      <w:r w:rsidR="0084546A" w:rsidRPr="00B1135E">
        <w:t>participate</w:t>
      </w:r>
      <w:r w:rsidR="00361244" w:rsidRPr="00B1135E">
        <w:t xml:space="preserve"> in the labour market</w:t>
      </w:r>
      <w:r w:rsidR="0084546A" w:rsidRPr="00B1135E">
        <w:t>.</w:t>
      </w:r>
    </w:p>
    <w:p w:rsidR="001860B0" w:rsidRPr="00B1135E" w:rsidRDefault="00580C41" w:rsidP="001860B0">
      <w:pPr>
        <w:pStyle w:val="Body"/>
      </w:pPr>
      <w:r w:rsidRPr="00B1135E">
        <w:t>‘</w:t>
      </w:r>
      <w:r w:rsidR="001860B0" w:rsidRPr="00B1135E">
        <w:t>Self-selection</w:t>
      </w:r>
      <w:r w:rsidRPr="00B1135E">
        <w:t>’</w:t>
      </w:r>
      <w:r w:rsidR="001860B0" w:rsidRPr="00B1135E">
        <w:t xml:space="preserve"> of women into paid employment is an issue in </w:t>
      </w:r>
      <w:r w:rsidR="00100768" w:rsidRPr="00B1135E">
        <w:t xml:space="preserve">some EU </w:t>
      </w:r>
      <w:r w:rsidR="001860B0" w:rsidRPr="00B1135E">
        <w:t>countries</w:t>
      </w:r>
      <w:r w:rsidR="00D17401">
        <w:t>,</w:t>
      </w:r>
      <w:r w:rsidR="001860B0" w:rsidRPr="00B1135E">
        <w:t xml:space="preserve"> and </w:t>
      </w:r>
      <w:r w:rsidR="00035360" w:rsidRPr="00B1135E">
        <w:t>a</w:t>
      </w:r>
      <w:r w:rsidR="001860B0" w:rsidRPr="00B1135E">
        <w:t>ffects the measurement of the unadjusted GPG and its decomposition</w:t>
      </w:r>
      <w:r w:rsidR="005252AE" w:rsidRPr="00B1135E">
        <w:t>. This seems</w:t>
      </w:r>
      <w:r w:rsidR="00D17401" w:rsidRPr="00D17401">
        <w:t xml:space="preserve"> to be especially </w:t>
      </w:r>
      <w:r w:rsidR="00035360" w:rsidRPr="00B1135E">
        <w:t>the</w:t>
      </w:r>
      <w:r w:rsidR="00B97C67" w:rsidRPr="00B1135E">
        <w:t xml:space="preserve"> case in countries recording</w:t>
      </w:r>
      <w:r w:rsidR="001860B0" w:rsidRPr="00B1135E">
        <w:t xml:space="preserve"> </w:t>
      </w:r>
      <w:r w:rsidR="00B97C67" w:rsidRPr="00B1135E">
        <w:t xml:space="preserve">both </w:t>
      </w:r>
      <w:r w:rsidR="00035360" w:rsidRPr="00B1135E">
        <w:t xml:space="preserve">a </w:t>
      </w:r>
      <w:r w:rsidR="00B97C67" w:rsidRPr="00B1135E">
        <w:t>low unadjusted</w:t>
      </w:r>
      <w:r w:rsidR="001860B0" w:rsidRPr="00B1135E">
        <w:t xml:space="preserve"> GPG </w:t>
      </w:r>
      <w:r w:rsidR="00B97C67" w:rsidRPr="00B1135E">
        <w:t>and</w:t>
      </w:r>
      <w:r w:rsidR="001860B0" w:rsidRPr="00B1135E">
        <w:t xml:space="preserve"> </w:t>
      </w:r>
      <w:r w:rsidR="00035360" w:rsidRPr="00B1135E">
        <w:t xml:space="preserve">a </w:t>
      </w:r>
      <w:r w:rsidR="001860B0" w:rsidRPr="00B1135E">
        <w:t xml:space="preserve">low employment rate for women. </w:t>
      </w:r>
      <w:r w:rsidR="00B97C67" w:rsidRPr="00B1135E">
        <w:t>This phenomenon is usually</w:t>
      </w:r>
      <w:r w:rsidRPr="00B1135E">
        <w:t xml:space="preserve"> associated with the negative </w:t>
      </w:r>
      <w:r w:rsidR="00B97C67" w:rsidRPr="00B1135E">
        <w:t>explained GPG</w:t>
      </w:r>
      <w:r w:rsidR="00D17401">
        <w:t>,</w:t>
      </w:r>
      <w:r w:rsidR="00B97C67" w:rsidRPr="00B1135E">
        <w:t xml:space="preserve"> which</w:t>
      </w:r>
      <w:r w:rsidR="001860B0" w:rsidRPr="00B1135E">
        <w:t xml:space="preserve"> occurs because a</w:t>
      </w:r>
      <w:r w:rsidR="00035360" w:rsidRPr="00B1135E">
        <w:t xml:space="preserve"> </w:t>
      </w:r>
      <w:r w:rsidR="001860B0" w:rsidRPr="00B1135E">
        <w:t>significant share of low-skilled women stay</w:t>
      </w:r>
      <w:r w:rsidR="00035360" w:rsidRPr="00B1135E">
        <w:t>s</w:t>
      </w:r>
      <w:r w:rsidR="001860B0" w:rsidRPr="00B1135E">
        <w:t xml:space="preserve"> out of the labour market</w:t>
      </w:r>
      <w:r w:rsidR="00100768" w:rsidRPr="00B1135E">
        <w:t xml:space="preserve">, especially when there are </w:t>
      </w:r>
      <w:r w:rsidR="00D17401">
        <w:t>few</w:t>
      </w:r>
      <w:r w:rsidR="00D17401" w:rsidRPr="00B1135E">
        <w:t xml:space="preserve"> </w:t>
      </w:r>
      <w:r w:rsidR="00100768" w:rsidRPr="00B1135E">
        <w:t xml:space="preserve">job </w:t>
      </w:r>
      <w:r w:rsidR="001860B0" w:rsidRPr="00B1135E">
        <w:t>opportunities.</w:t>
      </w:r>
    </w:p>
    <w:p w:rsidR="00152004" w:rsidRPr="00B1135E" w:rsidRDefault="00152004" w:rsidP="00152004">
      <w:pPr>
        <w:pStyle w:val="Body"/>
      </w:pPr>
      <w:bookmarkStart w:id="13" w:name="_GoBack"/>
      <w:bookmarkEnd w:id="13"/>
      <w:r w:rsidRPr="00B1135E">
        <w:br w:type="page"/>
      </w:r>
    </w:p>
    <w:p w:rsidR="00007176" w:rsidRPr="00B1135E" w:rsidRDefault="00AE311F" w:rsidP="00AE311F">
      <w:pPr>
        <w:pStyle w:val="Heading1"/>
      </w:pPr>
      <w:r w:rsidRPr="00AE311F">
        <w:lastRenderedPageBreak/>
        <w:t>References</w:t>
      </w:r>
    </w:p>
    <w:p w:rsidR="0028163D" w:rsidRPr="00B1135E" w:rsidRDefault="0028163D" w:rsidP="0028163D">
      <w:pPr>
        <w:pStyle w:val="Body"/>
      </w:pPr>
      <w:r w:rsidRPr="00B1135E">
        <w:t>Bazen S. (2011), Econometric methods for labour economics, Oxford: Oxford University Press.</w:t>
      </w:r>
    </w:p>
    <w:p w:rsidR="0028163D" w:rsidRPr="00B1135E" w:rsidRDefault="0028163D" w:rsidP="0028163D">
      <w:pPr>
        <w:pStyle w:val="Body"/>
      </w:pPr>
      <w:r w:rsidRPr="00B1135E">
        <w:t xml:space="preserve">Cotton, J. (1988), </w:t>
      </w:r>
      <w:r w:rsidR="00B1135E">
        <w:t>‘</w:t>
      </w:r>
      <w:r w:rsidRPr="00B1135E">
        <w:t>On the Decomposition of Wage Differentials</w:t>
      </w:r>
      <w:r w:rsidR="00B1135E">
        <w:t>’</w:t>
      </w:r>
      <w:r w:rsidRPr="00B1135E">
        <w:t>, Review of Economics and Statistics, 70(2), p. 236</w:t>
      </w:r>
      <w:r w:rsidR="00B1135E">
        <w:t>-</w:t>
      </w:r>
      <w:r w:rsidRPr="00B1135E">
        <w:t>43.</w:t>
      </w:r>
    </w:p>
    <w:p w:rsidR="0028163D" w:rsidRPr="00B1135E" w:rsidRDefault="0028163D" w:rsidP="0028163D">
      <w:pPr>
        <w:pStyle w:val="Body"/>
      </w:pPr>
      <w:r w:rsidRPr="00B1135E">
        <w:t>Eurofound (2010), Addressing the gender pay gap: Government and social partner actions.</w:t>
      </w:r>
    </w:p>
    <w:p w:rsidR="0028163D" w:rsidRPr="00B1135E" w:rsidRDefault="0028163D" w:rsidP="0028163D">
      <w:pPr>
        <w:pStyle w:val="Body"/>
      </w:pPr>
      <w:r w:rsidRPr="00B1135E">
        <w:t>European Commission (2015), Strategic engagement for gender equality 2016-2019.</w:t>
      </w:r>
    </w:p>
    <w:p w:rsidR="0028163D" w:rsidRPr="00B1135E" w:rsidRDefault="0028163D" w:rsidP="0028163D">
      <w:pPr>
        <w:pStyle w:val="Body"/>
      </w:pPr>
      <w:r w:rsidRPr="00B1135E">
        <w:t xml:space="preserve">European Commission (2017), Communication from the Commission on establishing a European Pillar of Social Rights </w:t>
      </w:r>
      <w:r w:rsidR="00B1135E">
        <w:t>—</w:t>
      </w:r>
      <w:r w:rsidRPr="00B1135E">
        <w:t xml:space="preserve"> Social Scoreboard.</w:t>
      </w:r>
    </w:p>
    <w:p w:rsidR="00687877" w:rsidRPr="00B1135E" w:rsidRDefault="00687877" w:rsidP="00687877">
      <w:pPr>
        <w:pStyle w:val="Body"/>
      </w:pPr>
      <w:r w:rsidRPr="00B1135E">
        <w:t>Eurostat (2009), Development of econometric methods to evaluate the gender pay gap using Structure of Earnings Survey data.</w:t>
      </w:r>
    </w:p>
    <w:p w:rsidR="00687877" w:rsidRPr="00B1135E" w:rsidRDefault="00687877" w:rsidP="00687877">
      <w:pPr>
        <w:pStyle w:val="Body"/>
      </w:pPr>
      <w:r w:rsidRPr="00B1135E">
        <w:t>Eurostat (2013), Statistics Explained: gender statistics.</w:t>
      </w:r>
    </w:p>
    <w:p w:rsidR="00687877" w:rsidRPr="00B1135E" w:rsidRDefault="00687877" w:rsidP="00687877">
      <w:pPr>
        <w:pStyle w:val="Body"/>
      </w:pPr>
      <w:r w:rsidRPr="00B1135E">
        <w:t>Eurostat (2014), Structure of Earnings Survey 2014. Eurostat’s arrangements for implementing the Council Regulation 530/1999, the Commission Regulations 1916/2000 and 1738/2005.</w:t>
      </w:r>
    </w:p>
    <w:p w:rsidR="0028163D" w:rsidRPr="00B1135E" w:rsidRDefault="0028163D" w:rsidP="0028163D">
      <w:pPr>
        <w:pStyle w:val="Body"/>
      </w:pPr>
      <w:r w:rsidRPr="00B1135E">
        <w:t>Lewis, T.H. (2017), Complex Survey Data Analysis with SAS, Boca Raton: CRC Press.</w:t>
      </w:r>
    </w:p>
    <w:p w:rsidR="0028163D" w:rsidRPr="00B1135E" w:rsidRDefault="0028163D" w:rsidP="0028163D">
      <w:pPr>
        <w:pStyle w:val="Body"/>
      </w:pPr>
      <w:r w:rsidRPr="00B1135E">
        <w:t xml:space="preserve">Mincer, J. (1974), Schooling, experience and </w:t>
      </w:r>
      <w:r w:rsidR="00634124">
        <w:t>e</w:t>
      </w:r>
      <w:r w:rsidRPr="00B1135E">
        <w:t>arnings, New York: National Bureau of Economic Research.</w:t>
      </w:r>
    </w:p>
    <w:p w:rsidR="0028163D" w:rsidRPr="00B1135E" w:rsidRDefault="0028163D" w:rsidP="0028163D">
      <w:pPr>
        <w:pStyle w:val="Body"/>
      </w:pPr>
      <w:r w:rsidRPr="00B1135E">
        <w:t xml:space="preserve">Neumark, D (1988), </w:t>
      </w:r>
      <w:r w:rsidR="00B1135E">
        <w:t>‘</w:t>
      </w:r>
      <w:r w:rsidRPr="00B1135E">
        <w:t>Employers’ Discriminatory Behaviour and the Estim</w:t>
      </w:r>
      <w:r w:rsidR="000902C9" w:rsidRPr="00B1135E">
        <w:t>ation of Wage Discrimination</w:t>
      </w:r>
      <w:r w:rsidR="00B1135E">
        <w:t>’</w:t>
      </w:r>
      <w:r w:rsidR="000902C9" w:rsidRPr="00B1135E">
        <w:t xml:space="preserve">, </w:t>
      </w:r>
      <w:r w:rsidRPr="00B1135E">
        <w:t>Journal of Human Resources, 23(3), p. 279</w:t>
      </w:r>
      <w:r w:rsidR="00B1135E">
        <w:t>-</w:t>
      </w:r>
      <w:r w:rsidRPr="00B1135E">
        <w:t>95.</w:t>
      </w:r>
    </w:p>
    <w:p w:rsidR="0028163D" w:rsidRPr="00B1135E" w:rsidRDefault="0028163D" w:rsidP="0028163D">
      <w:pPr>
        <w:pStyle w:val="Body"/>
      </w:pPr>
      <w:r w:rsidRPr="00B1135E">
        <w:t xml:space="preserve">Oaxaca, R. (1973), </w:t>
      </w:r>
      <w:r w:rsidR="00B1135E">
        <w:t>‘</w:t>
      </w:r>
      <w:r w:rsidRPr="00B1135E">
        <w:t>Male-Female Wage Differentials in Urban Labour Markets</w:t>
      </w:r>
      <w:r w:rsidR="00B1135E">
        <w:t>’</w:t>
      </w:r>
      <w:r w:rsidRPr="00B1135E">
        <w:t>, International Economic Review, 14 (3), p. 693-709.</w:t>
      </w:r>
    </w:p>
    <w:p w:rsidR="00A471F9" w:rsidRPr="00B1135E" w:rsidRDefault="0028163D" w:rsidP="0028163D">
      <w:pPr>
        <w:pStyle w:val="Body"/>
      </w:pPr>
      <w:r w:rsidRPr="00B1135E">
        <w:t xml:space="preserve">Reimers, C. W. (1983), </w:t>
      </w:r>
      <w:r w:rsidR="00B1135E">
        <w:t>‘</w:t>
      </w:r>
      <w:r w:rsidRPr="00B1135E">
        <w:t>Labor Market Discrimination against Hispanic and Black Men</w:t>
      </w:r>
      <w:r w:rsidR="00B1135E">
        <w:t>’</w:t>
      </w:r>
      <w:r w:rsidRPr="00B1135E">
        <w:t>, Review of Economics and Statistics, 65(4), p. 570</w:t>
      </w:r>
      <w:r w:rsidR="00B1135E">
        <w:t>-</w:t>
      </w:r>
      <w:r w:rsidRPr="00B1135E">
        <w:t>79.</w:t>
      </w:r>
    </w:p>
    <w:p w:rsidR="00A471F9" w:rsidRPr="00B1135E" w:rsidRDefault="00A471F9" w:rsidP="00A471F9">
      <w:pPr>
        <w:pStyle w:val="Body"/>
      </w:pPr>
      <w:r w:rsidRPr="00B1135E">
        <w:br w:type="page"/>
      </w:r>
    </w:p>
    <w:p w:rsidR="00AE311F" w:rsidRDefault="00AE311F" w:rsidP="00AE311F">
      <w:pPr>
        <w:pStyle w:val="Heading1"/>
      </w:pPr>
      <w:r>
        <w:lastRenderedPageBreak/>
        <w:t>Appendix 1: Statistical tests</w:t>
      </w:r>
    </w:p>
    <w:p w:rsidR="004F40ED" w:rsidRPr="00B1135E" w:rsidRDefault="004F40ED" w:rsidP="004F40ED">
      <w:pPr>
        <w:pStyle w:val="Table-graph-maptitle"/>
        <w:keepNext/>
        <w:spacing w:after="120"/>
        <w:ind w:left="0"/>
      </w:pPr>
      <w:r w:rsidRPr="00B1135E">
        <w:t xml:space="preserve">Table </w:t>
      </w:r>
      <w:r>
        <w:t>5</w:t>
      </w:r>
      <w:r w:rsidRPr="00B1135E">
        <w:t xml:space="preserve">: </w:t>
      </w:r>
      <w:r w:rsidR="009812FD">
        <w:t>Coefficient</w:t>
      </w:r>
      <w:r w:rsidRPr="004F40ED">
        <w:t xml:space="preserve"> of determination (R-squared)</w:t>
      </w:r>
    </w:p>
    <w:p w:rsidR="004F40ED" w:rsidRPr="00B1135E" w:rsidRDefault="00053591" w:rsidP="00A471F9">
      <w:pPr>
        <w:pStyle w:val="Body"/>
      </w:pPr>
      <w:r w:rsidRPr="00053591">
        <w:rPr>
          <w:noProof/>
        </w:rPr>
        <w:drawing>
          <wp:inline distT="0" distB="0" distL="0" distR="0">
            <wp:extent cx="3467100" cy="6788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7100" cy="6788150"/>
                    </a:xfrm>
                    <a:prstGeom prst="rect">
                      <a:avLst/>
                    </a:prstGeom>
                    <a:noFill/>
                    <a:ln>
                      <a:noFill/>
                    </a:ln>
                  </pic:spPr>
                </pic:pic>
              </a:graphicData>
            </a:graphic>
          </wp:inline>
        </w:drawing>
      </w:r>
    </w:p>
    <w:p w:rsidR="005E2AC3" w:rsidRDefault="005E2AC3">
      <w:pPr>
        <w:sectPr w:rsidR="005E2AC3" w:rsidSect="00834AC3">
          <w:headerReference w:type="default" r:id="rId19"/>
          <w:type w:val="continuous"/>
          <w:pgSz w:w="11899" w:h="16838"/>
          <w:pgMar w:top="1985" w:right="1701" w:bottom="1701" w:left="1701" w:header="709" w:footer="709" w:gutter="0"/>
          <w:cols w:space="708"/>
        </w:sectPr>
      </w:pPr>
    </w:p>
    <w:p w:rsidR="00F720D9" w:rsidRPr="00B1135E" w:rsidRDefault="00F720D9" w:rsidP="00F720D9">
      <w:pPr>
        <w:pStyle w:val="Table-graph-maptitle"/>
        <w:keepNext/>
        <w:spacing w:after="120"/>
        <w:ind w:left="0"/>
      </w:pPr>
      <w:r w:rsidRPr="00B1135E">
        <w:lastRenderedPageBreak/>
        <w:t xml:space="preserve">Table </w:t>
      </w:r>
      <w:r>
        <w:t>6</w:t>
      </w:r>
      <w:r w:rsidRPr="00B1135E">
        <w:t xml:space="preserve">: </w:t>
      </w:r>
      <w:r w:rsidRPr="00F720D9">
        <w:t>F-test of m</w:t>
      </w:r>
      <w:r w:rsidR="00521D8A">
        <w:t>odel effects for men</w:t>
      </w:r>
    </w:p>
    <w:p w:rsidR="005E2AC3" w:rsidRDefault="00F720D9">
      <w:r w:rsidRPr="00F720D9">
        <w:rPr>
          <w:noProof/>
          <w:lang w:eastAsia="en-GB"/>
        </w:rPr>
        <w:drawing>
          <wp:inline distT="0" distB="0" distL="0" distR="0" wp14:anchorId="4BED28CC" wp14:editId="6442F7FE">
            <wp:extent cx="8351520" cy="38165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51520" cy="3816579"/>
                    </a:xfrm>
                    <a:prstGeom prst="rect">
                      <a:avLst/>
                    </a:prstGeom>
                    <a:noFill/>
                    <a:ln>
                      <a:noFill/>
                    </a:ln>
                  </pic:spPr>
                </pic:pic>
              </a:graphicData>
            </a:graphic>
          </wp:inline>
        </w:drawing>
      </w:r>
      <w:r w:rsidR="005E2AC3">
        <w:br w:type="page"/>
      </w:r>
    </w:p>
    <w:p w:rsidR="00F720D9" w:rsidRPr="00B1135E" w:rsidRDefault="00F720D9" w:rsidP="00F720D9">
      <w:pPr>
        <w:pStyle w:val="Table-graph-maptitle"/>
        <w:keepNext/>
        <w:spacing w:after="120"/>
        <w:ind w:left="0"/>
      </w:pPr>
      <w:r w:rsidRPr="00B1135E">
        <w:lastRenderedPageBreak/>
        <w:t xml:space="preserve">Table </w:t>
      </w:r>
      <w:r>
        <w:t>7</w:t>
      </w:r>
      <w:r w:rsidRPr="00B1135E">
        <w:t xml:space="preserve">: </w:t>
      </w:r>
      <w:r w:rsidRPr="00F720D9">
        <w:t>F-t</w:t>
      </w:r>
      <w:r w:rsidR="00521D8A">
        <w:t xml:space="preserve">est of model effects for </w:t>
      </w:r>
      <w:r>
        <w:t>women</w:t>
      </w:r>
    </w:p>
    <w:p w:rsidR="00F720D9" w:rsidRDefault="00F720D9">
      <w:r w:rsidRPr="00F720D9">
        <w:rPr>
          <w:noProof/>
          <w:lang w:eastAsia="en-GB"/>
        </w:rPr>
        <w:drawing>
          <wp:inline distT="0" distB="0" distL="0" distR="0" wp14:anchorId="2FBE91C7" wp14:editId="3CEB3BE9">
            <wp:extent cx="8351520" cy="418046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51520" cy="4180462"/>
                    </a:xfrm>
                    <a:prstGeom prst="rect">
                      <a:avLst/>
                    </a:prstGeom>
                    <a:noFill/>
                    <a:ln>
                      <a:noFill/>
                    </a:ln>
                  </pic:spPr>
                </pic:pic>
              </a:graphicData>
            </a:graphic>
          </wp:inline>
        </w:drawing>
      </w:r>
    </w:p>
    <w:p w:rsidR="005E2AC3" w:rsidRDefault="005E2AC3"/>
    <w:p w:rsidR="00142D18" w:rsidRPr="005E2AC3" w:rsidRDefault="00142D18">
      <w:r w:rsidRPr="00B1135E">
        <w:br w:type="page"/>
      </w:r>
    </w:p>
    <w:p w:rsidR="005E2AC3" w:rsidRDefault="005E2AC3" w:rsidP="00142D18">
      <w:pPr>
        <w:pStyle w:val="Body"/>
        <w:sectPr w:rsidR="005E2AC3" w:rsidSect="005E2AC3">
          <w:pgSz w:w="16838" w:h="11899" w:orient="landscape"/>
          <w:pgMar w:top="1701" w:right="1985" w:bottom="1701" w:left="1701" w:header="709" w:footer="709" w:gutter="0"/>
          <w:cols w:space="708"/>
          <w:docGrid w:linePitch="272"/>
        </w:sectPr>
      </w:pPr>
    </w:p>
    <w:p w:rsidR="00142D18" w:rsidRPr="00B1135E" w:rsidRDefault="00AE311F" w:rsidP="00AE311F">
      <w:pPr>
        <w:pStyle w:val="Heading1"/>
      </w:pPr>
      <w:r>
        <w:lastRenderedPageBreak/>
        <w:t>Appendix 2</w:t>
      </w:r>
      <w:r w:rsidR="00541E36">
        <w:t>: Methodology and results at</w:t>
      </w:r>
      <w:r>
        <w:t xml:space="preserve"> national level</w:t>
      </w:r>
    </w:p>
    <w:p w:rsidR="00142D18" w:rsidRPr="00B1135E" w:rsidRDefault="00142D18" w:rsidP="00142D18">
      <w:pPr>
        <w:pStyle w:val="Body"/>
      </w:pPr>
    </w:p>
    <w:p w:rsidR="002B598B" w:rsidRDefault="00631497" w:rsidP="002B598B">
      <w:pPr>
        <w:jc w:val="both"/>
        <w:rPr>
          <w:rFonts w:ascii="Arial" w:hAnsi="Arial" w:cs="Arial"/>
          <w:sz w:val="19"/>
          <w:szCs w:val="19"/>
          <w:lang w:eastAsia="en-GB"/>
        </w:rPr>
      </w:pPr>
      <w:r w:rsidRPr="00631497">
        <w:rPr>
          <w:rFonts w:ascii="Arial" w:hAnsi="Arial" w:cs="Arial"/>
          <w:sz w:val="19"/>
          <w:szCs w:val="19"/>
          <w:lang w:eastAsia="en-GB"/>
        </w:rPr>
        <w:t>This appendix provides an indicative list of publications at national level on decomposing the GPG:</w:t>
      </w:r>
    </w:p>
    <w:p w:rsidR="00631497" w:rsidRPr="002B598B" w:rsidRDefault="00631497" w:rsidP="002B598B">
      <w:pPr>
        <w:jc w:val="both"/>
        <w:rPr>
          <w:rFonts w:ascii="Arial" w:hAnsi="Arial" w:cs="Arial"/>
          <w:sz w:val="19"/>
          <w:szCs w:val="19"/>
          <w:lang w:eastAsia="en-GB"/>
        </w:rPr>
      </w:pPr>
    </w:p>
    <w:p w:rsidR="002B598B" w:rsidRPr="002B598B" w:rsidRDefault="002B598B" w:rsidP="002B598B">
      <w:pPr>
        <w:jc w:val="both"/>
        <w:rPr>
          <w:rFonts w:ascii="Arial" w:hAnsi="Arial" w:cs="Arial"/>
          <w:sz w:val="19"/>
          <w:szCs w:val="19"/>
          <w:lang w:val="da-DK" w:eastAsia="en-GB"/>
        </w:rPr>
      </w:pPr>
      <w:r w:rsidRPr="002B598B">
        <w:rPr>
          <w:rFonts w:ascii="Arial" w:hAnsi="Arial" w:cs="Arial"/>
          <w:sz w:val="19"/>
          <w:szCs w:val="19"/>
          <w:lang w:val="fr-BE" w:eastAsia="en-GB"/>
        </w:rPr>
        <w:t xml:space="preserve">Belgium: </w:t>
      </w:r>
      <w:hyperlink r:id="rId22" w:history="1">
        <w:r w:rsidRPr="002B598B">
          <w:rPr>
            <w:rFonts w:ascii="Arial" w:hAnsi="Arial" w:cs="Arial"/>
            <w:color w:val="0000FF" w:themeColor="hyperlink"/>
            <w:sz w:val="19"/>
            <w:szCs w:val="19"/>
            <w:u w:val="single"/>
            <w:lang w:val="fr-BE" w:eastAsia="en-GB"/>
          </w:rPr>
          <w:t xml:space="preserve">L’écart salarial entre les femmes et les hommes en Belgique. </w:t>
        </w:r>
        <w:r w:rsidRPr="002B598B">
          <w:rPr>
            <w:rFonts w:ascii="Arial" w:hAnsi="Arial" w:cs="Arial"/>
            <w:color w:val="0000FF" w:themeColor="hyperlink"/>
            <w:sz w:val="19"/>
            <w:szCs w:val="19"/>
            <w:u w:val="single"/>
            <w:lang w:val="da-DK" w:eastAsia="en-GB"/>
          </w:rPr>
          <w:t>Rapport 2017</w:t>
        </w:r>
      </w:hyperlink>
      <w:r w:rsidRPr="002B598B">
        <w:rPr>
          <w:rFonts w:ascii="Arial" w:hAnsi="Arial" w:cs="Arial"/>
          <w:sz w:val="19"/>
          <w:szCs w:val="19"/>
          <w:lang w:val="da-DK" w:eastAsia="en-GB"/>
        </w:rPr>
        <w:t>, Institut pour l’égalité des femmes et des hommes.</w:t>
      </w:r>
    </w:p>
    <w:p w:rsidR="002B598B" w:rsidRPr="002B598B" w:rsidRDefault="002B598B" w:rsidP="002B598B">
      <w:pPr>
        <w:jc w:val="both"/>
        <w:rPr>
          <w:rFonts w:ascii="Arial" w:hAnsi="Arial" w:cs="Arial"/>
          <w:sz w:val="19"/>
          <w:szCs w:val="19"/>
          <w:lang w:val="da-DK" w:eastAsia="en-GB"/>
        </w:rPr>
      </w:pPr>
    </w:p>
    <w:p w:rsidR="002B598B" w:rsidRPr="002B598B" w:rsidRDefault="002B598B" w:rsidP="002B598B">
      <w:pPr>
        <w:jc w:val="both"/>
        <w:rPr>
          <w:rFonts w:ascii="Arial" w:hAnsi="Arial" w:cs="Arial"/>
          <w:sz w:val="19"/>
          <w:szCs w:val="19"/>
          <w:lang w:val="da-DK" w:eastAsia="en-GB"/>
        </w:rPr>
      </w:pPr>
      <w:r w:rsidRPr="002B598B">
        <w:rPr>
          <w:rFonts w:ascii="Arial" w:hAnsi="Arial" w:cs="Arial"/>
          <w:sz w:val="19"/>
          <w:szCs w:val="19"/>
          <w:lang w:val="da-DK" w:eastAsia="en-GB"/>
        </w:rPr>
        <w:t xml:space="preserve">Denmark: </w:t>
      </w:r>
      <w:hyperlink r:id="rId23" w:history="1">
        <w:r w:rsidRPr="002B598B">
          <w:rPr>
            <w:rFonts w:ascii="Arial" w:hAnsi="Arial" w:cs="Arial"/>
            <w:color w:val="0000FF" w:themeColor="hyperlink"/>
            <w:sz w:val="19"/>
            <w:szCs w:val="19"/>
            <w:u w:val="single"/>
            <w:lang w:val="da-DK" w:eastAsia="en-GB"/>
          </w:rPr>
          <w:t>Lønforskelle mellem mænd og kvinder 2007-2011</w:t>
        </w:r>
      </w:hyperlink>
      <w:r w:rsidRPr="002B598B">
        <w:rPr>
          <w:rFonts w:ascii="Arial" w:hAnsi="Arial" w:cs="Arial"/>
          <w:sz w:val="19"/>
          <w:szCs w:val="19"/>
          <w:lang w:val="da-DK" w:eastAsia="en-GB"/>
        </w:rPr>
        <w:t>, Det Nationale Forskningscenter for Velfærd.</w:t>
      </w:r>
    </w:p>
    <w:p w:rsidR="002B598B" w:rsidRPr="002B598B" w:rsidRDefault="002B598B" w:rsidP="002B598B">
      <w:pPr>
        <w:jc w:val="both"/>
        <w:rPr>
          <w:rFonts w:ascii="Arial" w:hAnsi="Arial" w:cs="Arial"/>
          <w:sz w:val="19"/>
          <w:szCs w:val="19"/>
          <w:lang w:val="da-DK" w:eastAsia="en-GB"/>
        </w:rPr>
      </w:pPr>
    </w:p>
    <w:p w:rsidR="002B598B" w:rsidRPr="002B598B" w:rsidRDefault="002B598B" w:rsidP="002B598B">
      <w:pPr>
        <w:jc w:val="both"/>
        <w:rPr>
          <w:rFonts w:ascii="Arial" w:hAnsi="Arial" w:cs="Arial"/>
          <w:sz w:val="19"/>
          <w:szCs w:val="19"/>
          <w:lang w:val="de-DE" w:eastAsia="en-GB"/>
        </w:rPr>
      </w:pPr>
      <w:r w:rsidRPr="002B598B">
        <w:rPr>
          <w:rFonts w:ascii="Arial" w:hAnsi="Arial" w:cs="Arial"/>
          <w:sz w:val="19"/>
          <w:szCs w:val="19"/>
          <w:lang w:val="de-DE" w:eastAsia="en-GB"/>
        </w:rPr>
        <w:t xml:space="preserve">Germany: </w:t>
      </w:r>
      <w:hyperlink r:id="rId24" w:history="1">
        <w:r w:rsidRPr="002B598B">
          <w:rPr>
            <w:rFonts w:ascii="Arial" w:hAnsi="Arial" w:cs="Arial"/>
            <w:color w:val="0000FF" w:themeColor="hyperlink"/>
            <w:sz w:val="19"/>
            <w:szCs w:val="19"/>
            <w:u w:val="single"/>
            <w:lang w:val="de-DE" w:eastAsia="en-GB"/>
          </w:rPr>
          <w:t>Verdienstunterschiede zwischen Männern und Frauen. Eine Ursachenanalyse auf Grundlage der Verdienststrukturerhebung 2014</w:t>
        </w:r>
      </w:hyperlink>
      <w:r w:rsidRPr="002B598B">
        <w:rPr>
          <w:rFonts w:ascii="Arial" w:hAnsi="Arial" w:cs="Arial"/>
          <w:sz w:val="19"/>
          <w:szCs w:val="19"/>
          <w:lang w:val="de-DE" w:eastAsia="en-GB"/>
        </w:rPr>
        <w:t>, Statistisches Bundesamt.</w:t>
      </w:r>
    </w:p>
    <w:p w:rsidR="002B598B" w:rsidRPr="002B598B" w:rsidRDefault="002B598B" w:rsidP="002B598B">
      <w:pPr>
        <w:jc w:val="both"/>
        <w:rPr>
          <w:rFonts w:ascii="Arial" w:hAnsi="Arial" w:cs="Arial"/>
          <w:sz w:val="19"/>
          <w:szCs w:val="19"/>
          <w:lang w:val="de-DE" w:eastAsia="en-GB"/>
        </w:rPr>
      </w:pPr>
    </w:p>
    <w:p w:rsidR="002B598B" w:rsidRDefault="002B598B" w:rsidP="002B598B">
      <w:pPr>
        <w:jc w:val="both"/>
        <w:rPr>
          <w:rFonts w:ascii="Arial" w:hAnsi="Arial" w:cs="Arial"/>
          <w:sz w:val="19"/>
          <w:szCs w:val="19"/>
          <w:lang w:val="nl-NL" w:eastAsia="en-GB"/>
        </w:rPr>
      </w:pPr>
      <w:r w:rsidRPr="002B598B">
        <w:rPr>
          <w:rFonts w:ascii="Arial" w:hAnsi="Arial" w:cs="Arial"/>
          <w:sz w:val="19"/>
          <w:szCs w:val="19"/>
          <w:lang w:val="de-DE" w:eastAsia="en-GB"/>
        </w:rPr>
        <w:t xml:space="preserve">Netherlands: </w:t>
      </w:r>
      <w:hyperlink r:id="rId25" w:history="1">
        <w:r w:rsidRPr="002B598B">
          <w:rPr>
            <w:rFonts w:ascii="Arial" w:hAnsi="Arial" w:cs="Arial"/>
            <w:color w:val="0000FF" w:themeColor="hyperlink"/>
            <w:sz w:val="19"/>
            <w:szCs w:val="19"/>
            <w:u w:val="single"/>
            <w:lang w:val="de-DE" w:eastAsia="en-GB"/>
          </w:rPr>
          <w:t xml:space="preserve">Gelijk loon voor gelijk werk? </w:t>
        </w:r>
        <w:r w:rsidRPr="002B598B">
          <w:rPr>
            <w:rFonts w:ascii="Arial" w:hAnsi="Arial" w:cs="Arial"/>
            <w:color w:val="0000FF" w:themeColor="hyperlink"/>
            <w:sz w:val="19"/>
            <w:szCs w:val="19"/>
            <w:u w:val="single"/>
            <w:lang w:val="nl-NL" w:eastAsia="en-GB"/>
          </w:rPr>
          <w:t>Banen en lonen bij de overheid en bedrijfsleven, 2014</w:t>
        </w:r>
      </w:hyperlink>
      <w:r w:rsidRPr="002B598B">
        <w:rPr>
          <w:rFonts w:ascii="Arial" w:hAnsi="Arial" w:cs="Arial"/>
          <w:sz w:val="19"/>
          <w:szCs w:val="19"/>
          <w:lang w:val="nl-NL" w:eastAsia="en-GB"/>
        </w:rPr>
        <w:t>, Centraal Bureau voor de Statistiek.</w:t>
      </w:r>
    </w:p>
    <w:p w:rsidR="002B598B" w:rsidRPr="002B598B" w:rsidRDefault="002B598B" w:rsidP="002B598B">
      <w:pPr>
        <w:jc w:val="both"/>
        <w:rPr>
          <w:rFonts w:ascii="Arial" w:hAnsi="Arial" w:cs="Arial"/>
          <w:sz w:val="19"/>
          <w:szCs w:val="19"/>
          <w:lang w:val="nl-NL" w:eastAsia="en-GB"/>
        </w:rPr>
      </w:pPr>
    </w:p>
    <w:p w:rsidR="002B598B" w:rsidRPr="002B598B" w:rsidRDefault="002B598B" w:rsidP="002B598B">
      <w:pPr>
        <w:jc w:val="both"/>
        <w:rPr>
          <w:rFonts w:ascii="Arial" w:hAnsi="Arial" w:cs="Arial"/>
          <w:color w:val="0000FF" w:themeColor="hyperlink"/>
          <w:sz w:val="19"/>
          <w:szCs w:val="19"/>
          <w:u w:val="single"/>
          <w:lang w:val="de-DE" w:eastAsia="en-GB"/>
        </w:rPr>
      </w:pPr>
      <w:r w:rsidRPr="002B598B">
        <w:rPr>
          <w:rFonts w:ascii="Arial" w:hAnsi="Arial" w:cs="Arial"/>
          <w:sz w:val="19"/>
          <w:szCs w:val="19"/>
          <w:lang w:val="de-DE" w:eastAsia="en-GB"/>
        </w:rPr>
        <w:t xml:space="preserve">Austria: Gender Pay Gap. </w:t>
      </w:r>
      <w:r w:rsidRPr="002B598B">
        <w:rPr>
          <w:rFonts w:ascii="Arial" w:hAnsi="Arial" w:cs="Arial"/>
          <w:sz w:val="19"/>
          <w:szCs w:val="19"/>
          <w:lang w:val="de-DE" w:eastAsia="en-GB"/>
        </w:rPr>
        <w:fldChar w:fldCharType="begin"/>
      </w:r>
      <w:r w:rsidRPr="002B598B">
        <w:rPr>
          <w:rFonts w:ascii="Arial" w:hAnsi="Arial" w:cs="Arial"/>
          <w:sz w:val="19"/>
          <w:szCs w:val="19"/>
          <w:lang w:val="de-DE" w:eastAsia="en-GB"/>
        </w:rPr>
        <w:instrText xml:space="preserve"> HYPERLINK "https://www.statistik.at/wcm/idc/idcplg?IdcService=GET_PDF_FILE&amp;RevisionSelectionMethod=LatestReleased&amp;dDocName=113028" </w:instrText>
      </w:r>
      <w:r w:rsidRPr="002B598B">
        <w:rPr>
          <w:rFonts w:ascii="Arial" w:hAnsi="Arial" w:cs="Arial"/>
          <w:sz w:val="19"/>
          <w:szCs w:val="19"/>
          <w:lang w:val="de-DE" w:eastAsia="en-GB"/>
        </w:rPr>
        <w:fldChar w:fldCharType="separate"/>
      </w:r>
      <w:r w:rsidRPr="002B598B">
        <w:rPr>
          <w:rFonts w:ascii="Arial" w:hAnsi="Arial" w:cs="Arial"/>
          <w:color w:val="0000FF" w:themeColor="hyperlink"/>
          <w:sz w:val="19"/>
          <w:szCs w:val="19"/>
          <w:u w:val="single"/>
          <w:lang w:val="de-DE" w:eastAsia="en-GB"/>
        </w:rPr>
        <w:t>Analysen zum Einfluss unterschiedlicher Faktoren auf den</w:t>
      </w:r>
    </w:p>
    <w:p w:rsidR="002B598B" w:rsidRPr="002B598B" w:rsidRDefault="002B598B" w:rsidP="002B598B">
      <w:pPr>
        <w:jc w:val="both"/>
        <w:rPr>
          <w:rFonts w:ascii="Arial" w:hAnsi="Arial" w:cs="Arial"/>
          <w:sz w:val="19"/>
          <w:szCs w:val="19"/>
          <w:lang w:val="de-DE" w:eastAsia="en-GB"/>
        </w:rPr>
      </w:pPr>
      <w:r w:rsidRPr="002B598B">
        <w:rPr>
          <w:rFonts w:ascii="Arial" w:hAnsi="Arial" w:cs="Arial"/>
          <w:color w:val="0000FF" w:themeColor="hyperlink"/>
          <w:sz w:val="19"/>
          <w:szCs w:val="19"/>
          <w:u w:val="single"/>
          <w:lang w:val="de-DE" w:eastAsia="en-GB"/>
        </w:rPr>
        <w:t>geschlechtsspezifischen Lohnunterschied</w:t>
      </w:r>
      <w:r w:rsidRPr="002B598B">
        <w:rPr>
          <w:rFonts w:ascii="Arial" w:hAnsi="Arial" w:cs="Arial"/>
          <w:sz w:val="19"/>
          <w:szCs w:val="19"/>
          <w:lang w:val="de-DE" w:eastAsia="en-GB"/>
        </w:rPr>
        <w:fldChar w:fldCharType="end"/>
      </w:r>
      <w:r w:rsidRPr="002B598B">
        <w:rPr>
          <w:rFonts w:ascii="Arial" w:hAnsi="Arial" w:cs="Arial"/>
          <w:sz w:val="19"/>
          <w:szCs w:val="19"/>
          <w:lang w:val="de-DE" w:eastAsia="en-GB"/>
        </w:rPr>
        <w:t>, Statistische Nachrichten, 6/2017, Statistik Austria.</w:t>
      </w:r>
    </w:p>
    <w:p w:rsidR="002B598B" w:rsidRPr="00CB6C50" w:rsidRDefault="002B598B" w:rsidP="002B598B">
      <w:pPr>
        <w:jc w:val="both"/>
        <w:rPr>
          <w:rFonts w:ascii="Arial" w:hAnsi="Arial" w:cs="Arial"/>
          <w:sz w:val="19"/>
          <w:szCs w:val="19"/>
          <w:lang w:val="de-DE" w:eastAsia="en-GB"/>
        </w:rPr>
      </w:pPr>
    </w:p>
    <w:p w:rsidR="002B598B" w:rsidRPr="002B598B" w:rsidRDefault="002B598B" w:rsidP="002B598B">
      <w:pPr>
        <w:jc w:val="both"/>
        <w:rPr>
          <w:rFonts w:ascii="Arial" w:hAnsi="Arial" w:cs="Arial"/>
          <w:sz w:val="19"/>
          <w:szCs w:val="19"/>
          <w:lang w:eastAsia="en-GB"/>
        </w:rPr>
      </w:pPr>
      <w:r w:rsidRPr="002B598B">
        <w:rPr>
          <w:rFonts w:ascii="Arial" w:hAnsi="Arial" w:cs="Arial"/>
          <w:sz w:val="19"/>
          <w:szCs w:val="19"/>
          <w:lang w:eastAsia="en-GB"/>
        </w:rPr>
        <w:t xml:space="preserve">United Kingdom: </w:t>
      </w:r>
      <w:hyperlink r:id="rId26" w:history="1">
        <w:r w:rsidRPr="002B598B">
          <w:rPr>
            <w:rFonts w:ascii="Arial" w:hAnsi="Arial" w:cs="Arial"/>
            <w:color w:val="0000FF" w:themeColor="hyperlink"/>
            <w:sz w:val="19"/>
            <w:szCs w:val="19"/>
            <w:u w:val="single"/>
            <w:lang w:eastAsia="en-GB"/>
          </w:rPr>
          <w:t>Understanding the gender pay gap in the UK</w:t>
        </w:r>
      </w:hyperlink>
      <w:r w:rsidRPr="002B598B">
        <w:rPr>
          <w:rFonts w:ascii="Arial" w:hAnsi="Arial" w:cs="Arial"/>
          <w:sz w:val="19"/>
          <w:szCs w:val="19"/>
          <w:lang w:eastAsia="en-GB"/>
        </w:rPr>
        <w:t>, Office for National Statistics</w:t>
      </w:r>
    </w:p>
    <w:p w:rsidR="002B598B" w:rsidRPr="002B598B" w:rsidRDefault="002B598B" w:rsidP="002B598B">
      <w:pPr>
        <w:jc w:val="both"/>
        <w:rPr>
          <w:rFonts w:ascii="Arial" w:hAnsi="Arial" w:cs="Arial"/>
          <w:sz w:val="19"/>
          <w:szCs w:val="19"/>
          <w:lang w:eastAsia="en-GB"/>
        </w:rPr>
      </w:pPr>
    </w:p>
    <w:p w:rsidR="002B598B" w:rsidRPr="002B598B" w:rsidRDefault="002B598B" w:rsidP="002B598B">
      <w:pPr>
        <w:jc w:val="both"/>
        <w:rPr>
          <w:rFonts w:ascii="Arial" w:hAnsi="Arial" w:cs="Arial"/>
          <w:sz w:val="19"/>
          <w:szCs w:val="19"/>
          <w:lang w:val="de-DE" w:eastAsia="en-GB"/>
        </w:rPr>
      </w:pPr>
      <w:r w:rsidRPr="002B598B">
        <w:rPr>
          <w:rFonts w:ascii="Arial" w:hAnsi="Arial" w:cs="Arial"/>
          <w:sz w:val="19"/>
          <w:szCs w:val="19"/>
          <w:lang w:val="de-DE" w:eastAsia="en-GB"/>
        </w:rPr>
        <w:t xml:space="preserve">Switzerland: </w:t>
      </w:r>
      <w:hyperlink r:id="rId27" w:history="1">
        <w:r w:rsidRPr="002B598B">
          <w:rPr>
            <w:rFonts w:ascii="Arial" w:hAnsi="Arial" w:cs="Arial"/>
            <w:color w:val="0000FF" w:themeColor="hyperlink"/>
            <w:sz w:val="19"/>
            <w:szCs w:val="19"/>
            <w:u w:val="single"/>
            <w:lang w:val="de-DE" w:eastAsia="en-GB"/>
          </w:rPr>
          <w:t>Analyse der Löhne von Frauen und Männern anhand der Lohnstrukturerhebung 2014</w:t>
        </w:r>
      </w:hyperlink>
      <w:r w:rsidRPr="002B598B">
        <w:rPr>
          <w:rFonts w:ascii="Arial" w:hAnsi="Arial" w:cs="Arial"/>
          <w:sz w:val="19"/>
          <w:szCs w:val="19"/>
          <w:lang w:val="de-DE" w:eastAsia="en-GB"/>
        </w:rPr>
        <w:t>, Büro für arbeits- und sozialpolitische Studien.</w:t>
      </w:r>
    </w:p>
    <w:p w:rsidR="00834AC3" w:rsidRPr="002B598B" w:rsidRDefault="00834AC3" w:rsidP="0028163D">
      <w:pPr>
        <w:pStyle w:val="Body"/>
        <w:rPr>
          <w:lang w:val="de-DE"/>
        </w:rPr>
      </w:pPr>
    </w:p>
    <w:sectPr w:rsidR="00834AC3" w:rsidRPr="002B598B" w:rsidSect="005E2AC3">
      <w:pgSz w:w="11899" w:h="16838"/>
      <w:pgMar w:top="1985" w:right="1701" w:bottom="1701" w:left="170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0FD" w:rsidRPr="00B1135E" w:rsidRDefault="001F30FD">
      <w:r w:rsidRPr="00B1135E">
        <w:separator/>
      </w:r>
    </w:p>
    <w:p w:rsidR="001F30FD" w:rsidRPr="00B1135E" w:rsidRDefault="001F30FD"/>
    <w:p w:rsidR="001F30FD" w:rsidRPr="00B1135E" w:rsidRDefault="001F30FD" w:rsidP="008F38E3"/>
  </w:endnote>
  <w:endnote w:type="continuationSeparator" w:id="0">
    <w:p w:rsidR="001F30FD" w:rsidRPr="00B1135E" w:rsidRDefault="001F30FD">
      <w:r w:rsidRPr="00B1135E">
        <w:continuationSeparator/>
      </w:r>
    </w:p>
    <w:p w:rsidR="001F30FD" w:rsidRPr="00B1135E" w:rsidRDefault="001F30FD"/>
    <w:p w:rsidR="001F30FD" w:rsidRPr="00B1135E" w:rsidRDefault="001F30FD" w:rsidP="008F3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Regular">
    <w:altName w:val="EC Square Sans Pro Medium"/>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It">
    <w:altName w:val="Myriad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455715"/>
      <w:docPartObj>
        <w:docPartGallery w:val="Page Numbers (Bottom of Page)"/>
        <w:docPartUnique/>
      </w:docPartObj>
    </w:sdtPr>
    <w:sdtEndPr>
      <w:rPr>
        <w:noProof/>
      </w:rPr>
    </w:sdtEndPr>
    <w:sdtContent>
      <w:p w:rsidR="001F30FD" w:rsidRDefault="001F30FD">
        <w:pPr>
          <w:pStyle w:val="Footer"/>
          <w:jc w:val="center"/>
        </w:pPr>
        <w:r>
          <w:fldChar w:fldCharType="begin"/>
        </w:r>
        <w:r>
          <w:instrText xml:space="preserve"> PAGE   \* MERGEFORMAT </w:instrText>
        </w:r>
        <w:r>
          <w:fldChar w:fldCharType="separate"/>
        </w:r>
        <w:r w:rsidR="00890795">
          <w:rPr>
            <w:noProof/>
          </w:rPr>
          <w:t>20</w:t>
        </w:r>
        <w:r>
          <w:rPr>
            <w:noProof/>
          </w:rPr>
          <w:fldChar w:fldCharType="end"/>
        </w:r>
      </w:p>
    </w:sdtContent>
  </w:sdt>
  <w:p w:rsidR="001F30FD" w:rsidRDefault="001F3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0FD" w:rsidRPr="00B1135E" w:rsidRDefault="001F30FD">
      <w:r w:rsidRPr="00B1135E">
        <w:separator/>
      </w:r>
    </w:p>
    <w:p w:rsidR="001F30FD" w:rsidRPr="00B1135E" w:rsidRDefault="001F30FD"/>
    <w:p w:rsidR="001F30FD" w:rsidRPr="00B1135E" w:rsidRDefault="001F30FD" w:rsidP="008F38E3"/>
  </w:footnote>
  <w:footnote w:type="continuationSeparator" w:id="0">
    <w:p w:rsidR="001F30FD" w:rsidRPr="00B1135E" w:rsidRDefault="001F30FD">
      <w:r w:rsidRPr="00B1135E">
        <w:continuationSeparator/>
      </w:r>
    </w:p>
    <w:p w:rsidR="001F30FD" w:rsidRPr="00B1135E" w:rsidRDefault="001F30FD"/>
    <w:p w:rsidR="001F30FD" w:rsidRPr="00B1135E" w:rsidRDefault="001F30FD" w:rsidP="008F38E3"/>
  </w:footnote>
  <w:footnote w:id="1">
    <w:p w:rsidR="001F30FD" w:rsidRPr="00B1135E" w:rsidRDefault="001F30FD">
      <w:pPr>
        <w:pStyle w:val="FootnoteText"/>
        <w:rPr>
          <w:rFonts w:ascii="Arial" w:hAnsi="Arial" w:cs="Arial"/>
        </w:rPr>
      </w:pPr>
      <w:r w:rsidRPr="00B1135E">
        <w:rPr>
          <w:rStyle w:val="FootnoteReference"/>
          <w:rFonts w:ascii="Arial" w:hAnsi="Arial" w:cs="Arial"/>
        </w:rPr>
        <w:footnoteRef/>
      </w:r>
      <w:r w:rsidRPr="00B1135E">
        <w:rPr>
          <w:rFonts w:ascii="Arial" w:hAnsi="Arial" w:cs="Arial"/>
        </w:rPr>
        <w:t xml:space="preserve"> </w:t>
      </w:r>
      <w:r w:rsidRPr="00B1135E">
        <w:rPr>
          <w:rFonts w:ascii="Arial" w:hAnsi="Arial" w:cs="Arial"/>
          <w:sz w:val="16"/>
          <w:szCs w:val="16"/>
        </w:rPr>
        <w:t>OJ L 204, of 26</w:t>
      </w:r>
      <w:r>
        <w:rPr>
          <w:rFonts w:ascii="Arial" w:hAnsi="Arial" w:cs="Arial"/>
          <w:sz w:val="16"/>
          <w:szCs w:val="16"/>
        </w:rPr>
        <w:t> </w:t>
      </w:r>
      <w:r w:rsidRPr="00B1135E">
        <w:rPr>
          <w:rFonts w:ascii="Arial" w:hAnsi="Arial" w:cs="Arial"/>
          <w:sz w:val="16"/>
          <w:szCs w:val="16"/>
        </w:rPr>
        <w:t>July 2006, p. 23.</w:t>
      </w:r>
    </w:p>
  </w:footnote>
  <w:footnote w:id="2">
    <w:p w:rsidR="001F30FD" w:rsidRPr="00B1135E" w:rsidRDefault="001F30FD" w:rsidP="003D63C6">
      <w:pPr>
        <w:pStyle w:val="FootnoteText"/>
        <w:spacing w:after="120"/>
        <w:jc w:val="both"/>
        <w:rPr>
          <w:rFonts w:ascii="Arial" w:hAnsi="Arial" w:cs="Arial"/>
          <w:sz w:val="14"/>
          <w:szCs w:val="14"/>
        </w:rPr>
      </w:pPr>
      <w:r w:rsidRPr="00B1135E">
        <w:rPr>
          <w:rStyle w:val="FootnoteReference"/>
          <w:rFonts w:ascii="Arial" w:hAnsi="Arial" w:cs="Arial"/>
          <w:sz w:val="14"/>
          <w:szCs w:val="14"/>
        </w:rPr>
        <w:footnoteRef/>
      </w:r>
      <w:r w:rsidRPr="00B1135E">
        <w:rPr>
          <w:rFonts w:ascii="Arial" w:hAnsi="Arial" w:cs="Arial"/>
          <w:sz w:val="14"/>
          <w:szCs w:val="14"/>
        </w:rPr>
        <w:t xml:space="preserve"> The unadjusted GPG covers all economic activities except agriculture, forestry and fishing (section A), public administration, defence and compulsory social security (section O), and activities of households as employers, undifferentiated goods- and services-producing activities of households for own use (section T).</w:t>
      </w:r>
    </w:p>
  </w:footnote>
  <w:footnote w:id="3">
    <w:p w:rsidR="001F30FD" w:rsidRPr="003D63C6" w:rsidRDefault="001F30FD" w:rsidP="003D63C6">
      <w:pPr>
        <w:pStyle w:val="FootnoteText"/>
        <w:spacing w:after="120"/>
        <w:rPr>
          <w:rFonts w:ascii="Arial" w:hAnsi="Arial" w:cs="Arial"/>
          <w:sz w:val="14"/>
          <w:szCs w:val="14"/>
        </w:rPr>
      </w:pPr>
      <w:r>
        <w:rPr>
          <w:rStyle w:val="FootnoteReference"/>
        </w:rPr>
        <w:footnoteRef/>
      </w:r>
      <w:r>
        <w:t xml:space="preserve"> </w:t>
      </w:r>
      <w:r w:rsidRPr="00050DB8">
        <w:rPr>
          <w:rFonts w:ascii="Arial" w:hAnsi="Arial" w:cs="Arial"/>
          <w:sz w:val="14"/>
          <w:szCs w:val="14"/>
        </w:rPr>
        <w:t>OJ L 393, 30.12.2006, p. 1–39</w:t>
      </w:r>
      <w:r>
        <w:rPr>
          <w:rFonts w:ascii="Arial" w:hAnsi="Arial" w:cs="Arial"/>
          <w:sz w:val="14"/>
          <w:szCs w:val="14"/>
        </w:rPr>
        <w:t>.</w:t>
      </w:r>
    </w:p>
  </w:footnote>
  <w:footnote w:id="4">
    <w:p w:rsidR="001F30FD" w:rsidRPr="001C34FC" w:rsidRDefault="001F30FD" w:rsidP="003D63C6">
      <w:pPr>
        <w:pStyle w:val="FootnoteText"/>
        <w:spacing w:after="120"/>
        <w:jc w:val="both"/>
        <w:rPr>
          <w:rFonts w:ascii="Arial" w:hAnsi="Arial" w:cs="Arial"/>
          <w:sz w:val="14"/>
          <w:szCs w:val="14"/>
        </w:rPr>
      </w:pPr>
      <w:r w:rsidRPr="001C34FC">
        <w:rPr>
          <w:rStyle w:val="FootnoteReference"/>
          <w:rFonts w:ascii="Arial" w:hAnsi="Arial" w:cs="Arial"/>
          <w:sz w:val="14"/>
          <w:szCs w:val="14"/>
        </w:rPr>
        <w:footnoteRef/>
      </w:r>
      <w:r w:rsidRPr="001C34FC">
        <w:rPr>
          <w:rFonts w:ascii="Arial" w:hAnsi="Arial" w:cs="Arial"/>
          <w:sz w:val="14"/>
          <w:szCs w:val="14"/>
        </w:rPr>
        <w:t xml:space="preserve"> The term ‘mean hourly earnings’ instead of ‘mean gross hourly earnings’ will be used further in the document.</w:t>
      </w:r>
    </w:p>
  </w:footnote>
  <w:footnote w:id="5">
    <w:p w:rsidR="001F30FD" w:rsidRPr="00B1135E" w:rsidRDefault="001F30FD" w:rsidP="003D63C6">
      <w:pPr>
        <w:pStyle w:val="FootnoteText"/>
        <w:spacing w:after="120"/>
        <w:jc w:val="both"/>
      </w:pPr>
      <w:r w:rsidRPr="00B1135E">
        <w:rPr>
          <w:rStyle w:val="FootnoteReference"/>
          <w:rFonts w:ascii="Arial" w:hAnsi="Arial" w:cs="Arial"/>
          <w:sz w:val="14"/>
          <w:szCs w:val="14"/>
        </w:rPr>
        <w:footnoteRef/>
      </w:r>
      <w:r w:rsidRPr="00B1135E">
        <w:rPr>
          <w:rFonts w:ascii="Arial" w:hAnsi="Arial" w:cs="Arial"/>
          <w:sz w:val="14"/>
          <w:szCs w:val="14"/>
        </w:rPr>
        <w:t xml:space="preserve"> The Working Group on Labour Market Statistics includes delegates from </w:t>
      </w:r>
      <w:r>
        <w:rPr>
          <w:rFonts w:ascii="Arial" w:hAnsi="Arial" w:cs="Arial"/>
          <w:sz w:val="14"/>
          <w:szCs w:val="14"/>
        </w:rPr>
        <w:t>n</w:t>
      </w:r>
      <w:r w:rsidRPr="00B1135E">
        <w:rPr>
          <w:rFonts w:ascii="Arial" w:hAnsi="Arial" w:cs="Arial"/>
          <w:sz w:val="14"/>
          <w:szCs w:val="14"/>
        </w:rPr>
        <w:t xml:space="preserve">ational </w:t>
      </w:r>
      <w:r>
        <w:rPr>
          <w:rFonts w:ascii="Arial" w:hAnsi="Arial" w:cs="Arial"/>
          <w:sz w:val="14"/>
          <w:szCs w:val="14"/>
        </w:rPr>
        <w:t>s</w:t>
      </w:r>
      <w:r w:rsidRPr="00B1135E">
        <w:rPr>
          <w:rFonts w:ascii="Arial" w:hAnsi="Arial" w:cs="Arial"/>
          <w:sz w:val="14"/>
          <w:szCs w:val="14"/>
        </w:rPr>
        <w:t xml:space="preserve">tatistical </w:t>
      </w:r>
      <w:r>
        <w:rPr>
          <w:rFonts w:ascii="Arial" w:hAnsi="Arial" w:cs="Arial"/>
          <w:sz w:val="14"/>
          <w:szCs w:val="14"/>
        </w:rPr>
        <w:t>i</w:t>
      </w:r>
      <w:r w:rsidRPr="00B1135E">
        <w:rPr>
          <w:rFonts w:ascii="Arial" w:hAnsi="Arial" w:cs="Arial"/>
          <w:sz w:val="14"/>
          <w:szCs w:val="14"/>
        </w:rPr>
        <w:t xml:space="preserve">nstitutes in EU Member States and EFTA countries. The European Directors of Social Statistics includes directors for social statistics in the </w:t>
      </w:r>
      <w:r>
        <w:rPr>
          <w:rFonts w:ascii="Arial" w:hAnsi="Arial" w:cs="Arial"/>
          <w:sz w:val="14"/>
          <w:szCs w:val="14"/>
        </w:rPr>
        <w:t>n</w:t>
      </w:r>
      <w:r w:rsidRPr="00B1135E">
        <w:rPr>
          <w:rFonts w:ascii="Arial" w:hAnsi="Arial" w:cs="Arial"/>
          <w:sz w:val="14"/>
          <w:szCs w:val="14"/>
        </w:rPr>
        <w:t xml:space="preserve">ational </w:t>
      </w:r>
      <w:r>
        <w:rPr>
          <w:rFonts w:ascii="Arial" w:hAnsi="Arial" w:cs="Arial"/>
          <w:sz w:val="14"/>
          <w:szCs w:val="14"/>
        </w:rPr>
        <w:t>s</w:t>
      </w:r>
      <w:r w:rsidRPr="00B1135E">
        <w:rPr>
          <w:rFonts w:ascii="Arial" w:hAnsi="Arial" w:cs="Arial"/>
          <w:sz w:val="14"/>
          <w:szCs w:val="14"/>
        </w:rPr>
        <w:t xml:space="preserve">tatistical </w:t>
      </w:r>
      <w:r>
        <w:rPr>
          <w:rFonts w:ascii="Arial" w:hAnsi="Arial" w:cs="Arial"/>
          <w:sz w:val="14"/>
          <w:szCs w:val="14"/>
        </w:rPr>
        <w:t>i</w:t>
      </w:r>
      <w:r w:rsidRPr="00B1135E">
        <w:rPr>
          <w:rFonts w:ascii="Arial" w:hAnsi="Arial" w:cs="Arial"/>
          <w:sz w:val="14"/>
          <w:szCs w:val="14"/>
        </w:rPr>
        <w:t>nstitutes in EU Member States and EFTA countries.</w:t>
      </w:r>
    </w:p>
  </w:footnote>
  <w:footnote w:id="6">
    <w:p w:rsidR="001F30FD" w:rsidRPr="005D069A" w:rsidRDefault="001F30FD" w:rsidP="003D63C6">
      <w:pPr>
        <w:pStyle w:val="FootnoteText"/>
        <w:spacing w:after="120"/>
        <w:rPr>
          <w:rFonts w:ascii="Arial" w:hAnsi="Arial" w:cs="Arial"/>
          <w:sz w:val="14"/>
          <w:szCs w:val="14"/>
        </w:rPr>
      </w:pPr>
      <w:r w:rsidRPr="005D069A">
        <w:rPr>
          <w:rStyle w:val="FootnoteReference"/>
          <w:rFonts w:ascii="Arial" w:hAnsi="Arial" w:cs="Arial"/>
          <w:sz w:val="14"/>
          <w:szCs w:val="14"/>
        </w:rPr>
        <w:footnoteRef/>
      </w:r>
      <w:r w:rsidRPr="005D069A">
        <w:rPr>
          <w:rFonts w:ascii="Arial" w:hAnsi="Arial" w:cs="Arial"/>
          <w:sz w:val="14"/>
          <w:szCs w:val="14"/>
        </w:rPr>
        <w:t xml:space="preserve"> Total working experience is the total number of years the employee has been working as a professional in all enterprises right from the first job till the current one. In SES only information on job experience in the current enterprise is collected.</w:t>
      </w:r>
    </w:p>
  </w:footnote>
  <w:footnote w:id="7">
    <w:p w:rsidR="001F30FD" w:rsidRPr="00B1135E" w:rsidRDefault="001F30FD" w:rsidP="001A2FF2">
      <w:pPr>
        <w:pStyle w:val="Body"/>
        <w:rPr>
          <w:sz w:val="14"/>
          <w:szCs w:val="14"/>
        </w:rPr>
      </w:pPr>
      <w:r w:rsidRPr="00B1135E">
        <w:rPr>
          <w:rStyle w:val="FootnoteReference"/>
          <w:sz w:val="14"/>
          <w:szCs w:val="14"/>
        </w:rPr>
        <w:footnoteRef/>
      </w:r>
      <w:r w:rsidRPr="00B1135E">
        <w:rPr>
          <w:sz w:val="14"/>
          <w:szCs w:val="14"/>
        </w:rPr>
        <w:t xml:space="preserve"> See</w:t>
      </w:r>
      <w:r>
        <w:rPr>
          <w:sz w:val="14"/>
          <w:szCs w:val="14"/>
        </w:rPr>
        <w:t xml:space="preserve"> footnotes 2 and 3</w:t>
      </w:r>
      <w:r w:rsidRPr="00B1135E">
        <w:rPr>
          <w:sz w:val="14"/>
          <w:szCs w:val="14"/>
        </w:rPr>
        <w:t>.</w:t>
      </w:r>
    </w:p>
  </w:footnote>
  <w:footnote w:id="8">
    <w:p w:rsidR="001F30FD" w:rsidRPr="00B1135E" w:rsidRDefault="001F30FD" w:rsidP="00CC6DDE">
      <w:pPr>
        <w:pStyle w:val="footnote"/>
      </w:pPr>
      <w:r w:rsidRPr="00B1135E">
        <w:rPr>
          <w:rStyle w:val="FootnoteReference"/>
        </w:rPr>
        <w:footnoteRef/>
      </w:r>
      <w:r w:rsidRPr="00B1135E">
        <w:t xml:space="preserve"> The following other options are possible:</w:t>
      </w:r>
    </w:p>
    <w:p w:rsidR="001F30FD" w:rsidRPr="00B1135E" w:rsidRDefault="001F30FD" w:rsidP="00CC6DDE">
      <w:pPr>
        <w:pStyle w:val="footnote"/>
      </w:pPr>
      <w:r w:rsidRPr="00B1135E">
        <w:t>- the female earnings structure constituting a non-discriminatory benchmark (Oaxaca 1973)</w:t>
      </w:r>
      <w:r>
        <w:t>;</w:t>
      </w:r>
    </w:p>
    <w:p w:rsidR="001F30FD" w:rsidRPr="00B1135E" w:rsidRDefault="001F30FD" w:rsidP="00CC6DDE">
      <w:pPr>
        <w:pStyle w:val="footnote"/>
      </w:pPr>
      <w:r w:rsidRPr="00B1135E">
        <w:t>- both the female and male earnings structures constituting non-discriminatory benchmarks with some weighted average applied (Cotton 1988 and Reimers 1983)</w:t>
      </w:r>
      <w:r>
        <w:t>;</w:t>
      </w:r>
    </w:p>
    <w:p w:rsidR="001F30FD" w:rsidRPr="00B1135E" w:rsidRDefault="001F30FD" w:rsidP="00CC6DDE">
      <w:pPr>
        <w:pStyle w:val="footnote"/>
      </w:pPr>
      <w:r w:rsidRPr="00B1135E">
        <w:t>- the whole population earnings structure constituting a non-discriminatory benchmark (Neumark 1988).</w:t>
      </w:r>
    </w:p>
  </w:footnote>
  <w:footnote w:id="9">
    <w:p w:rsidR="001F30FD" w:rsidRPr="00B1135E" w:rsidRDefault="001F30FD" w:rsidP="00F02FC1">
      <w:pPr>
        <w:pStyle w:val="FootnoteText"/>
        <w:jc w:val="both"/>
        <w:rPr>
          <w:rFonts w:ascii="Arial" w:hAnsi="Arial" w:cs="Arial"/>
          <w:sz w:val="14"/>
          <w:szCs w:val="14"/>
        </w:rPr>
      </w:pPr>
      <w:r w:rsidRPr="00B1135E">
        <w:rPr>
          <w:rStyle w:val="FootnoteReference"/>
          <w:rFonts w:ascii="Arial" w:hAnsi="Arial" w:cs="Arial"/>
          <w:sz w:val="14"/>
          <w:szCs w:val="14"/>
        </w:rPr>
        <w:footnoteRef/>
      </w:r>
      <w:r w:rsidRPr="00B1135E">
        <w:rPr>
          <w:rFonts w:ascii="Arial" w:hAnsi="Arial" w:cs="Arial"/>
          <w:sz w:val="14"/>
          <w:szCs w:val="14"/>
        </w:rPr>
        <w:t xml:space="preserve"> In the case of the categorical variables (e.g. economic activity), only the overall effect of the categorical variable will be interpreted and not the effect of each category. The coefficient estimates for the categories of a categor</w:t>
      </w:r>
      <w:r w:rsidR="001C3FCE">
        <w:rPr>
          <w:rFonts w:ascii="Arial" w:hAnsi="Arial" w:cs="Arial"/>
          <w:sz w:val="14"/>
          <w:szCs w:val="14"/>
        </w:rPr>
        <w:t>ical variable are sensitive to the</w:t>
      </w:r>
      <w:r w:rsidRPr="00B1135E">
        <w:rPr>
          <w:rFonts w:ascii="Arial" w:hAnsi="Arial" w:cs="Arial"/>
          <w:sz w:val="14"/>
          <w:szCs w:val="14"/>
        </w:rPr>
        <w:t xml:space="preserve"> choice of the reference category. In the explained part E, nevertheless, the overall effect of the categorical variable (e.g. the overall effect of economic activity) in the decomposition does not depend on the omitted category.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0FD" w:rsidRPr="00B1135E" w:rsidRDefault="001F30FD"/>
  <w:p w:rsidR="001F30FD" w:rsidRPr="00B1135E" w:rsidRDefault="001F30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2AF"/>
    <w:multiLevelType w:val="hybridMultilevel"/>
    <w:tmpl w:val="44E67BFE"/>
    <w:lvl w:ilvl="0" w:tplc="04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C77BD"/>
    <w:multiLevelType w:val="hybridMultilevel"/>
    <w:tmpl w:val="E0F25E9A"/>
    <w:lvl w:ilvl="0" w:tplc="04090001">
      <w:start w:val="1"/>
      <w:numFmt w:val="bullet"/>
      <w:lvlText w:val=""/>
      <w:lvlJc w:val="left"/>
      <w:pPr>
        <w:tabs>
          <w:tab w:val="num" w:pos="960"/>
        </w:tabs>
        <w:ind w:left="960" w:hanging="360"/>
      </w:pPr>
      <w:rPr>
        <w:rFonts w:ascii="Symbol" w:hAnsi="Symbol" w:hint="default"/>
      </w:rPr>
    </w:lvl>
    <w:lvl w:ilvl="1" w:tplc="E6C6001E">
      <w:start w:val="1"/>
      <w:numFmt w:val="decimal"/>
      <w:lvlText w:val="%2."/>
      <w:lvlJc w:val="left"/>
      <w:pPr>
        <w:tabs>
          <w:tab w:val="num" w:pos="1920"/>
        </w:tabs>
        <w:ind w:left="1920" w:hanging="600"/>
      </w:pPr>
      <w:rPr>
        <w:rFonts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ambria"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ambria"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
    <w:nsid w:val="07FE3DE6"/>
    <w:multiLevelType w:val="hybridMultilevel"/>
    <w:tmpl w:val="B2528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3710A"/>
    <w:multiLevelType w:val="hybridMultilevel"/>
    <w:tmpl w:val="967219B6"/>
    <w:lvl w:ilvl="0" w:tplc="A0A43A26">
      <w:start w:val="1"/>
      <w:numFmt w:val="decimal"/>
      <w:pStyle w:val="Heading3"/>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434AEA"/>
    <w:multiLevelType w:val="hybridMultilevel"/>
    <w:tmpl w:val="614E59CC"/>
    <w:lvl w:ilvl="0" w:tplc="D2907E6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3C1B25"/>
    <w:multiLevelType w:val="hybridMultilevel"/>
    <w:tmpl w:val="16E8FF6A"/>
    <w:lvl w:ilvl="0" w:tplc="D2907E6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0715E6"/>
    <w:multiLevelType w:val="hybridMultilevel"/>
    <w:tmpl w:val="A4BEB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537CC3"/>
    <w:multiLevelType w:val="hybridMultilevel"/>
    <w:tmpl w:val="3DCA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D254BF"/>
    <w:multiLevelType w:val="multilevel"/>
    <w:tmpl w:val="EEF6E9AA"/>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0A3A98"/>
    <w:multiLevelType w:val="hybridMultilevel"/>
    <w:tmpl w:val="5122DCD2"/>
    <w:lvl w:ilvl="0" w:tplc="D2907E6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FA52A9"/>
    <w:multiLevelType w:val="hybridMultilevel"/>
    <w:tmpl w:val="09AE956E"/>
    <w:lvl w:ilvl="0" w:tplc="2F04F89C">
      <w:start w:val="1"/>
      <w:numFmt w:val="bullet"/>
      <w:pStyle w:val="Bodybulletlist"/>
      <w:lvlText w:val=""/>
      <w:lvlJc w:val="left"/>
      <w:pPr>
        <w:ind w:left="720" w:hanging="360"/>
      </w:pPr>
      <w:rPr>
        <w:rFonts w:ascii="Symbol" w:hAnsi="Symbol" w:hint="default"/>
        <w:color w:val="E6A5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346A72"/>
    <w:multiLevelType w:val="hybridMultilevel"/>
    <w:tmpl w:val="C0724940"/>
    <w:lvl w:ilvl="0" w:tplc="97A2ADE4">
      <w:start w:val="1"/>
      <w:numFmt w:val="bullet"/>
      <w:lvlText w:val="-"/>
      <w:lvlJc w:val="left"/>
      <w:pPr>
        <w:tabs>
          <w:tab w:val="num" w:pos="720"/>
        </w:tabs>
        <w:ind w:left="720" w:hanging="363"/>
      </w:pPr>
      <w:rPr>
        <w:rFonts w:ascii="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06842BD"/>
    <w:multiLevelType w:val="hybridMultilevel"/>
    <w:tmpl w:val="1D00DA34"/>
    <w:lvl w:ilvl="0" w:tplc="97A2ADE4">
      <w:start w:val="1"/>
      <w:numFmt w:val="bullet"/>
      <w:lvlText w:val="-"/>
      <w:lvlJc w:val="left"/>
      <w:pPr>
        <w:tabs>
          <w:tab w:val="num" w:pos="720"/>
        </w:tabs>
        <w:ind w:left="720" w:hanging="363"/>
      </w:pPr>
      <w:rPr>
        <w:rFonts w:ascii="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2396238"/>
    <w:multiLevelType w:val="hybridMultilevel"/>
    <w:tmpl w:val="489E6758"/>
    <w:lvl w:ilvl="0" w:tplc="1988F3FC">
      <w:start w:val="1"/>
      <w:numFmt w:val="decimal"/>
      <w:pStyle w:val="Heading4"/>
      <w:lvlText w:val="1.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B75CF5"/>
    <w:multiLevelType w:val="hybridMultilevel"/>
    <w:tmpl w:val="EF7E7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1A47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C30127"/>
    <w:multiLevelType w:val="hybridMultilevel"/>
    <w:tmpl w:val="B7A6CA82"/>
    <w:lvl w:ilvl="0" w:tplc="D2907E6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107123"/>
    <w:multiLevelType w:val="hybridMultilevel"/>
    <w:tmpl w:val="D28CD36C"/>
    <w:lvl w:ilvl="0" w:tplc="32544900">
      <w:start w:val="1"/>
      <w:numFmt w:val="bullet"/>
      <w:lvlText w:val=""/>
      <w:lvlJc w:val="left"/>
      <w:pPr>
        <w:ind w:left="720" w:hanging="360"/>
      </w:pPr>
      <w:rPr>
        <w:rFonts w:ascii="Symbol" w:hAnsi="Symbol" w:hint="default"/>
        <w:color w:val="AF4B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E36024"/>
    <w:multiLevelType w:val="hybridMultilevel"/>
    <w:tmpl w:val="42807A78"/>
    <w:lvl w:ilvl="0" w:tplc="97A2ADE4">
      <w:start w:val="1"/>
      <w:numFmt w:val="bullet"/>
      <w:lvlText w:val="-"/>
      <w:lvlJc w:val="left"/>
      <w:pPr>
        <w:tabs>
          <w:tab w:val="num" w:pos="720"/>
        </w:tabs>
        <w:ind w:left="720" w:hanging="363"/>
      </w:pPr>
      <w:rPr>
        <w:rFonts w:ascii="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C07CA8"/>
    <w:multiLevelType w:val="multilevel"/>
    <w:tmpl w:val="CF8E397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ambri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mbri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mbria"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4716772"/>
    <w:multiLevelType w:val="hybridMultilevel"/>
    <w:tmpl w:val="8FF413F0"/>
    <w:lvl w:ilvl="0" w:tplc="97A2ADE4">
      <w:start w:val="1"/>
      <w:numFmt w:val="bullet"/>
      <w:lvlText w:val="-"/>
      <w:lvlJc w:val="left"/>
      <w:pPr>
        <w:tabs>
          <w:tab w:val="num" w:pos="720"/>
        </w:tabs>
        <w:ind w:left="720" w:hanging="363"/>
      </w:pPr>
      <w:rPr>
        <w:rFonts w:ascii="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AB6F9D"/>
    <w:multiLevelType w:val="hybridMultilevel"/>
    <w:tmpl w:val="57F48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467E62"/>
    <w:multiLevelType w:val="hybridMultilevel"/>
    <w:tmpl w:val="F2E249E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nsid w:val="4D810921"/>
    <w:multiLevelType w:val="hybridMultilevel"/>
    <w:tmpl w:val="AA5AA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1A4A2D"/>
    <w:multiLevelType w:val="hybridMultilevel"/>
    <w:tmpl w:val="EFDECF12"/>
    <w:lvl w:ilvl="0" w:tplc="7D082064">
      <w:start w:val="1"/>
      <w:numFmt w:val="decimal"/>
      <w:pStyle w:val="Body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EE3851"/>
    <w:multiLevelType w:val="hybridMultilevel"/>
    <w:tmpl w:val="CF023864"/>
    <w:lvl w:ilvl="0" w:tplc="291EBBEE">
      <w:start w:val="1"/>
      <w:numFmt w:val="decimal"/>
      <w:lvlText w:val="%1."/>
      <w:lvlJc w:val="left"/>
      <w:pPr>
        <w:tabs>
          <w:tab w:val="num" w:pos="600"/>
        </w:tabs>
        <w:ind w:left="60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411AC0"/>
    <w:multiLevelType w:val="hybridMultilevel"/>
    <w:tmpl w:val="C5F019DC"/>
    <w:lvl w:ilvl="0" w:tplc="FFFFFFFF">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F44111"/>
    <w:multiLevelType w:val="hybridMultilevel"/>
    <w:tmpl w:val="93163944"/>
    <w:lvl w:ilvl="0" w:tplc="49EA0C50">
      <w:start w:val="1"/>
      <w:numFmt w:val="decimal"/>
      <w:pStyle w:val="Heading2"/>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5550FD"/>
    <w:multiLevelType w:val="hybridMultilevel"/>
    <w:tmpl w:val="8E365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D60D36"/>
    <w:multiLevelType w:val="multilevel"/>
    <w:tmpl w:val="EEF6E9AA"/>
    <w:numStyleLink w:val="Style1"/>
  </w:abstractNum>
  <w:abstractNum w:abstractNumId="30">
    <w:nsid w:val="690A6A19"/>
    <w:multiLevelType w:val="hybridMultilevel"/>
    <w:tmpl w:val="01D6A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CB3167"/>
    <w:multiLevelType w:val="hybridMultilevel"/>
    <w:tmpl w:val="CF8E397E"/>
    <w:lvl w:ilvl="0" w:tplc="A238DEC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896A53"/>
    <w:multiLevelType w:val="hybridMultilevel"/>
    <w:tmpl w:val="827A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7971B4"/>
    <w:multiLevelType w:val="hybridMultilevel"/>
    <w:tmpl w:val="96CC827C"/>
    <w:lvl w:ilvl="0" w:tplc="5DB09D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74236B"/>
    <w:multiLevelType w:val="hybridMultilevel"/>
    <w:tmpl w:val="FF8A1178"/>
    <w:lvl w:ilvl="0" w:tplc="97A2ADE4">
      <w:start w:val="1"/>
      <w:numFmt w:val="bullet"/>
      <w:lvlText w:val="-"/>
      <w:lvlJc w:val="left"/>
      <w:pPr>
        <w:tabs>
          <w:tab w:val="num" w:pos="720"/>
        </w:tabs>
        <w:ind w:left="720" w:hanging="363"/>
      </w:pPr>
      <w:rPr>
        <w:rFonts w:ascii="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87C07AF"/>
    <w:multiLevelType w:val="hybridMultilevel"/>
    <w:tmpl w:val="AE8845DA"/>
    <w:lvl w:ilvl="0" w:tplc="43C8C400">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6"/>
  </w:num>
  <w:num w:numId="3">
    <w:abstractNumId w:val="9"/>
  </w:num>
  <w:num w:numId="4">
    <w:abstractNumId w:val="5"/>
  </w:num>
  <w:num w:numId="5">
    <w:abstractNumId w:val="4"/>
  </w:num>
  <w:num w:numId="6">
    <w:abstractNumId w:val="31"/>
  </w:num>
  <w:num w:numId="7">
    <w:abstractNumId w:val="19"/>
  </w:num>
  <w:num w:numId="8">
    <w:abstractNumId w:val="0"/>
  </w:num>
  <w:num w:numId="9">
    <w:abstractNumId w:val="12"/>
  </w:num>
  <w:num w:numId="10">
    <w:abstractNumId w:val="20"/>
  </w:num>
  <w:num w:numId="11">
    <w:abstractNumId w:val="11"/>
  </w:num>
  <w:num w:numId="12">
    <w:abstractNumId w:val="18"/>
  </w:num>
  <w:num w:numId="13">
    <w:abstractNumId w:val="34"/>
  </w:num>
  <w:num w:numId="14">
    <w:abstractNumId w:val="28"/>
  </w:num>
  <w:num w:numId="15">
    <w:abstractNumId w:val="1"/>
  </w:num>
  <w:num w:numId="16">
    <w:abstractNumId w:val="25"/>
  </w:num>
  <w:num w:numId="17">
    <w:abstractNumId w:val="23"/>
  </w:num>
  <w:num w:numId="18">
    <w:abstractNumId w:val="6"/>
  </w:num>
  <w:num w:numId="19">
    <w:abstractNumId w:val="21"/>
  </w:num>
  <w:num w:numId="20">
    <w:abstractNumId w:val="14"/>
  </w:num>
  <w:num w:numId="21">
    <w:abstractNumId w:val="32"/>
  </w:num>
  <w:num w:numId="22">
    <w:abstractNumId w:val="35"/>
  </w:num>
  <w:num w:numId="23">
    <w:abstractNumId w:val="27"/>
  </w:num>
  <w:num w:numId="24">
    <w:abstractNumId w:val="3"/>
  </w:num>
  <w:num w:numId="25">
    <w:abstractNumId w:val="13"/>
  </w:num>
  <w:num w:numId="26">
    <w:abstractNumId w:val="15"/>
  </w:num>
  <w:num w:numId="27">
    <w:abstractNumId w:val="29"/>
  </w:num>
  <w:num w:numId="28">
    <w:abstractNumId w:val="8"/>
  </w:num>
  <w:num w:numId="29">
    <w:abstractNumId w:val="17"/>
  </w:num>
  <w:num w:numId="30">
    <w:abstractNumId w:val="24"/>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7"/>
  </w:num>
  <w:num w:numId="34">
    <w:abstractNumId w:val="30"/>
  </w:num>
  <w:num w:numId="35">
    <w:abstractNumId w:val="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75777" style="mso-position-horizontal-relative:page;mso-position-vertical-relative:page" fill="f" fillcolor="white" stroke="f">
      <v:fill color="white" on="f"/>
      <v:stroke on="f"/>
      <o:colormru v:ext="edit" colors="#5f69a0,#79408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61F9A"/>
    <w:rsid w:val="000021F9"/>
    <w:rsid w:val="00007176"/>
    <w:rsid w:val="0001535E"/>
    <w:rsid w:val="0002111E"/>
    <w:rsid w:val="000232AE"/>
    <w:rsid w:val="00023667"/>
    <w:rsid w:val="00023FEE"/>
    <w:rsid w:val="00035262"/>
    <w:rsid w:val="000352C9"/>
    <w:rsid w:val="00035360"/>
    <w:rsid w:val="00035706"/>
    <w:rsid w:val="0003765E"/>
    <w:rsid w:val="00040280"/>
    <w:rsid w:val="000429EA"/>
    <w:rsid w:val="00044E7D"/>
    <w:rsid w:val="00052D7B"/>
    <w:rsid w:val="000530E9"/>
    <w:rsid w:val="00053591"/>
    <w:rsid w:val="00056DBB"/>
    <w:rsid w:val="00060E8B"/>
    <w:rsid w:val="00061A6D"/>
    <w:rsid w:val="00062260"/>
    <w:rsid w:val="00062FD3"/>
    <w:rsid w:val="00064BD1"/>
    <w:rsid w:val="0006544A"/>
    <w:rsid w:val="000664BA"/>
    <w:rsid w:val="00070733"/>
    <w:rsid w:val="00076886"/>
    <w:rsid w:val="00077410"/>
    <w:rsid w:val="00086A32"/>
    <w:rsid w:val="00086FD3"/>
    <w:rsid w:val="000902C9"/>
    <w:rsid w:val="0009037C"/>
    <w:rsid w:val="00094951"/>
    <w:rsid w:val="000B0A2E"/>
    <w:rsid w:val="000B56C2"/>
    <w:rsid w:val="000C411E"/>
    <w:rsid w:val="000C4962"/>
    <w:rsid w:val="000C49C9"/>
    <w:rsid w:val="000D177E"/>
    <w:rsid w:val="000D2BC8"/>
    <w:rsid w:val="000D5B53"/>
    <w:rsid w:val="000D60B3"/>
    <w:rsid w:val="000D6621"/>
    <w:rsid w:val="000D73F2"/>
    <w:rsid w:val="000E14E2"/>
    <w:rsid w:val="000E18CE"/>
    <w:rsid w:val="000F17B0"/>
    <w:rsid w:val="000F2AA0"/>
    <w:rsid w:val="000F4500"/>
    <w:rsid w:val="000F4703"/>
    <w:rsid w:val="000F5259"/>
    <w:rsid w:val="000F74FB"/>
    <w:rsid w:val="00100768"/>
    <w:rsid w:val="00100D07"/>
    <w:rsid w:val="00101EDB"/>
    <w:rsid w:val="001049AF"/>
    <w:rsid w:val="00111495"/>
    <w:rsid w:val="0011211C"/>
    <w:rsid w:val="00113BEF"/>
    <w:rsid w:val="001175A5"/>
    <w:rsid w:val="00117AE6"/>
    <w:rsid w:val="00117D09"/>
    <w:rsid w:val="001206EA"/>
    <w:rsid w:val="001217FF"/>
    <w:rsid w:val="001225A0"/>
    <w:rsid w:val="00125790"/>
    <w:rsid w:val="001325F2"/>
    <w:rsid w:val="00135A2F"/>
    <w:rsid w:val="001409FA"/>
    <w:rsid w:val="00142D18"/>
    <w:rsid w:val="001475CA"/>
    <w:rsid w:val="001512D8"/>
    <w:rsid w:val="00151D60"/>
    <w:rsid w:val="00152004"/>
    <w:rsid w:val="00157A27"/>
    <w:rsid w:val="00160FFE"/>
    <w:rsid w:val="00162C5E"/>
    <w:rsid w:val="0016386A"/>
    <w:rsid w:val="001665F4"/>
    <w:rsid w:val="00173D6E"/>
    <w:rsid w:val="00177B11"/>
    <w:rsid w:val="00183849"/>
    <w:rsid w:val="001860B0"/>
    <w:rsid w:val="00186A54"/>
    <w:rsid w:val="00190FA5"/>
    <w:rsid w:val="00195E6E"/>
    <w:rsid w:val="001966C9"/>
    <w:rsid w:val="0019758D"/>
    <w:rsid w:val="001A19E2"/>
    <w:rsid w:val="001A2FF2"/>
    <w:rsid w:val="001A6D24"/>
    <w:rsid w:val="001A717D"/>
    <w:rsid w:val="001B67BF"/>
    <w:rsid w:val="001C0656"/>
    <w:rsid w:val="001C3FCE"/>
    <w:rsid w:val="001C5B3C"/>
    <w:rsid w:val="001C6DF9"/>
    <w:rsid w:val="001C7573"/>
    <w:rsid w:val="001C7C48"/>
    <w:rsid w:val="001E3EFE"/>
    <w:rsid w:val="001E786A"/>
    <w:rsid w:val="001F0BC8"/>
    <w:rsid w:val="001F30FD"/>
    <w:rsid w:val="00205B1F"/>
    <w:rsid w:val="002115FC"/>
    <w:rsid w:val="002120FC"/>
    <w:rsid w:val="00214BE7"/>
    <w:rsid w:val="0021639B"/>
    <w:rsid w:val="00216AAE"/>
    <w:rsid w:val="00224B1D"/>
    <w:rsid w:val="002277D6"/>
    <w:rsid w:val="00231D03"/>
    <w:rsid w:val="00233643"/>
    <w:rsid w:val="00235A3E"/>
    <w:rsid w:val="00236458"/>
    <w:rsid w:val="00243F14"/>
    <w:rsid w:val="0025027C"/>
    <w:rsid w:val="002520AF"/>
    <w:rsid w:val="00252834"/>
    <w:rsid w:val="0025411E"/>
    <w:rsid w:val="00254133"/>
    <w:rsid w:val="002714EF"/>
    <w:rsid w:val="00273DCA"/>
    <w:rsid w:val="0027572F"/>
    <w:rsid w:val="002758A7"/>
    <w:rsid w:val="0028163D"/>
    <w:rsid w:val="00281DCD"/>
    <w:rsid w:val="00283034"/>
    <w:rsid w:val="00283AC1"/>
    <w:rsid w:val="00296C9F"/>
    <w:rsid w:val="002A4D83"/>
    <w:rsid w:val="002B0CF5"/>
    <w:rsid w:val="002B3B1C"/>
    <w:rsid w:val="002B3E4A"/>
    <w:rsid w:val="002B598B"/>
    <w:rsid w:val="002C0BD5"/>
    <w:rsid w:val="002C221F"/>
    <w:rsid w:val="002C26F8"/>
    <w:rsid w:val="002C3D7D"/>
    <w:rsid w:val="002C76F3"/>
    <w:rsid w:val="002D2E4B"/>
    <w:rsid w:val="002D7580"/>
    <w:rsid w:val="002F3B79"/>
    <w:rsid w:val="002F498A"/>
    <w:rsid w:val="002F5067"/>
    <w:rsid w:val="002F5DD3"/>
    <w:rsid w:val="002F6CAA"/>
    <w:rsid w:val="0030012E"/>
    <w:rsid w:val="00302435"/>
    <w:rsid w:val="00305E16"/>
    <w:rsid w:val="003124F9"/>
    <w:rsid w:val="00312939"/>
    <w:rsid w:val="00313B61"/>
    <w:rsid w:val="00317695"/>
    <w:rsid w:val="003233CC"/>
    <w:rsid w:val="00323894"/>
    <w:rsid w:val="00325D80"/>
    <w:rsid w:val="003323C5"/>
    <w:rsid w:val="003335E4"/>
    <w:rsid w:val="0033382D"/>
    <w:rsid w:val="00333AAC"/>
    <w:rsid w:val="00337E2D"/>
    <w:rsid w:val="00337F7A"/>
    <w:rsid w:val="0034137D"/>
    <w:rsid w:val="00342860"/>
    <w:rsid w:val="00347877"/>
    <w:rsid w:val="00347E26"/>
    <w:rsid w:val="0035078D"/>
    <w:rsid w:val="00353F4F"/>
    <w:rsid w:val="00355548"/>
    <w:rsid w:val="00355FA7"/>
    <w:rsid w:val="00361244"/>
    <w:rsid w:val="00361353"/>
    <w:rsid w:val="00367607"/>
    <w:rsid w:val="003677AC"/>
    <w:rsid w:val="003732BF"/>
    <w:rsid w:val="003820D2"/>
    <w:rsid w:val="00386606"/>
    <w:rsid w:val="00390F74"/>
    <w:rsid w:val="003A0744"/>
    <w:rsid w:val="003A20F5"/>
    <w:rsid w:val="003A3E94"/>
    <w:rsid w:val="003A46EA"/>
    <w:rsid w:val="003B0EEF"/>
    <w:rsid w:val="003B2949"/>
    <w:rsid w:val="003B3656"/>
    <w:rsid w:val="003B3848"/>
    <w:rsid w:val="003B49DA"/>
    <w:rsid w:val="003C33A9"/>
    <w:rsid w:val="003C490F"/>
    <w:rsid w:val="003C664E"/>
    <w:rsid w:val="003D63C6"/>
    <w:rsid w:val="003E1841"/>
    <w:rsid w:val="003E4419"/>
    <w:rsid w:val="003F31BA"/>
    <w:rsid w:val="003F4C65"/>
    <w:rsid w:val="003F7D5E"/>
    <w:rsid w:val="00402496"/>
    <w:rsid w:val="00402CC0"/>
    <w:rsid w:val="004033E1"/>
    <w:rsid w:val="00403FEF"/>
    <w:rsid w:val="00406A70"/>
    <w:rsid w:val="00411CD7"/>
    <w:rsid w:val="00415E8A"/>
    <w:rsid w:val="00417C72"/>
    <w:rsid w:val="00430B22"/>
    <w:rsid w:val="00431B22"/>
    <w:rsid w:val="004371B9"/>
    <w:rsid w:val="004408DA"/>
    <w:rsid w:val="0044102E"/>
    <w:rsid w:val="004433DB"/>
    <w:rsid w:val="00451475"/>
    <w:rsid w:val="00452585"/>
    <w:rsid w:val="00454358"/>
    <w:rsid w:val="004553D7"/>
    <w:rsid w:val="00457DA7"/>
    <w:rsid w:val="004701A4"/>
    <w:rsid w:val="00474DA4"/>
    <w:rsid w:val="0048212D"/>
    <w:rsid w:val="00487834"/>
    <w:rsid w:val="0049259A"/>
    <w:rsid w:val="00497B4A"/>
    <w:rsid w:val="004A15C7"/>
    <w:rsid w:val="004A21FD"/>
    <w:rsid w:val="004A2E99"/>
    <w:rsid w:val="004A59DF"/>
    <w:rsid w:val="004A5AA5"/>
    <w:rsid w:val="004A69D6"/>
    <w:rsid w:val="004A6A42"/>
    <w:rsid w:val="004B0569"/>
    <w:rsid w:val="004B1B62"/>
    <w:rsid w:val="004B223C"/>
    <w:rsid w:val="004B3E3C"/>
    <w:rsid w:val="004B4B5E"/>
    <w:rsid w:val="004B54F2"/>
    <w:rsid w:val="004C0C55"/>
    <w:rsid w:val="004C1F07"/>
    <w:rsid w:val="004D419E"/>
    <w:rsid w:val="004D7C2D"/>
    <w:rsid w:val="004E17DE"/>
    <w:rsid w:val="004E1C57"/>
    <w:rsid w:val="004E482E"/>
    <w:rsid w:val="004E49C8"/>
    <w:rsid w:val="004E6973"/>
    <w:rsid w:val="004E6F46"/>
    <w:rsid w:val="004E706D"/>
    <w:rsid w:val="004F35CD"/>
    <w:rsid w:val="004F3F60"/>
    <w:rsid w:val="004F40ED"/>
    <w:rsid w:val="004F51E8"/>
    <w:rsid w:val="004F525F"/>
    <w:rsid w:val="004F5D2F"/>
    <w:rsid w:val="004F6403"/>
    <w:rsid w:val="0050026E"/>
    <w:rsid w:val="00501C03"/>
    <w:rsid w:val="0050264C"/>
    <w:rsid w:val="00503971"/>
    <w:rsid w:val="005063F9"/>
    <w:rsid w:val="00506F3E"/>
    <w:rsid w:val="005102DC"/>
    <w:rsid w:val="00512A02"/>
    <w:rsid w:val="00512B49"/>
    <w:rsid w:val="00515C04"/>
    <w:rsid w:val="00516A07"/>
    <w:rsid w:val="00521D8A"/>
    <w:rsid w:val="005252AE"/>
    <w:rsid w:val="00525B8C"/>
    <w:rsid w:val="00534F8E"/>
    <w:rsid w:val="00541E36"/>
    <w:rsid w:val="00544301"/>
    <w:rsid w:val="00546A02"/>
    <w:rsid w:val="00546A62"/>
    <w:rsid w:val="00551EE3"/>
    <w:rsid w:val="00553219"/>
    <w:rsid w:val="00553645"/>
    <w:rsid w:val="0055400B"/>
    <w:rsid w:val="0056020C"/>
    <w:rsid w:val="00561B5F"/>
    <w:rsid w:val="00563A34"/>
    <w:rsid w:val="005640A4"/>
    <w:rsid w:val="0056481A"/>
    <w:rsid w:val="00573555"/>
    <w:rsid w:val="00576166"/>
    <w:rsid w:val="00576F79"/>
    <w:rsid w:val="00580C41"/>
    <w:rsid w:val="0059167B"/>
    <w:rsid w:val="00593B85"/>
    <w:rsid w:val="00595F1F"/>
    <w:rsid w:val="005A2366"/>
    <w:rsid w:val="005A5840"/>
    <w:rsid w:val="005B109E"/>
    <w:rsid w:val="005C5750"/>
    <w:rsid w:val="005D069A"/>
    <w:rsid w:val="005D1689"/>
    <w:rsid w:val="005E0212"/>
    <w:rsid w:val="005E2AC3"/>
    <w:rsid w:val="005E3BCE"/>
    <w:rsid w:val="005E6FB6"/>
    <w:rsid w:val="005F09F6"/>
    <w:rsid w:val="005F3AA8"/>
    <w:rsid w:val="005F51E3"/>
    <w:rsid w:val="00611290"/>
    <w:rsid w:val="006173EC"/>
    <w:rsid w:val="00620592"/>
    <w:rsid w:val="00624D1A"/>
    <w:rsid w:val="00626CD7"/>
    <w:rsid w:val="00630F1E"/>
    <w:rsid w:val="00631497"/>
    <w:rsid w:val="006339D2"/>
    <w:rsid w:val="00634124"/>
    <w:rsid w:val="0064161C"/>
    <w:rsid w:val="0065424D"/>
    <w:rsid w:val="00654770"/>
    <w:rsid w:val="006557CD"/>
    <w:rsid w:val="0065775C"/>
    <w:rsid w:val="00662612"/>
    <w:rsid w:val="006646D0"/>
    <w:rsid w:val="006657A5"/>
    <w:rsid w:val="006659A9"/>
    <w:rsid w:val="00666FE6"/>
    <w:rsid w:val="00667D67"/>
    <w:rsid w:val="00667DB7"/>
    <w:rsid w:val="00687877"/>
    <w:rsid w:val="00690E07"/>
    <w:rsid w:val="006944BE"/>
    <w:rsid w:val="006A0E01"/>
    <w:rsid w:val="006A0FD9"/>
    <w:rsid w:val="006A498F"/>
    <w:rsid w:val="006A7372"/>
    <w:rsid w:val="006B0461"/>
    <w:rsid w:val="006B0FB9"/>
    <w:rsid w:val="006B3C48"/>
    <w:rsid w:val="006B5C0F"/>
    <w:rsid w:val="006B6CEB"/>
    <w:rsid w:val="006B7460"/>
    <w:rsid w:val="006B7EF5"/>
    <w:rsid w:val="006D3FF8"/>
    <w:rsid w:val="006E0AA3"/>
    <w:rsid w:val="006E3D5A"/>
    <w:rsid w:val="006F0891"/>
    <w:rsid w:val="006F40BF"/>
    <w:rsid w:val="006F4F26"/>
    <w:rsid w:val="006F6F06"/>
    <w:rsid w:val="00700799"/>
    <w:rsid w:val="007050D8"/>
    <w:rsid w:val="007051BF"/>
    <w:rsid w:val="00706016"/>
    <w:rsid w:val="007112FB"/>
    <w:rsid w:val="007115E1"/>
    <w:rsid w:val="00716F42"/>
    <w:rsid w:val="00727BD8"/>
    <w:rsid w:val="007428B5"/>
    <w:rsid w:val="00752476"/>
    <w:rsid w:val="00756CDA"/>
    <w:rsid w:val="00762784"/>
    <w:rsid w:val="00766AA5"/>
    <w:rsid w:val="007676CE"/>
    <w:rsid w:val="00767CEC"/>
    <w:rsid w:val="00783D20"/>
    <w:rsid w:val="00791DAA"/>
    <w:rsid w:val="00792934"/>
    <w:rsid w:val="00795BA3"/>
    <w:rsid w:val="007A08C3"/>
    <w:rsid w:val="007A1CCF"/>
    <w:rsid w:val="007A39F9"/>
    <w:rsid w:val="007A7716"/>
    <w:rsid w:val="007B68BA"/>
    <w:rsid w:val="007B7555"/>
    <w:rsid w:val="007C6BFA"/>
    <w:rsid w:val="007C7033"/>
    <w:rsid w:val="007D0415"/>
    <w:rsid w:val="007D4139"/>
    <w:rsid w:val="007D4859"/>
    <w:rsid w:val="007D4E79"/>
    <w:rsid w:val="007D5B41"/>
    <w:rsid w:val="007D5BDD"/>
    <w:rsid w:val="007D6419"/>
    <w:rsid w:val="007E0E6C"/>
    <w:rsid w:val="007E16D1"/>
    <w:rsid w:val="007E4281"/>
    <w:rsid w:val="007E4FF5"/>
    <w:rsid w:val="007E6B5E"/>
    <w:rsid w:val="007F65D8"/>
    <w:rsid w:val="00803EA1"/>
    <w:rsid w:val="008123E3"/>
    <w:rsid w:val="00812EF0"/>
    <w:rsid w:val="00814C89"/>
    <w:rsid w:val="0081507B"/>
    <w:rsid w:val="00820349"/>
    <w:rsid w:val="00820CD5"/>
    <w:rsid w:val="00823EF9"/>
    <w:rsid w:val="00833B8A"/>
    <w:rsid w:val="00834AC3"/>
    <w:rsid w:val="00836E57"/>
    <w:rsid w:val="00844139"/>
    <w:rsid w:val="0084546A"/>
    <w:rsid w:val="0086035F"/>
    <w:rsid w:val="008604F0"/>
    <w:rsid w:val="00864B79"/>
    <w:rsid w:val="00865214"/>
    <w:rsid w:val="00866B45"/>
    <w:rsid w:val="00870328"/>
    <w:rsid w:val="0087144E"/>
    <w:rsid w:val="00877AC3"/>
    <w:rsid w:val="00887A2F"/>
    <w:rsid w:val="00890795"/>
    <w:rsid w:val="00891120"/>
    <w:rsid w:val="00892E8D"/>
    <w:rsid w:val="008A07CE"/>
    <w:rsid w:val="008A1307"/>
    <w:rsid w:val="008A18D2"/>
    <w:rsid w:val="008A2B01"/>
    <w:rsid w:val="008A3368"/>
    <w:rsid w:val="008A405C"/>
    <w:rsid w:val="008A6FB7"/>
    <w:rsid w:val="008B39CE"/>
    <w:rsid w:val="008C052B"/>
    <w:rsid w:val="008D2C78"/>
    <w:rsid w:val="008D3846"/>
    <w:rsid w:val="008D47A9"/>
    <w:rsid w:val="008D54D7"/>
    <w:rsid w:val="008D7F91"/>
    <w:rsid w:val="008E1A3B"/>
    <w:rsid w:val="008E36D4"/>
    <w:rsid w:val="008E7F59"/>
    <w:rsid w:val="008F02E4"/>
    <w:rsid w:val="008F38E3"/>
    <w:rsid w:val="008F5921"/>
    <w:rsid w:val="008F6E16"/>
    <w:rsid w:val="008F72A7"/>
    <w:rsid w:val="008F7B5C"/>
    <w:rsid w:val="00903148"/>
    <w:rsid w:val="00914B64"/>
    <w:rsid w:val="0092026C"/>
    <w:rsid w:val="00920E91"/>
    <w:rsid w:val="00924842"/>
    <w:rsid w:val="009273FC"/>
    <w:rsid w:val="009325EB"/>
    <w:rsid w:val="00933A27"/>
    <w:rsid w:val="00936A4E"/>
    <w:rsid w:val="009425F1"/>
    <w:rsid w:val="00953D05"/>
    <w:rsid w:val="009562BD"/>
    <w:rsid w:val="00961EC4"/>
    <w:rsid w:val="00962B52"/>
    <w:rsid w:val="0096333E"/>
    <w:rsid w:val="00963DC6"/>
    <w:rsid w:val="00964D66"/>
    <w:rsid w:val="00972DF1"/>
    <w:rsid w:val="009812FD"/>
    <w:rsid w:val="009819DE"/>
    <w:rsid w:val="00986603"/>
    <w:rsid w:val="009957C8"/>
    <w:rsid w:val="009A5CDE"/>
    <w:rsid w:val="009A6B4D"/>
    <w:rsid w:val="009B7D11"/>
    <w:rsid w:val="009C00E4"/>
    <w:rsid w:val="009C0400"/>
    <w:rsid w:val="009C1287"/>
    <w:rsid w:val="009C7402"/>
    <w:rsid w:val="009D0E41"/>
    <w:rsid w:val="009E3507"/>
    <w:rsid w:val="009F23AE"/>
    <w:rsid w:val="009F30F1"/>
    <w:rsid w:val="009F4C77"/>
    <w:rsid w:val="009F5173"/>
    <w:rsid w:val="00A038DE"/>
    <w:rsid w:val="00A04436"/>
    <w:rsid w:val="00A06076"/>
    <w:rsid w:val="00A13E73"/>
    <w:rsid w:val="00A2510E"/>
    <w:rsid w:val="00A330B5"/>
    <w:rsid w:val="00A34155"/>
    <w:rsid w:val="00A35937"/>
    <w:rsid w:val="00A40137"/>
    <w:rsid w:val="00A40E14"/>
    <w:rsid w:val="00A41527"/>
    <w:rsid w:val="00A42436"/>
    <w:rsid w:val="00A471F9"/>
    <w:rsid w:val="00A50DBC"/>
    <w:rsid w:val="00A577A2"/>
    <w:rsid w:val="00A57FBA"/>
    <w:rsid w:val="00A63AA8"/>
    <w:rsid w:val="00A64C81"/>
    <w:rsid w:val="00A75E93"/>
    <w:rsid w:val="00A76EC8"/>
    <w:rsid w:val="00A839B8"/>
    <w:rsid w:val="00A97584"/>
    <w:rsid w:val="00AA3D9C"/>
    <w:rsid w:val="00AA7561"/>
    <w:rsid w:val="00AA7EED"/>
    <w:rsid w:val="00AB05B2"/>
    <w:rsid w:val="00AB07AF"/>
    <w:rsid w:val="00AB5C49"/>
    <w:rsid w:val="00AC079E"/>
    <w:rsid w:val="00AC1D2B"/>
    <w:rsid w:val="00AC2222"/>
    <w:rsid w:val="00AC2EE2"/>
    <w:rsid w:val="00AC41EA"/>
    <w:rsid w:val="00AC5F41"/>
    <w:rsid w:val="00AC6A80"/>
    <w:rsid w:val="00AC7E7A"/>
    <w:rsid w:val="00AD2782"/>
    <w:rsid w:val="00AD5513"/>
    <w:rsid w:val="00AE179D"/>
    <w:rsid w:val="00AE2284"/>
    <w:rsid w:val="00AE311F"/>
    <w:rsid w:val="00AE35E9"/>
    <w:rsid w:val="00AE4658"/>
    <w:rsid w:val="00AE4A53"/>
    <w:rsid w:val="00AE6F39"/>
    <w:rsid w:val="00AF3C15"/>
    <w:rsid w:val="00AF47A6"/>
    <w:rsid w:val="00AF6FFA"/>
    <w:rsid w:val="00AF76FE"/>
    <w:rsid w:val="00B1135E"/>
    <w:rsid w:val="00B16E89"/>
    <w:rsid w:val="00B179B7"/>
    <w:rsid w:val="00B2522C"/>
    <w:rsid w:val="00B315C9"/>
    <w:rsid w:val="00B33BFF"/>
    <w:rsid w:val="00B3410A"/>
    <w:rsid w:val="00B37299"/>
    <w:rsid w:val="00B42A5C"/>
    <w:rsid w:val="00B46A8D"/>
    <w:rsid w:val="00B51849"/>
    <w:rsid w:val="00B53371"/>
    <w:rsid w:val="00B5446D"/>
    <w:rsid w:val="00B56F0E"/>
    <w:rsid w:val="00B60C20"/>
    <w:rsid w:val="00B61F9A"/>
    <w:rsid w:val="00B62744"/>
    <w:rsid w:val="00B63E5D"/>
    <w:rsid w:val="00B66F54"/>
    <w:rsid w:val="00B67690"/>
    <w:rsid w:val="00B72F4C"/>
    <w:rsid w:val="00B85A0B"/>
    <w:rsid w:val="00B93DDB"/>
    <w:rsid w:val="00B95BE7"/>
    <w:rsid w:val="00B97C67"/>
    <w:rsid w:val="00BA11FC"/>
    <w:rsid w:val="00BA46EE"/>
    <w:rsid w:val="00BA495B"/>
    <w:rsid w:val="00BA4AC6"/>
    <w:rsid w:val="00BA614F"/>
    <w:rsid w:val="00BB2A7E"/>
    <w:rsid w:val="00BC1E65"/>
    <w:rsid w:val="00BC2740"/>
    <w:rsid w:val="00BC3BB4"/>
    <w:rsid w:val="00BC45CF"/>
    <w:rsid w:val="00BD432F"/>
    <w:rsid w:val="00BD64ED"/>
    <w:rsid w:val="00BD7537"/>
    <w:rsid w:val="00BE0DB7"/>
    <w:rsid w:val="00BE1761"/>
    <w:rsid w:val="00BE7016"/>
    <w:rsid w:val="00BF1665"/>
    <w:rsid w:val="00BF421F"/>
    <w:rsid w:val="00BF6F05"/>
    <w:rsid w:val="00BF7AC8"/>
    <w:rsid w:val="00C03B64"/>
    <w:rsid w:val="00C0608B"/>
    <w:rsid w:val="00C13D69"/>
    <w:rsid w:val="00C149A7"/>
    <w:rsid w:val="00C15DF3"/>
    <w:rsid w:val="00C23600"/>
    <w:rsid w:val="00C25131"/>
    <w:rsid w:val="00C26EB1"/>
    <w:rsid w:val="00C31BD4"/>
    <w:rsid w:val="00C33CF6"/>
    <w:rsid w:val="00C3504F"/>
    <w:rsid w:val="00C43DEA"/>
    <w:rsid w:val="00C44EF7"/>
    <w:rsid w:val="00C45338"/>
    <w:rsid w:val="00C50A06"/>
    <w:rsid w:val="00C553A7"/>
    <w:rsid w:val="00C62115"/>
    <w:rsid w:val="00C633F6"/>
    <w:rsid w:val="00C65E5F"/>
    <w:rsid w:val="00C72F82"/>
    <w:rsid w:val="00C73F52"/>
    <w:rsid w:val="00C74A25"/>
    <w:rsid w:val="00C754FA"/>
    <w:rsid w:val="00C75CF9"/>
    <w:rsid w:val="00C80164"/>
    <w:rsid w:val="00C80349"/>
    <w:rsid w:val="00C90EC0"/>
    <w:rsid w:val="00C91185"/>
    <w:rsid w:val="00C92908"/>
    <w:rsid w:val="00C977BE"/>
    <w:rsid w:val="00CA14E8"/>
    <w:rsid w:val="00CA2BD9"/>
    <w:rsid w:val="00CA2F8F"/>
    <w:rsid w:val="00CA45AC"/>
    <w:rsid w:val="00CA5DCE"/>
    <w:rsid w:val="00CB267C"/>
    <w:rsid w:val="00CB306C"/>
    <w:rsid w:val="00CB47DA"/>
    <w:rsid w:val="00CB6C50"/>
    <w:rsid w:val="00CB7C17"/>
    <w:rsid w:val="00CC01D9"/>
    <w:rsid w:val="00CC065B"/>
    <w:rsid w:val="00CC188A"/>
    <w:rsid w:val="00CC64FD"/>
    <w:rsid w:val="00CC6DDE"/>
    <w:rsid w:val="00CC7EBF"/>
    <w:rsid w:val="00CD5493"/>
    <w:rsid w:val="00CD69F2"/>
    <w:rsid w:val="00CE4DFA"/>
    <w:rsid w:val="00CE6327"/>
    <w:rsid w:val="00CF124A"/>
    <w:rsid w:val="00CF3897"/>
    <w:rsid w:val="00CF3BFB"/>
    <w:rsid w:val="00CF6211"/>
    <w:rsid w:val="00CF77CF"/>
    <w:rsid w:val="00D02090"/>
    <w:rsid w:val="00D036B3"/>
    <w:rsid w:val="00D10DA0"/>
    <w:rsid w:val="00D12150"/>
    <w:rsid w:val="00D172F7"/>
    <w:rsid w:val="00D17401"/>
    <w:rsid w:val="00D175B2"/>
    <w:rsid w:val="00D24BDA"/>
    <w:rsid w:val="00D2713A"/>
    <w:rsid w:val="00D330AA"/>
    <w:rsid w:val="00D338AE"/>
    <w:rsid w:val="00D404D8"/>
    <w:rsid w:val="00D4233D"/>
    <w:rsid w:val="00D440CA"/>
    <w:rsid w:val="00D54A30"/>
    <w:rsid w:val="00D55013"/>
    <w:rsid w:val="00D555A4"/>
    <w:rsid w:val="00D55791"/>
    <w:rsid w:val="00D632EA"/>
    <w:rsid w:val="00D66B14"/>
    <w:rsid w:val="00D71B33"/>
    <w:rsid w:val="00D75152"/>
    <w:rsid w:val="00D866F4"/>
    <w:rsid w:val="00D90281"/>
    <w:rsid w:val="00D91116"/>
    <w:rsid w:val="00D92945"/>
    <w:rsid w:val="00D96EA6"/>
    <w:rsid w:val="00D97641"/>
    <w:rsid w:val="00D97C7C"/>
    <w:rsid w:val="00DB13BC"/>
    <w:rsid w:val="00DB26F0"/>
    <w:rsid w:val="00DB27D3"/>
    <w:rsid w:val="00DB3687"/>
    <w:rsid w:val="00DB3A29"/>
    <w:rsid w:val="00DC3528"/>
    <w:rsid w:val="00DC3C93"/>
    <w:rsid w:val="00DC4F40"/>
    <w:rsid w:val="00DD0545"/>
    <w:rsid w:val="00DD09F0"/>
    <w:rsid w:val="00DD644F"/>
    <w:rsid w:val="00DD7A59"/>
    <w:rsid w:val="00DE06D8"/>
    <w:rsid w:val="00DE18A8"/>
    <w:rsid w:val="00DE259E"/>
    <w:rsid w:val="00DE31EB"/>
    <w:rsid w:val="00DF353B"/>
    <w:rsid w:val="00DF5563"/>
    <w:rsid w:val="00E03D0C"/>
    <w:rsid w:val="00E14A0E"/>
    <w:rsid w:val="00E23847"/>
    <w:rsid w:val="00E24748"/>
    <w:rsid w:val="00E26378"/>
    <w:rsid w:val="00E264D8"/>
    <w:rsid w:val="00E43E83"/>
    <w:rsid w:val="00E5170E"/>
    <w:rsid w:val="00E5326E"/>
    <w:rsid w:val="00E533E1"/>
    <w:rsid w:val="00E545EB"/>
    <w:rsid w:val="00E54D66"/>
    <w:rsid w:val="00E554C6"/>
    <w:rsid w:val="00E61369"/>
    <w:rsid w:val="00E67A7A"/>
    <w:rsid w:val="00E73230"/>
    <w:rsid w:val="00E75465"/>
    <w:rsid w:val="00E75738"/>
    <w:rsid w:val="00E83C55"/>
    <w:rsid w:val="00E9129D"/>
    <w:rsid w:val="00E91D92"/>
    <w:rsid w:val="00E933A1"/>
    <w:rsid w:val="00E94222"/>
    <w:rsid w:val="00E97977"/>
    <w:rsid w:val="00EB2119"/>
    <w:rsid w:val="00EB238A"/>
    <w:rsid w:val="00EB63AA"/>
    <w:rsid w:val="00EC1CD5"/>
    <w:rsid w:val="00EC3912"/>
    <w:rsid w:val="00EC4A00"/>
    <w:rsid w:val="00EC5814"/>
    <w:rsid w:val="00EC5BAD"/>
    <w:rsid w:val="00EC5FCE"/>
    <w:rsid w:val="00EC7052"/>
    <w:rsid w:val="00ED07E7"/>
    <w:rsid w:val="00ED1F4D"/>
    <w:rsid w:val="00ED3B6C"/>
    <w:rsid w:val="00EE0846"/>
    <w:rsid w:val="00EE26C2"/>
    <w:rsid w:val="00EE3277"/>
    <w:rsid w:val="00EE493F"/>
    <w:rsid w:val="00EE4C02"/>
    <w:rsid w:val="00EE5DF0"/>
    <w:rsid w:val="00EE6120"/>
    <w:rsid w:val="00EE6A77"/>
    <w:rsid w:val="00EF1882"/>
    <w:rsid w:val="00EF29A2"/>
    <w:rsid w:val="00EF4984"/>
    <w:rsid w:val="00EF4D0F"/>
    <w:rsid w:val="00F00B14"/>
    <w:rsid w:val="00F02FC1"/>
    <w:rsid w:val="00F034CA"/>
    <w:rsid w:val="00F11644"/>
    <w:rsid w:val="00F11743"/>
    <w:rsid w:val="00F121C8"/>
    <w:rsid w:val="00F14C5A"/>
    <w:rsid w:val="00F14D6F"/>
    <w:rsid w:val="00F16EDD"/>
    <w:rsid w:val="00F219FD"/>
    <w:rsid w:val="00F22979"/>
    <w:rsid w:val="00F23E67"/>
    <w:rsid w:val="00F32756"/>
    <w:rsid w:val="00F3339B"/>
    <w:rsid w:val="00F33CBE"/>
    <w:rsid w:val="00F35CAF"/>
    <w:rsid w:val="00F35EF4"/>
    <w:rsid w:val="00F371E0"/>
    <w:rsid w:val="00F412A0"/>
    <w:rsid w:val="00F41714"/>
    <w:rsid w:val="00F42559"/>
    <w:rsid w:val="00F44010"/>
    <w:rsid w:val="00F52CE7"/>
    <w:rsid w:val="00F545CB"/>
    <w:rsid w:val="00F54684"/>
    <w:rsid w:val="00F55D03"/>
    <w:rsid w:val="00F57703"/>
    <w:rsid w:val="00F610DE"/>
    <w:rsid w:val="00F62D66"/>
    <w:rsid w:val="00F6449A"/>
    <w:rsid w:val="00F67287"/>
    <w:rsid w:val="00F70B4E"/>
    <w:rsid w:val="00F720D9"/>
    <w:rsid w:val="00F72868"/>
    <w:rsid w:val="00F73FDD"/>
    <w:rsid w:val="00F80E9B"/>
    <w:rsid w:val="00F853D2"/>
    <w:rsid w:val="00F9206E"/>
    <w:rsid w:val="00F9248C"/>
    <w:rsid w:val="00F974C8"/>
    <w:rsid w:val="00FB08CF"/>
    <w:rsid w:val="00FB3400"/>
    <w:rsid w:val="00FC27BB"/>
    <w:rsid w:val="00FC5F76"/>
    <w:rsid w:val="00FC63AD"/>
    <w:rsid w:val="00FC7415"/>
    <w:rsid w:val="00FD10B6"/>
    <w:rsid w:val="00FD41FF"/>
    <w:rsid w:val="00FD4328"/>
    <w:rsid w:val="00FD778E"/>
    <w:rsid w:val="00FE04BB"/>
    <w:rsid w:val="00FE7583"/>
    <w:rsid w:val="00FF4100"/>
    <w:rsid w:val="00FF51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style="mso-position-horizontal-relative:page;mso-position-vertical-relative:page" fill="f" fillcolor="white" stroke="f">
      <v:fill color="white" on="f"/>
      <v:stroke on="f"/>
      <o:colormru v:ext="edit" colors="#5f69a0,#79408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1"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1"/>
    <w:lsdException w:name="Strong" w:semiHidden="0" w:uiPriority="22" w:unhideWhenUsed="0" w:qFormat="1"/>
    <w:lsdException w:name="Emphasis" w:semiHidden="0" w:uiPriority="1" w:unhideWhenUsed="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rsid w:val="001217FF"/>
    <w:rPr>
      <w:rFonts w:ascii="Times" w:eastAsia="Times New Roman" w:hAnsi="Times"/>
      <w:szCs w:val="24"/>
      <w:lang w:eastAsia="en-US"/>
    </w:rPr>
  </w:style>
  <w:style w:type="paragraph" w:styleId="Heading1">
    <w:name w:val="heading 1"/>
    <w:basedOn w:val="Normal"/>
    <w:next w:val="Body"/>
    <w:link w:val="Heading1Char"/>
    <w:qFormat/>
    <w:rsid w:val="006D3FF8"/>
    <w:pPr>
      <w:widowControl w:val="0"/>
      <w:suppressAutoHyphens/>
      <w:autoSpaceDE w:val="0"/>
      <w:autoSpaceDN w:val="0"/>
      <w:adjustRightInd w:val="0"/>
      <w:spacing w:before="454" w:after="170" w:line="440" w:lineRule="atLeast"/>
      <w:jc w:val="both"/>
      <w:textAlignment w:val="center"/>
      <w:outlineLvl w:val="0"/>
    </w:pPr>
    <w:rPr>
      <w:rFonts w:ascii="Arial" w:hAnsi="Arial" w:cs="MyriadPro-Regular"/>
      <w:b/>
      <w:color w:val="E6A532"/>
      <w:sz w:val="40"/>
      <w:szCs w:val="40"/>
    </w:rPr>
  </w:style>
  <w:style w:type="paragraph" w:styleId="Heading20">
    <w:name w:val="heading 2"/>
    <w:basedOn w:val="Heading1"/>
    <w:next w:val="Body"/>
    <w:link w:val="Heading2Char"/>
    <w:qFormat/>
    <w:rsid w:val="004408DA"/>
    <w:pPr>
      <w:keepNext/>
      <w:spacing w:before="240" w:after="240" w:line="320" w:lineRule="atLeast"/>
      <w:jc w:val="left"/>
      <w:outlineLvl w:val="1"/>
    </w:pPr>
    <w:rPr>
      <w:color w:val="1C1C1C"/>
      <w:sz w:val="30"/>
    </w:rPr>
  </w:style>
  <w:style w:type="paragraph" w:styleId="Heading30">
    <w:name w:val="heading 3"/>
    <w:basedOn w:val="Heading20"/>
    <w:next w:val="Body"/>
    <w:link w:val="Heading3Char"/>
    <w:qFormat/>
    <w:rsid w:val="006D3FF8"/>
    <w:pPr>
      <w:spacing w:before="200" w:after="120" w:line="240" w:lineRule="atLeast"/>
      <w:outlineLvl w:val="2"/>
    </w:pPr>
    <w:rPr>
      <w:caps/>
      <w:color w:val="E6A532"/>
      <w:sz w:val="22"/>
    </w:rPr>
  </w:style>
  <w:style w:type="paragraph" w:styleId="Heading40">
    <w:name w:val="heading 4"/>
    <w:basedOn w:val="Body"/>
    <w:next w:val="Body"/>
    <w:link w:val="Heading4Char"/>
    <w:qFormat/>
    <w:rsid w:val="004408DA"/>
    <w:pPr>
      <w:keepNext/>
      <w:spacing w:before="113"/>
      <w:outlineLvl w:val="3"/>
    </w:pPr>
    <w:rPr>
      <w:b/>
      <w:color w:val="292929"/>
      <w:sz w:val="22"/>
    </w:rPr>
  </w:style>
  <w:style w:type="paragraph" w:styleId="Heading5">
    <w:name w:val="heading 5"/>
    <w:basedOn w:val="Body"/>
    <w:next w:val="Body"/>
    <w:link w:val="Heading5Char"/>
    <w:unhideWhenUsed/>
    <w:qFormat/>
    <w:rsid w:val="006D3FF8"/>
    <w:pPr>
      <w:spacing w:before="113"/>
      <w:outlineLvl w:val="4"/>
    </w:pPr>
    <w:rPr>
      <w:rFonts w:cs="Times New Roman"/>
      <w:b/>
      <w:bCs/>
      <w:iCs/>
      <w:color w:val="E6A532"/>
      <w:szCs w:val="26"/>
    </w:rPr>
  </w:style>
  <w:style w:type="paragraph" w:styleId="Heading6">
    <w:name w:val="heading 6"/>
    <w:basedOn w:val="Heading5"/>
    <w:next w:val="Normal"/>
    <w:link w:val="Heading6Char"/>
    <w:unhideWhenUsed/>
    <w:qFormat/>
    <w:rsid w:val="004408DA"/>
    <w:pPr>
      <w:outlineLvl w:val="5"/>
    </w:pPr>
    <w:rPr>
      <w:bCs w:val="0"/>
      <w:i/>
      <w:color w:val="2929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6D3FF8"/>
    <w:rPr>
      <w:rFonts w:ascii="Arial" w:eastAsia="Times New Roman" w:hAnsi="Arial"/>
      <w:b/>
      <w:bCs/>
      <w:iCs/>
      <w:color w:val="E6A532"/>
      <w:sz w:val="19"/>
      <w:szCs w:val="26"/>
      <w:lang w:eastAsia="en-US"/>
    </w:rPr>
  </w:style>
  <w:style w:type="paragraph" w:customStyle="1" w:styleId="Body">
    <w:name w:val="Body"/>
    <w:basedOn w:val="Normal"/>
    <w:link w:val="BodyChar"/>
    <w:qFormat/>
    <w:rsid w:val="00C15DF3"/>
    <w:pPr>
      <w:widowControl w:val="0"/>
      <w:autoSpaceDE w:val="0"/>
      <w:autoSpaceDN w:val="0"/>
      <w:adjustRightInd w:val="0"/>
      <w:spacing w:after="113" w:line="236" w:lineRule="atLeast"/>
      <w:jc w:val="both"/>
      <w:textAlignment w:val="center"/>
    </w:pPr>
    <w:rPr>
      <w:rFonts w:ascii="Arial" w:hAnsi="Arial" w:cs="Times-Roman"/>
      <w:color w:val="000000"/>
      <w:sz w:val="19"/>
      <w:szCs w:val="20"/>
      <w:lang w:eastAsia="en-GB"/>
    </w:rPr>
  </w:style>
  <w:style w:type="character" w:customStyle="1" w:styleId="Heading6Char">
    <w:name w:val="Heading 6 Char"/>
    <w:link w:val="Heading6"/>
    <w:rsid w:val="004408DA"/>
    <w:rPr>
      <w:rFonts w:ascii="Arial" w:eastAsia="Times New Roman" w:hAnsi="Arial"/>
      <w:b/>
      <w:i/>
      <w:iCs/>
      <w:color w:val="292929"/>
      <w:sz w:val="19"/>
      <w:szCs w:val="22"/>
      <w:lang w:eastAsia="en-US"/>
    </w:rPr>
  </w:style>
  <w:style w:type="character" w:customStyle="1" w:styleId="Heading1Char">
    <w:name w:val="Heading 1 Char"/>
    <w:link w:val="Heading1"/>
    <w:rsid w:val="006D3FF8"/>
    <w:rPr>
      <w:rFonts w:ascii="Arial" w:eastAsia="Times New Roman" w:hAnsi="Arial" w:cs="MyriadPro-Regular"/>
      <w:b/>
      <w:color w:val="E6A532"/>
      <w:sz w:val="40"/>
      <w:szCs w:val="40"/>
      <w:lang w:eastAsia="en-US"/>
    </w:rPr>
  </w:style>
  <w:style w:type="paragraph" w:customStyle="1" w:styleId="Heading10">
    <w:name w:val="Heading 1 #"/>
    <w:basedOn w:val="Heading1"/>
    <w:link w:val="Heading1Char0"/>
    <w:qFormat/>
    <w:rsid w:val="00BD432F"/>
    <w:pPr>
      <w:keepNext/>
      <w:suppressAutoHyphens w:val="0"/>
      <w:jc w:val="left"/>
    </w:pPr>
  </w:style>
  <w:style w:type="character" w:customStyle="1" w:styleId="Heading2Char">
    <w:name w:val="Heading 2 Char"/>
    <w:link w:val="Heading20"/>
    <w:rsid w:val="004408DA"/>
    <w:rPr>
      <w:rFonts w:ascii="Arial" w:eastAsia="Times New Roman" w:hAnsi="Arial" w:cs="MyriadPro-Regular"/>
      <w:b/>
      <w:color w:val="1C1C1C"/>
      <w:sz w:val="30"/>
      <w:szCs w:val="40"/>
      <w:lang w:eastAsia="en-US"/>
    </w:rPr>
  </w:style>
  <w:style w:type="paragraph" w:customStyle="1" w:styleId="Table-graph-mapunit">
    <w:name w:val="Table-graph-map unit"/>
    <w:basedOn w:val="Table-graph-maptitle"/>
    <w:link w:val="Table-graph-mapunitChar"/>
    <w:qFormat/>
    <w:rsid w:val="00D2713A"/>
    <w:pPr>
      <w:spacing w:before="0"/>
    </w:pPr>
    <w:rPr>
      <w:b w:val="0"/>
      <w:color w:val="5F5F5F"/>
    </w:rPr>
  </w:style>
  <w:style w:type="character" w:customStyle="1" w:styleId="Heading3Char">
    <w:name w:val="Heading 3 Char"/>
    <w:link w:val="Heading30"/>
    <w:rsid w:val="006D3FF8"/>
    <w:rPr>
      <w:rFonts w:ascii="Arial" w:eastAsia="Times New Roman" w:hAnsi="Arial" w:cs="MyriadPro-Regular"/>
      <w:b/>
      <w:caps/>
      <w:color w:val="E6A532"/>
      <w:sz w:val="22"/>
      <w:szCs w:val="40"/>
      <w:lang w:eastAsia="en-US"/>
    </w:rPr>
  </w:style>
  <w:style w:type="paragraph" w:styleId="BodyText3">
    <w:name w:val="Body Text 3"/>
    <w:basedOn w:val="Normal"/>
    <w:link w:val="BodyText3Char"/>
    <w:uiPriority w:val="99"/>
    <w:semiHidden/>
    <w:unhideWhenUsed/>
    <w:rsid w:val="00550145"/>
    <w:pPr>
      <w:spacing w:after="120"/>
    </w:pPr>
    <w:rPr>
      <w:sz w:val="16"/>
      <w:szCs w:val="16"/>
    </w:rPr>
  </w:style>
  <w:style w:type="character" w:customStyle="1" w:styleId="BodyText3Char">
    <w:name w:val="Body Text 3 Char"/>
    <w:link w:val="BodyText3"/>
    <w:uiPriority w:val="99"/>
    <w:semiHidden/>
    <w:rsid w:val="00550145"/>
    <w:rPr>
      <w:rFonts w:eastAsia="Times New Roman"/>
      <w:sz w:val="16"/>
      <w:szCs w:val="16"/>
    </w:rPr>
  </w:style>
  <w:style w:type="character" w:customStyle="1" w:styleId="Heading4Char">
    <w:name w:val="Heading 4 Char"/>
    <w:link w:val="Heading40"/>
    <w:rsid w:val="004408DA"/>
    <w:rPr>
      <w:rFonts w:ascii="Arial" w:eastAsia="Times New Roman" w:hAnsi="Arial" w:cs="Times-Roman"/>
      <w:b/>
      <w:color w:val="292929"/>
      <w:sz w:val="22"/>
      <w:lang w:eastAsia="en-US"/>
    </w:rPr>
  </w:style>
  <w:style w:type="paragraph" w:customStyle="1" w:styleId="Headerchaptertitle">
    <w:name w:val="Header chapter title"/>
    <w:basedOn w:val="Normal"/>
    <w:uiPriority w:val="99"/>
    <w:qFormat/>
    <w:rsid w:val="008F38E3"/>
    <w:pPr>
      <w:framePr w:w="9866" w:h="306" w:hRule="exact" w:hSpace="57" w:wrap="around" w:vAnchor="page" w:hAnchor="page" w:x="852" w:y="1022"/>
      <w:widowControl w:val="0"/>
      <w:suppressAutoHyphens/>
      <w:autoSpaceDE w:val="0"/>
      <w:autoSpaceDN w:val="0"/>
      <w:adjustRightInd w:val="0"/>
      <w:spacing w:after="120" w:line="280" w:lineRule="atLeast"/>
      <w:jc w:val="right"/>
      <w:textAlignment w:val="center"/>
    </w:pPr>
    <w:rPr>
      <w:rFonts w:ascii="Arial" w:hAnsi="Arial" w:cs="Arial"/>
      <w:color w:val="E6A532"/>
    </w:rPr>
  </w:style>
  <w:style w:type="paragraph" w:customStyle="1" w:styleId="Footerpublicationtitle">
    <w:name w:val="Footer publication title"/>
    <w:basedOn w:val="Normal"/>
    <w:uiPriority w:val="1"/>
    <w:qFormat/>
    <w:rsid w:val="0030012E"/>
    <w:pPr>
      <w:framePr w:w="7938" w:h="284" w:hRule="exact" w:wrap="around" w:vAnchor="page" w:hAnchor="page" w:x="1929" w:y="16019"/>
      <w:widowControl w:val="0"/>
      <w:suppressAutoHyphens/>
      <w:autoSpaceDE w:val="0"/>
      <w:autoSpaceDN w:val="0"/>
      <w:adjustRightInd w:val="0"/>
      <w:spacing w:after="120" w:line="220" w:lineRule="atLeast"/>
      <w:ind w:right="360"/>
      <w:textAlignment w:val="center"/>
    </w:pPr>
    <w:rPr>
      <w:rFonts w:ascii="Arial" w:hAnsi="Arial" w:cs="Arial"/>
      <w:i/>
      <w:iCs/>
      <w:noProof/>
      <w:color w:val="808080"/>
      <w:sz w:val="19"/>
      <w:szCs w:val="19"/>
      <w:lang w:eastAsia="en-GB"/>
    </w:rPr>
  </w:style>
  <w:style w:type="paragraph" w:styleId="Header">
    <w:name w:val="header"/>
    <w:basedOn w:val="Normal"/>
    <w:link w:val="HeaderChar"/>
    <w:unhideWhenUsed/>
    <w:rsid w:val="008D7F91"/>
    <w:pPr>
      <w:tabs>
        <w:tab w:val="center" w:pos="4513"/>
        <w:tab w:val="right" w:pos="9026"/>
      </w:tabs>
    </w:pPr>
  </w:style>
  <w:style w:type="character" w:customStyle="1" w:styleId="Table-graph-maptitleChar">
    <w:name w:val="Table-graph-map title Char"/>
    <w:link w:val="Table-graph-maptitle"/>
    <w:rsid w:val="008F38E3"/>
    <w:rPr>
      <w:rFonts w:ascii="Arial" w:eastAsia="Times New Roman" w:hAnsi="Arial" w:cs="MyriadPro-Regular"/>
      <w:b/>
      <w:color w:val="E6A532"/>
      <w:spacing w:val="-2"/>
      <w:sz w:val="19"/>
      <w:szCs w:val="19"/>
      <w:lang w:eastAsia="en-US"/>
    </w:rPr>
  </w:style>
  <w:style w:type="paragraph" w:customStyle="1" w:styleId="footnote">
    <w:name w:val="footnote"/>
    <w:basedOn w:val="Normal"/>
    <w:uiPriority w:val="99"/>
    <w:qFormat/>
    <w:rsid w:val="00EC7052"/>
    <w:pPr>
      <w:widowControl w:val="0"/>
      <w:suppressAutoHyphens/>
      <w:autoSpaceDE w:val="0"/>
      <w:autoSpaceDN w:val="0"/>
      <w:adjustRightInd w:val="0"/>
      <w:spacing w:after="113" w:line="150" w:lineRule="atLeast"/>
      <w:ind w:left="170" w:hanging="170"/>
      <w:textAlignment w:val="center"/>
    </w:pPr>
    <w:rPr>
      <w:rFonts w:ascii="Arial" w:hAnsi="Arial" w:cs="MyriadPro-Light"/>
      <w:color w:val="000000"/>
      <w:position w:val="-2"/>
      <w:sz w:val="14"/>
      <w:szCs w:val="13"/>
    </w:rPr>
  </w:style>
  <w:style w:type="paragraph" w:customStyle="1" w:styleId="graphcategory">
    <w:name w:val="graph category"/>
    <w:basedOn w:val="Normal"/>
    <w:uiPriority w:val="99"/>
    <w:rsid w:val="00A43B5A"/>
    <w:pPr>
      <w:widowControl w:val="0"/>
      <w:suppressAutoHyphens/>
      <w:autoSpaceDE w:val="0"/>
      <w:autoSpaceDN w:val="0"/>
      <w:adjustRightInd w:val="0"/>
      <w:spacing w:line="170" w:lineRule="atLeast"/>
      <w:jc w:val="center"/>
      <w:textAlignment w:val="center"/>
    </w:pPr>
    <w:rPr>
      <w:rFonts w:ascii="Arial" w:hAnsi="Arial" w:cs="MyriadPro-Regular"/>
      <w:color w:val="000000"/>
      <w:sz w:val="16"/>
      <w:szCs w:val="16"/>
    </w:rPr>
  </w:style>
  <w:style w:type="paragraph" w:customStyle="1" w:styleId="graphvalue">
    <w:name w:val="graph value"/>
    <w:basedOn w:val="graphcategory"/>
    <w:uiPriority w:val="99"/>
    <w:qFormat/>
    <w:rsid w:val="00A43B5A"/>
    <w:pPr>
      <w:jc w:val="right"/>
    </w:pPr>
  </w:style>
  <w:style w:type="paragraph" w:customStyle="1" w:styleId="graph-table-mapsource">
    <w:name w:val="graph-table-map source"/>
    <w:basedOn w:val="Body"/>
    <w:uiPriority w:val="99"/>
    <w:rsid w:val="00B51C5D"/>
    <w:pPr>
      <w:spacing w:before="85" w:after="170"/>
    </w:pPr>
    <w:rPr>
      <w:rFonts w:cs="MyriadPro-Regular"/>
      <w:sz w:val="14"/>
      <w:szCs w:val="14"/>
    </w:rPr>
  </w:style>
  <w:style w:type="paragraph" w:customStyle="1" w:styleId="Table-graph-maptitle">
    <w:name w:val="Table-graph-map title"/>
    <w:basedOn w:val="Body"/>
    <w:link w:val="Table-graph-maptitleChar"/>
    <w:qFormat/>
    <w:rsid w:val="008F38E3"/>
    <w:pPr>
      <w:suppressAutoHyphens/>
      <w:spacing w:before="120" w:after="0" w:line="240" w:lineRule="atLeast"/>
      <w:ind w:left="720"/>
    </w:pPr>
    <w:rPr>
      <w:rFonts w:cs="MyriadPro-Regular"/>
      <w:b/>
      <w:color w:val="E6A532"/>
      <w:spacing w:val="-2"/>
      <w:szCs w:val="19"/>
    </w:rPr>
  </w:style>
  <w:style w:type="paragraph" w:customStyle="1" w:styleId="paneltext">
    <w:name w:val="panel text"/>
    <w:basedOn w:val="Normal"/>
    <w:uiPriority w:val="99"/>
    <w:rsid w:val="00B51C5D"/>
    <w:pPr>
      <w:widowControl w:val="0"/>
      <w:autoSpaceDE w:val="0"/>
      <w:autoSpaceDN w:val="0"/>
      <w:adjustRightInd w:val="0"/>
      <w:spacing w:after="113" w:line="236" w:lineRule="atLeast"/>
      <w:jc w:val="both"/>
      <w:textAlignment w:val="center"/>
    </w:pPr>
    <w:rPr>
      <w:rFonts w:ascii="Arial" w:hAnsi="Arial" w:cs="MyriadPro-Light"/>
      <w:color w:val="000000"/>
      <w:sz w:val="19"/>
      <w:szCs w:val="19"/>
    </w:rPr>
  </w:style>
  <w:style w:type="paragraph" w:customStyle="1" w:styleId="paneltitle1">
    <w:name w:val="panel title 1"/>
    <w:basedOn w:val="Normal"/>
    <w:uiPriority w:val="99"/>
    <w:rsid w:val="00550145"/>
    <w:pPr>
      <w:widowControl w:val="0"/>
      <w:suppressAutoHyphens/>
      <w:autoSpaceDE w:val="0"/>
      <w:autoSpaceDN w:val="0"/>
      <w:adjustRightInd w:val="0"/>
      <w:spacing w:before="113" w:after="113" w:line="280" w:lineRule="atLeast"/>
      <w:textAlignment w:val="center"/>
    </w:pPr>
    <w:rPr>
      <w:rFonts w:ascii="Arial" w:hAnsi="Arial" w:cs="MyriadPro-Regular"/>
      <w:caps/>
      <w:color w:val="5B3060"/>
    </w:rPr>
  </w:style>
  <w:style w:type="character" w:customStyle="1" w:styleId="Table-graph-mapsource">
    <w:name w:val="Table-graph-map source"/>
    <w:qFormat/>
    <w:rsid w:val="00B51C5D"/>
    <w:rPr>
      <w:rFonts w:ascii="Arial" w:hAnsi="Arial" w:cs="MyriadPro-It"/>
      <w:i/>
      <w:iCs/>
      <w:sz w:val="14"/>
      <w:szCs w:val="14"/>
    </w:rPr>
  </w:style>
  <w:style w:type="paragraph" w:styleId="CommentText">
    <w:name w:val="annotation text"/>
    <w:basedOn w:val="Normal"/>
    <w:link w:val="CommentTextChar"/>
    <w:rsid w:val="0029658F"/>
    <w:pPr>
      <w:shd w:val="pct5" w:color="CCECFF" w:fill="CCECFF"/>
    </w:pPr>
  </w:style>
  <w:style w:type="character" w:customStyle="1" w:styleId="CommentTextChar">
    <w:name w:val="Comment Text Char"/>
    <w:link w:val="CommentText"/>
    <w:rsid w:val="00A50DBC"/>
    <w:rPr>
      <w:rFonts w:ascii="Times" w:eastAsia="Times New Roman" w:hAnsi="Times"/>
      <w:szCs w:val="24"/>
      <w:shd w:val="pct5" w:color="CCECFF" w:fill="CCECFF"/>
      <w:lang w:val="en-US" w:eastAsia="en-US"/>
    </w:rPr>
  </w:style>
  <w:style w:type="paragraph" w:styleId="BalloonText">
    <w:name w:val="Balloon Text"/>
    <w:basedOn w:val="Normal"/>
    <w:link w:val="BalloonTextChar"/>
    <w:rsid w:val="0029658F"/>
    <w:rPr>
      <w:rFonts w:ascii="Tahoma" w:hAnsi="Tahoma" w:cs="Tahoma"/>
      <w:sz w:val="16"/>
      <w:szCs w:val="16"/>
    </w:rPr>
  </w:style>
  <w:style w:type="character" w:customStyle="1" w:styleId="BalloonTextChar">
    <w:name w:val="Balloon Text Char"/>
    <w:link w:val="BalloonText"/>
    <w:rsid w:val="00A50DBC"/>
    <w:rPr>
      <w:rFonts w:ascii="Tahoma" w:eastAsia="Times New Roman" w:hAnsi="Tahoma" w:cs="Tahoma"/>
      <w:sz w:val="16"/>
      <w:szCs w:val="16"/>
      <w:lang w:val="en-US" w:eastAsia="en-US"/>
    </w:rPr>
  </w:style>
  <w:style w:type="character" w:styleId="Hyperlink">
    <w:name w:val="Hyperlink"/>
    <w:rsid w:val="006D3FF8"/>
    <w:rPr>
      <w:color w:val="0066FF"/>
    </w:rPr>
  </w:style>
  <w:style w:type="paragraph" w:styleId="CommentSubject">
    <w:name w:val="annotation subject"/>
    <w:basedOn w:val="CommentText"/>
    <w:next w:val="CommentText"/>
    <w:link w:val="CommentSubjectChar"/>
    <w:rsid w:val="0029658F"/>
    <w:pPr>
      <w:shd w:val="clear" w:color="auto" w:fill="auto"/>
    </w:pPr>
    <w:rPr>
      <w:b/>
      <w:bCs/>
    </w:rPr>
  </w:style>
  <w:style w:type="character" w:customStyle="1" w:styleId="CommentSubjectChar">
    <w:name w:val="Comment Subject Char"/>
    <w:link w:val="CommentSubject"/>
    <w:rsid w:val="00A50DBC"/>
    <w:rPr>
      <w:rFonts w:ascii="Times" w:eastAsia="Times New Roman" w:hAnsi="Times"/>
      <w:b/>
      <w:bCs/>
      <w:szCs w:val="24"/>
      <w:lang w:val="en-US" w:eastAsia="en-US"/>
    </w:rPr>
  </w:style>
  <w:style w:type="character" w:customStyle="1" w:styleId="Table-graph-mapunitChar">
    <w:name w:val="Table-graph-map unit Char"/>
    <w:link w:val="Table-graph-mapunit"/>
    <w:rsid w:val="00D2713A"/>
    <w:rPr>
      <w:rFonts w:ascii="Arial" w:eastAsia="Times New Roman" w:hAnsi="Arial" w:cs="MyriadPro-Regular"/>
      <w:color w:val="5F5F5F"/>
      <w:spacing w:val="-2"/>
      <w:sz w:val="19"/>
      <w:szCs w:val="19"/>
      <w:lang w:eastAsia="en-US"/>
    </w:rPr>
  </w:style>
  <w:style w:type="character" w:customStyle="1" w:styleId="HeaderChar">
    <w:name w:val="Header Char"/>
    <w:link w:val="Header"/>
    <w:rsid w:val="008D7F91"/>
    <w:rPr>
      <w:rFonts w:ascii="Times" w:eastAsia="Times New Roman" w:hAnsi="Times"/>
      <w:szCs w:val="24"/>
      <w:lang w:val="en-US" w:eastAsia="en-US"/>
    </w:rPr>
  </w:style>
  <w:style w:type="paragraph" w:styleId="Footer">
    <w:name w:val="footer"/>
    <w:basedOn w:val="Normal"/>
    <w:link w:val="FooterChar"/>
    <w:uiPriority w:val="99"/>
    <w:unhideWhenUsed/>
    <w:rsid w:val="008D7F91"/>
    <w:pPr>
      <w:tabs>
        <w:tab w:val="center" w:pos="4513"/>
        <w:tab w:val="right" w:pos="9026"/>
      </w:tabs>
    </w:pPr>
  </w:style>
  <w:style w:type="paragraph" w:customStyle="1" w:styleId="Heading2">
    <w:name w:val="Heading 2 #"/>
    <w:basedOn w:val="Heading20"/>
    <w:link w:val="Heading2Char0"/>
    <w:qFormat/>
    <w:rsid w:val="00AE4A53"/>
    <w:pPr>
      <w:numPr>
        <w:numId w:val="23"/>
      </w:numPr>
      <w:ind w:left="0" w:firstLine="0"/>
    </w:pPr>
  </w:style>
  <w:style w:type="character" w:customStyle="1" w:styleId="Heading1Char0">
    <w:name w:val="Heading 1 # Char"/>
    <w:basedOn w:val="Heading1Char"/>
    <w:link w:val="Heading10"/>
    <w:rsid w:val="00BD432F"/>
    <w:rPr>
      <w:rFonts w:ascii="Arial" w:eastAsia="Times New Roman" w:hAnsi="Arial" w:cs="MyriadPro-Regular"/>
      <w:b/>
      <w:color w:val="AF4B91"/>
      <w:sz w:val="44"/>
      <w:szCs w:val="40"/>
      <w:lang w:eastAsia="en-US"/>
    </w:rPr>
  </w:style>
  <w:style w:type="table" w:styleId="TableGrid">
    <w:name w:val="Table Grid"/>
    <w:basedOn w:val="TableNormal"/>
    <w:uiPriority w:val="59"/>
    <w:rsid w:val="00AF4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0">
    <w:name w:val="Heading 2 # Char"/>
    <w:basedOn w:val="Heading2Char"/>
    <w:link w:val="Heading2"/>
    <w:rsid w:val="00AE4A53"/>
    <w:rPr>
      <w:rFonts w:ascii="Arial" w:eastAsia="Times New Roman" w:hAnsi="Arial" w:cs="MyriadPro-Regular"/>
      <w:b/>
      <w:color w:val="808080"/>
      <w:sz w:val="30"/>
      <w:szCs w:val="40"/>
      <w:lang w:eastAsia="en-US"/>
    </w:rPr>
  </w:style>
  <w:style w:type="paragraph" w:customStyle="1" w:styleId="Heading3">
    <w:name w:val="Heading 3 #"/>
    <w:basedOn w:val="Heading30"/>
    <w:link w:val="Heading3Char0"/>
    <w:qFormat/>
    <w:rsid w:val="009C00E4"/>
    <w:pPr>
      <w:numPr>
        <w:numId w:val="24"/>
      </w:numPr>
      <w:ind w:left="0" w:hanging="5"/>
    </w:pPr>
  </w:style>
  <w:style w:type="paragraph" w:customStyle="1" w:styleId="Heading4">
    <w:name w:val="Heading 4 #"/>
    <w:basedOn w:val="Heading40"/>
    <w:link w:val="Heading4Char0"/>
    <w:qFormat/>
    <w:rsid w:val="00BD432F"/>
    <w:pPr>
      <w:numPr>
        <w:numId w:val="25"/>
      </w:numPr>
      <w:ind w:left="0" w:firstLine="0"/>
    </w:pPr>
  </w:style>
  <w:style w:type="character" w:customStyle="1" w:styleId="Heading3Char0">
    <w:name w:val="Heading 3 # Char"/>
    <w:basedOn w:val="Heading3Char"/>
    <w:link w:val="Heading3"/>
    <w:rsid w:val="009C00E4"/>
    <w:rPr>
      <w:rFonts w:ascii="Arial" w:eastAsia="Times New Roman" w:hAnsi="Arial" w:cs="MyriadPro-Regular"/>
      <w:b/>
      <w:caps/>
      <w:color w:val="AF4B91"/>
      <w:sz w:val="22"/>
      <w:szCs w:val="40"/>
      <w:lang w:eastAsia="en-US"/>
    </w:rPr>
  </w:style>
  <w:style w:type="numbering" w:customStyle="1" w:styleId="Style1">
    <w:name w:val="Style1"/>
    <w:rsid w:val="00BD432F"/>
    <w:pPr>
      <w:numPr>
        <w:numId w:val="28"/>
      </w:numPr>
    </w:pPr>
  </w:style>
  <w:style w:type="character" w:customStyle="1" w:styleId="Heading4Char0">
    <w:name w:val="Heading 4 # Char"/>
    <w:link w:val="Heading4"/>
    <w:rsid w:val="00BD432F"/>
    <w:rPr>
      <w:rFonts w:ascii="Arial" w:eastAsia="Times New Roman" w:hAnsi="Arial" w:cs="Times-Roman"/>
      <w:b/>
      <w:color w:val="A6A6A6"/>
      <w:sz w:val="22"/>
      <w:lang w:eastAsia="en-US"/>
    </w:rPr>
  </w:style>
  <w:style w:type="paragraph" w:customStyle="1" w:styleId="Bodybulletlist">
    <w:name w:val="Body bullet list"/>
    <w:basedOn w:val="Body"/>
    <w:link w:val="BodybulletlistChar"/>
    <w:qFormat/>
    <w:rsid w:val="008F38E3"/>
    <w:pPr>
      <w:numPr>
        <w:numId w:val="32"/>
      </w:numPr>
      <w:tabs>
        <w:tab w:val="left" w:pos="284"/>
      </w:tabs>
      <w:ind w:hanging="720"/>
    </w:pPr>
  </w:style>
  <w:style w:type="paragraph" w:customStyle="1" w:styleId="Bodynumber">
    <w:name w:val="Body number"/>
    <w:basedOn w:val="Bodybulletlist"/>
    <w:link w:val="BodynumberChar"/>
    <w:qFormat/>
    <w:rsid w:val="00281DCD"/>
    <w:pPr>
      <w:numPr>
        <w:numId w:val="30"/>
      </w:numPr>
      <w:ind w:left="284" w:hanging="295"/>
    </w:pPr>
  </w:style>
  <w:style w:type="character" w:customStyle="1" w:styleId="BodyChar">
    <w:name w:val="Body Char"/>
    <w:link w:val="Body"/>
    <w:rsid w:val="00C15DF3"/>
    <w:rPr>
      <w:rFonts w:ascii="Arial" w:eastAsia="Times New Roman" w:hAnsi="Arial" w:cs="Times-Roman"/>
      <w:color w:val="000000"/>
      <w:sz w:val="19"/>
    </w:rPr>
  </w:style>
  <w:style w:type="character" w:customStyle="1" w:styleId="BodybulletlistChar">
    <w:name w:val="Body bullet list Char"/>
    <w:basedOn w:val="BodyChar"/>
    <w:link w:val="Bodybulletlist"/>
    <w:rsid w:val="008F38E3"/>
    <w:rPr>
      <w:rFonts w:ascii="Arial" w:eastAsia="Times New Roman" w:hAnsi="Arial" w:cs="Times-Roman"/>
      <w:color w:val="000000"/>
      <w:sz w:val="19"/>
      <w:lang w:eastAsia="en-US"/>
    </w:rPr>
  </w:style>
  <w:style w:type="character" w:customStyle="1" w:styleId="FooterChar">
    <w:name w:val="Footer Char"/>
    <w:link w:val="Footer"/>
    <w:uiPriority w:val="99"/>
    <w:rsid w:val="008D7F91"/>
    <w:rPr>
      <w:rFonts w:ascii="Times" w:eastAsia="Times New Roman" w:hAnsi="Times"/>
      <w:szCs w:val="24"/>
      <w:lang w:val="en-US" w:eastAsia="en-US"/>
    </w:rPr>
  </w:style>
  <w:style w:type="character" w:customStyle="1" w:styleId="BodynumberChar">
    <w:name w:val="Body number Char"/>
    <w:basedOn w:val="BodybulletlistChar"/>
    <w:link w:val="Bodynumber"/>
    <w:rsid w:val="00281DCD"/>
    <w:rPr>
      <w:rFonts w:ascii="Arial" w:eastAsia="Times New Roman" w:hAnsi="Arial" w:cs="Times-Roman"/>
      <w:color w:val="000000"/>
      <w:sz w:val="19"/>
      <w:lang w:eastAsia="en-US"/>
    </w:rPr>
  </w:style>
  <w:style w:type="paragraph" w:customStyle="1" w:styleId="Boxtitle">
    <w:name w:val="Box title"/>
    <w:basedOn w:val="Body"/>
    <w:link w:val="BoxtitleChar"/>
    <w:uiPriority w:val="1"/>
    <w:qFormat/>
    <w:rsid w:val="007A7716"/>
    <w:pPr>
      <w:spacing w:before="120" w:after="120"/>
    </w:pPr>
    <w:rPr>
      <w:rFonts w:cs="Times New Roman"/>
      <w:b/>
      <w:bCs/>
      <w:color w:val="AF4B91"/>
      <w:sz w:val="30"/>
    </w:rPr>
  </w:style>
  <w:style w:type="paragraph" w:customStyle="1" w:styleId="Bodythemecolourbold">
    <w:name w:val="Body theme colour bold"/>
    <w:basedOn w:val="Body"/>
    <w:link w:val="BodythemecolourboldChar"/>
    <w:uiPriority w:val="1"/>
    <w:qFormat/>
    <w:rsid w:val="005B109E"/>
    <w:rPr>
      <w:b/>
      <w:color w:val="AF4B91"/>
    </w:rPr>
  </w:style>
  <w:style w:type="paragraph" w:customStyle="1" w:styleId="Chaptertitle">
    <w:name w:val="Chapter title"/>
    <w:basedOn w:val="Body"/>
    <w:qFormat/>
    <w:rsid w:val="00626CD7"/>
    <w:pPr>
      <w:spacing w:after="480"/>
    </w:pPr>
    <w:rPr>
      <w:rFonts w:cs="Times New Roman"/>
      <w:b/>
      <w:bCs/>
      <w:color w:val="AF4B91"/>
      <w:sz w:val="56"/>
    </w:rPr>
  </w:style>
  <w:style w:type="character" w:customStyle="1" w:styleId="BodythemecolourboldChar">
    <w:name w:val="Body theme colour bold Char"/>
    <w:link w:val="Bodythemecolourbold"/>
    <w:uiPriority w:val="1"/>
    <w:rsid w:val="005B109E"/>
    <w:rPr>
      <w:rFonts w:ascii="Arial" w:eastAsia="Times New Roman" w:hAnsi="Arial" w:cs="Times-Roman"/>
      <w:b/>
      <w:color w:val="AF4B91"/>
      <w:sz w:val="19"/>
      <w:lang w:eastAsia="en-US"/>
    </w:rPr>
  </w:style>
  <w:style w:type="paragraph" w:customStyle="1" w:styleId="Chapternumber">
    <w:name w:val="Chapter number"/>
    <w:basedOn w:val="Body"/>
    <w:qFormat/>
    <w:rsid w:val="000F4703"/>
    <w:pPr>
      <w:spacing w:after="0" w:line="0" w:lineRule="atLeast"/>
      <w:jc w:val="right"/>
    </w:pPr>
    <w:rPr>
      <w:rFonts w:cs="Times New Roman"/>
      <w:b/>
      <w:bCs/>
      <w:color w:val="AF4B91"/>
      <w:position w:val="-6"/>
      <w:sz w:val="260"/>
    </w:rPr>
  </w:style>
  <w:style w:type="paragraph" w:customStyle="1" w:styleId="Bodywhitebold">
    <w:name w:val="Body white bold"/>
    <w:basedOn w:val="Body"/>
    <w:link w:val="BodywhiteboldChar"/>
    <w:uiPriority w:val="1"/>
    <w:qFormat/>
    <w:rsid w:val="006944BE"/>
    <w:rPr>
      <w:b/>
      <w:color w:val="FFFFFF"/>
    </w:rPr>
  </w:style>
  <w:style w:type="paragraph" w:customStyle="1" w:styleId="Boxtitlewhite">
    <w:name w:val="Box title white"/>
    <w:basedOn w:val="Boxtitle"/>
    <w:link w:val="BoxtitlewhiteChar"/>
    <w:uiPriority w:val="1"/>
    <w:qFormat/>
    <w:rsid w:val="006944BE"/>
    <w:rPr>
      <w:color w:val="FFFFFF"/>
    </w:rPr>
  </w:style>
  <w:style w:type="character" w:customStyle="1" w:styleId="BodywhiteboldChar">
    <w:name w:val="Body white bold Char"/>
    <w:link w:val="Bodywhitebold"/>
    <w:uiPriority w:val="1"/>
    <w:rsid w:val="006944BE"/>
    <w:rPr>
      <w:rFonts w:ascii="Arial" w:eastAsia="Times New Roman" w:hAnsi="Arial" w:cs="Times-Roman"/>
      <w:b/>
      <w:color w:val="FFFFFF"/>
      <w:sz w:val="19"/>
      <w:lang w:eastAsia="en-US"/>
    </w:rPr>
  </w:style>
  <w:style w:type="paragraph" w:styleId="ListParagraph">
    <w:name w:val="List Paragraph"/>
    <w:basedOn w:val="Normal"/>
    <w:uiPriority w:val="34"/>
    <w:qFormat/>
    <w:rsid w:val="00AC7E7A"/>
    <w:pPr>
      <w:ind w:left="720"/>
    </w:pPr>
    <w:rPr>
      <w:rFonts w:ascii="Calibri" w:eastAsia="Calibri" w:hAnsi="Calibri" w:cs="Calibri"/>
      <w:sz w:val="22"/>
      <w:szCs w:val="22"/>
    </w:rPr>
  </w:style>
  <w:style w:type="character" w:customStyle="1" w:styleId="BoxtitleChar">
    <w:name w:val="Box title Char"/>
    <w:link w:val="Boxtitle"/>
    <w:uiPriority w:val="1"/>
    <w:rsid w:val="006944BE"/>
    <w:rPr>
      <w:rFonts w:ascii="Arial" w:eastAsia="Times New Roman" w:hAnsi="Arial" w:cs="Times-Roman"/>
      <w:b/>
      <w:bCs/>
      <w:color w:val="AF4B91"/>
      <w:sz w:val="30"/>
      <w:lang w:eastAsia="en-US"/>
    </w:rPr>
  </w:style>
  <w:style w:type="character" w:customStyle="1" w:styleId="BoxtitlewhiteChar">
    <w:name w:val="Box title white Char"/>
    <w:link w:val="Boxtitlewhite"/>
    <w:uiPriority w:val="1"/>
    <w:rsid w:val="006944BE"/>
    <w:rPr>
      <w:rFonts w:ascii="Arial" w:eastAsia="Times New Roman" w:hAnsi="Arial" w:cs="Times-Roman"/>
      <w:b/>
      <w:bCs/>
      <w:color w:val="FFFFFF"/>
      <w:sz w:val="30"/>
      <w:lang w:eastAsia="en-US"/>
    </w:rPr>
  </w:style>
  <w:style w:type="paragraph" w:styleId="TOCHeading">
    <w:name w:val="TOC Heading"/>
    <w:basedOn w:val="Heading1"/>
    <w:next w:val="Normal"/>
    <w:uiPriority w:val="39"/>
    <w:semiHidden/>
    <w:unhideWhenUsed/>
    <w:qFormat/>
    <w:rsid w:val="008D47A9"/>
    <w:pPr>
      <w:keepNext/>
      <w:keepLines/>
      <w:widowControl/>
      <w:suppressAutoHyphens w:val="0"/>
      <w:autoSpaceDE/>
      <w:autoSpaceDN/>
      <w:adjustRightInd/>
      <w:spacing w:before="480" w:after="0" w:line="276" w:lineRule="auto"/>
      <w:jc w:val="left"/>
      <w:textAlignment w:val="auto"/>
      <w:outlineLvl w:val="9"/>
    </w:pPr>
    <w:rPr>
      <w:rFonts w:ascii="Cambria" w:eastAsia="MS Gothic" w:hAnsi="Cambria" w:cs="Times New Roman"/>
      <w:bCs/>
      <w:color w:val="365F91"/>
      <w:sz w:val="28"/>
      <w:szCs w:val="28"/>
      <w:lang w:val="en-US" w:eastAsia="ja-JP"/>
    </w:rPr>
  </w:style>
  <w:style w:type="paragraph" w:styleId="TOC1">
    <w:name w:val="toc 1"/>
    <w:basedOn w:val="Normal"/>
    <w:next w:val="Normal"/>
    <w:autoRedefine/>
    <w:uiPriority w:val="39"/>
    <w:unhideWhenUsed/>
    <w:rsid w:val="007A08C3"/>
    <w:pPr>
      <w:spacing w:before="160" w:after="120"/>
    </w:pPr>
    <w:rPr>
      <w:rFonts w:ascii="Arial" w:hAnsi="Arial" w:cs="Calibri"/>
      <w:b/>
      <w:bCs/>
      <w:sz w:val="22"/>
      <w:szCs w:val="20"/>
    </w:rPr>
  </w:style>
  <w:style w:type="paragraph" w:styleId="TOC2">
    <w:name w:val="toc 2"/>
    <w:basedOn w:val="Normal"/>
    <w:next w:val="Normal"/>
    <w:autoRedefine/>
    <w:uiPriority w:val="39"/>
    <w:unhideWhenUsed/>
    <w:rsid w:val="007A08C3"/>
    <w:pPr>
      <w:spacing w:before="120" w:after="120"/>
      <w:ind w:left="284"/>
    </w:pPr>
    <w:rPr>
      <w:rFonts w:ascii="Arial" w:hAnsi="Arial" w:cs="Calibri"/>
      <w:b/>
      <w:iCs/>
      <w:sz w:val="19"/>
      <w:szCs w:val="20"/>
    </w:rPr>
  </w:style>
  <w:style w:type="paragraph" w:styleId="TOC3">
    <w:name w:val="toc 3"/>
    <w:basedOn w:val="Normal"/>
    <w:next w:val="Normal"/>
    <w:autoRedefine/>
    <w:uiPriority w:val="39"/>
    <w:unhideWhenUsed/>
    <w:rsid w:val="007A08C3"/>
    <w:pPr>
      <w:tabs>
        <w:tab w:val="right" w:leader="dot" w:pos="8487"/>
      </w:tabs>
      <w:spacing w:before="60" w:after="60"/>
      <w:ind w:left="567"/>
    </w:pPr>
    <w:rPr>
      <w:rFonts w:ascii="Arial" w:hAnsi="Arial" w:cs="Calibri"/>
      <w:color w:val="000000" w:themeColor="text1"/>
      <w:sz w:val="19"/>
      <w:szCs w:val="20"/>
    </w:rPr>
  </w:style>
  <w:style w:type="paragraph" w:styleId="TOC4">
    <w:name w:val="toc 4"/>
    <w:basedOn w:val="Normal"/>
    <w:next w:val="Normal"/>
    <w:autoRedefine/>
    <w:uiPriority w:val="39"/>
    <w:unhideWhenUsed/>
    <w:rsid w:val="007A08C3"/>
    <w:pPr>
      <w:spacing w:before="60" w:after="60"/>
      <w:ind w:left="851"/>
    </w:pPr>
    <w:rPr>
      <w:rFonts w:ascii="Arial" w:hAnsi="Arial" w:cs="Calibri"/>
      <w:sz w:val="19"/>
      <w:szCs w:val="20"/>
    </w:rPr>
  </w:style>
  <w:style w:type="paragraph" w:styleId="TOC5">
    <w:name w:val="toc 5"/>
    <w:basedOn w:val="Normal"/>
    <w:next w:val="Normal"/>
    <w:autoRedefine/>
    <w:uiPriority w:val="39"/>
    <w:unhideWhenUsed/>
    <w:rsid w:val="007A08C3"/>
    <w:pPr>
      <w:spacing w:before="60" w:after="60"/>
      <w:ind w:left="1134"/>
    </w:pPr>
    <w:rPr>
      <w:rFonts w:ascii="Arial" w:hAnsi="Arial" w:cs="Calibri"/>
      <w:color w:val="808080" w:themeColor="background1" w:themeShade="80"/>
      <w:sz w:val="19"/>
      <w:szCs w:val="20"/>
    </w:rPr>
  </w:style>
  <w:style w:type="paragraph" w:styleId="TOC6">
    <w:name w:val="toc 6"/>
    <w:basedOn w:val="Normal"/>
    <w:next w:val="Normal"/>
    <w:autoRedefine/>
    <w:uiPriority w:val="39"/>
    <w:unhideWhenUsed/>
    <w:rsid w:val="00F974C8"/>
    <w:pPr>
      <w:tabs>
        <w:tab w:val="right" w:leader="dot" w:pos="8487"/>
      </w:tabs>
      <w:spacing w:before="60" w:after="60"/>
      <w:ind w:left="998"/>
    </w:pPr>
    <w:rPr>
      <w:rFonts w:ascii="Calibri" w:hAnsi="Calibri" w:cs="Calibri"/>
      <w:szCs w:val="20"/>
    </w:rPr>
  </w:style>
  <w:style w:type="paragraph" w:styleId="TOC7">
    <w:name w:val="toc 7"/>
    <w:basedOn w:val="Normal"/>
    <w:next w:val="Normal"/>
    <w:autoRedefine/>
    <w:uiPriority w:val="39"/>
    <w:unhideWhenUsed/>
    <w:rsid w:val="00D338AE"/>
    <w:pPr>
      <w:ind w:left="1200"/>
    </w:pPr>
    <w:rPr>
      <w:rFonts w:ascii="Calibri" w:hAnsi="Calibri" w:cs="Calibri"/>
      <w:szCs w:val="20"/>
    </w:rPr>
  </w:style>
  <w:style w:type="paragraph" w:styleId="TOC8">
    <w:name w:val="toc 8"/>
    <w:basedOn w:val="Normal"/>
    <w:next w:val="Normal"/>
    <w:autoRedefine/>
    <w:uiPriority w:val="39"/>
    <w:unhideWhenUsed/>
    <w:rsid w:val="00D338AE"/>
    <w:pPr>
      <w:ind w:left="1400"/>
    </w:pPr>
    <w:rPr>
      <w:rFonts w:ascii="Calibri" w:hAnsi="Calibri" w:cs="Calibri"/>
      <w:szCs w:val="20"/>
    </w:rPr>
  </w:style>
  <w:style w:type="paragraph" w:styleId="TOC9">
    <w:name w:val="toc 9"/>
    <w:basedOn w:val="Normal"/>
    <w:next w:val="Normal"/>
    <w:autoRedefine/>
    <w:uiPriority w:val="39"/>
    <w:unhideWhenUsed/>
    <w:rsid w:val="00D338AE"/>
    <w:pPr>
      <w:ind w:left="1600"/>
    </w:pPr>
    <w:rPr>
      <w:rFonts w:ascii="Calibri" w:hAnsi="Calibri" w:cs="Calibri"/>
      <w:szCs w:val="20"/>
    </w:rPr>
  </w:style>
  <w:style w:type="character" w:styleId="Strong">
    <w:name w:val="Strong"/>
    <w:basedOn w:val="DefaultParagraphFont"/>
    <w:uiPriority w:val="22"/>
    <w:qFormat/>
    <w:rsid w:val="00403FEF"/>
    <w:rPr>
      <w:b/>
      <w:bCs/>
    </w:rPr>
  </w:style>
  <w:style w:type="paragraph" w:styleId="NormalWeb">
    <w:name w:val="Normal (Web)"/>
    <w:basedOn w:val="Normal"/>
    <w:uiPriority w:val="99"/>
    <w:semiHidden/>
    <w:unhideWhenUsed/>
    <w:rsid w:val="00403FEF"/>
    <w:pPr>
      <w:spacing w:before="100" w:beforeAutospacing="1" w:after="100" w:afterAutospacing="1"/>
    </w:pPr>
    <w:rPr>
      <w:rFonts w:ascii="Times New Roman" w:hAnsi="Times New Roman"/>
      <w:sz w:val="24"/>
      <w:lang w:eastAsia="en-GB"/>
    </w:rPr>
  </w:style>
  <w:style w:type="numbering" w:customStyle="1" w:styleId="NoList1">
    <w:name w:val="No List1"/>
    <w:next w:val="NoList"/>
    <w:uiPriority w:val="99"/>
    <w:semiHidden/>
    <w:unhideWhenUsed/>
    <w:rsid w:val="005D1689"/>
  </w:style>
  <w:style w:type="character" w:styleId="SubtleReference">
    <w:name w:val="Subtle Reference"/>
    <w:basedOn w:val="DefaultParagraphFont"/>
    <w:uiPriority w:val="31"/>
    <w:qFormat/>
    <w:rsid w:val="005D1689"/>
    <w:rPr>
      <w:smallCaps/>
      <w:color w:val="C0504D" w:themeColor="accent2"/>
      <w:u w:val="single"/>
    </w:rPr>
  </w:style>
  <w:style w:type="paragraph" w:customStyle="1" w:styleId="5Normal">
    <w:name w:val="5 Normal"/>
    <w:rsid w:val="005D168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eastAsia="Calibri" w:hAnsi="Arial"/>
      <w:spacing w:val="-2"/>
      <w:sz w:val="22"/>
    </w:rPr>
  </w:style>
  <w:style w:type="table" w:customStyle="1" w:styleId="TableGrid1">
    <w:name w:val="Table Grid1"/>
    <w:basedOn w:val="TableNormal"/>
    <w:next w:val="TableGrid"/>
    <w:uiPriority w:val="39"/>
    <w:rsid w:val="005D16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rsid w:val="005D1689"/>
    <w:rPr>
      <w:rFonts w:ascii="Times New Roman" w:hAnsi="Times New Roman"/>
      <w:szCs w:val="20"/>
      <w:lang w:eastAsia="en-GB"/>
    </w:rPr>
  </w:style>
  <w:style w:type="character" w:customStyle="1" w:styleId="FootnoteTextChar">
    <w:name w:val="Footnote Text Char"/>
    <w:basedOn w:val="DefaultParagraphFont"/>
    <w:rsid w:val="005D1689"/>
    <w:rPr>
      <w:rFonts w:ascii="Times New Roman" w:eastAsia="Times New Roman" w:hAnsi="Times New Roman"/>
    </w:rPr>
  </w:style>
  <w:style w:type="character" w:styleId="FootnoteReference">
    <w:name w:val="footnote reference"/>
    <w:basedOn w:val="DefaultParagraphFont"/>
    <w:rsid w:val="005D1689"/>
    <w:rPr>
      <w:vertAlign w:val="superscript"/>
    </w:rPr>
  </w:style>
  <w:style w:type="character" w:styleId="PlaceholderText">
    <w:name w:val="Placeholder Text"/>
    <w:basedOn w:val="DefaultParagraphFont"/>
    <w:uiPriority w:val="99"/>
    <w:semiHidden/>
    <w:rsid w:val="005D1689"/>
    <w:rPr>
      <w:color w:val="808080"/>
    </w:rPr>
  </w:style>
  <w:style w:type="character" w:styleId="CommentReference">
    <w:name w:val="annotation reference"/>
    <w:basedOn w:val="DefaultParagraphFont"/>
    <w:rsid w:val="005D1689"/>
    <w:rPr>
      <w:sz w:val="16"/>
      <w:szCs w:val="16"/>
    </w:rPr>
  </w:style>
  <w:style w:type="paragraph" w:styleId="Revision">
    <w:name w:val="Revision"/>
    <w:hidden/>
    <w:uiPriority w:val="99"/>
    <w:semiHidden/>
    <w:rsid w:val="005D168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1"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1"/>
    <w:lsdException w:name="Strong" w:semiHidden="0" w:uiPriority="22" w:unhideWhenUsed="0" w:qFormat="1"/>
    <w:lsdException w:name="Emphasis" w:semiHidden="0" w:uiPriority="1" w:unhideWhenUsed="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rsid w:val="001217FF"/>
    <w:rPr>
      <w:rFonts w:ascii="Times" w:eastAsia="Times New Roman" w:hAnsi="Times"/>
      <w:szCs w:val="24"/>
      <w:lang w:eastAsia="en-US"/>
    </w:rPr>
  </w:style>
  <w:style w:type="paragraph" w:styleId="Heading1">
    <w:name w:val="heading 1"/>
    <w:basedOn w:val="Normal"/>
    <w:next w:val="Body"/>
    <w:link w:val="Heading1Char"/>
    <w:qFormat/>
    <w:rsid w:val="006D3FF8"/>
    <w:pPr>
      <w:widowControl w:val="0"/>
      <w:suppressAutoHyphens/>
      <w:autoSpaceDE w:val="0"/>
      <w:autoSpaceDN w:val="0"/>
      <w:adjustRightInd w:val="0"/>
      <w:spacing w:before="454" w:after="170" w:line="440" w:lineRule="atLeast"/>
      <w:jc w:val="both"/>
      <w:textAlignment w:val="center"/>
      <w:outlineLvl w:val="0"/>
    </w:pPr>
    <w:rPr>
      <w:rFonts w:ascii="Arial" w:hAnsi="Arial" w:cs="MyriadPro-Regular"/>
      <w:b/>
      <w:color w:val="E6A532"/>
      <w:sz w:val="40"/>
      <w:szCs w:val="40"/>
    </w:rPr>
  </w:style>
  <w:style w:type="paragraph" w:styleId="Heading20">
    <w:name w:val="heading 2"/>
    <w:basedOn w:val="Heading1"/>
    <w:next w:val="Body"/>
    <w:link w:val="Heading2Char"/>
    <w:qFormat/>
    <w:rsid w:val="004408DA"/>
    <w:pPr>
      <w:keepNext/>
      <w:spacing w:before="240" w:after="240" w:line="320" w:lineRule="atLeast"/>
      <w:jc w:val="left"/>
      <w:outlineLvl w:val="1"/>
    </w:pPr>
    <w:rPr>
      <w:color w:val="1C1C1C"/>
      <w:sz w:val="30"/>
    </w:rPr>
  </w:style>
  <w:style w:type="paragraph" w:styleId="Heading30">
    <w:name w:val="heading 3"/>
    <w:basedOn w:val="Heading20"/>
    <w:next w:val="Body"/>
    <w:link w:val="Heading3Char"/>
    <w:qFormat/>
    <w:rsid w:val="006D3FF8"/>
    <w:pPr>
      <w:spacing w:before="200" w:after="120" w:line="240" w:lineRule="atLeast"/>
      <w:outlineLvl w:val="2"/>
    </w:pPr>
    <w:rPr>
      <w:caps/>
      <w:color w:val="E6A532"/>
      <w:sz w:val="22"/>
    </w:rPr>
  </w:style>
  <w:style w:type="paragraph" w:styleId="Heading40">
    <w:name w:val="heading 4"/>
    <w:basedOn w:val="Body"/>
    <w:next w:val="Body"/>
    <w:link w:val="Heading4Char"/>
    <w:qFormat/>
    <w:rsid w:val="004408DA"/>
    <w:pPr>
      <w:keepNext/>
      <w:spacing w:before="113"/>
      <w:outlineLvl w:val="3"/>
    </w:pPr>
    <w:rPr>
      <w:b/>
      <w:color w:val="292929"/>
      <w:sz w:val="22"/>
    </w:rPr>
  </w:style>
  <w:style w:type="paragraph" w:styleId="Heading5">
    <w:name w:val="heading 5"/>
    <w:basedOn w:val="Body"/>
    <w:next w:val="Body"/>
    <w:link w:val="Heading5Char"/>
    <w:unhideWhenUsed/>
    <w:qFormat/>
    <w:rsid w:val="006D3FF8"/>
    <w:pPr>
      <w:spacing w:before="113"/>
      <w:outlineLvl w:val="4"/>
    </w:pPr>
    <w:rPr>
      <w:rFonts w:cs="Times New Roman"/>
      <w:b/>
      <w:bCs/>
      <w:iCs/>
      <w:color w:val="E6A532"/>
      <w:szCs w:val="26"/>
    </w:rPr>
  </w:style>
  <w:style w:type="paragraph" w:styleId="Heading6">
    <w:name w:val="heading 6"/>
    <w:basedOn w:val="Heading5"/>
    <w:next w:val="Normal"/>
    <w:link w:val="Heading6Char"/>
    <w:unhideWhenUsed/>
    <w:qFormat/>
    <w:rsid w:val="004408DA"/>
    <w:pPr>
      <w:outlineLvl w:val="5"/>
    </w:pPr>
    <w:rPr>
      <w:bCs w:val="0"/>
      <w:i/>
      <w:color w:val="2929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6D3FF8"/>
    <w:rPr>
      <w:rFonts w:ascii="Arial" w:eastAsia="Times New Roman" w:hAnsi="Arial"/>
      <w:b/>
      <w:bCs/>
      <w:iCs/>
      <w:color w:val="E6A532"/>
      <w:sz w:val="19"/>
      <w:szCs w:val="26"/>
      <w:lang w:eastAsia="en-US"/>
    </w:rPr>
  </w:style>
  <w:style w:type="paragraph" w:customStyle="1" w:styleId="Body">
    <w:name w:val="Body"/>
    <w:basedOn w:val="Normal"/>
    <w:link w:val="BodyChar"/>
    <w:qFormat/>
    <w:rsid w:val="00C15DF3"/>
    <w:pPr>
      <w:widowControl w:val="0"/>
      <w:autoSpaceDE w:val="0"/>
      <w:autoSpaceDN w:val="0"/>
      <w:adjustRightInd w:val="0"/>
      <w:spacing w:after="113" w:line="236" w:lineRule="atLeast"/>
      <w:jc w:val="both"/>
      <w:textAlignment w:val="center"/>
    </w:pPr>
    <w:rPr>
      <w:rFonts w:ascii="Arial" w:hAnsi="Arial" w:cs="Times-Roman"/>
      <w:color w:val="000000"/>
      <w:sz w:val="19"/>
      <w:szCs w:val="20"/>
      <w:lang w:eastAsia="en-GB"/>
    </w:rPr>
  </w:style>
  <w:style w:type="character" w:customStyle="1" w:styleId="Heading6Char">
    <w:name w:val="Heading 6 Char"/>
    <w:link w:val="Heading6"/>
    <w:rsid w:val="004408DA"/>
    <w:rPr>
      <w:rFonts w:ascii="Arial" w:eastAsia="Times New Roman" w:hAnsi="Arial"/>
      <w:b/>
      <w:i/>
      <w:iCs/>
      <w:color w:val="292929"/>
      <w:sz w:val="19"/>
      <w:szCs w:val="22"/>
      <w:lang w:eastAsia="en-US"/>
    </w:rPr>
  </w:style>
  <w:style w:type="character" w:customStyle="1" w:styleId="Heading1Char">
    <w:name w:val="Heading 1 Char"/>
    <w:link w:val="Heading1"/>
    <w:rsid w:val="006D3FF8"/>
    <w:rPr>
      <w:rFonts w:ascii="Arial" w:eastAsia="Times New Roman" w:hAnsi="Arial" w:cs="MyriadPro-Regular"/>
      <w:b/>
      <w:color w:val="E6A532"/>
      <w:sz w:val="40"/>
      <w:szCs w:val="40"/>
      <w:lang w:eastAsia="en-US"/>
    </w:rPr>
  </w:style>
  <w:style w:type="paragraph" w:customStyle="1" w:styleId="Heading10">
    <w:name w:val="Heading 1 #"/>
    <w:basedOn w:val="Heading1"/>
    <w:link w:val="Heading1Char0"/>
    <w:qFormat/>
    <w:rsid w:val="00BD432F"/>
    <w:pPr>
      <w:keepNext/>
      <w:suppressAutoHyphens w:val="0"/>
      <w:jc w:val="left"/>
    </w:pPr>
  </w:style>
  <w:style w:type="character" w:customStyle="1" w:styleId="Heading2Char">
    <w:name w:val="Heading 2 Char"/>
    <w:link w:val="Heading20"/>
    <w:rsid w:val="004408DA"/>
    <w:rPr>
      <w:rFonts w:ascii="Arial" w:eastAsia="Times New Roman" w:hAnsi="Arial" w:cs="MyriadPro-Regular"/>
      <w:b/>
      <w:color w:val="1C1C1C"/>
      <w:sz w:val="30"/>
      <w:szCs w:val="40"/>
      <w:lang w:eastAsia="en-US"/>
    </w:rPr>
  </w:style>
  <w:style w:type="paragraph" w:customStyle="1" w:styleId="Table-graph-mapunit">
    <w:name w:val="Table-graph-map unit"/>
    <w:basedOn w:val="Table-graph-maptitle"/>
    <w:link w:val="Table-graph-mapunitChar"/>
    <w:qFormat/>
    <w:rsid w:val="00D2713A"/>
    <w:pPr>
      <w:spacing w:before="0"/>
    </w:pPr>
    <w:rPr>
      <w:b w:val="0"/>
      <w:color w:val="5F5F5F"/>
    </w:rPr>
  </w:style>
  <w:style w:type="character" w:customStyle="1" w:styleId="Heading3Char">
    <w:name w:val="Heading 3 Char"/>
    <w:link w:val="Heading30"/>
    <w:rsid w:val="006D3FF8"/>
    <w:rPr>
      <w:rFonts w:ascii="Arial" w:eastAsia="Times New Roman" w:hAnsi="Arial" w:cs="MyriadPro-Regular"/>
      <w:b/>
      <w:caps/>
      <w:color w:val="E6A532"/>
      <w:sz w:val="22"/>
      <w:szCs w:val="40"/>
      <w:lang w:eastAsia="en-US"/>
    </w:rPr>
  </w:style>
  <w:style w:type="paragraph" w:styleId="BodyText3">
    <w:name w:val="Body Text 3"/>
    <w:basedOn w:val="Normal"/>
    <w:link w:val="BodyText3Char"/>
    <w:uiPriority w:val="99"/>
    <w:semiHidden/>
    <w:unhideWhenUsed/>
    <w:rsid w:val="00550145"/>
    <w:pPr>
      <w:spacing w:after="120"/>
    </w:pPr>
    <w:rPr>
      <w:sz w:val="16"/>
      <w:szCs w:val="16"/>
    </w:rPr>
  </w:style>
  <w:style w:type="character" w:customStyle="1" w:styleId="BodyText3Char">
    <w:name w:val="Body Text 3 Char"/>
    <w:link w:val="BodyText3"/>
    <w:uiPriority w:val="99"/>
    <w:semiHidden/>
    <w:rsid w:val="00550145"/>
    <w:rPr>
      <w:rFonts w:eastAsia="Times New Roman"/>
      <w:sz w:val="16"/>
      <w:szCs w:val="16"/>
    </w:rPr>
  </w:style>
  <w:style w:type="character" w:customStyle="1" w:styleId="Heading4Char">
    <w:name w:val="Heading 4 Char"/>
    <w:link w:val="Heading40"/>
    <w:rsid w:val="004408DA"/>
    <w:rPr>
      <w:rFonts w:ascii="Arial" w:eastAsia="Times New Roman" w:hAnsi="Arial" w:cs="Times-Roman"/>
      <w:b/>
      <w:color w:val="292929"/>
      <w:sz w:val="22"/>
      <w:lang w:eastAsia="en-US"/>
    </w:rPr>
  </w:style>
  <w:style w:type="paragraph" w:customStyle="1" w:styleId="Headerchaptertitle">
    <w:name w:val="Header chapter title"/>
    <w:basedOn w:val="Normal"/>
    <w:uiPriority w:val="99"/>
    <w:qFormat/>
    <w:rsid w:val="008F38E3"/>
    <w:pPr>
      <w:framePr w:w="9866" w:h="306" w:hRule="exact" w:hSpace="57" w:wrap="around" w:vAnchor="page" w:hAnchor="page" w:x="852" w:y="1022"/>
      <w:widowControl w:val="0"/>
      <w:suppressAutoHyphens/>
      <w:autoSpaceDE w:val="0"/>
      <w:autoSpaceDN w:val="0"/>
      <w:adjustRightInd w:val="0"/>
      <w:spacing w:after="120" w:line="280" w:lineRule="atLeast"/>
      <w:jc w:val="right"/>
      <w:textAlignment w:val="center"/>
    </w:pPr>
    <w:rPr>
      <w:rFonts w:ascii="Arial" w:hAnsi="Arial" w:cs="Arial"/>
      <w:color w:val="E6A532"/>
    </w:rPr>
  </w:style>
  <w:style w:type="paragraph" w:customStyle="1" w:styleId="Footerpublicationtitle">
    <w:name w:val="Footer publication title"/>
    <w:basedOn w:val="Normal"/>
    <w:uiPriority w:val="1"/>
    <w:qFormat/>
    <w:rsid w:val="0030012E"/>
    <w:pPr>
      <w:framePr w:w="7938" w:h="284" w:hRule="exact" w:wrap="around" w:vAnchor="page" w:hAnchor="page" w:x="1929" w:y="16019"/>
      <w:widowControl w:val="0"/>
      <w:suppressAutoHyphens/>
      <w:autoSpaceDE w:val="0"/>
      <w:autoSpaceDN w:val="0"/>
      <w:adjustRightInd w:val="0"/>
      <w:spacing w:after="120" w:line="220" w:lineRule="atLeast"/>
      <w:ind w:right="360"/>
      <w:textAlignment w:val="center"/>
    </w:pPr>
    <w:rPr>
      <w:rFonts w:ascii="Arial" w:hAnsi="Arial" w:cs="Arial"/>
      <w:i/>
      <w:iCs/>
      <w:noProof/>
      <w:color w:val="808080"/>
      <w:sz w:val="19"/>
      <w:szCs w:val="19"/>
      <w:lang w:eastAsia="en-GB"/>
    </w:rPr>
  </w:style>
  <w:style w:type="paragraph" w:styleId="Header">
    <w:name w:val="header"/>
    <w:basedOn w:val="Normal"/>
    <w:link w:val="HeaderChar"/>
    <w:unhideWhenUsed/>
    <w:rsid w:val="008D7F91"/>
    <w:pPr>
      <w:tabs>
        <w:tab w:val="center" w:pos="4513"/>
        <w:tab w:val="right" w:pos="9026"/>
      </w:tabs>
    </w:pPr>
  </w:style>
  <w:style w:type="character" w:customStyle="1" w:styleId="Table-graph-maptitleChar">
    <w:name w:val="Table-graph-map title Char"/>
    <w:link w:val="Table-graph-maptitle"/>
    <w:rsid w:val="008F38E3"/>
    <w:rPr>
      <w:rFonts w:ascii="Arial" w:eastAsia="Times New Roman" w:hAnsi="Arial" w:cs="MyriadPro-Regular"/>
      <w:b/>
      <w:color w:val="E6A532"/>
      <w:spacing w:val="-2"/>
      <w:sz w:val="19"/>
      <w:szCs w:val="19"/>
      <w:lang w:eastAsia="en-US"/>
    </w:rPr>
  </w:style>
  <w:style w:type="paragraph" w:customStyle="1" w:styleId="footnote">
    <w:name w:val="footnote"/>
    <w:basedOn w:val="Normal"/>
    <w:uiPriority w:val="99"/>
    <w:qFormat/>
    <w:rsid w:val="00EC7052"/>
    <w:pPr>
      <w:widowControl w:val="0"/>
      <w:suppressAutoHyphens/>
      <w:autoSpaceDE w:val="0"/>
      <w:autoSpaceDN w:val="0"/>
      <w:adjustRightInd w:val="0"/>
      <w:spacing w:after="113" w:line="150" w:lineRule="atLeast"/>
      <w:ind w:left="170" w:hanging="170"/>
      <w:textAlignment w:val="center"/>
    </w:pPr>
    <w:rPr>
      <w:rFonts w:ascii="Arial" w:hAnsi="Arial" w:cs="MyriadPro-Light"/>
      <w:color w:val="000000"/>
      <w:position w:val="-2"/>
      <w:sz w:val="14"/>
      <w:szCs w:val="13"/>
    </w:rPr>
  </w:style>
  <w:style w:type="paragraph" w:customStyle="1" w:styleId="graphcategory">
    <w:name w:val="graph category"/>
    <w:basedOn w:val="Normal"/>
    <w:uiPriority w:val="99"/>
    <w:rsid w:val="00A43B5A"/>
    <w:pPr>
      <w:widowControl w:val="0"/>
      <w:suppressAutoHyphens/>
      <w:autoSpaceDE w:val="0"/>
      <w:autoSpaceDN w:val="0"/>
      <w:adjustRightInd w:val="0"/>
      <w:spacing w:line="170" w:lineRule="atLeast"/>
      <w:jc w:val="center"/>
      <w:textAlignment w:val="center"/>
    </w:pPr>
    <w:rPr>
      <w:rFonts w:ascii="Arial" w:hAnsi="Arial" w:cs="MyriadPro-Regular"/>
      <w:color w:val="000000"/>
      <w:sz w:val="16"/>
      <w:szCs w:val="16"/>
    </w:rPr>
  </w:style>
  <w:style w:type="paragraph" w:customStyle="1" w:styleId="graphvalue">
    <w:name w:val="graph value"/>
    <w:basedOn w:val="graphcategory"/>
    <w:uiPriority w:val="99"/>
    <w:qFormat/>
    <w:rsid w:val="00A43B5A"/>
    <w:pPr>
      <w:jc w:val="right"/>
    </w:pPr>
  </w:style>
  <w:style w:type="paragraph" w:customStyle="1" w:styleId="graph-table-mapsource">
    <w:name w:val="graph-table-map source"/>
    <w:basedOn w:val="Body"/>
    <w:uiPriority w:val="99"/>
    <w:rsid w:val="00B51C5D"/>
    <w:pPr>
      <w:spacing w:before="85" w:after="170"/>
    </w:pPr>
    <w:rPr>
      <w:rFonts w:cs="MyriadPro-Regular"/>
      <w:sz w:val="14"/>
      <w:szCs w:val="14"/>
    </w:rPr>
  </w:style>
  <w:style w:type="paragraph" w:customStyle="1" w:styleId="Table-graph-maptitle">
    <w:name w:val="Table-graph-map title"/>
    <w:basedOn w:val="Body"/>
    <w:link w:val="Table-graph-maptitleChar"/>
    <w:qFormat/>
    <w:rsid w:val="008F38E3"/>
    <w:pPr>
      <w:suppressAutoHyphens/>
      <w:spacing w:before="120" w:after="0" w:line="240" w:lineRule="atLeast"/>
      <w:ind w:left="720"/>
    </w:pPr>
    <w:rPr>
      <w:rFonts w:cs="MyriadPro-Regular"/>
      <w:b/>
      <w:color w:val="E6A532"/>
      <w:spacing w:val="-2"/>
      <w:szCs w:val="19"/>
    </w:rPr>
  </w:style>
  <w:style w:type="paragraph" w:customStyle="1" w:styleId="paneltext">
    <w:name w:val="panel text"/>
    <w:basedOn w:val="Normal"/>
    <w:uiPriority w:val="99"/>
    <w:rsid w:val="00B51C5D"/>
    <w:pPr>
      <w:widowControl w:val="0"/>
      <w:autoSpaceDE w:val="0"/>
      <w:autoSpaceDN w:val="0"/>
      <w:adjustRightInd w:val="0"/>
      <w:spacing w:after="113" w:line="236" w:lineRule="atLeast"/>
      <w:jc w:val="both"/>
      <w:textAlignment w:val="center"/>
    </w:pPr>
    <w:rPr>
      <w:rFonts w:ascii="Arial" w:hAnsi="Arial" w:cs="MyriadPro-Light"/>
      <w:color w:val="000000"/>
      <w:sz w:val="19"/>
      <w:szCs w:val="19"/>
    </w:rPr>
  </w:style>
  <w:style w:type="paragraph" w:customStyle="1" w:styleId="paneltitle1">
    <w:name w:val="panel title 1"/>
    <w:basedOn w:val="Normal"/>
    <w:uiPriority w:val="99"/>
    <w:rsid w:val="00550145"/>
    <w:pPr>
      <w:widowControl w:val="0"/>
      <w:suppressAutoHyphens/>
      <w:autoSpaceDE w:val="0"/>
      <w:autoSpaceDN w:val="0"/>
      <w:adjustRightInd w:val="0"/>
      <w:spacing w:before="113" w:after="113" w:line="280" w:lineRule="atLeast"/>
      <w:textAlignment w:val="center"/>
    </w:pPr>
    <w:rPr>
      <w:rFonts w:ascii="Arial" w:hAnsi="Arial" w:cs="MyriadPro-Regular"/>
      <w:caps/>
      <w:color w:val="5B3060"/>
    </w:rPr>
  </w:style>
  <w:style w:type="character" w:customStyle="1" w:styleId="Table-graph-mapsource">
    <w:name w:val="Table-graph-map source"/>
    <w:qFormat/>
    <w:rsid w:val="00B51C5D"/>
    <w:rPr>
      <w:rFonts w:ascii="Arial" w:hAnsi="Arial" w:cs="MyriadPro-It"/>
      <w:i/>
      <w:iCs/>
      <w:sz w:val="14"/>
      <w:szCs w:val="14"/>
    </w:rPr>
  </w:style>
  <w:style w:type="paragraph" w:styleId="CommentText">
    <w:name w:val="annotation text"/>
    <w:basedOn w:val="Normal"/>
    <w:link w:val="CommentTextChar"/>
    <w:rsid w:val="0029658F"/>
    <w:pPr>
      <w:shd w:val="pct5" w:color="CCECFF" w:fill="CCECFF"/>
    </w:pPr>
  </w:style>
  <w:style w:type="character" w:customStyle="1" w:styleId="CommentTextChar">
    <w:name w:val="Comment Text Char"/>
    <w:link w:val="CommentText"/>
    <w:rsid w:val="00A50DBC"/>
    <w:rPr>
      <w:rFonts w:ascii="Times" w:eastAsia="Times New Roman" w:hAnsi="Times"/>
      <w:szCs w:val="24"/>
      <w:shd w:val="pct5" w:color="CCECFF" w:fill="CCECFF"/>
      <w:lang w:val="en-US" w:eastAsia="en-US"/>
    </w:rPr>
  </w:style>
  <w:style w:type="paragraph" w:styleId="BalloonText">
    <w:name w:val="Balloon Text"/>
    <w:basedOn w:val="Normal"/>
    <w:link w:val="BalloonTextChar"/>
    <w:rsid w:val="0029658F"/>
    <w:rPr>
      <w:rFonts w:ascii="Tahoma" w:hAnsi="Tahoma" w:cs="Tahoma"/>
      <w:sz w:val="16"/>
      <w:szCs w:val="16"/>
    </w:rPr>
  </w:style>
  <w:style w:type="character" w:customStyle="1" w:styleId="BalloonTextChar">
    <w:name w:val="Balloon Text Char"/>
    <w:link w:val="BalloonText"/>
    <w:rsid w:val="00A50DBC"/>
    <w:rPr>
      <w:rFonts w:ascii="Tahoma" w:eastAsia="Times New Roman" w:hAnsi="Tahoma" w:cs="Tahoma"/>
      <w:sz w:val="16"/>
      <w:szCs w:val="16"/>
      <w:lang w:val="en-US" w:eastAsia="en-US"/>
    </w:rPr>
  </w:style>
  <w:style w:type="character" w:styleId="Hyperlink">
    <w:name w:val="Hyperlink"/>
    <w:rsid w:val="006D3FF8"/>
    <w:rPr>
      <w:color w:val="0066FF"/>
    </w:rPr>
  </w:style>
  <w:style w:type="paragraph" w:styleId="CommentSubject">
    <w:name w:val="annotation subject"/>
    <w:basedOn w:val="CommentText"/>
    <w:next w:val="CommentText"/>
    <w:link w:val="CommentSubjectChar"/>
    <w:rsid w:val="0029658F"/>
    <w:pPr>
      <w:shd w:val="clear" w:color="auto" w:fill="auto"/>
    </w:pPr>
    <w:rPr>
      <w:b/>
      <w:bCs/>
    </w:rPr>
  </w:style>
  <w:style w:type="character" w:customStyle="1" w:styleId="CommentSubjectChar">
    <w:name w:val="Comment Subject Char"/>
    <w:link w:val="CommentSubject"/>
    <w:rsid w:val="00A50DBC"/>
    <w:rPr>
      <w:rFonts w:ascii="Times" w:eastAsia="Times New Roman" w:hAnsi="Times"/>
      <w:b/>
      <w:bCs/>
      <w:szCs w:val="24"/>
      <w:lang w:val="en-US" w:eastAsia="en-US"/>
    </w:rPr>
  </w:style>
  <w:style w:type="character" w:customStyle="1" w:styleId="Table-graph-mapunitChar">
    <w:name w:val="Table-graph-map unit Char"/>
    <w:link w:val="Table-graph-mapunit"/>
    <w:rsid w:val="00D2713A"/>
    <w:rPr>
      <w:rFonts w:ascii="Arial" w:eastAsia="Times New Roman" w:hAnsi="Arial" w:cs="MyriadPro-Regular"/>
      <w:color w:val="5F5F5F"/>
      <w:spacing w:val="-2"/>
      <w:sz w:val="19"/>
      <w:szCs w:val="19"/>
      <w:lang w:eastAsia="en-US"/>
    </w:rPr>
  </w:style>
  <w:style w:type="character" w:customStyle="1" w:styleId="HeaderChar">
    <w:name w:val="Header Char"/>
    <w:link w:val="Header"/>
    <w:rsid w:val="008D7F91"/>
    <w:rPr>
      <w:rFonts w:ascii="Times" w:eastAsia="Times New Roman" w:hAnsi="Times"/>
      <w:szCs w:val="24"/>
      <w:lang w:val="en-US" w:eastAsia="en-US"/>
    </w:rPr>
  </w:style>
  <w:style w:type="paragraph" w:styleId="Footer">
    <w:name w:val="footer"/>
    <w:basedOn w:val="Normal"/>
    <w:link w:val="FooterChar"/>
    <w:uiPriority w:val="99"/>
    <w:unhideWhenUsed/>
    <w:rsid w:val="008D7F91"/>
    <w:pPr>
      <w:tabs>
        <w:tab w:val="center" w:pos="4513"/>
        <w:tab w:val="right" w:pos="9026"/>
      </w:tabs>
    </w:pPr>
  </w:style>
  <w:style w:type="paragraph" w:customStyle="1" w:styleId="Heading2">
    <w:name w:val="Heading 2 #"/>
    <w:basedOn w:val="Heading20"/>
    <w:link w:val="Heading2Char0"/>
    <w:qFormat/>
    <w:rsid w:val="00AE4A53"/>
    <w:pPr>
      <w:numPr>
        <w:numId w:val="23"/>
      </w:numPr>
      <w:ind w:left="0" w:firstLine="0"/>
    </w:pPr>
  </w:style>
  <w:style w:type="character" w:customStyle="1" w:styleId="Heading1Char0">
    <w:name w:val="Heading 1 # Char"/>
    <w:basedOn w:val="Heading1Char"/>
    <w:link w:val="Heading10"/>
    <w:rsid w:val="00BD432F"/>
    <w:rPr>
      <w:rFonts w:ascii="Arial" w:eastAsia="Times New Roman" w:hAnsi="Arial" w:cs="MyriadPro-Regular"/>
      <w:b/>
      <w:color w:val="AF4B91"/>
      <w:sz w:val="44"/>
      <w:szCs w:val="40"/>
      <w:lang w:eastAsia="en-US"/>
    </w:rPr>
  </w:style>
  <w:style w:type="table" w:styleId="TableGrid">
    <w:name w:val="Table Grid"/>
    <w:basedOn w:val="TableNormal"/>
    <w:uiPriority w:val="59"/>
    <w:rsid w:val="00AF4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0">
    <w:name w:val="Heading 2 # Char"/>
    <w:basedOn w:val="Heading2Char"/>
    <w:link w:val="Heading2"/>
    <w:rsid w:val="00AE4A53"/>
    <w:rPr>
      <w:rFonts w:ascii="Arial" w:eastAsia="Times New Roman" w:hAnsi="Arial" w:cs="MyriadPro-Regular"/>
      <w:b/>
      <w:color w:val="808080"/>
      <w:sz w:val="30"/>
      <w:szCs w:val="40"/>
      <w:lang w:eastAsia="en-US"/>
    </w:rPr>
  </w:style>
  <w:style w:type="paragraph" w:customStyle="1" w:styleId="Heading3">
    <w:name w:val="Heading 3 #"/>
    <w:basedOn w:val="Heading30"/>
    <w:link w:val="Heading3Char0"/>
    <w:qFormat/>
    <w:rsid w:val="009C00E4"/>
    <w:pPr>
      <w:numPr>
        <w:numId w:val="24"/>
      </w:numPr>
      <w:ind w:left="0" w:hanging="5"/>
    </w:pPr>
  </w:style>
  <w:style w:type="paragraph" w:customStyle="1" w:styleId="Heading4">
    <w:name w:val="Heading 4 #"/>
    <w:basedOn w:val="Heading40"/>
    <w:link w:val="Heading4Char0"/>
    <w:qFormat/>
    <w:rsid w:val="00BD432F"/>
    <w:pPr>
      <w:numPr>
        <w:numId w:val="25"/>
      </w:numPr>
      <w:ind w:left="0" w:firstLine="0"/>
    </w:pPr>
  </w:style>
  <w:style w:type="character" w:customStyle="1" w:styleId="Heading3Char0">
    <w:name w:val="Heading 3 # Char"/>
    <w:basedOn w:val="Heading3Char"/>
    <w:link w:val="Heading3"/>
    <w:rsid w:val="009C00E4"/>
    <w:rPr>
      <w:rFonts w:ascii="Arial" w:eastAsia="Times New Roman" w:hAnsi="Arial" w:cs="MyriadPro-Regular"/>
      <w:b/>
      <w:caps/>
      <w:color w:val="AF4B91"/>
      <w:sz w:val="22"/>
      <w:szCs w:val="40"/>
      <w:lang w:eastAsia="en-US"/>
    </w:rPr>
  </w:style>
  <w:style w:type="numbering" w:customStyle="1" w:styleId="Style1">
    <w:name w:val="Style1"/>
    <w:rsid w:val="00BD432F"/>
    <w:pPr>
      <w:numPr>
        <w:numId w:val="28"/>
      </w:numPr>
    </w:pPr>
  </w:style>
  <w:style w:type="character" w:customStyle="1" w:styleId="Heading4Char0">
    <w:name w:val="Heading 4 # Char"/>
    <w:link w:val="Heading4"/>
    <w:rsid w:val="00BD432F"/>
    <w:rPr>
      <w:rFonts w:ascii="Arial" w:eastAsia="Times New Roman" w:hAnsi="Arial" w:cs="Times-Roman"/>
      <w:b/>
      <w:color w:val="A6A6A6"/>
      <w:sz w:val="22"/>
      <w:lang w:eastAsia="en-US"/>
    </w:rPr>
  </w:style>
  <w:style w:type="paragraph" w:customStyle="1" w:styleId="Bodybulletlist">
    <w:name w:val="Body bullet list"/>
    <w:basedOn w:val="Body"/>
    <w:link w:val="BodybulletlistChar"/>
    <w:qFormat/>
    <w:rsid w:val="008F38E3"/>
    <w:pPr>
      <w:numPr>
        <w:numId w:val="32"/>
      </w:numPr>
      <w:tabs>
        <w:tab w:val="left" w:pos="284"/>
      </w:tabs>
      <w:ind w:hanging="720"/>
    </w:pPr>
  </w:style>
  <w:style w:type="paragraph" w:customStyle="1" w:styleId="Bodynumber">
    <w:name w:val="Body number"/>
    <w:basedOn w:val="Bodybulletlist"/>
    <w:link w:val="BodynumberChar"/>
    <w:qFormat/>
    <w:rsid w:val="00281DCD"/>
    <w:pPr>
      <w:numPr>
        <w:numId w:val="30"/>
      </w:numPr>
      <w:ind w:left="284" w:hanging="295"/>
    </w:pPr>
  </w:style>
  <w:style w:type="character" w:customStyle="1" w:styleId="BodyChar">
    <w:name w:val="Body Char"/>
    <w:link w:val="Body"/>
    <w:rsid w:val="00C15DF3"/>
    <w:rPr>
      <w:rFonts w:ascii="Arial" w:eastAsia="Times New Roman" w:hAnsi="Arial" w:cs="Times-Roman"/>
      <w:color w:val="000000"/>
      <w:sz w:val="19"/>
    </w:rPr>
  </w:style>
  <w:style w:type="character" w:customStyle="1" w:styleId="BodybulletlistChar">
    <w:name w:val="Body bullet list Char"/>
    <w:basedOn w:val="BodyChar"/>
    <w:link w:val="Bodybulletlist"/>
    <w:rsid w:val="008F38E3"/>
    <w:rPr>
      <w:rFonts w:ascii="Arial" w:eastAsia="Times New Roman" w:hAnsi="Arial" w:cs="Times-Roman"/>
      <w:color w:val="000000"/>
      <w:sz w:val="19"/>
      <w:lang w:eastAsia="en-US"/>
    </w:rPr>
  </w:style>
  <w:style w:type="character" w:customStyle="1" w:styleId="FooterChar">
    <w:name w:val="Footer Char"/>
    <w:link w:val="Footer"/>
    <w:uiPriority w:val="99"/>
    <w:rsid w:val="008D7F91"/>
    <w:rPr>
      <w:rFonts w:ascii="Times" w:eastAsia="Times New Roman" w:hAnsi="Times"/>
      <w:szCs w:val="24"/>
      <w:lang w:val="en-US" w:eastAsia="en-US"/>
    </w:rPr>
  </w:style>
  <w:style w:type="character" w:customStyle="1" w:styleId="BodynumberChar">
    <w:name w:val="Body number Char"/>
    <w:basedOn w:val="BodybulletlistChar"/>
    <w:link w:val="Bodynumber"/>
    <w:rsid w:val="00281DCD"/>
    <w:rPr>
      <w:rFonts w:ascii="Arial" w:eastAsia="Times New Roman" w:hAnsi="Arial" w:cs="Times-Roman"/>
      <w:color w:val="000000"/>
      <w:sz w:val="19"/>
      <w:lang w:eastAsia="en-US"/>
    </w:rPr>
  </w:style>
  <w:style w:type="paragraph" w:customStyle="1" w:styleId="Boxtitle">
    <w:name w:val="Box title"/>
    <w:basedOn w:val="Body"/>
    <w:link w:val="BoxtitleChar"/>
    <w:uiPriority w:val="1"/>
    <w:qFormat/>
    <w:rsid w:val="007A7716"/>
    <w:pPr>
      <w:spacing w:before="120" w:after="120"/>
    </w:pPr>
    <w:rPr>
      <w:rFonts w:cs="Times New Roman"/>
      <w:b/>
      <w:bCs/>
      <w:color w:val="AF4B91"/>
      <w:sz w:val="30"/>
    </w:rPr>
  </w:style>
  <w:style w:type="paragraph" w:customStyle="1" w:styleId="Bodythemecolourbold">
    <w:name w:val="Body theme colour bold"/>
    <w:basedOn w:val="Body"/>
    <w:link w:val="BodythemecolourboldChar"/>
    <w:uiPriority w:val="1"/>
    <w:qFormat/>
    <w:rsid w:val="005B109E"/>
    <w:rPr>
      <w:b/>
      <w:color w:val="AF4B91"/>
    </w:rPr>
  </w:style>
  <w:style w:type="paragraph" w:customStyle="1" w:styleId="Chaptertitle">
    <w:name w:val="Chapter title"/>
    <w:basedOn w:val="Body"/>
    <w:qFormat/>
    <w:rsid w:val="00626CD7"/>
    <w:pPr>
      <w:spacing w:after="480"/>
    </w:pPr>
    <w:rPr>
      <w:rFonts w:cs="Times New Roman"/>
      <w:b/>
      <w:bCs/>
      <w:color w:val="AF4B91"/>
      <w:sz w:val="56"/>
    </w:rPr>
  </w:style>
  <w:style w:type="character" w:customStyle="1" w:styleId="BodythemecolourboldChar">
    <w:name w:val="Body theme colour bold Char"/>
    <w:link w:val="Bodythemecolourbold"/>
    <w:uiPriority w:val="1"/>
    <w:rsid w:val="005B109E"/>
    <w:rPr>
      <w:rFonts w:ascii="Arial" w:eastAsia="Times New Roman" w:hAnsi="Arial" w:cs="Times-Roman"/>
      <w:b/>
      <w:color w:val="AF4B91"/>
      <w:sz w:val="19"/>
      <w:lang w:eastAsia="en-US"/>
    </w:rPr>
  </w:style>
  <w:style w:type="paragraph" w:customStyle="1" w:styleId="Chapternumber">
    <w:name w:val="Chapter number"/>
    <w:basedOn w:val="Body"/>
    <w:qFormat/>
    <w:rsid w:val="000F4703"/>
    <w:pPr>
      <w:spacing w:after="0" w:line="0" w:lineRule="atLeast"/>
      <w:jc w:val="right"/>
    </w:pPr>
    <w:rPr>
      <w:rFonts w:cs="Times New Roman"/>
      <w:b/>
      <w:bCs/>
      <w:color w:val="AF4B91"/>
      <w:position w:val="-6"/>
      <w:sz w:val="260"/>
    </w:rPr>
  </w:style>
  <w:style w:type="paragraph" w:customStyle="1" w:styleId="Bodywhitebold">
    <w:name w:val="Body white bold"/>
    <w:basedOn w:val="Body"/>
    <w:link w:val="BodywhiteboldChar"/>
    <w:uiPriority w:val="1"/>
    <w:qFormat/>
    <w:rsid w:val="006944BE"/>
    <w:rPr>
      <w:b/>
      <w:color w:val="FFFFFF"/>
    </w:rPr>
  </w:style>
  <w:style w:type="paragraph" w:customStyle="1" w:styleId="Boxtitlewhite">
    <w:name w:val="Box title white"/>
    <w:basedOn w:val="Boxtitle"/>
    <w:link w:val="BoxtitlewhiteChar"/>
    <w:uiPriority w:val="1"/>
    <w:qFormat/>
    <w:rsid w:val="006944BE"/>
    <w:rPr>
      <w:color w:val="FFFFFF"/>
    </w:rPr>
  </w:style>
  <w:style w:type="character" w:customStyle="1" w:styleId="BodywhiteboldChar">
    <w:name w:val="Body white bold Char"/>
    <w:link w:val="Bodywhitebold"/>
    <w:uiPriority w:val="1"/>
    <w:rsid w:val="006944BE"/>
    <w:rPr>
      <w:rFonts w:ascii="Arial" w:eastAsia="Times New Roman" w:hAnsi="Arial" w:cs="Times-Roman"/>
      <w:b/>
      <w:color w:val="FFFFFF"/>
      <w:sz w:val="19"/>
      <w:lang w:eastAsia="en-US"/>
    </w:rPr>
  </w:style>
  <w:style w:type="paragraph" w:styleId="ListParagraph">
    <w:name w:val="List Paragraph"/>
    <w:basedOn w:val="Normal"/>
    <w:uiPriority w:val="34"/>
    <w:qFormat/>
    <w:rsid w:val="00AC7E7A"/>
    <w:pPr>
      <w:ind w:left="720"/>
    </w:pPr>
    <w:rPr>
      <w:rFonts w:ascii="Calibri" w:eastAsia="Calibri" w:hAnsi="Calibri" w:cs="Calibri"/>
      <w:sz w:val="22"/>
      <w:szCs w:val="22"/>
    </w:rPr>
  </w:style>
  <w:style w:type="character" w:customStyle="1" w:styleId="BoxtitleChar">
    <w:name w:val="Box title Char"/>
    <w:link w:val="Boxtitle"/>
    <w:uiPriority w:val="1"/>
    <w:rsid w:val="006944BE"/>
    <w:rPr>
      <w:rFonts w:ascii="Arial" w:eastAsia="Times New Roman" w:hAnsi="Arial" w:cs="Times-Roman"/>
      <w:b/>
      <w:bCs/>
      <w:color w:val="AF4B91"/>
      <w:sz w:val="30"/>
      <w:lang w:eastAsia="en-US"/>
    </w:rPr>
  </w:style>
  <w:style w:type="character" w:customStyle="1" w:styleId="BoxtitlewhiteChar">
    <w:name w:val="Box title white Char"/>
    <w:link w:val="Boxtitlewhite"/>
    <w:uiPriority w:val="1"/>
    <w:rsid w:val="006944BE"/>
    <w:rPr>
      <w:rFonts w:ascii="Arial" w:eastAsia="Times New Roman" w:hAnsi="Arial" w:cs="Times-Roman"/>
      <w:b/>
      <w:bCs/>
      <w:color w:val="FFFFFF"/>
      <w:sz w:val="30"/>
      <w:lang w:eastAsia="en-US"/>
    </w:rPr>
  </w:style>
  <w:style w:type="paragraph" w:styleId="TOCHeading">
    <w:name w:val="TOC Heading"/>
    <w:basedOn w:val="Heading1"/>
    <w:next w:val="Normal"/>
    <w:uiPriority w:val="39"/>
    <w:semiHidden/>
    <w:unhideWhenUsed/>
    <w:qFormat/>
    <w:rsid w:val="008D47A9"/>
    <w:pPr>
      <w:keepNext/>
      <w:keepLines/>
      <w:widowControl/>
      <w:suppressAutoHyphens w:val="0"/>
      <w:autoSpaceDE/>
      <w:autoSpaceDN/>
      <w:adjustRightInd/>
      <w:spacing w:before="480" w:after="0" w:line="276" w:lineRule="auto"/>
      <w:jc w:val="left"/>
      <w:textAlignment w:val="auto"/>
      <w:outlineLvl w:val="9"/>
    </w:pPr>
    <w:rPr>
      <w:rFonts w:ascii="Cambria" w:eastAsia="MS Gothic" w:hAnsi="Cambria" w:cs="Times New Roman"/>
      <w:bCs/>
      <w:color w:val="365F91"/>
      <w:sz w:val="28"/>
      <w:szCs w:val="28"/>
      <w:lang w:val="en-US" w:eastAsia="ja-JP"/>
    </w:rPr>
  </w:style>
  <w:style w:type="paragraph" w:styleId="TOC1">
    <w:name w:val="toc 1"/>
    <w:basedOn w:val="Normal"/>
    <w:next w:val="Normal"/>
    <w:autoRedefine/>
    <w:uiPriority w:val="39"/>
    <w:unhideWhenUsed/>
    <w:rsid w:val="007A08C3"/>
    <w:pPr>
      <w:spacing w:before="160" w:after="120"/>
    </w:pPr>
    <w:rPr>
      <w:rFonts w:ascii="Arial" w:hAnsi="Arial" w:cs="Calibri"/>
      <w:b/>
      <w:bCs/>
      <w:sz w:val="22"/>
      <w:szCs w:val="20"/>
    </w:rPr>
  </w:style>
  <w:style w:type="paragraph" w:styleId="TOC2">
    <w:name w:val="toc 2"/>
    <w:basedOn w:val="Normal"/>
    <w:next w:val="Normal"/>
    <w:autoRedefine/>
    <w:uiPriority w:val="39"/>
    <w:unhideWhenUsed/>
    <w:rsid w:val="007A08C3"/>
    <w:pPr>
      <w:spacing w:before="120" w:after="120"/>
      <w:ind w:left="284"/>
    </w:pPr>
    <w:rPr>
      <w:rFonts w:ascii="Arial" w:hAnsi="Arial" w:cs="Calibri"/>
      <w:b/>
      <w:iCs/>
      <w:sz w:val="19"/>
      <w:szCs w:val="20"/>
    </w:rPr>
  </w:style>
  <w:style w:type="paragraph" w:styleId="TOC3">
    <w:name w:val="toc 3"/>
    <w:basedOn w:val="Normal"/>
    <w:next w:val="Normal"/>
    <w:autoRedefine/>
    <w:uiPriority w:val="39"/>
    <w:unhideWhenUsed/>
    <w:rsid w:val="007A08C3"/>
    <w:pPr>
      <w:tabs>
        <w:tab w:val="right" w:leader="dot" w:pos="8487"/>
      </w:tabs>
      <w:spacing w:before="60" w:after="60"/>
      <w:ind w:left="567"/>
    </w:pPr>
    <w:rPr>
      <w:rFonts w:ascii="Arial" w:hAnsi="Arial" w:cs="Calibri"/>
      <w:color w:val="000000" w:themeColor="text1"/>
      <w:sz w:val="19"/>
      <w:szCs w:val="20"/>
    </w:rPr>
  </w:style>
  <w:style w:type="paragraph" w:styleId="TOC4">
    <w:name w:val="toc 4"/>
    <w:basedOn w:val="Normal"/>
    <w:next w:val="Normal"/>
    <w:autoRedefine/>
    <w:uiPriority w:val="39"/>
    <w:unhideWhenUsed/>
    <w:rsid w:val="007A08C3"/>
    <w:pPr>
      <w:spacing w:before="60" w:after="60"/>
      <w:ind w:left="851"/>
    </w:pPr>
    <w:rPr>
      <w:rFonts w:ascii="Arial" w:hAnsi="Arial" w:cs="Calibri"/>
      <w:sz w:val="19"/>
      <w:szCs w:val="20"/>
    </w:rPr>
  </w:style>
  <w:style w:type="paragraph" w:styleId="TOC5">
    <w:name w:val="toc 5"/>
    <w:basedOn w:val="Normal"/>
    <w:next w:val="Normal"/>
    <w:autoRedefine/>
    <w:uiPriority w:val="39"/>
    <w:unhideWhenUsed/>
    <w:rsid w:val="007A08C3"/>
    <w:pPr>
      <w:spacing w:before="60" w:after="60"/>
      <w:ind w:left="1134"/>
    </w:pPr>
    <w:rPr>
      <w:rFonts w:ascii="Arial" w:hAnsi="Arial" w:cs="Calibri"/>
      <w:color w:val="808080" w:themeColor="background1" w:themeShade="80"/>
      <w:sz w:val="19"/>
      <w:szCs w:val="20"/>
    </w:rPr>
  </w:style>
  <w:style w:type="paragraph" w:styleId="TOC6">
    <w:name w:val="toc 6"/>
    <w:basedOn w:val="Normal"/>
    <w:next w:val="Normal"/>
    <w:autoRedefine/>
    <w:uiPriority w:val="39"/>
    <w:unhideWhenUsed/>
    <w:rsid w:val="00F974C8"/>
    <w:pPr>
      <w:tabs>
        <w:tab w:val="right" w:leader="dot" w:pos="8487"/>
      </w:tabs>
      <w:spacing w:before="60" w:after="60"/>
      <w:ind w:left="998"/>
    </w:pPr>
    <w:rPr>
      <w:rFonts w:ascii="Calibri" w:hAnsi="Calibri" w:cs="Calibri"/>
      <w:szCs w:val="20"/>
    </w:rPr>
  </w:style>
  <w:style w:type="paragraph" w:styleId="TOC7">
    <w:name w:val="toc 7"/>
    <w:basedOn w:val="Normal"/>
    <w:next w:val="Normal"/>
    <w:autoRedefine/>
    <w:uiPriority w:val="39"/>
    <w:unhideWhenUsed/>
    <w:rsid w:val="00D338AE"/>
    <w:pPr>
      <w:ind w:left="1200"/>
    </w:pPr>
    <w:rPr>
      <w:rFonts w:ascii="Calibri" w:hAnsi="Calibri" w:cs="Calibri"/>
      <w:szCs w:val="20"/>
    </w:rPr>
  </w:style>
  <w:style w:type="paragraph" w:styleId="TOC8">
    <w:name w:val="toc 8"/>
    <w:basedOn w:val="Normal"/>
    <w:next w:val="Normal"/>
    <w:autoRedefine/>
    <w:uiPriority w:val="39"/>
    <w:unhideWhenUsed/>
    <w:rsid w:val="00D338AE"/>
    <w:pPr>
      <w:ind w:left="1400"/>
    </w:pPr>
    <w:rPr>
      <w:rFonts w:ascii="Calibri" w:hAnsi="Calibri" w:cs="Calibri"/>
      <w:szCs w:val="20"/>
    </w:rPr>
  </w:style>
  <w:style w:type="paragraph" w:styleId="TOC9">
    <w:name w:val="toc 9"/>
    <w:basedOn w:val="Normal"/>
    <w:next w:val="Normal"/>
    <w:autoRedefine/>
    <w:uiPriority w:val="39"/>
    <w:unhideWhenUsed/>
    <w:rsid w:val="00D338AE"/>
    <w:pPr>
      <w:ind w:left="1600"/>
    </w:pPr>
    <w:rPr>
      <w:rFonts w:ascii="Calibri" w:hAnsi="Calibri" w:cs="Calibri"/>
      <w:szCs w:val="20"/>
    </w:rPr>
  </w:style>
  <w:style w:type="character" w:styleId="Strong">
    <w:name w:val="Strong"/>
    <w:basedOn w:val="DefaultParagraphFont"/>
    <w:uiPriority w:val="22"/>
    <w:qFormat/>
    <w:rsid w:val="00403FEF"/>
    <w:rPr>
      <w:b/>
      <w:bCs/>
    </w:rPr>
  </w:style>
  <w:style w:type="paragraph" w:styleId="NormalWeb">
    <w:name w:val="Normal (Web)"/>
    <w:basedOn w:val="Normal"/>
    <w:uiPriority w:val="99"/>
    <w:semiHidden/>
    <w:unhideWhenUsed/>
    <w:rsid w:val="00403FEF"/>
    <w:pPr>
      <w:spacing w:before="100" w:beforeAutospacing="1" w:after="100" w:afterAutospacing="1"/>
    </w:pPr>
    <w:rPr>
      <w:rFonts w:ascii="Times New Roman" w:hAnsi="Times New Roman"/>
      <w:sz w:val="24"/>
      <w:lang w:eastAsia="en-GB"/>
    </w:rPr>
  </w:style>
  <w:style w:type="numbering" w:customStyle="1" w:styleId="NoList1">
    <w:name w:val="No List1"/>
    <w:next w:val="NoList"/>
    <w:uiPriority w:val="99"/>
    <w:semiHidden/>
    <w:unhideWhenUsed/>
    <w:rsid w:val="005D1689"/>
  </w:style>
  <w:style w:type="character" w:styleId="SubtleReference">
    <w:name w:val="Subtle Reference"/>
    <w:basedOn w:val="DefaultParagraphFont"/>
    <w:uiPriority w:val="31"/>
    <w:qFormat/>
    <w:rsid w:val="005D1689"/>
    <w:rPr>
      <w:smallCaps/>
      <w:color w:val="C0504D" w:themeColor="accent2"/>
      <w:u w:val="single"/>
    </w:rPr>
  </w:style>
  <w:style w:type="paragraph" w:customStyle="1" w:styleId="5Normal">
    <w:name w:val="5 Normal"/>
    <w:rsid w:val="005D168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eastAsia="Calibri" w:hAnsi="Arial"/>
      <w:spacing w:val="-2"/>
      <w:sz w:val="22"/>
    </w:rPr>
  </w:style>
  <w:style w:type="table" w:customStyle="1" w:styleId="TableGrid1">
    <w:name w:val="Table Grid1"/>
    <w:basedOn w:val="TableNormal"/>
    <w:next w:val="TableGrid"/>
    <w:uiPriority w:val="39"/>
    <w:rsid w:val="005D16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rsid w:val="005D1689"/>
    <w:rPr>
      <w:rFonts w:ascii="Times New Roman" w:hAnsi="Times New Roman"/>
      <w:szCs w:val="20"/>
      <w:lang w:eastAsia="en-GB"/>
    </w:rPr>
  </w:style>
  <w:style w:type="character" w:customStyle="1" w:styleId="FootnoteTextChar">
    <w:name w:val="Footnote Text Char"/>
    <w:basedOn w:val="DefaultParagraphFont"/>
    <w:rsid w:val="005D1689"/>
    <w:rPr>
      <w:rFonts w:ascii="Times New Roman" w:eastAsia="Times New Roman" w:hAnsi="Times New Roman"/>
    </w:rPr>
  </w:style>
  <w:style w:type="character" w:styleId="FootnoteReference">
    <w:name w:val="footnote reference"/>
    <w:basedOn w:val="DefaultParagraphFont"/>
    <w:rsid w:val="005D1689"/>
    <w:rPr>
      <w:vertAlign w:val="superscript"/>
    </w:rPr>
  </w:style>
  <w:style w:type="character" w:styleId="PlaceholderText">
    <w:name w:val="Placeholder Text"/>
    <w:basedOn w:val="DefaultParagraphFont"/>
    <w:uiPriority w:val="99"/>
    <w:semiHidden/>
    <w:rsid w:val="005D1689"/>
    <w:rPr>
      <w:color w:val="808080"/>
    </w:rPr>
  </w:style>
  <w:style w:type="character" w:styleId="CommentReference">
    <w:name w:val="annotation reference"/>
    <w:basedOn w:val="DefaultParagraphFont"/>
    <w:rsid w:val="005D1689"/>
    <w:rPr>
      <w:sz w:val="16"/>
      <w:szCs w:val="16"/>
    </w:rPr>
  </w:style>
  <w:style w:type="paragraph" w:styleId="Revision">
    <w:name w:val="Revision"/>
    <w:hidden/>
    <w:uiPriority w:val="99"/>
    <w:semiHidden/>
    <w:rsid w:val="005D168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7795">
      <w:bodyDiv w:val="1"/>
      <w:marLeft w:val="0"/>
      <w:marRight w:val="0"/>
      <w:marTop w:val="0"/>
      <w:marBottom w:val="0"/>
      <w:divBdr>
        <w:top w:val="none" w:sz="0" w:space="0" w:color="auto"/>
        <w:left w:val="none" w:sz="0" w:space="0" w:color="auto"/>
        <w:bottom w:val="none" w:sz="0" w:space="0" w:color="auto"/>
        <w:right w:val="none" w:sz="0" w:space="0" w:color="auto"/>
      </w:divBdr>
    </w:div>
    <w:div w:id="331108915">
      <w:bodyDiv w:val="1"/>
      <w:marLeft w:val="0"/>
      <w:marRight w:val="0"/>
      <w:marTop w:val="0"/>
      <w:marBottom w:val="0"/>
      <w:divBdr>
        <w:top w:val="none" w:sz="0" w:space="0" w:color="auto"/>
        <w:left w:val="none" w:sz="0" w:space="0" w:color="auto"/>
        <w:bottom w:val="none" w:sz="0" w:space="0" w:color="auto"/>
        <w:right w:val="none" w:sz="0" w:space="0" w:color="auto"/>
      </w:divBdr>
    </w:div>
    <w:div w:id="1209876238">
      <w:bodyDiv w:val="1"/>
      <w:marLeft w:val="0"/>
      <w:marRight w:val="0"/>
      <w:marTop w:val="0"/>
      <w:marBottom w:val="0"/>
      <w:divBdr>
        <w:top w:val="none" w:sz="0" w:space="0" w:color="auto"/>
        <w:left w:val="none" w:sz="0" w:space="0" w:color="auto"/>
        <w:bottom w:val="none" w:sz="0" w:space="0" w:color="auto"/>
        <w:right w:val="none" w:sz="0" w:space="0" w:color="auto"/>
      </w:divBdr>
    </w:div>
    <w:div w:id="157196531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8.emf"/><Relationship Id="rId26" Type="http://schemas.openxmlformats.org/officeDocument/2006/relationships/hyperlink" Target="https://www.ons.gov.uk/employmentandlabourmarket/peopleinwork/earningsandworkinghours/articles/understandingthegenderpaygapintheuk/2018-01-17" TargetMode="Externa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hyperlink" Target="https://www.cbs.nl/nl-nl/maatwerk/2016/47/gelijk-loon-voor-gelijk-werk-banen-en-lonen-bij-de-overheid-en-bedrijfsleven-2014" TargetMode="External"/><Relationship Id="rId2" Type="http://schemas.openxmlformats.org/officeDocument/2006/relationships/numbering" Target="numbering.xml"/><Relationship Id="rId16" Type="http://schemas.openxmlformats.org/officeDocument/2006/relationships/hyperlink" Target="http://ec.europa.eu/eurostat/product?code=lfsa_ergaed&amp;language=en&amp;mode=view" TargetMode="External"/><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s://www.destatis.de/DE/Publikationen/WirtschaftStatistik/2017/02/Verdienstunterschiede_022017.pdf?__blob=publicationFile" TargetMode="Externa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https://www.sfi.dk/publikationer/loenforskelle-mellem-maend-og-kvinder-2007-2011-3639/" TargetMode="Externa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hyperlink" Target="http://statbel.fgov.be/sites/default/files/2017-12/Rapport%20Ecart%20salarial%202017.pdf" TargetMode="External"/><Relationship Id="rId27" Type="http://schemas.openxmlformats.org/officeDocument/2006/relationships/hyperlink" Target="https://www.bfs.admin.ch/bfsstatic/dam/assets/2118701/m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16B4B-2AF7-48C2-844D-E4451648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25</Pages>
  <Words>6449</Words>
  <Characters>36522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OPOCE</Company>
  <LinksUpToDate>false</LinksUpToDate>
  <CharactersWithSpaces>42886</CharactersWithSpaces>
  <SharedDoc>false</SharedDoc>
  <HLinks>
    <vt:vector size="114" baseType="variant">
      <vt:variant>
        <vt:i4>1114162</vt:i4>
      </vt:variant>
      <vt:variant>
        <vt:i4>110</vt:i4>
      </vt:variant>
      <vt:variant>
        <vt:i4>0</vt:i4>
      </vt:variant>
      <vt:variant>
        <vt:i4>5</vt:i4>
      </vt:variant>
      <vt:variant>
        <vt:lpwstr/>
      </vt:variant>
      <vt:variant>
        <vt:lpwstr>_Toc446343423</vt:lpwstr>
      </vt:variant>
      <vt:variant>
        <vt:i4>1114162</vt:i4>
      </vt:variant>
      <vt:variant>
        <vt:i4>104</vt:i4>
      </vt:variant>
      <vt:variant>
        <vt:i4>0</vt:i4>
      </vt:variant>
      <vt:variant>
        <vt:i4>5</vt:i4>
      </vt:variant>
      <vt:variant>
        <vt:lpwstr/>
      </vt:variant>
      <vt:variant>
        <vt:lpwstr>_Toc446343422</vt:lpwstr>
      </vt:variant>
      <vt:variant>
        <vt:i4>1114162</vt:i4>
      </vt:variant>
      <vt:variant>
        <vt:i4>98</vt:i4>
      </vt:variant>
      <vt:variant>
        <vt:i4>0</vt:i4>
      </vt:variant>
      <vt:variant>
        <vt:i4>5</vt:i4>
      </vt:variant>
      <vt:variant>
        <vt:lpwstr/>
      </vt:variant>
      <vt:variant>
        <vt:lpwstr>_Toc446343421</vt:lpwstr>
      </vt:variant>
      <vt:variant>
        <vt:i4>1114162</vt:i4>
      </vt:variant>
      <vt:variant>
        <vt:i4>92</vt:i4>
      </vt:variant>
      <vt:variant>
        <vt:i4>0</vt:i4>
      </vt:variant>
      <vt:variant>
        <vt:i4>5</vt:i4>
      </vt:variant>
      <vt:variant>
        <vt:lpwstr/>
      </vt:variant>
      <vt:variant>
        <vt:lpwstr>_Toc446343420</vt:lpwstr>
      </vt:variant>
      <vt:variant>
        <vt:i4>1179698</vt:i4>
      </vt:variant>
      <vt:variant>
        <vt:i4>86</vt:i4>
      </vt:variant>
      <vt:variant>
        <vt:i4>0</vt:i4>
      </vt:variant>
      <vt:variant>
        <vt:i4>5</vt:i4>
      </vt:variant>
      <vt:variant>
        <vt:lpwstr/>
      </vt:variant>
      <vt:variant>
        <vt:lpwstr>_Toc446343419</vt:lpwstr>
      </vt:variant>
      <vt:variant>
        <vt:i4>1179698</vt:i4>
      </vt:variant>
      <vt:variant>
        <vt:i4>80</vt:i4>
      </vt:variant>
      <vt:variant>
        <vt:i4>0</vt:i4>
      </vt:variant>
      <vt:variant>
        <vt:i4>5</vt:i4>
      </vt:variant>
      <vt:variant>
        <vt:lpwstr/>
      </vt:variant>
      <vt:variant>
        <vt:lpwstr>_Toc446343418</vt:lpwstr>
      </vt:variant>
      <vt:variant>
        <vt:i4>1179698</vt:i4>
      </vt:variant>
      <vt:variant>
        <vt:i4>74</vt:i4>
      </vt:variant>
      <vt:variant>
        <vt:i4>0</vt:i4>
      </vt:variant>
      <vt:variant>
        <vt:i4>5</vt:i4>
      </vt:variant>
      <vt:variant>
        <vt:lpwstr/>
      </vt:variant>
      <vt:variant>
        <vt:lpwstr>_Toc446343417</vt:lpwstr>
      </vt:variant>
      <vt:variant>
        <vt:i4>1179698</vt:i4>
      </vt:variant>
      <vt:variant>
        <vt:i4>68</vt:i4>
      </vt:variant>
      <vt:variant>
        <vt:i4>0</vt:i4>
      </vt:variant>
      <vt:variant>
        <vt:i4>5</vt:i4>
      </vt:variant>
      <vt:variant>
        <vt:lpwstr/>
      </vt:variant>
      <vt:variant>
        <vt:lpwstr>_Toc446343416</vt:lpwstr>
      </vt:variant>
      <vt:variant>
        <vt:i4>1179698</vt:i4>
      </vt:variant>
      <vt:variant>
        <vt:i4>62</vt:i4>
      </vt:variant>
      <vt:variant>
        <vt:i4>0</vt:i4>
      </vt:variant>
      <vt:variant>
        <vt:i4>5</vt:i4>
      </vt:variant>
      <vt:variant>
        <vt:lpwstr/>
      </vt:variant>
      <vt:variant>
        <vt:lpwstr>_Toc446343415</vt:lpwstr>
      </vt:variant>
      <vt:variant>
        <vt:i4>1179698</vt:i4>
      </vt:variant>
      <vt:variant>
        <vt:i4>56</vt:i4>
      </vt:variant>
      <vt:variant>
        <vt:i4>0</vt:i4>
      </vt:variant>
      <vt:variant>
        <vt:i4>5</vt:i4>
      </vt:variant>
      <vt:variant>
        <vt:lpwstr/>
      </vt:variant>
      <vt:variant>
        <vt:lpwstr>_Toc446343414</vt:lpwstr>
      </vt:variant>
      <vt:variant>
        <vt:i4>1179698</vt:i4>
      </vt:variant>
      <vt:variant>
        <vt:i4>50</vt:i4>
      </vt:variant>
      <vt:variant>
        <vt:i4>0</vt:i4>
      </vt:variant>
      <vt:variant>
        <vt:i4>5</vt:i4>
      </vt:variant>
      <vt:variant>
        <vt:lpwstr/>
      </vt:variant>
      <vt:variant>
        <vt:lpwstr>_Toc446343413</vt:lpwstr>
      </vt:variant>
      <vt:variant>
        <vt:i4>1179698</vt:i4>
      </vt:variant>
      <vt:variant>
        <vt:i4>44</vt:i4>
      </vt:variant>
      <vt:variant>
        <vt:i4>0</vt:i4>
      </vt:variant>
      <vt:variant>
        <vt:i4>5</vt:i4>
      </vt:variant>
      <vt:variant>
        <vt:lpwstr/>
      </vt:variant>
      <vt:variant>
        <vt:lpwstr>_Toc446343412</vt:lpwstr>
      </vt:variant>
      <vt:variant>
        <vt:i4>1179698</vt:i4>
      </vt:variant>
      <vt:variant>
        <vt:i4>38</vt:i4>
      </vt:variant>
      <vt:variant>
        <vt:i4>0</vt:i4>
      </vt:variant>
      <vt:variant>
        <vt:i4>5</vt:i4>
      </vt:variant>
      <vt:variant>
        <vt:lpwstr/>
      </vt:variant>
      <vt:variant>
        <vt:lpwstr>_Toc446343411</vt:lpwstr>
      </vt:variant>
      <vt:variant>
        <vt:i4>1179698</vt:i4>
      </vt:variant>
      <vt:variant>
        <vt:i4>32</vt:i4>
      </vt:variant>
      <vt:variant>
        <vt:i4>0</vt:i4>
      </vt:variant>
      <vt:variant>
        <vt:i4>5</vt:i4>
      </vt:variant>
      <vt:variant>
        <vt:lpwstr/>
      </vt:variant>
      <vt:variant>
        <vt:lpwstr>_Toc446343410</vt:lpwstr>
      </vt:variant>
      <vt:variant>
        <vt:i4>1245234</vt:i4>
      </vt:variant>
      <vt:variant>
        <vt:i4>26</vt:i4>
      </vt:variant>
      <vt:variant>
        <vt:i4>0</vt:i4>
      </vt:variant>
      <vt:variant>
        <vt:i4>5</vt:i4>
      </vt:variant>
      <vt:variant>
        <vt:lpwstr/>
      </vt:variant>
      <vt:variant>
        <vt:lpwstr>_Toc446343409</vt:lpwstr>
      </vt:variant>
      <vt:variant>
        <vt:i4>1245234</vt:i4>
      </vt:variant>
      <vt:variant>
        <vt:i4>20</vt:i4>
      </vt:variant>
      <vt:variant>
        <vt:i4>0</vt:i4>
      </vt:variant>
      <vt:variant>
        <vt:i4>5</vt:i4>
      </vt:variant>
      <vt:variant>
        <vt:lpwstr/>
      </vt:variant>
      <vt:variant>
        <vt:lpwstr>_Toc446343408</vt:lpwstr>
      </vt:variant>
      <vt:variant>
        <vt:i4>1245234</vt:i4>
      </vt:variant>
      <vt:variant>
        <vt:i4>14</vt:i4>
      </vt:variant>
      <vt:variant>
        <vt:i4>0</vt:i4>
      </vt:variant>
      <vt:variant>
        <vt:i4>5</vt:i4>
      </vt:variant>
      <vt:variant>
        <vt:lpwstr/>
      </vt:variant>
      <vt:variant>
        <vt:lpwstr>_Toc446343407</vt:lpwstr>
      </vt:variant>
      <vt:variant>
        <vt:i4>1245234</vt:i4>
      </vt:variant>
      <vt:variant>
        <vt:i4>8</vt:i4>
      </vt:variant>
      <vt:variant>
        <vt:i4>0</vt:i4>
      </vt:variant>
      <vt:variant>
        <vt:i4>5</vt:i4>
      </vt:variant>
      <vt:variant>
        <vt:lpwstr/>
      </vt:variant>
      <vt:variant>
        <vt:lpwstr>_Toc446343406</vt:lpwstr>
      </vt:variant>
      <vt:variant>
        <vt:i4>1245234</vt:i4>
      </vt:variant>
      <vt:variant>
        <vt:i4>2</vt:i4>
      </vt:variant>
      <vt:variant>
        <vt:i4>0</vt:i4>
      </vt:variant>
      <vt:variant>
        <vt:i4>5</vt:i4>
      </vt:variant>
      <vt:variant>
        <vt:lpwstr/>
      </vt:variant>
      <vt:variant>
        <vt:lpwstr>_Toc446343405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ronkopi</dc:creator>
  <cp:lastModifiedBy> ronkopi</cp:lastModifiedBy>
  <cp:revision>28</cp:revision>
  <cp:lastPrinted>2018-05-25T14:07:00Z</cp:lastPrinted>
  <dcterms:created xsi:type="dcterms:W3CDTF">2018-05-25T13:15:00Z</dcterms:created>
  <dcterms:modified xsi:type="dcterms:W3CDTF">2018-05-28T14:13:00Z</dcterms:modified>
</cp:coreProperties>
</file>