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15B3" w14:textId="3448F4AF" w:rsidR="004A1A99" w:rsidRPr="00AD06B2" w:rsidRDefault="00C65A28" w:rsidP="00D0270E">
      <w:pPr>
        <w:spacing w:before="480" w:after="480" w:line="360" w:lineRule="auto"/>
        <w:jc w:val="center"/>
        <w:rPr>
          <w:rFonts w:ascii="Arial" w:hAnsi="Arial" w:cs="Arial"/>
          <w:b/>
          <w:sz w:val="40"/>
          <w:szCs w:val="48"/>
          <w:lang w:val="en-GB"/>
        </w:rPr>
      </w:pPr>
      <w:r w:rsidRPr="00AD06B2">
        <w:rPr>
          <w:rFonts w:ascii="Arial" w:hAnsi="Arial" w:cs="Arial"/>
          <w:b/>
          <w:sz w:val="40"/>
          <w:szCs w:val="48"/>
          <w:lang w:val="en-GB"/>
        </w:rPr>
        <w:t>The impact of a centralized data collection approach on response rates of economic surveys and data quality</w:t>
      </w:r>
      <w:r w:rsidR="002C2121" w:rsidRPr="00AD06B2">
        <w:rPr>
          <w:rFonts w:ascii="Arial" w:hAnsi="Arial" w:cs="Arial"/>
          <w:b/>
          <w:sz w:val="40"/>
          <w:szCs w:val="48"/>
          <w:lang w:val="en-GB"/>
        </w:rPr>
        <w:t>:</w:t>
      </w:r>
      <w:r w:rsidRPr="00AD06B2">
        <w:rPr>
          <w:rFonts w:ascii="Arial" w:hAnsi="Arial" w:cs="Arial"/>
          <w:b/>
          <w:sz w:val="40"/>
          <w:szCs w:val="48"/>
          <w:lang w:val="en-GB"/>
        </w:rPr>
        <w:t xml:space="preserve"> </w:t>
      </w:r>
      <w:r w:rsidR="002C2121" w:rsidRPr="00AD06B2">
        <w:rPr>
          <w:rFonts w:ascii="Arial" w:hAnsi="Arial" w:cs="Arial"/>
          <w:b/>
          <w:sz w:val="40"/>
          <w:szCs w:val="48"/>
          <w:lang w:val="en-GB"/>
        </w:rPr>
        <w:t>t</w:t>
      </w:r>
      <w:r w:rsidRPr="00AD06B2">
        <w:rPr>
          <w:rFonts w:ascii="Arial" w:hAnsi="Arial" w:cs="Arial"/>
          <w:b/>
          <w:sz w:val="40"/>
          <w:szCs w:val="48"/>
          <w:lang w:val="en-GB"/>
        </w:rPr>
        <w:t xml:space="preserve">he </w:t>
      </w:r>
      <w:proofErr w:type="spellStart"/>
      <w:r w:rsidRPr="00AD06B2">
        <w:rPr>
          <w:rFonts w:ascii="Arial" w:hAnsi="Arial" w:cs="Arial"/>
          <w:b/>
          <w:sz w:val="40"/>
          <w:szCs w:val="48"/>
          <w:lang w:val="en-GB"/>
        </w:rPr>
        <w:t>Istat</w:t>
      </w:r>
      <w:proofErr w:type="spellEnd"/>
      <w:r w:rsidRPr="00AD06B2">
        <w:rPr>
          <w:rFonts w:ascii="Arial" w:hAnsi="Arial" w:cs="Arial"/>
          <w:b/>
          <w:sz w:val="40"/>
          <w:szCs w:val="48"/>
          <w:lang w:val="en-GB"/>
        </w:rPr>
        <w:t xml:space="preserve"> experience</w:t>
      </w:r>
      <w:r w:rsidR="00763096">
        <w:rPr>
          <w:rStyle w:val="Rimandonotaapidipagina"/>
          <w:rFonts w:ascii="Arial" w:hAnsi="Arial" w:cs="Arial"/>
          <w:b/>
          <w:sz w:val="40"/>
          <w:szCs w:val="48"/>
          <w:lang w:val="en-GB"/>
        </w:rPr>
        <w:footnoteReference w:id="1"/>
      </w:r>
    </w:p>
    <w:p w14:paraId="4A29F47F" w14:textId="77777777" w:rsidR="0048747D" w:rsidRPr="0048747D" w:rsidRDefault="0048747D" w:rsidP="0048747D">
      <w:pPr>
        <w:spacing w:after="0" w:line="360" w:lineRule="auto"/>
        <w:jc w:val="both"/>
        <w:rPr>
          <w:rFonts w:ascii="Arial" w:hAnsi="Arial" w:cs="Arial"/>
          <w:sz w:val="24"/>
          <w:szCs w:val="24"/>
          <w:lang w:val="it-IT"/>
        </w:rPr>
      </w:pPr>
      <w:r w:rsidRPr="0048747D">
        <w:rPr>
          <w:rFonts w:ascii="Arial" w:hAnsi="Arial" w:cs="Arial"/>
          <w:sz w:val="24"/>
          <w:szCs w:val="24"/>
          <w:lang w:val="it-IT"/>
        </w:rPr>
        <w:t>Giampaola Bellini - Istat (bellini@istat.it)</w:t>
      </w:r>
    </w:p>
    <w:p w14:paraId="46957F4F" w14:textId="398BED97" w:rsidR="000D705A" w:rsidRPr="00405418" w:rsidRDefault="0048747D" w:rsidP="0048747D">
      <w:pPr>
        <w:spacing w:after="0" w:line="360" w:lineRule="auto"/>
        <w:jc w:val="both"/>
        <w:rPr>
          <w:rFonts w:ascii="Arial" w:hAnsi="Arial" w:cs="Arial"/>
          <w:color w:val="000000" w:themeColor="text1"/>
          <w:sz w:val="24"/>
          <w:szCs w:val="24"/>
          <w:lang w:val="it-IT"/>
        </w:rPr>
      </w:pPr>
      <w:r w:rsidRPr="0048747D">
        <w:rPr>
          <w:rFonts w:ascii="Arial" w:hAnsi="Arial" w:cs="Arial"/>
          <w:sz w:val="24"/>
          <w:szCs w:val="24"/>
          <w:lang w:val="it-IT"/>
        </w:rPr>
        <w:t xml:space="preserve">Francesca </w:t>
      </w:r>
      <w:proofErr w:type="spellStart"/>
      <w:r w:rsidRPr="0048747D">
        <w:rPr>
          <w:rFonts w:ascii="Arial" w:hAnsi="Arial" w:cs="Arial"/>
          <w:sz w:val="24"/>
          <w:szCs w:val="24"/>
          <w:lang w:val="it-IT"/>
        </w:rPr>
        <w:t>Monetti</w:t>
      </w:r>
      <w:proofErr w:type="spellEnd"/>
      <w:r w:rsidRPr="0048747D">
        <w:rPr>
          <w:rFonts w:ascii="Arial" w:hAnsi="Arial" w:cs="Arial"/>
          <w:sz w:val="24"/>
          <w:szCs w:val="24"/>
          <w:lang w:val="it-IT"/>
        </w:rPr>
        <w:t xml:space="preserve"> - Istat (</w:t>
      </w:r>
      <w:hyperlink r:id="rId8" w:history="1">
        <w:r w:rsidR="00405418" w:rsidRPr="00405418">
          <w:rPr>
            <w:rStyle w:val="Collegamentoipertestuale"/>
            <w:rFonts w:ascii="Arial" w:hAnsi="Arial" w:cs="Arial"/>
            <w:color w:val="000000" w:themeColor="text1"/>
            <w:sz w:val="24"/>
            <w:szCs w:val="24"/>
            <w:u w:val="none"/>
            <w:lang w:val="it-IT"/>
          </w:rPr>
          <w:t>fmonetti@istat.it</w:t>
        </w:r>
      </w:hyperlink>
      <w:r w:rsidRPr="00405418">
        <w:rPr>
          <w:rFonts w:ascii="Arial" w:hAnsi="Arial" w:cs="Arial"/>
          <w:color w:val="000000" w:themeColor="text1"/>
          <w:sz w:val="24"/>
          <w:szCs w:val="24"/>
          <w:lang w:val="it-IT"/>
        </w:rPr>
        <w:t>)</w:t>
      </w:r>
    </w:p>
    <w:p w14:paraId="482697E4" w14:textId="77777777" w:rsidR="00405418" w:rsidRPr="0048747D" w:rsidRDefault="00405418" w:rsidP="00405418">
      <w:pPr>
        <w:spacing w:after="0" w:line="360" w:lineRule="auto"/>
        <w:jc w:val="both"/>
        <w:rPr>
          <w:rFonts w:ascii="Arial" w:hAnsi="Arial" w:cs="Arial"/>
          <w:sz w:val="24"/>
          <w:szCs w:val="24"/>
          <w:lang w:val="it-IT"/>
        </w:rPr>
      </w:pPr>
      <w:r w:rsidRPr="0048747D">
        <w:rPr>
          <w:rFonts w:ascii="Arial" w:hAnsi="Arial" w:cs="Arial"/>
          <w:sz w:val="24"/>
          <w:szCs w:val="24"/>
          <w:lang w:val="it-IT"/>
        </w:rPr>
        <w:t>Pasquale Papa - Istat (papa@istat.it)</w:t>
      </w:r>
    </w:p>
    <w:p w14:paraId="7041C500"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262F7FE5" w14:textId="75C0C678"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 xml:space="preserve">In April 2016 </w:t>
      </w:r>
      <w:proofErr w:type="spellStart"/>
      <w:r w:rsidRPr="00C65A28">
        <w:rPr>
          <w:rFonts w:ascii="Arial" w:hAnsi="Arial" w:cs="Arial"/>
          <w:i/>
          <w:sz w:val="20"/>
          <w:szCs w:val="20"/>
          <w:lang w:val="en-GB"/>
        </w:rPr>
        <w:t>Istat</w:t>
      </w:r>
      <w:proofErr w:type="spellEnd"/>
      <w:r w:rsidRPr="00C65A28">
        <w:rPr>
          <w:rFonts w:ascii="Arial" w:hAnsi="Arial" w:cs="Arial"/>
          <w:i/>
          <w:sz w:val="20"/>
          <w:szCs w:val="20"/>
          <w:lang w:val="en-GB"/>
        </w:rPr>
        <w:t xml:space="preserve"> (Italian National Statistical Institute) started a corporate restructuring process that interested all the statistical production structures and that led to a completely renewed organizational </w:t>
      </w:r>
      <w:r w:rsidR="00630A06">
        <w:rPr>
          <w:rFonts w:ascii="Arial" w:hAnsi="Arial" w:cs="Arial"/>
          <w:i/>
          <w:sz w:val="20"/>
          <w:szCs w:val="20"/>
          <w:lang w:val="en-GB"/>
        </w:rPr>
        <w:t>setup</w:t>
      </w:r>
      <w:r w:rsidRPr="00C65A28">
        <w:rPr>
          <w:rFonts w:ascii="Arial" w:hAnsi="Arial" w:cs="Arial"/>
          <w:i/>
          <w:sz w:val="20"/>
          <w:szCs w:val="20"/>
          <w:lang w:val="en-GB"/>
        </w:rPr>
        <w:t xml:space="preserve">. Before the above mentioned reorganization, the statistical processes were organized according to the classical ‘stovepipe’ model, that involved independent, non-integrated, statistical processes including all the necessary skills: statisticians, information technology experts, thematic experts, </w:t>
      </w:r>
      <w:proofErr w:type="spellStart"/>
      <w:r w:rsidRPr="00C65A28">
        <w:rPr>
          <w:rFonts w:ascii="Arial" w:hAnsi="Arial" w:cs="Arial"/>
          <w:i/>
          <w:sz w:val="20"/>
          <w:szCs w:val="20"/>
          <w:lang w:val="en-GB"/>
        </w:rPr>
        <w:t>methodologists.The</w:t>
      </w:r>
      <w:proofErr w:type="spellEnd"/>
      <w:r w:rsidRPr="00C65A28">
        <w:rPr>
          <w:rFonts w:ascii="Arial" w:hAnsi="Arial" w:cs="Arial"/>
          <w:i/>
          <w:sz w:val="20"/>
          <w:szCs w:val="20"/>
          <w:lang w:val="en-GB"/>
        </w:rPr>
        <w:t xml:space="preserve"> new model restricts the production processes only to the thematic experts, while all the “cross” expertise</w:t>
      </w:r>
      <w:r w:rsidR="00884610">
        <w:rPr>
          <w:rFonts w:ascii="Arial" w:hAnsi="Arial" w:cs="Arial"/>
          <w:i/>
          <w:sz w:val="20"/>
          <w:szCs w:val="20"/>
          <w:lang w:val="en-GB"/>
        </w:rPr>
        <w:t xml:space="preserve"> </w:t>
      </w:r>
      <w:r w:rsidRPr="00C65A28">
        <w:rPr>
          <w:rFonts w:ascii="Arial" w:hAnsi="Arial" w:cs="Arial"/>
          <w:i/>
          <w:sz w:val="20"/>
          <w:szCs w:val="20"/>
          <w:lang w:val="en-GB"/>
        </w:rPr>
        <w:t>are all assigned to specialized structures. The main advantage of the new setup concerns the overall system efficiency, while the main disadvantage concern the increased fragmentation of the production processes. The new model was based on the following criteria:</w:t>
      </w:r>
    </w:p>
    <w:p w14:paraId="074A4771" w14:textId="77777777"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w:t>
      </w:r>
      <w:r w:rsidRPr="00C65A28">
        <w:rPr>
          <w:rFonts w:ascii="Arial" w:hAnsi="Arial" w:cs="Arial"/>
          <w:i/>
          <w:sz w:val="20"/>
          <w:szCs w:val="20"/>
          <w:lang w:val="en-GB"/>
        </w:rPr>
        <w:tab/>
        <w:t>Standardization and generalization of each phase of the productive process;</w:t>
      </w:r>
    </w:p>
    <w:p w14:paraId="47A365F5" w14:textId="77777777"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w:t>
      </w:r>
      <w:r w:rsidRPr="00C65A28">
        <w:rPr>
          <w:rFonts w:ascii="Arial" w:hAnsi="Arial" w:cs="Arial"/>
          <w:i/>
          <w:sz w:val="20"/>
          <w:szCs w:val="20"/>
          <w:lang w:val="en-GB"/>
        </w:rPr>
        <w:tab/>
        <w:t>Specialization of personnel devoted to specific activities;</w:t>
      </w:r>
    </w:p>
    <w:p w14:paraId="628B52C6" w14:textId="77777777"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w:t>
      </w:r>
      <w:r w:rsidRPr="00C65A28">
        <w:rPr>
          <w:rFonts w:ascii="Arial" w:hAnsi="Arial" w:cs="Arial"/>
          <w:i/>
          <w:sz w:val="20"/>
          <w:szCs w:val="20"/>
          <w:lang w:val="en-GB"/>
        </w:rPr>
        <w:tab/>
        <w:t>Detailed planning of the surveys calendar and of each data collection activity;</w:t>
      </w:r>
    </w:p>
    <w:p w14:paraId="15F36FEA" w14:textId="77777777"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w:t>
      </w:r>
      <w:r w:rsidRPr="00C65A28">
        <w:rPr>
          <w:rFonts w:ascii="Arial" w:hAnsi="Arial" w:cs="Arial"/>
          <w:i/>
          <w:sz w:val="20"/>
          <w:szCs w:val="20"/>
          <w:lang w:val="en-GB"/>
        </w:rPr>
        <w:tab/>
        <w:t>Realization a Business portal involving a set of services oriented to respondents;</w:t>
      </w:r>
    </w:p>
    <w:p w14:paraId="371932C2" w14:textId="71032D43"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w:t>
      </w:r>
      <w:r w:rsidRPr="00C65A28">
        <w:rPr>
          <w:rFonts w:ascii="Arial" w:hAnsi="Arial" w:cs="Arial"/>
          <w:i/>
          <w:sz w:val="20"/>
          <w:szCs w:val="20"/>
          <w:lang w:val="en-GB"/>
        </w:rPr>
        <w:tab/>
        <w:t xml:space="preserve">Introduction of a centralized Contact </w:t>
      </w:r>
      <w:proofErr w:type="spellStart"/>
      <w:r w:rsidRPr="00C65A28">
        <w:rPr>
          <w:rFonts w:ascii="Arial" w:hAnsi="Arial" w:cs="Arial"/>
          <w:i/>
          <w:sz w:val="20"/>
          <w:szCs w:val="20"/>
          <w:lang w:val="en-GB"/>
        </w:rPr>
        <w:t>center</w:t>
      </w:r>
      <w:proofErr w:type="spellEnd"/>
      <w:r w:rsidRPr="00C65A28">
        <w:rPr>
          <w:rFonts w:ascii="Arial" w:hAnsi="Arial" w:cs="Arial"/>
          <w:i/>
          <w:sz w:val="20"/>
          <w:szCs w:val="20"/>
          <w:lang w:val="en-GB"/>
        </w:rPr>
        <w:t xml:space="preserve"> inbound and outbound</w:t>
      </w:r>
      <w:r w:rsidR="00630A06">
        <w:rPr>
          <w:rFonts w:ascii="Arial" w:hAnsi="Arial" w:cs="Arial"/>
          <w:i/>
          <w:sz w:val="20"/>
          <w:szCs w:val="20"/>
          <w:lang w:val="en-GB"/>
        </w:rPr>
        <w:t>.</w:t>
      </w:r>
    </w:p>
    <w:p w14:paraId="5CBD12A5" w14:textId="09A58221" w:rsidR="00C65A28" w:rsidRPr="00C65A28" w:rsidRDefault="00C65A28" w:rsidP="00C65A28">
      <w:pPr>
        <w:spacing w:after="0" w:line="240" w:lineRule="auto"/>
        <w:jc w:val="both"/>
        <w:rPr>
          <w:rFonts w:ascii="Arial" w:hAnsi="Arial" w:cs="Arial"/>
          <w:i/>
          <w:sz w:val="20"/>
          <w:szCs w:val="20"/>
          <w:lang w:val="en-GB"/>
        </w:rPr>
      </w:pPr>
      <w:r w:rsidRPr="00C65A28">
        <w:rPr>
          <w:rFonts w:ascii="Arial" w:hAnsi="Arial" w:cs="Arial"/>
          <w:i/>
          <w:sz w:val="20"/>
          <w:szCs w:val="20"/>
          <w:lang w:val="en-GB"/>
        </w:rPr>
        <w:t>Before the restructuring process, response rates</w:t>
      </w:r>
      <w:r w:rsidR="000B6C7F">
        <w:rPr>
          <w:rFonts w:ascii="Arial" w:hAnsi="Arial" w:cs="Arial"/>
          <w:i/>
          <w:sz w:val="20"/>
          <w:szCs w:val="20"/>
          <w:lang w:val="en-GB"/>
        </w:rPr>
        <w:t xml:space="preserve"> in economic structural surveys</w:t>
      </w:r>
      <w:r w:rsidRPr="00C65A28">
        <w:rPr>
          <w:rFonts w:ascii="Arial" w:hAnsi="Arial" w:cs="Arial"/>
          <w:i/>
          <w:sz w:val="20"/>
          <w:szCs w:val="20"/>
          <w:lang w:val="en-GB"/>
        </w:rPr>
        <w:t xml:space="preserve"> were quite low and unsatisfactory</w:t>
      </w:r>
      <w:r w:rsidRPr="00340C3B">
        <w:rPr>
          <w:rFonts w:ascii="Arial" w:hAnsi="Arial" w:cs="Arial"/>
          <w:i/>
          <w:sz w:val="20"/>
          <w:szCs w:val="20"/>
          <w:lang w:val="en-GB"/>
        </w:rPr>
        <w:t xml:space="preserve">. After </w:t>
      </w:r>
      <w:r w:rsidR="00976C17">
        <w:rPr>
          <w:rFonts w:ascii="Arial" w:hAnsi="Arial" w:cs="Arial"/>
          <w:i/>
          <w:sz w:val="20"/>
          <w:szCs w:val="20"/>
          <w:lang w:val="en-GB"/>
        </w:rPr>
        <w:t>two</w:t>
      </w:r>
      <w:r w:rsidR="00976C17" w:rsidRPr="00340C3B">
        <w:rPr>
          <w:rFonts w:ascii="Arial" w:hAnsi="Arial" w:cs="Arial"/>
          <w:i/>
          <w:sz w:val="20"/>
          <w:szCs w:val="20"/>
          <w:lang w:val="en-GB"/>
        </w:rPr>
        <w:t xml:space="preserve"> </w:t>
      </w:r>
      <w:r w:rsidRPr="00340C3B">
        <w:rPr>
          <w:rFonts w:ascii="Arial" w:hAnsi="Arial" w:cs="Arial"/>
          <w:i/>
          <w:sz w:val="20"/>
          <w:szCs w:val="20"/>
          <w:lang w:val="en-GB"/>
        </w:rPr>
        <w:t>year</w:t>
      </w:r>
      <w:r w:rsidR="00976C17">
        <w:rPr>
          <w:rFonts w:ascii="Arial" w:hAnsi="Arial" w:cs="Arial"/>
          <w:i/>
          <w:sz w:val="20"/>
          <w:szCs w:val="20"/>
          <w:lang w:val="en-GB"/>
        </w:rPr>
        <w:t>s</w:t>
      </w:r>
      <w:r w:rsidRPr="00340C3B">
        <w:rPr>
          <w:rFonts w:ascii="Arial" w:hAnsi="Arial" w:cs="Arial"/>
          <w:i/>
          <w:sz w:val="20"/>
          <w:szCs w:val="20"/>
          <w:lang w:val="en-GB"/>
        </w:rPr>
        <w:t xml:space="preserve"> from the introduction of the new organization the medium response rate </w:t>
      </w:r>
      <w:proofErr w:type="spellStart"/>
      <w:r w:rsidRPr="001C2783">
        <w:rPr>
          <w:rFonts w:ascii="Arial" w:hAnsi="Arial" w:cs="Arial"/>
          <w:i/>
          <w:sz w:val="20"/>
          <w:szCs w:val="20"/>
          <w:lang w:val="en-GB"/>
        </w:rPr>
        <w:t>increased</w:t>
      </w:r>
      <w:proofErr w:type="spellEnd"/>
      <w:r w:rsidRPr="001C2783">
        <w:rPr>
          <w:rFonts w:ascii="Arial" w:hAnsi="Arial" w:cs="Arial"/>
          <w:i/>
          <w:sz w:val="20"/>
          <w:szCs w:val="20"/>
          <w:lang w:val="en-GB"/>
        </w:rPr>
        <w:t xml:space="preserve"> </w:t>
      </w:r>
      <w:r w:rsidR="00D64A0C" w:rsidRPr="001C2783">
        <w:rPr>
          <w:rFonts w:ascii="Arial" w:hAnsi="Arial" w:cs="Arial"/>
          <w:i/>
          <w:sz w:val="20"/>
          <w:szCs w:val="20"/>
          <w:lang w:val="en-GB"/>
        </w:rPr>
        <w:t>of 10.9</w:t>
      </w:r>
      <w:r w:rsidRPr="001C2783">
        <w:rPr>
          <w:rFonts w:ascii="Arial" w:hAnsi="Arial" w:cs="Arial"/>
          <w:i/>
          <w:sz w:val="20"/>
          <w:szCs w:val="20"/>
          <w:lang w:val="en-GB"/>
        </w:rPr>
        <w:t xml:space="preserve"> per cent. At the</w:t>
      </w:r>
      <w:r w:rsidRPr="00340C3B">
        <w:rPr>
          <w:rFonts w:ascii="Arial" w:hAnsi="Arial" w:cs="Arial"/>
          <w:i/>
          <w:sz w:val="20"/>
          <w:szCs w:val="20"/>
          <w:lang w:val="en-GB"/>
        </w:rPr>
        <w:t xml:space="preserve"> same time, the duration of the data collection periods reduced from </w:t>
      </w:r>
      <w:r w:rsidR="00340C3B" w:rsidRPr="00340C3B">
        <w:rPr>
          <w:rFonts w:ascii="Arial" w:hAnsi="Arial" w:cs="Arial"/>
          <w:i/>
          <w:sz w:val="20"/>
          <w:szCs w:val="20"/>
          <w:lang w:val="en-GB"/>
        </w:rPr>
        <w:t>152</w:t>
      </w:r>
      <w:r w:rsidRPr="00340C3B">
        <w:rPr>
          <w:rFonts w:ascii="Arial" w:hAnsi="Arial" w:cs="Arial"/>
          <w:i/>
          <w:sz w:val="20"/>
          <w:szCs w:val="20"/>
          <w:lang w:val="en-GB"/>
        </w:rPr>
        <w:t xml:space="preserve"> to </w:t>
      </w:r>
      <w:r w:rsidR="00340C3B" w:rsidRPr="00340C3B">
        <w:rPr>
          <w:rFonts w:ascii="Arial" w:hAnsi="Arial" w:cs="Arial"/>
          <w:i/>
          <w:sz w:val="20"/>
          <w:szCs w:val="20"/>
          <w:lang w:val="en-GB"/>
        </w:rPr>
        <w:t>115</w:t>
      </w:r>
      <w:r w:rsidRPr="00C65A28">
        <w:rPr>
          <w:rFonts w:ascii="Arial" w:hAnsi="Arial" w:cs="Arial"/>
          <w:i/>
          <w:sz w:val="20"/>
          <w:szCs w:val="20"/>
          <w:lang w:val="en-GB"/>
        </w:rPr>
        <w:t xml:space="preserve"> days.</w:t>
      </w:r>
      <w:r w:rsidR="000B6C7F">
        <w:rPr>
          <w:rFonts w:ascii="Arial" w:hAnsi="Arial" w:cs="Arial"/>
          <w:i/>
          <w:sz w:val="20"/>
          <w:szCs w:val="20"/>
          <w:lang w:val="en-GB"/>
        </w:rPr>
        <w:t xml:space="preserve"> </w:t>
      </w:r>
      <w:r w:rsidRPr="00C65A28">
        <w:rPr>
          <w:rFonts w:ascii="Arial" w:hAnsi="Arial" w:cs="Arial"/>
          <w:i/>
          <w:sz w:val="20"/>
          <w:szCs w:val="20"/>
          <w:lang w:val="en-GB"/>
        </w:rPr>
        <w:t>For short-term surveys the main result obtained is the increase in the number of the questionnaires transmitted by respondents within the ‘useful term’, as to say the deadline for the calculation of the provisional index. The paper will describe in detail the process innovations introduced and the main results achieved.</w:t>
      </w:r>
    </w:p>
    <w:p w14:paraId="5FB99AD4"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D031A" w:rsidRPr="008D031A">
        <w:rPr>
          <w:rFonts w:ascii="Arial" w:hAnsi="Arial" w:cs="Arial"/>
          <w:sz w:val="20"/>
          <w:szCs w:val="20"/>
          <w:lang w:val="en-GB"/>
        </w:rPr>
        <w:t>data collection, response rates, process efficiency</w:t>
      </w:r>
    </w:p>
    <w:p w14:paraId="1E305EBA" w14:textId="40AEC961" w:rsidR="00F025E9" w:rsidRPr="00F025E9" w:rsidRDefault="00091036" w:rsidP="00F025E9">
      <w:pPr>
        <w:spacing w:before="360" w:after="0" w:line="360" w:lineRule="auto"/>
        <w:jc w:val="both"/>
        <w:rPr>
          <w:rFonts w:ascii="Arial" w:hAnsi="Arial" w:cs="Arial"/>
          <w:b/>
          <w:sz w:val="24"/>
          <w:szCs w:val="24"/>
          <w:lang w:val="en-US"/>
        </w:rPr>
      </w:pPr>
      <w:r w:rsidRPr="00241225">
        <w:rPr>
          <w:rFonts w:ascii="Arial" w:hAnsi="Arial" w:cs="Arial"/>
          <w:b/>
          <w:sz w:val="24"/>
          <w:szCs w:val="24"/>
          <w:lang w:val="en-US"/>
        </w:rPr>
        <w:t xml:space="preserve">1. </w:t>
      </w:r>
      <w:r w:rsidR="00DB4263">
        <w:rPr>
          <w:rFonts w:ascii="Arial" w:hAnsi="Arial" w:cs="Arial"/>
          <w:b/>
          <w:sz w:val="24"/>
          <w:szCs w:val="24"/>
          <w:lang w:val="en-US"/>
        </w:rPr>
        <w:t>R</w:t>
      </w:r>
      <w:r w:rsidR="00630A06" w:rsidRPr="00241225">
        <w:rPr>
          <w:rFonts w:ascii="Arial" w:hAnsi="Arial" w:cs="Arial"/>
          <w:b/>
          <w:sz w:val="24"/>
          <w:szCs w:val="24"/>
          <w:lang w:val="en-US"/>
        </w:rPr>
        <w:t xml:space="preserve">esponse rates of economic </w:t>
      </w:r>
      <w:r w:rsidR="00630A06">
        <w:rPr>
          <w:rFonts w:ascii="Arial" w:hAnsi="Arial" w:cs="Arial"/>
          <w:b/>
          <w:sz w:val="24"/>
          <w:szCs w:val="24"/>
          <w:lang w:val="en-US"/>
        </w:rPr>
        <w:t>surveys</w:t>
      </w:r>
      <w:r w:rsidR="00630A06" w:rsidRPr="00241225">
        <w:rPr>
          <w:rFonts w:ascii="Arial" w:hAnsi="Arial" w:cs="Arial"/>
          <w:b/>
          <w:sz w:val="24"/>
          <w:szCs w:val="24"/>
          <w:lang w:val="en-US"/>
        </w:rPr>
        <w:t xml:space="preserve"> after the start</w:t>
      </w:r>
      <w:r w:rsidR="00630A06">
        <w:rPr>
          <w:rFonts w:ascii="Arial" w:hAnsi="Arial" w:cs="Arial"/>
          <w:b/>
          <w:sz w:val="24"/>
          <w:szCs w:val="24"/>
          <w:lang w:val="en-US"/>
        </w:rPr>
        <w:t xml:space="preserve"> of</w:t>
      </w:r>
      <w:r w:rsidR="00630A06" w:rsidRPr="00241225">
        <w:rPr>
          <w:rFonts w:ascii="Arial" w:hAnsi="Arial" w:cs="Arial"/>
          <w:b/>
          <w:sz w:val="24"/>
          <w:szCs w:val="24"/>
          <w:lang w:val="en-US"/>
        </w:rPr>
        <w:t xml:space="preserve"> the modernization program</w:t>
      </w:r>
    </w:p>
    <w:p w14:paraId="491CE0F4" w14:textId="40AEC961" w:rsidR="00F255F1" w:rsidRDefault="00F255F1" w:rsidP="00F255F1">
      <w:pPr>
        <w:spacing w:before="120" w:after="0" w:line="360" w:lineRule="auto"/>
        <w:jc w:val="both"/>
        <w:rPr>
          <w:rFonts w:ascii="Arial" w:hAnsi="Arial" w:cs="Arial"/>
          <w:sz w:val="24"/>
          <w:szCs w:val="24"/>
          <w:lang w:val="en-GB"/>
        </w:rPr>
      </w:pPr>
      <w:r w:rsidRPr="006C69AC">
        <w:rPr>
          <w:rFonts w:ascii="Arial" w:hAnsi="Arial" w:cs="Arial"/>
          <w:sz w:val="24"/>
          <w:szCs w:val="24"/>
          <w:lang w:val="en-GB"/>
        </w:rPr>
        <w:t>Response rates (</w:t>
      </w:r>
      <w:proofErr w:type="spellStart"/>
      <w:r w:rsidRPr="006C69AC">
        <w:rPr>
          <w:rFonts w:ascii="Arial" w:hAnsi="Arial" w:cs="Arial"/>
          <w:i/>
          <w:sz w:val="24"/>
          <w:szCs w:val="24"/>
          <w:lang w:val="en-GB"/>
        </w:rPr>
        <w:t>rr</w:t>
      </w:r>
      <w:proofErr w:type="spellEnd"/>
      <w:r>
        <w:rPr>
          <w:rStyle w:val="Rimandonotaapidipagina"/>
          <w:rFonts w:ascii="Arial" w:hAnsi="Arial" w:cs="Arial"/>
          <w:i/>
          <w:sz w:val="24"/>
          <w:szCs w:val="24"/>
          <w:lang w:val="en-GB"/>
        </w:rPr>
        <w:footnoteReference w:id="2"/>
      </w:r>
      <w:r w:rsidRPr="006C69AC">
        <w:rPr>
          <w:rFonts w:ascii="Arial" w:hAnsi="Arial" w:cs="Arial"/>
          <w:sz w:val="24"/>
          <w:szCs w:val="24"/>
          <w:lang w:val="en-GB"/>
        </w:rPr>
        <w:t xml:space="preserve">) in economic </w:t>
      </w:r>
      <w:r>
        <w:rPr>
          <w:rFonts w:ascii="Arial" w:hAnsi="Arial" w:cs="Arial"/>
          <w:sz w:val="24"/>
          <w:szCs w:val="24"/>
          <w:lang w:val="en-GB"/>
        </w:rPr>
        <w:t xml:space="preserve">direct </w:t>
      </w:r>
      <w:r w:rsidRPr="006C69AC">
        <w:rPr>
          <w:rFonts w:ascii="Arial" w:hAnsi="Arial" w:cs="Arial"/>
          <w:sz w:val="24"/>
          <w:szCs w:val="24"/>
          <w:lang w:val="en-GB"/>
        </w:rPr>
        <w:t>surveys carried out in Italy were traditionally low.</w:t>
      </w:r>
      <w:r>
        <w:rPr>
          <w:rFonts w:ascii="Arial" w:hAnsi="Arial" w:cs="Arial"/>
          <w:sz w:val="24"/>
          <w:szCs w:val="24"/>
          <w:lang w:val="en-GB"/>
        </w:rPr>
        <w:t xml:space="preserve"> </w:t>
      </w:r>
      <w:r>
        <w:rPr>
          <w:rFonts w:ascii="Arial" w:hAnsi="Arial" w:cs="Arial"/>
          <w:sz w:val="24"/>
          <w:szCs w:val="24"/>
          <w:lang w:val="en-US"/>
        </w:rPr>
        <w:t xml:space="preserve">Low </w:t>
      </w:r>
      <w:proofErr w:type="spellStart"/>
      <w:r w:rsidRPr="006C69AC">
        <w:rPr>
          <w:rFonts w:ascii="Arial" w:hAnsi="Arial" w:cs="Arial"/>
          <w:i/>
          <w:sz w:val="24"/>
          <w:szCs w:val="24"/>
          <w:lang w:val="en-GB"/>
        </w:rPr>
        <w:t>rr</w:t>
      </w:r>
      <w:proofErr w:type="spellEnd"/>
      <w:r>
        <w:rPr>
          <w:rFonts w:ascii="Arial" w:hAnsi="Arial" w:cs="Arial"/>
          <w:i/>
          <w:sz w:val="24"/>
          <w:szCs w:val="24"/>
          <w:lang w:val="en-GB"/>
        </w:rPr>
        <w:t xml:space="preserve"> are </w:t>
      </w:r>
      <w:r w:rsidRPr="002074E6">
        <w:rPr>
          <w:rFonts w:ascii="Arial" w:hAnsi="Arial" w:cs="Arial"/>
          <w:sz w:val="24"/>
          <w:szCs w:val="24"/>
          <w:lang w:val="en-GB"/>
        </w:rPr>
        <w:t xml:space="preserve">partially explained by structural characteristics of Italian economic </w:t>
      </w:r>
      <w:r w:rsidRPr="002074E6">
        <w:rPr>
          <w:rFonts w:ascii="Arial" w:hAnsi="Arial" w:cs="Arial"/>
          <w:sz w:val="24"/>
          <w:szCs w:val="24"/>
          <w:lang w:val="en-GB"/>
        </w:rPr>
        <w:lastRenderedPageBreak/>
        <w:t>productive system, that includes a very high number of medium and small companies.</w:t>
      </w:r>
      <w:r>
        <w:rPr>
          <w:rFonts w:ascii="Arial" w:hAnsi="Arial" w:cs="Arial"/>
          <w:sz w:val="24"/>
          <w:szCs w:val="24"/>
          <w:lang w:val="en-GB"/>
        </w:rPr>
        <w:t xml:space="preserve"> </w:t>
      </w:r>
      <w:r w:rsidR="005B2B23" w:rsidRPr="002074E6">
        <w:rPr>
          <w:rFonts w:ascii="Arial" w:hAnsi="Arial" w:cs="Arial"/>
          <w:sz w:val="24"/>
          <w:szCs w:val="24"/>
          <w:lang w:val="en-GB"/>
        </w:rPr>
        <w:t xml:space="preserve">In 2015 on the total of </w:t>
      </w:r>
      <w:r w:rsidR="006C02DF" w:rsidRPr="002074E6">
        <w:rPr>
          <w:rFonts w:ascii="Arial" w:hAnsi="Arial" w:cs="Arial"/>
          <w:sz w:val="24"/>
          <w:szCs w:val="24"/>
          <w:lang w:val="en-GB"/>
        </w:rPr>
        <w:t>4</w:t>
      </w:r>
      <w:r w:rsidR="006E1944" w:rsidRPr="002074E6">
        <w:rPr>
          <w:rFonts w:ascii="Arial" w:hAnsi="Arial" w:cs="Arial"/>
          <w:sz w:val="24"/>
          <w:szCs w:val="24"/>
          <w:lang w:val="en-GB"/>
        </w:rPr>
        <w:t>,</w:t>
      </w:r>
      <w:r w:rsidR="006C02DF" w:rsidRPr="002074E6">
        <w:rPr>
          <w:rFonts w:ascii="Arial" w:hAnsi="Arial" w:cs="Arial"/>
          <w:sz w:val="24"/>
          <w:szCs w:val="24"/>
          <w:lang w:val="en-GB"/>
        </w:rPr>
        <w:t>338</w:t>
      </w:r>
      <w:r w:rsidR="006E1944" w:rsidRPr="002074E6">
        <w:rPr>
          <w:rFonts w:ascii="Arial" w:hAnsi="Arial" w:cs="Arial"/>
          <w:sz w:val="24"/>
          <w:szCs w:val="24"/>
          <w:lang w:val="en-GB"/>
        </w:rPr>
        <w:t>,</w:t>
      </w:r>
      <w:r w:rsidR="006C02DF" w:rsidRPr="002074E6">
        <w:rPr>
          <w:rFonts w:ascii="Arial" w:hAnsi="Arial" w:cs="Arial"/>
          <w:sz w:val="24"/>
          <w:szCs w:val="24"/>
          <w:lang w:val="en-GB"/>
        </w:rPr>
        <w:t>085 active companies only</w:t>
      </w:r>
      <w:r w:rsidR="005B2B23" w:rsidRPr="002074E6">
        <w:rPr>
          <w:rFonts w:ascii="Arial" w:hAnsi="Arial" w:cs="Arial"/>
          <w:sz w:val="24"/>
          <w:szCs w:val="24"/>
          <w:lang w:val="en-GB"/>
        </w:rPr>
        <w:t xml:space="preserve"> 3</w:t>
      </w:r>
      <w:r w:rsidR="006E1944" w:rsidRPr="002074E6">
        <w:rPr>
          <w:rFonts w:ascii="Arial" w:hAnsi="Arial" w:cs="Arial"/>
          <w:sz w:val="24"/>
          <w:szCs w:val="24"/>
          <w:lang w:val="en-GB"/>
        </w:rPr>
        <w:t>,</w:t>
      </w:r>
      <w:r w:rsidR="005B2B23" w:rsidRPr="002074E6">
        <w:rPr>
          <w:rFonts w:ascii="Arial" w:hAnsi="Arial" w:cs="Arial"/>
          <w:sz w:val="24"/>
          <w:szCs w:val="24"/>
          <w:lang w:val="en-GB"/>
        </w:rPr>
        <w:t xml:space="preserve">666 </w:t>
      </w:r>
      <w:r w:rsidR="006C02DF" w:rsidRPr="002074E6">
        <w:rPr>
          <w:rFonts w:ascii="Arial" w:hAnsi="Arial" w:cs="Arial"/>
          <w:sz w:val="24"/>
          <w:szCs w:val="24"/>
          <w:lang w:val="en-GB"/>
        </w:rPr>
        <w:t>had</w:t>
      </w:r>
      <w:r w:rsidR="005B2B23" w:rsidRPr="002074E6">
        <w:rPr>
          <w:rFonts w:ascii="Arial" w:hAnsi="Arial" w:cs="Arial"/>
          <w:sz w:val="24"/>
          <w:szCs w:val="24"/>
          <w:lang w:val="en-GB"/>
        </w:rPr>
        <w:t xml:space="preserve"> more than 250 employees, just 0.08 per cent. </w:t>
      </w:r>
      <w:r w:rsidR="004056F2" w:rsidRPr="002074E6">
        <w:rPr>
          <w:rFonts w:ascii="Arial" w:hAnsi="Arial" w:cs="Arial"/>
          <w:sz w:val="24"/>
          <w:szCs w:val="24"/>
          <w:lang w:val="en-GB"/>
        </w:rPr>
        <w:t xml:space="preserve">The total number of employees </w:t>
      </w:r>
      <w:r w:rsidR="00204C55" w:rsidRPr="002074E6">
        <w:rPr>
          <w:rFonts w:ascii="Arial" w:hAnsi="Arial" w:cs="Arial"/>
          <w:sz w:val="24"/>
          <w:szCs w:val="24"/>
          <w:lang w:val="en-GB"/>
        </w:rPr>
        <w:t xml:space="preserve">was </w:t>
      </w:r>
      <w:r w:rsidR="004056F2" w:rsidRPr="002074E6">
        <w:rPr>
          <w:rFonts w:ascii="Arial" w:hAnsi="Arial" w:cs="Arial"/>
          <w:sz w:val="24"/>
          <w:szCs w:val="24"/>
          <w:lang w:val="en-GB"/>
        </w:rPr>
        <w:t>16</w:t>
      </w:r>
      <w:r w:rsidR="00A87676" w:rsidRPr="002074E6">
        <w:rPr>
          <w:rFonts w:ascii="Arial" w:hAnsi="Arial" w:cs="Arial"/>
          <w:sz w:val="24"/>
          <w:szCs w:val="24"/>
          <w:lang w:val="en-GB"/>
        </w:rPr>
        <w:t>,</w:t>
      </w:r>
      <w:r w:rsidR="004056F2" w:rsidRPr="002074E6">
        <w:rPr>
          <w:rFonts w:ascii="Arial" w:hAnsi="Arial" w:cs="Arial"/>
          <w:sz w:val="24"/>
          <w:szCs w:val="24"/>
          <w:lang w:val="en-GB"/>
        </w:rPr>
        <w:t>289</w:t>
      </w:r>
      <w:r w:rsidR="00A87676" w:rsidRPr="002074E6">
        <w:rPr>
          <w:rFonts w:ascii="Arial" w:hAnsi="Arial" w:cs="Arial"/>
          <w:sz w:val="24"/>
          <w:szCs w:val="24"/>
          <w:lang w:val="en-GB"/>
        </w:rPr>
        <w:t>,</w:t>
      </w:r>
      <w:r w:rsidR="004056F2" w:rsidRPr="002074E6">
        <w:rPr>
          <w:rFonts w:ascii="Arial" w:hAnsi="Arial" w:cs="Arial"/>
          <w:sz w:val="24"/>
          <w:szCs w:val="24"/>
          <w:lang w:val="en-GB"/>
        </w:rPr>
        <w:t>875 of which 3</w:t>
      </w:r>
      <w:r w:rsidR="00A87676" w:rsidRPr="002074E6">
        <w:rPr>
          <w:rFonts w:ascii="Arial" w:hAnsi="Arial" w:cs="Arial"/>
          <w:sz w:val="24"/>
          <w:szCs w:val="24"/>
          <w:lang w:val="en-GB"/>
        </w:rPr>
        <w:t>,</w:t>
      </w:r>
      <w:r w:rsidR="004056F2" w:rsidRPr="002074E6">
        <w:rPr>
          <w:rFonts w:ascii="Arial" w:hAnsi="Arial" w:cs="Arial"/>
          <w:sz w:val="24"/>
          <w:szCs w:val="24"/>
          <w:lang w:val="en-GB"/>
        </w:rPr>
        <w:t>583</w:t>
      </w:r>
      <w:r w:rsidR="00A87676" w:rsidRPr="002074E6">
        <w:rPr>
          <w:rFonts w:ascii="Arial" w:hAnsi="Arial" w:cs="Arial"/>
          <w:sz w:val="24"/>
          <w:szCs w:val="24"/>
          <w:lang w:val="en-GB"/>
        </w:rPr>
        <w:t>,</w:t>
      </w:r>
      <w:r w:rsidR="004056F2" w:rsidRPr="002074E6">
        <w:rPr>
          <w:rFonts w:ascii="Arial" w:hAnsi="Arial" w:cs="Arial"/>
          <w:sz w:val="24"/>
          <w:szCs w:val="24"/>
          <w:lang w:val="en-GB"/>
        </w:rPr>
        <w:t>121 belonging to enterprises having more than 25</w:t>
      </w:r>
      <w:r w:rsidR="003B33B7">
        <w:rPr>
          <w:rFonts w:ascii="Arial" w:hAnsi="Arial" w:cs="Arial"/>
          <w:sz w:val="24"/>
          <w:szCs w:val="24"/>
          <w:lang w:val="en-GB"/>
        </w:rPr>
        <w:t>0, representing a quota of 22</w:t>
      </w:r>
      <w:r>
        <w:rPr>
          <w:rFonts w:ascii="Arial" w:hAnsi="Arial" w:cs="Arial"/>
          <w:sz w:val="24"/>
          <w:szCs w:val="24"/>
          <w:lang w:val="en-GB"/>
        </w:rPr>
        <w:t>%</w:t>
      </w:r>
      <w:r w:rsidR="004056F2" w:rsidRPr="002074E6">
        <w:rPr>
          <w:rFonts w:ascii="Arial" w:hAnsi="Arial" w:cs="Arial"/>
          <w:sz w:val="24"/>
          <w:szCs w:val="24"/>
          <w:lang w:val="en-GB"/>
        </w:rPr>
        <w:t>. T</w:t>
      </w:r>
      <w:r w:rsidR="005B2B23" w:rsidRPr="002074E6">
        <w:rPr>
          <w:rFonts w:ascii="Arial" w:hAnsi="Arial" w:cs="Arial"/>
          <w:sz w:val="24"/>
          <w:szCs w:val="24"/>
          <w:lang w:val="en-GB"/>
        </w:rPr>
        <w:t>raditionally</w:t>
      </w:r>
      <w:r w:rsidR="00275FFA" w:rsidRPr="002074E6">
        <w:rPr>
          <w:rFonts w:ascii="Arial" w:hAnsi="Arial" w:cs="Arial"/>
          <w:sz w:val="24"/>
          <w:szCs w:val="24"/>
          <w:lang w:val="en-GB"/>
        </w:rPr>
        <w:t>, in Italy,</w:t>
      </w:r>
      <w:r w:rsidR="005B2B23" w:rsidRPr="002074E6">
        <w:rPr>
          <w:rFonts w:ascii="Arial" w:hAnsi="Arial" w:cs="Arial"/>
          <w:sz w:val="24"/>
          <w:szCs w:val="24"/>
          <w:lang w:val="en-GB"/>
        </w:rPr>
        <w:t xml:space="preserve"> medium and small size companies </w:t>
      </w:r>
      <w:r w:rsidR="00204C55" w:rsidRPr="002074E6">
        <w:rPr>
          <w:rFonts w:ascii="Arial" w:hAnsi="Arial" w:cs="Arial"/>
          <w:sz w:val="24"/>
          <w:szCs w:val="24"/>
          <w:lang w:val="en-GB"/>
        </w:rPr>
        <w:t>showed</w:t>
      </w:r>
      <w:r w:rsidR="005B2B23" w:rsidRPr="002074E6">
        <w:rPr>
          <w:rFonts w:ascii="Arial" w:hAnsi="Arial" w:cs="Arial"/>
          <w:sz w:val="24"/>
          <w:szCs w:val="24"/>
          <w:lang w:val="en-GB"/>
        </w:rPr>
        <w:t xml:space="preserve"> </w:t>
      </w:r>
      <w:r w:rsidR="005B2B23" w:rsidRPr="001C2783">
        <w:rPr>
          <w:rFonts w:ascii="Arial" w:hAnsi="Arial" w:cs="Arial"/>
          <w:sz w:val="24"/>
          <w:szCs w:val="24"/>
          <w:lang w:val="en-GB"/>
        </w:rPr>
        <w:t xml:space="preserve">lower </w:t>
      </w:r>
      <w:proofErr w:type="spellStart"/>
      <w:r w:rsidR="001E3D7B" w:rsidRPr="001C2783">
        <w:rPr>
          <w:rFonts w:ascii="Arial" w:hAnsi="Arial" w:cs="Arial"/>
          <w:i/>
          <w:sz w:val="24"/>
          <w:szCs w:val="24"/>
          <w:lang w:val="en-GB"/>
        </w:rPr>
        <w:t>rr</w:t>
      </w:r>
      <w:proofErr w:type="spellEnd"/>
      <w:r w:rsidR="005B2B23" w:rsidRPr="001C2783">
        <w:rPr>
          <w:rFonts w:ascii="Arial" w:hAnsi="Arial" w:cs="Arial"/>
          <w:sz w:val="24"/>
          <w:szCs w:val="24"/>
          <w:lang w:val="en-GB"/>
        </w:rPr>
        <w:t xml:space="preserve"> than bigger ones.</w:t>
      </w:r>
      <w:r w:rsidRPr="001C2783">
        <w:rPr>
          <w:rFonts w:ascii="Arial" w:hAnsi="Arial" w:cs="Arial"/>
          <w:sz w:val="24"/>
          <w:szCs w:val="24"/>
          <w:lang w:val="en-GB"/>
        </w:rPr>
        <w:t xml:space="preserve"> </w:t>
      </w:r>
      <w:r w:rsidR="00204C55" w:rsidRPr="001C2783">
        <w:rPr>
          <w:rFonts w:ascii="Arial" w:hAnsi="Arial" w:cs="Arial"/>
          <w:sz w:val="24"/>
          <w:szCs w:val="24"/>
          <w:lang w:val="en-GB"/>
        </w:rPr>
        <w:t xml:space="preserve">An explanation </w:t>
      </w:r>
      <w:r w:rsidR="00275FFA" w:rsidRPr="001C2783">
        <w:rPr>
          <w:rFonts w:ascii="Arial" w:hAnsi="Arial" w:cs="Arial"/>
          <w:sz w:val="24"/>
          <w:szCs w:val="24"/>
          <w:lang w:val="en-GB"/>
        </w:rPr>
        <w:t xml:space="preserve">of different </w:t>
      </w:r>
      <w:proofErr w:type="spellStart"/>
      <w:r w:rsidR="001E3D7B" w:rsidRPr="001C2783">
        <w:rPr>
          <w:rFonts w:ascii="Arial" w:hAnsi="Arial" w:cs="Arial"/>
          <w:i/>
          <w:sz w:val="24"/>
          <w:szCs w:val="24"/>
          <w:lang w:val="en-GB"/>
        </w:rPr>
        <w:t>rr</w:t>
      </w:r>
      <w:proofErr w:type="spellEnd"/>
      <w:r w:rsidR="00275FFA" w:rsidRPr="001C2783">
        <w:rPr>
          <w:rFonts w:ascii="Arial" w:hAnsi="Arial" w:cs="Arial"/>
          <w:sz w:val="24"/>
          <w:szCs w:val="24"/>
          <w:lang w:val="en-GB"/>
        </w:rPr>
        <w:t xml:space="preserve"> </w:t>
      </w:r>
      <w:r w:rsidR="00204C55" w:rsidRPr="001C2783">
        <w:rPr>
          <w:rFonts w:ascii="Arial" w:hAnsi="Arial" w:cs="Arial"/>
          <w:sz w:val="24"/>
          <w:szCs w:val="24"/>
          <w:lang w:val="en-GB"/>
        </w:rPr>
        <w:t xml:space="preserve">corresponding </w:t>
      </w:r>
      <w:r w:rsidR="00275FFA" w:rsidRPr="001C2783">
        <w:rPr>
          <w:rFonts w:ascii="Arial" w:hAnsi="Arial" w:cs="Arial"/>
          <w:sz w:val="24"/>
          <w:szCs w:val="24"/>
          <w:lang w:val="en-GB"/>
        </w:rPr>
        <w:t>to</w:t>
      </w:r>
      <w:r w:rsidR="00204C55" w:rsidRPr="001C2783">
        <w:rPr>
          <w:rFonts w:ascii="Arial" w:hAnsi="Arial" w:cs="Arial"/>
          <w:sz w:val="24"/>
          <w:szCs w:val="24"/>
          <w:lang w:val="en-GB"/>
        </w:rPr>
        <w:t xml:space="preserve"> different</w:t>
      </w:r>
      <w:r w:rsidR="00275FFA" w:rsidRPr="001C2783">
        <w:rPr>
          <w:rFonts w:ascii="Arial" w:hAnsi="Arial" w:cs="Arial"/>
          <w:sz w:val="24"/>
          <w:szCs w:val="24"/>
          <w:lang w:val="en-GB"/>
        </w:rPr>
        <w:t xml:space="preserve"> dimensional classes</w:t>
      </w:r>
      <w:r w:rsidR="005B2B23" w:rsidRPr="001C2783">
        <w:rPr>
          <w:rFonts w:ascii="Arial" w:hAnsi="Arial" w:cs="Arial"/>
          <w:sz w:val="24"/>
          <w:szCs w:val="24"/>
          <w:lang w:val="en-GB"/>
        </w:rPr>
        <w:t xml:space="preserve"> </w:t>
      </w:r>
      <w:r w:rsidR="00204C55" w:rsidRPr="001C2783">
        <w:rPr>
          <w:rFonts w:ascii="Arial" w:hAnsi="Arial" w:cs="Arial"/>
          <w:sz w:val="24"/>
          <w:szCs w:val="24"/>
          <w:lang w:val="en-GB"/>
        </w:rPr>
        <w:t>depends on</w:t>
      </w:r>
      <w:r w:rsidR="005B2B23" w:rsidRPr="001C2783">
        <w:rPr>
          <w:rFonts w:ascii="Arial" w:hAnsi="Arial" w:cs="Arial"/>
          <w:sz w:val="24"/>
          <w:szCs w:val="24"/>
          <w:lang w:val="en-GB"/>
        </w:rPr>
        <w:t xml:space="preserve"> the characteristics of the Italian statistical</w:t>
      </w:r>
      <w:r w:rsidR="00884610" w:rsidRPr="001C2783">
        <w:rPr>
          <w:rFonts w:ascii="Arial" w:hAnsi="Arial" w:cs="Arial"/>
          <w:sz w:val="24"/>
          <w:szCs w:val="24"/>
          <w:lang w:val="en-GB"/>
        </w:rPr>
        <w:t xml:space="preserve"> </w:t>
      </w:r>
      <w:r w:rsidR="005B2B23" w:rsidRPr="001C2783">
        <w:rPr>
          <w:rFonts w:ascii="Arial" w:hAnsi="Arial" w:cs="Arial"/>
          <w:sz w:val="24"/>
          <w:szCs w:val="24"/>
          <w:lang w:val="en-GB"/>
        </w:rPr>
        <w:t>law that</w:t>
      </w:r>
      <w:r w:rsidR="00884610" w:rsidRPr="001C2783">
        <w:rPr>
          <w:rFonts w:ascii="Arial" w:hAnsi="Arial" w:cs="Arial"/>
          <w:sz w:val="24"/>
          <w:szCs w:val="24"/>
          <w:lang w:val="en-GB"/>
        </w:rPr>
        <w:t xml:space="preserve"> </w:t>
      </w:r>
      <w:r w:rsidR="005B2B23" w:rsidRPr="001C2783">
        <w:rPr>
          <w:rFonts w:ascii="Arial" w:hAnsi="Arial" w:cs="Arial"/>
          <w:sz w:val="24"/>
          <w:szCs w:val="24"/>
          <w:lang w:val="en-GB"/>
        </w:rPr>
        <w:t xml:space="preserve">imposes an obligation to provide data for all the companies involved in statistical surveys but </w:t>
      </w:r>
      <w:r w:rsidR="00204C55" w:rsidRPr="001C2783">
        <w:rPr>
          <w:rFonts w:ascii="Arial" w:hAnsi="Arial" w:cs="Arial"/>
          <w:sz w:val="24"/>
          <w:szCs w:val="24"/>
          <w:lang w:val="en-GB"/>
        </w:rPr>
        <w:t>it applies penalties</w:t>
      </w:r>
      <w:r w:rsidR="00204C55" w:rsidRPr="001C2783" w:rsidDel="00204C55">
        <w:rPr>
          <w:rFonts w:ascii="Arial" w:hAnsi="Arial" w:cs="Arial"/>
          <w:sz w:val="24"/>
          <w:szCs w:val="24"/>
          <w:lang w:val="en-GB"/>
        </w:rPr>
        <w:t xml:space="preserve"> </w:t>
      </w:r>
      <w:r w:rsidR="005B2B23" w:rsidRPr="001C2783">
        <w:rPr>
          <w:rFonts w:ascii="Arial" w:hAnsi="Arial" w:cs="Arial"/>
          <w:sz w:val="24"/>
          <w:szCs w:val="24"/>
          <w:lang w:val="en-GB"/>
        </w:rPr>
        <w:t xml:space="preserve">just for a reduced set of companies, identified according to dimensional variables (number of employees and/or turnover). During the last two years </w:t>
      </w:r>
      <w:proofErr w:type="spellStart"/>
      <w:r w:rsidR="005B2B23" w:rsidRPr="001C2783">
        <w:rPr>
          <w:rFonts w:ascii="Arial" w:hAnsi="Arial" w:cs="Arial"/>
          <w:sz w:val="24"/>
          <w:szCs w:val="24"/>
          <w:lang w:val="en-GB"/>
        </w:rPr>
        <w:t>Istat</w:t>
      </w:r>
      <w:proofErr w:type="spellEnd"/>
      <w:r w:rsidR="005B2B23" w:rsidRPr="001C2783">
        <w:rPr>
          <w:rFonts w:ascii="Arial" w:hAnsi="Arial" w:cs="Arial"/>
          <w:sz w:val="24"/>
          <w:szCs w:val="24"/>
          <w:lang w:val="en-GB"/>
        </w:rPr>
        <w:t xml:space="preserve"> </w:t>
      </w:r>
      <w:r w:rsidR="006F7B00" w:rsidRPr="001C2783">
        <w:rPr>
          <w:rFonts w:ascii="Arial" w:hAnsi="Arial" w:cs="Arial"/>
          <w:sz w:val="24"/>
          <w:szCs w:val="24"/>
          <w:lang w:val="en-GB"/>
        </w:rPr>
        <w:t>experienced</w:t>
      </w:r>
      <w:r w:rsidR="005B2B23" w:rsidRPr="001C2783">
        <w:rPr>
          <w:rFonts w:ascii="Arial" w:hAnsi="Arial" w:cs="Arial"/>
          <w:sz w:val="24"/>
          <w:szCs w:val="24"/>
          <w:lang w:val="en-GB"/>
        </w:rPr>
        <w:t xml:space="preserve"> </w:t>
      </w:r>
      <w:r w:rsidR="00275FFA" w:rsidRPr="001C2783">
        <w:rPr>
          <w:rFonts w:ascii="Arial" w:hAnsi="Arial" w:cs="Arial"/>
          <w:sz w:val="24"/>
          <w:szCs w:val="24"/>
          <w:lang w:val="en-GB"/>
        </w:rPr>
        <w:t>a clearly</w:t>
      </w:r>
      <w:r w:rsidR="005B2B23" w:rsidRPr="001C2783">
        <w:rPr>
          <w:rFonts w:ascii="Arial" w:hAnsi="Arial" w:cs="Arial"/>
          <w:sz w:val="24"/>
          <w:szCs w:val="24"/>
          <w:lang w:val="en-GB"/>
        </w:rPr>
        <w:t xml:space="preserve"> increasing trend in </w:t>
      </w:r>
      <w:proofErr w:type="spellStart"/>
      <w:r w:rsidR="001E3D7B" w:rsidRPr="001C2783">
        <w:rPr>
          <w:rFonts w:ascii="Arial" w:hAnsi="Arial" w:cs="Arial"/>
          <w:i/>
          <w:sz w:val="24"/>
          <w:szCs w:val="24"/>
          <w:lang w:val="en-GB"/>
        </w:rPr>
        <w:t>rr</w:t>
      </w:r>
      <w:proofErr w:type="spellEnd"/>
      <w:r w:rsidR="005B2B23" w:rsidRPr="001C2783">
        <w:rPr>
          <w:rFonts w:ascii="Arial" w:hAnsi="Arial" w:cs="Arial"/>
          <w:sz w:val="24"/>
          <w:szCs w:val="24"/>
          <w:lang w:val="en-GB"/>
        </w:rPr>
        <w:t xml:space="preserve"> both in</w:t>
      </w:r>
      <w:r w:rsidR="006F7B00" w:rsidRPr="001C2783">
        <w:rPr>
          <w:rFonts w:ascii="Arial" w:hAnsi="Arial" w:cs="Arial"/>
          <w:sz w:val="24"/>
          <w:szCs w:val="24"/>
          <w:lang w:val="en-GB"/>
        </w:rPr>
        <w:t xml:space="preserve"> </w:t>
      </w:r>
      <w:r w:rsidR="00BF6CA0" w:rsidRPr="001C2783">
        <w:rPr>
          <w:rFonts w:ascii="Arial" w:hAnsi="Arial" w:cs="Arial"/>
          <w:sz w:val="24"/>
          <w:szCs w:val="24"/>
          <w:lang w:val="en-GB"/>
        </w:rPr>
        <w:t xml:space="preserve">structural and </w:t>
      </w:r>
      <w:r w:rsidR="005B2B23" w:rsidRPr="001C2783">
        <w:rPr>
          <w:rFonts w:ascii="Arial" w:hAnsi="Arial" w:cs="Arial"/>
          <w:sz w:val="24"/>
          <w:szCs w:val="24"/>
          <w:lang w:val="en-GB"/>
        </w:rPr>
        <w:t xml:space="preserve">short-term </w:t>
      </w:r>
      <w:r w:rsidR="00D64A0C" w:rsidRPr="001C2783">
        <w:rPr>
          <w:rFonts w:ascii="Arial" w:hAnsi="Arial" w:cs="Arial"/>
          <w:sz w:val="24"/>
          <w:szCs w:val="24"/>
          <w:lang w:val="en-GB"/>
        </w:rPr>
        <w:t xml:space="preserve">economic </w:t>
      </w:r>
      <w:r w:rsidR="005B2B23" w:rsidRPr="001C2783">
        <w:rPr>
          <w:rFonts w:ascii="Arial" w:hAnsi="Arial" w:cs="Arial"/>
          <w:sz w:val="24"/>
          <w:szCs w:val="24"/>
          <w:lang w:val="en-GB"/>
        </w:rPr>
        <w:t>surveys. The increase</w:t>
      </w:r>
      <w:r w:rsidR="005B2B23" w:rsidRPr="002074E6">
        <w:rPr>
          <w:rFonts w:ascii="Arial" w:hAnsi="Arial" w:cs="Arial"/>
          <w:sz w:val="24"/>
          <w:szCs w:val="24"/>
          <w:lang w:val="en-GB"/>
        </w:rPr>
        <w:t xml:space="preserve"> of the </w:t>
      </w:r>
      <w:proofErr w:type="spellStart"/>
      <w:r w:rsidR="003B33B7" w:rsidRPr="003B33B7">
        <w:rPr>
          <w:rFonts w:ascii="Arial" w:hAnsi="Arial" w:cs="Arial"/>
          <w:i/>
          <w:sz w:val="24"/>
          <w:szCs w:val="24"/>
          <w:lang w:val="en-GB"/>
        </w:rPr>
        <w:t>rr</w:t>
      </w:r>
      <w:proofErr w:type="spellEnd"/>
      <w:r w:rsidR="005B2B23" w:rsidRPr="002074E6">
        <w:rPr>
          <w:rFonts w:ascii="Arial" w:hAnsi="Arial" w:cs="Arial"/>
          <w:sz w:val="24"/>
          <w:szCs w:val="24"/>
          <w:lang w:val="en-GB"/>
        </w:rPr>
        <w:t xml:space="preserve"> </w:t>
      </w:r>
      <w:r w:rsidR="006F7B00" w:rsidRPr="002074E6">
        <w:rPr>
          <w:rFonts w:ascii="Arial" w:hAnsi="Arial" w:cs="Arial"/>
          <w:sz w:val="24"/>
          <w:szCs w:val="24"/>
          <w:lang w:val="en-GB"/>
        </w:rPr>
        <w:t>was</w:t>
      </w:r>
      <w:r w:rsidR="005B2B23" w:rsidRPr="002074E6">
        <w:rPr>
          <w:rFonts w:ascii="Arial" w:hAnsi="Arial" w:cs="Arial"/>
          <w:sz w:val="24"/>
          <w:szCs w:val="24"/>
          <w:lang w:val="en-GB"/>
        </w:rPr>
        <w:t xml:space="preserve"> normally associated to a significant reduction of the data collection period.</w:t>
      </w:r>
      <w:r w:rsidR="005B2B23" w:rsidRPr="005B2B23">
        <w:rPr>
          <w:rFonts w:ascii="Arial" w:hAnsi="Arial" w:cs="Arial"/>
          <w:sz w:val="24"/>
          <w:szCs w:val="24"/>
          <w:lang w:val="en-GB"/>
        </w:rPr>
        <w:t xml:space="preserve"> </w:t>
      </w:r>
      <w:r w:rsidR="00851A41" w:rsidRPr="002074E6">
        <w:rPr>
          <w:rFonts w:ascii="Arial" w:hAnsi="Arial" w:cs="Arial"/>
          <w:sz w:val="24"/>
          <w:szCs w:val="24"/>
          <w:lang w:val="en-GB"/>
        </w:rPr>
        <w:t xml:space="preserve">Particularly for </w:t>
      </w:r>
      <w:r w:rsidR="007D6270" w:rsidRPr="00F255F1">
        <w:rPr>
          <w:rFonts w:ascii="Arial" w:hAnsi="Arial" w:cs="Arial"/>
          <w:sz w:val="24"/>
          <w:szCs w:val="24"/>
          <w:lang w:val="en-GB"/>
        </w:rPr>
        <w:t>main</w:t>
      </w:r>
      <w:r w:rsidR="00851A41" w:rsidRPr="00F255F1">
        <w:rPr>
          <w:rFonts w:ascii="Arial" w:hAnsi="Arial" w:cs="Arial"/>
          <w:sz w:val="24"/>
          <w:szCs w:val="24"/>
          <w:lang w:val="en-GB"/>
        </w:rPr>
        <w:t xml:space="preserve"> </w:t>
      </w:r>
      <w:r w:rsidR="00204C55" w:rsidRPr="00F255F1">
        <w:rPr>
          <w:rFonts w:ascii="Arial" w:hAnsi="Arial" w:cs="Arial"/>
          <w:sz w:val="24"/>
          <w:szCs w:val="24"/>
          <w:lang w:val="en-GB"/>
        </w:rPr>
        <w:t xml:space="preserve">structural economic </w:t>
      </w:r>
      <w:r w:rsidR="00851A41" w:rsidRPr="00F255F1">
        <w:rPr>
          <w:rFonts w:ascii="Arial" w:hAnsi="Arial" w:cs="Arial"/>
          <w:sz w:val="24"/>
          <w:szCs w:val="24"/>
          <w:lang w:val="en-GB"/>
        </w:rPr>
        <w:t>survey</w:t>
      </w:r>
      <w:r w:rsidR="00EB55DD" w:rsidRPr="00F255F1">
        <w:rPr>
          <w:rFonts w:ascii="Arial" w:hAnsi="Arial" w:cs="Arial"/>
          <w:sz w:val="24"/>
          <w:szCs w:val="24"/>
          <w:lang w:val="en-GB"/>
        </w:rPr>
        <w:t>s</w:t>
      </w:r>
      <w:r w:rsidR="001509A9" w:rsidRPr="002074E6">
        <w:rPr>
          <w:rStyle w:val="Rimandonotaapidipagina"/>
          <w:rFonts w:ascii="Arial" w:hAnsi="Arial" w:cs="Arial"/>
          <w:b/>
          <w:sz w:val="24"/>
          <w:szCs w:val="24"/>
          <w:lang w:val="en-GB"/>
        </w:rPr>
        <w:footnoteReference w:id="3"/>
      </w:r>
      <w:r w:rsidR="00851A41" w:rsidRPr="002074E6">
        <w:rPr>
          <w:rFonts w:ascii="Arial" w:hAnsi="Arial" w:cs="Arial"/>
          <w:sz w:val="24"/>
          <w:szCs w:val="24"/>
          <w:lang w:val="en-GB"/>
        </w:rPr>
        <w:t xml:space="preserve">, the results </w:t>
      </w:r>
      <w:r w:rsidR="00CC150C" w:rsidRPr="002074E6">
        <w:rPr>
          <w:rFonts w:ascii="Arial" w:hAnsi="Arial" w:cs="Arial"/>
          <w:sz w:val="24"/>
          <w:szCs w:val="24"/>
          <w:lang w:val="en-GB"/>
        </w:rPr>
        <w:t>show (T</w:t>
      </w:r>
      <w:r w:rsidR="00674683" w:rsidRPr="002074E6">
        <w:rPr>
          <w:rFonts w:ascii="Arial" w:hAnsi="Arial" w:cs="Arial"/>
          <w:sz w:val="24"/>
          <w:szCs w:val="24"/>
          <w:lang w:val="en-GB"/>
        </w:rPr>
        <w:t>able 1</w:t>
      </w:r>
      <w:r w:rsidR="007A3416" w:rsidRPr="002074E6">
        <w:rPr>
          <w:rFonts w:ascii="Arial" w:hAnsi="Arial" w:cs="Arial"/>
          <w:sz w:val="24"/>
          <w:szCs w:val="24"/>
          <w:lang w:val="en-GB"/>
        </w:rPr>
        <w:t xml:space="preserve">) that generally speaking the </w:t>
      </w:r>
      <w:proofErr w:type="spellStart"/>
      <w:r w:rsidR="00FD20E4" w:rsidRPr="002074E6">
        <w:rPr>
          <w:rFonts w:ascii="Arial" w:hAnsi="Arial" w:cs="Arial"/>
          <w:i/>
          <w:sz w:val="24"/>
          <w:szCs w:val="24"/>
          <w:lang w:val="en-GB"/>
        </w:rPr>
        <w:t>rr</w:t>
      </w:r>
      <w:proofErr w:type="spellEnd"/>
      <w:r w:rsidR="004F24E5" w:rsidRPr="002074E6">
        <w:rPr>
          <w:rFonts w:ascii="Arial" w:hAnsi="Arial" w:cs="Arial"/>
          <w:sz w:val="24"/>
          <w:szCs w:val="24"/>
          <w:lang w:val="en-GB"/>
        </w:rPr>
        <w:t xml:space="preserve"> </w:t>
      </w:r>
      <w:proofErr w:type="spellStart"/>
      <w:r w:rsidR="007A3416" w:rsidRPr="002074E6">
        <w:rPr>
          <w:rFonts w:ascii="Arial" w:hAnsi="Arial" w:cs="Arial"/>
          <w:sz w:val="24"/>
          <w:szCs w:val="24"/>
          <w:lang w:val="en-GB"/>
        </w:rPr>
        <w:t>increased</w:t>
      </w:r>
      <w:proofErr w:type="spellEnd"/>
      <w:r w:rsidR="00204C55" w:rsidRPr="002074E6">
        <w:rPr>
          <w:rFonts w:ascii="Arial" w:hAnsi="Arial" w:cs="Arial"/>
          <w:sz w:val="24"/>
          <w:szCs w:val="24"/>
          <w:lang w:val="en-GB"/>
        </w:rPr>
        <w:t xml:space="preserve"> </w:t>
      </w:r>
      <w:r w:rsidR="007A3416" w:rsidRPr="002074E6">
        <w:rPr>
          <w:rFonts w:ascii="Arial" w:hAnsi="Arial" w:cs="Arial"/>
          <w:sz w:val="24"/>
          <w:szCs w:val="24"/>
          <w:lang w:val="en-GB"/>
        </w:rPr>
        <w:t xml:space="preserve">of </w:t>
      </w:r>
      <w:r w:rsidR="0098377F" w:rsidRPr="002074E6">
        <w:rPr>
          <w:rFonts w:ascii="Arial" w:hAnsi="Arial" w:cs="Arial"/>
          <w:sz w:val="24"/>
          <w:szCs w:val="24"/>
          <w:lang w:val="en-GB"/>
        </w:rPr>
        <w:t xml:space="preserve">about </w:t>
      </w:r>
      <w:r w:rsidR="007A3416" w:rsidRPr="002074E6">
        <w:rPr>
          <w:rFonts w:ascii="Arial" w:hAnsi="Arial" w:cs="Arial"/>
          <w:sz w:val="24"/>
          <w:szCs w:val="24"/>
          <w:lang w:val="en-GB"/>
        </w:rPr>
        <w:t>1</w:t>
      </w:r>
      <w:r w:rsidR="007D6270" w:rsidRPr="002074E6">
        <w:rPr>
          <w:rFonts w:ascii="Arial" w:hAnsi="Arial" w:cs="Arial"/>
          <w:sz w:val="24"/>
          <w:szCs w:val="24"/>
          <w:lang w:val="en-GB"/>
        </w:rPr>
        <w:t>1</w:t>
      </w:r>
      <w:r w:rsidR="001E3D7B">
        <w:rPr>
          <w:rFonts w:ascii="Arial" w:hAnsi="Arial" w:cs="Arial"/>
          <w:sz w:val="24"/>
          <w:szCs w:val="24"/>
          <w:lang w:val="en-GB"/>
        </w:rPr>
        <w:t xml:space="preserve"> percentage points (</w:t>
      </w:r>
      <w:r w:rsidR="001E3D7B" w:rsidRPr="00EB0CE6">
        <w:rPr>
          <w:rFonts w:ascii="Arial" w:hAnsi="Arial" w:cs="Arial"/>
          <w:i/>
          <w:sz w:val="24"/>
          <w:szCs w:val="24"/>
          <w:lang w:val="en-GB"/>
        </w:rPr>
        <w:t>pp</w:t>
      </w:r>
      <w:r w:rsidR="001E3D7B">
        <w:rPr>
          <w:rFonts w:ascii="Arial" w:hAnsi="Arial" w:cs="Arial"/>
          <w:sz w:val="24"/>
          <w:szCs w:val="24"/>
          <w:lang w:val="en-GB"/>
        </w:rPr>
        <w:t>)</w:t>
      </w:r>
      <w:r w:rsidR="007A3416" w:rsidRPr="002074E6">
        <w:rPr>
          <w:rFonts w:ascii="Arial" w:hAnsi="Arial" w:cs="Arial"/>
          <w:sz w:val="24"/>
          <w:szCs w:val="24"/>
          <w:lang w:val="en-GB"/>
        </w:rPr>
        <w:t xml:space="preserve">, whereas </w:t>
      </w:r>
      <w:r w:rsidR="007D6270" w:rsidRPr="002074E6">
        <w:rPr>
          <w:rFonts w:ascii="Arial" w:hAnsi="Arial" w:cs="Arial"/>
          <w:sz w:val="24"/>
          <w:szCs w:val="24"/>
          <w:lang w:val="en-GB"/>
        </w:rPr>
        <w:t xml:space="preserve">for </w:t>
      </w:r>
      <w:r w:rsidR="007D6270" w:rsidRPr="00F255F1">
        <w:rPr>
          <w:rFonts w:ascii="Arial" w:hAnsi="Arial" w:cs="Arial"/>
          <w:sz w:val="24"/>
          <w:szCs w:val="24"/>
          <w:lang w:val="en-GB"/>
        </w:rPr>
        <w:t>short-term surveys</w:t>
      </w:r>
      <w:r w:rsidR="007D6270" w:rsidRPr="002074E6">
        <w:rPr>
          <w:rFonts w:ascii="Arial" w:hAnsi="Arial" w:cs="Arial"/>
          <w:sz w:val="24"/>
          <w:szCs w:val="24"/>
          <w:lang w:val="en-GB"/>
        </w:rPr>
        <w:t xml:space="preserve"> </w:t>
      </w:r>
      <w:r w:rsidR="00204C55" w:rsidRPr="002074E6">
        <w:rPr>
          <w:rFonts w:ascii="Arial" w:hAnsi="Arial" w:cs="Arial"/>
          <w:sz w:val="24"/>
          <w:szCs w:val="24"/>
          <w:lang w:val="en-GB"/>
        </w:rPr>
        <w:t xml:space="preserve">of </w:t>
      </w:r>
      <w:r w:rsidR="0098377F" w:rsidRPr="002074E6">
        <w:rPr>
          <w:rFonts w:ascii="Arial" w:hAnsi="Arial" w:cs="Arial"/>
          <w:sz w:val="24"/>
          <w:szCs w:val="24"/>
          <w:lang w:val="en-GB"/>
        </w:rPr>
        <w:t xml:space="preserve">about </w:t>
      </w:r>
      <w:r w:rsidR="00204C55" w:rsidRPr="002074E6">
        <w:rPr>
          <w:rFonts w:ascii="Arial" w:hAnsi="Arial" w:cs="Arial"/>
          <w:sz w:val="24"/>
          <w:szCs w:val="24"/>
          <w:lang w:val="en-GB"/>
        </w:rPr>
        <w:t>20</w:t>
      </w:r>
      <w:r w:rsidR="001E3D7B">
        <w:rPr>
          <w:rFonts w:ascii="Arial" w:hAnsi="Arial" w:cs="Arial"/>
          <w:sz w:val="24"/>
          <w:szCs w:val="24"/>
          <w:lang w:val="en-GB"/>
        </w:rPr>
        <w:t xml:space="preserve"> </w:t>
      </w:r>
      <w:r w:rsidR="001E3D7B" w:rsidRPr="00EB0CE6">
        <w:rPr>
          <w:rFonts w:ascii="Arial" w:hAnsi="Arial" w:cs="Arial"/>
          <w:i/>
          <w:sz w:val="24"/>
          <w:szCs w:val="24"/>
          <w:lang w:val="en-GB"/>
        </w:rPr>
        <w:t>pp</w:t>
      </w:r>
      <w:r w:rsidR="007D6270" w:rsidRPr="002074E6">
        <w:rPr>
          <w:rFonts w:ascii="Arial" w:hAnsi="Arial" w:cs="Arial"/>
          <w:sz w:val="24"/>
          <w:szCs w:val="24"/>
          <w:lang w:val="en-GB"/>
        </w:rPr>
        <w:t xml:space="preserve">. </w:t>
      </w:r>
      <w:r w:rsidR="00973102" w:rsidRPr="002074E6">
        <w:rPr>
          <w:rFonts w:ascii="Arial" w:hAnsi="Arial" w:cs="Arial"/>
          <w:sz w:val="24"/>
          <w:szCs w:val="24"/>
          <w:lang w:val="en-GB"/>
        </w:rPr>
        <w:t xml:space="preserve">The </w:t>
      </w:r>
      <w:r w:rsidR="00F97EA9" w:rsidRPr="002074E6">
        <w:rPr>
          <w:rFonts w:ascii="Arial" w:hAnsi="Arial" w:cs="Arial"/>
          <w:sz w:val="24"/>
          <w:szCs w:val="24"/>
          <w:lang w:val="en-GB"/>
        </w:rPr>
        <w:t>comparison</w:t>
      </w:r>
      <w:r w:rsidR="008A7B01" w:rsidRPr="002074E6">
        <w:rPr>
          <w:rFonts w:ascii="Arial" w:hAnsi="Arial" w:cs="Arial"/>
          <w:sz w:val="24"/>
          <w:szCs w:val="24"/>
          <w:lang w:val="en-GB"/>
        </w:rPr>
        <w:t>s</w:t>
      </w:r>
      <w:r w:rsidR="00F97EA9" w:rsidRPr="002074E6">
        <w:rPr>
          <w:rFonts w:ascii="Arial" w:hAnsi="Arial" w:cs="Arial"/>
          <w:sz w:val="24"/>
          <w:szCs w:val="24"/>
          <w:lang w:val="en-GB"/>
        </w:rPr>
        <w:t xml:space="preserve"> </w:t>
      </w:r>
      <w:r w:rsidR="008A7B01" w:rsidRPr="002074E6">
        <w:rPr>
          <w:rFonts w:ascii="Arial" w:hAnsi="Arial" w:cs="Arial"/>
          <w:sz w:val="24"/>
          <w:szCs w:val="24"/>
          <w:lang w:val="en-GB"/>
        </w:rPr>
        <w:t>refer</w:t>
      </w:r>
      <w:r w:rsidR="00973102" w:rsidRPr="002074E6">
        <w:rPr>
          <w:rFonts w:ascii="Arial" w:hAnsi="Arial" w:cs="Arial"/>
          <w:sz w:val="24"/>
          <w:szCs w:val="24"/>
          <w:lang w:val="en-GB"/>
        </w:rPr>
        <w:t xml:space="preserve"> to surveys </w:t>
      </w:r>
      <w:r w:rsidR="007D4AF0" w:rsidRPr="002074E6">
        <w:rPr>
          <w:rFonts w:ascii="Arial" w:hAnsi="Arial" w:cs="Arial"/>
          <w:sz w:val="24"/>
          <w:szCs w:val="24"/>
          <w:lang w:val="en-GB"/>
        </w:rPr>
        <w:t xml:space="preserve">on enterprises </w:t>
      </w:r>
      <w:r w:rsidR="00204C55" w:rsidRPr="002074E6">
        <w:rPr>
          <w:rFonts w:ascii="Arial" w:hAnsi="Arial" w:cs="Arial"/>
          <w:sz w:val="24"/>
          <w:szCs w:val="24"/>
          <w:lang w:val="en-GB"/>
        </w:rPr>
        <w:t xml:space="preserve">carried out </w:t>
      </w:r>
      <w:r w:rsidR="00973102" w:rsidRPr="002074E6">
        <w:rPr>
          <w:rFonts w:ascii="Arial" w:hAnsi="Arial" w:cs="Arial"/>
          <w:sz w:val="24"/>
          <w:szCs w:val="24"/>
          <w:lang w:val="en-GB"/>
        </w:rPr>
        <w:t>before and after the</w:t>
      </w:r>
      <w:r w:rsidR="006F7B00" w:rsidRPr="002074E6">
        <w:rPr>
          <w:rFonts w:ascii="Arial" w:hAnsi="Arial" w:cs="Arial"/>
          <w:sz w:val="24"/>
          <w:szCs w:val="24"/>
          <w:lang w:val="en-GB"/>
        </w:rPr>
        <w:t xml:space="preserve"> centralized</w:t>
      </w:r>
      <w:r w:rsidR="00973102" w:rsidRPr="002074E6">
        <w:rPr>
          <w:rFonts w:ascii="Arial" w:hAnsi="Arial" w:cs="Arial"/>
          <w:sz w:val="24"/>
          <w:szCs w:val="24"/>
          <w:lang w:val="en-GB"/>
        </w:rPr>
        <w:t xml:space="preserve"> </w:t>
      </w:r>
      <w:r w:rsidR="00A37C96" w:rsidRPr="002074E6">
        <w:rPr>
          <w:rFonts w:ascii="Arial" w:hAnsi="Arial" w:cs="Arial"/>
          <w:sz w:val="24"/>
          <w:szCs w:val="24"/>
          <w:lang w:val="en-GB"/>
        </w:rPr>
        <w:t>Data Collection (</w:t>
      </w:r>
      <w:r w:rsidR="00A10322" w:rsidRPr="002074E6">
        <w:rPr>
          <w:rFonts w:ascii="Arial" w:hAnsi="Arial" w:cs="Arial"/>
          <w:sz w:val="24"/>
          <w:szCs w:val="24"/>
          <w:lang w:val="en-GB"/>
        </w:rPr>
        <w:t>C</w:t>
      </w:r>
      <w:r w:rsidR="00D67148" w:rsidRPr="002074E6">
        <w:rPr>
          <w:rFonts w:ascii="Arial" w:hAnsi="Arial" w:cs="Arial"/>
          <w:sz w:val="24"/>
          <w:szCs w:val="24"/>
          <w:lang w:val="en-GB"/>
        </w:rPr>
        <w:t>DC</w:t>
      </w:r>
      <w:r w:rsidR="00A37C96" w:rsidRPr="002074E6">
        <w:rPr>
          <w:rFonts w:ascii="Arial" w:hAnsi="Arial" w:cs="Arial"/>
          <w:sz w:val="24"/>
          <w:szCs w:val="24"/>
          <w:lang w:val="en-GB"/>
        </w:rPr>
        <w:t>)</w:t>
      </w:r>
      <w:r w:rsidR="00973102" w:rsidRPr="002074E6">
        <w:rPr>
          <w:rFonts w:ascii="Arial" w:hAnsi="Arial" w:cs="Arial"/>
          <w:sz w:val="24"/>
          <w:szCs w:val="24"/>
          <w:lang w:val="en-GB"/>
        </w:rPr>
        <w:t xml:space="preserve"> management </w:t>
      </w:r>
      <w:r w:rsidR="00F97EA9" w:rsidRPr="002074E6">
        <w:rPr>
          <w:rFonts w:ascii="Arial" w:hAnsi="Arial" w:cs="Arial"/>
          <w:sz w:val="24"/>
          <w:szCs w:val="24"/>
          <w:lang w:val="en-GB"/>
        </w:rPr>
        <w:t>was implemented</w:t>
      </w:r>
      <w:r w:rsidR="00973102" w:rsidRPr="002074E6">
        <w:rPr>
          <w:rFonts w:ascii="Arial" w:hAnsi="Arial" w:cs="Arial"/>
          <w:sz w:val="24"/>
          <w:szCs w:val="24"/>
          <w:lang w:val="en-GB"/>
        </w:rPr>
        <w:t xml:space="preserve"> in </w:t>
      </w:r>
      <w:proofErr w:type="spellStart"/>
      <w:r w:rsidR="00973102" w:rsidRPr="002074E6">
        <w:rPr>
          <w:rFonts w:ascii="Arial" w:hAnsi="Arial" w:cs="Arial"/>
          <w:sz w:val="24"/>
          <w:szCs w:val="24"/>
          <w:lang w:val="en-GB"/>
        </w:rPr>
        <w:t>Istat</w:t>
      </w:r>
      <w:proofErr w:type="spellEnd"/>
      <w:r w:rsidR="00973102" w:rsidRPr="002074E6">
        <w:rPr>
          <w:rFonts w:ascii="Arial" w:hAnsi="Arial" w:cs="Arial"/>
          <w:sz w:val="24"/>
          <w:szCs w:val="24"/>
          <w:lang w:val="en-GB"/>
        </w:rPr>
        <w:t>.</w:t>
      </w:r>
      <w:r w:rsidR="008A7B01" w:rsidRPr="002074E6">
        <w:rPr>
          <w:rFonts w:ascii="Arial" w:hAnsi="Arial" w:cs="Arial"/>
          <w:sz w:val="24"/>
          <w:szCs w:val="24"/>
          <w:lang w:val="en-GB"/>
        </w:rPr>
        <w:t xml:space="preserve"> Notably for short-term surveys </w:t>
      </w:r>
      <w:r w:rsidR="0098377F" w:rsidRPr="002074E6">
        <w:rPr>
          <w:rFonts w:ascii="Arial" w:hAnsi="Arial" w:cs="Arial"/>
          <w:sz w:val="24"/>
          <w:szCs w:val="24"/>
          <w:lang w:val="en-GB"/>
        </w:rPr>
        <w:t>the comparison</w:t>
      </w:r>
      <w:r w:rsidR="008A7B01" w:rsidRPr="002074E6">
        <w:rPr>
          <w:rFonts w:ascii="Arial" w:hAnsi="Arial" w:cs="Arial"/>
          <w:sz w:val="24"/>
          <w:szCs w:val="24"/>
          <w:lang w:val="en-GB"/>
        </w:rPr>
        <w:t xml:space="preserve"> was carried ou</w:t>
      </w:r>
      <w:r>
        <w:rPr>
          <w:rFonts w:ascii="Arial" w:hAnsi="Arial" w:cs="Arial"/>
          <w:sz w:val="24"/>
          <w:szCs w:val="24"/>
          <w:lang w:val="en-GB"/>
        </w:rPr>
        <w:t>t considering 1-st quarter 2016</w:t>
      </w:r>
      <w:r w:rsidR="00B3147A" w:rsidRPr="002074E6">
        <w:rPr>
          <w:rFonts w:ascii="Arial" w:hAnsi="Arial" w:cs="Arial"/>
          <w:sz w:val="24"/>
          <w:szCs w:val="24"/>
          <w:lang w:val="en-GB"/>
        </w:rPr>
        <w:t xml:space="preserve"> and </w:t>
      </w:r>
      <w:r w:rsidR="00514E1D" w:rsidRPr="002074E6">
        <w:rPr>
          <w:rFonts w:ascii="Arial" w:hAnsi="Arial" w:cs="Arial"/>
          <w:sz w:val="24"/>
          <w:szCs w:val="24"/>
          <w:lang w:val="en-GB"/>
        </w:rPr>
        <w:t xml:space="preserve">1-st quarter </w:t>
      </w:r>
      <w:r w:rsidR="00B3147A" w:rsidRPr="002074E6">
        <w:rPr>
          <w:rFonts w:ascii="Arial" w:hAnsi="Arial" w:cs="Arial"/>
          <w:sz w:val="24"/>
          <w:szCs w:val="24"/>
          <w:lang w:val="en-GB"/>
        </w:rPr>
        <w:t>2018.</w:t>
      </w:r>
    </w:p>
    <w:p w14:paraId="50A8EDC1" w14:textId="28D69756" w:rsidR="00851A41" w:rsidRPr="00E06362" w:rsidRDefault="00851A41" w:rsidP="00E06362">
      <w:pPr>
        <w:jc w:val="both"/>
        <w:rPr>
          <w:rFonts w:ascii="Arial" w:eastAsia="Arial" w:hAnsi="Arial" w:cs="Arial"/>
          <w:b/>
          <w:sz w:val="20"/>
          <w:lang w:val="en-US"/>
        </w:rPr>
      </w:pPr>
      <w:r w:rsidRPr="00E06362">
        <w:rPr>
          <w:rFonts w:ascii="Arial" w:eastAsia="Arial" w:hAnsi="Arial" w:cs="Arial"/>
          <w:b/>
          <w:sz w:val="20"/>
          <w:lang w:val="en-US"/>
        </w:rPr>
        <w:t xml:space="preserve">Table </w:t>
      </w:r>
      <w:r w:rsidR="00674683" w:rsidRPr="00E06362">
        <w:rPr>
          <w:rFonts w:ascii="Arial" w:eastAsia="Arial" w:hAnsi="Arial" w:cs="Arial"/>
          <w:b/>
          <w:sz w:val="20"/>
          <w:lang w:val="en-US"/>
        </w:rPr>
        <w:t>1</w:t>
      </w:r>
      <w:r w:rsidRPr="00E06362">
        <w:rPr>
          <w:rFonts w:ascii="Arial" w:eastAsia="Arial" w:hAnsi="Arial" w:cs="Arial"/>
          <w:b/>
          <w:sz w:val="20"/>
          <w:lang w:val="en-US"/>
        </w:rPr>
        <w:t xml:space="preserve">. </w:t>
      </w:r>
      <w:r w:rsidR="007D6270" w:rsidRPr="00E06362">
        <w:rPr>
          <w:rFonts w:ascii="Arial" w:eastAsia="Arial" w:hAnsi="Arial" w:cs="Arial"/>
          <w:b/>
          <w:sz w:val="20"/>
          <w:lang w:val="en-US"/>
        </w:rPr>
        <w:t xml:space="preserve">General </w:t>
      </w:r>
      <w:proofErr w:type="spellStart"/>
      <w:r w:rsidR="003B33B7" w:rsidRPr="00E06362">
        <w:rPr>
          <w:rFonts w:ascii="Arial" w:eastAsia="Arial" w:hAnsi="Arial" w:cs="Arial"/>
          <w:b/>
          <w:sz w:val="20"/>
          <w:lang w:val="en-US"/>
        </w:rPr>
        <w:t>rr</w:t>
      </w:r>
      <w:proofErr w:type="spellEnd"/>
      <w:r w:rsidR="007D6270" w:rsidRPr="00E06362">
        <w:rPr>
          <w:rFonts w:ascii="Arial" w:eastAsia="Arial" w:hAnsi="Arial" w:cs="Arial"/>
          <w:b/>
          <w:sz w:val="20"/>
          <w:lang w:val="en-US"/>
        </w:rPr>
        <w:t xml:space="preserve"> for main structural and short-term surveys</w:t>
      </w:r>
      <w:r w:rsidR="004E0EC0" w:rsidRPr="00E06362">
        <w:rPr>
          <w:rFonts w:ascii="Arial" w:eastAsia="Arial" w:hAnsi="Arial" w:cs="Arial"/>
          <w:b/>
          <w:sz w:val="20"/>
          <w:lang w:val="en-US"/>
        </w:rPr>
        <w:t xml:space="preserve"> pre and post </w:t>
      </w:r>
      <w:r w:rsidR="00514E1D" w:rsidRPr="00E06362">
        <w:rPr>
          <w:rFonts w:ascii="Arial" w:eastAsia="Arial" w:hAnsi="Arial" w:cs="Arial"/>
          <w:b/>
          <w:sz w:val="20"/>
          <w:lang w:val="en-US"/>
        </w:rPr>
        <w:t>C</w:t>
      </w:r>
      <w:r w:rsidR="004E0EC0" w:rsidRPr="00E06362">
        <w:rPr>
          <w:rFonts w:ascii="Arial" w:eastAsia="Arial" w:hAnsi="Arial" w:cs="Arial"/>
          <w:b/>
          <w:sz w:val="20"/>
          <w:lang w:val="en-US"/>
        </w:rPr>
        <w:t xml:space="preserve">DC </w:t>
      </w:r>
      <w:r w:rsidR="002074E6" w:rsidRPr="00E06362">
        <w:rPr>
          <w:rFonts w:ascii="Arial" w:eastAsia="Arial" w:hAnsi="Arial" w:cs="Arial"/>
          <w:b/>
          <w:sz w:val="20"/>
          <w:lang w:val="en-US"/>
        </w:rPr>
        <w:t>implementation</w:t>
      </w:r>
    </w:p>
    <w:tbl>
      <w:tblPr>
        <w:tblStyle w:val="Grigliatabella"/>
        <w:tblW w:w="9039" w:type="dxa"/>
        <w:tblLook w:val="04A0" w:firstRow="1" w:lastRow="0" w:firstColumn="1" w:lastColumn="0" w:noHBand="0" w:noVBand="1"/>
      </w:tblPr>
      <w:tblGrid>
        <w:gridCol w:w="2518"/>
        <w:gridCol w:w="2126"/>
        <w:gridCol w:w="2127"/>
        <w:gridCol w:w="2268"/>
      </w:tblGrid>
      <w:tr w:rsidR="007D6270" w:rsidRPr="00CC150C" w14:paraId="10FE7F89" w14:textId="77777777" w:rsidTr="00AD06B2">
        <w:trPr>
          <w:cantSplit/>
        </w:trPr>
        <w:tc>
          <w:tcPr>
            <w:tcW w:w="2518" w:type="dxa"/>
            <w:vAlign w:val="center"/>
          </w:tcPr>
          <w:p w14:paraId="530B440C" w14:textId="7E0B1DDF" w:rsidR="007D6270" w:rsidRPr="00543B41" w:rsidRDefault="00514E1D" w:rsidP="00AD06B2">
            <w:pPr>
              <w:spacing w:before="120" w:line="360" w:lineRule="auto"/>
              <w:jc w:val="center"/>
              <w:rPr>
                <w:rFonts w:ascii="Arial" w:hAnsi="Arial" w:cs="Arial"/>
                <w:b/>
                <w:sz w:val="20"/>
                <w:szCs w:val="20"/>
                <w:lang w:val="en-GB"/>
              </w:rPr>
            </w:pPr>
            <w:r>
              <w:rPr>
                <w:rFonts w:ascii="Arial" w:hAnsi="Arial" w:cs="Arial"/>
                <w:b/>
                <w:sz w:val="20"/>
                <w:szCs w:val="20"/>
                <w:lang w:val="en-GB"/>
              </w:rPr>
              <w:t xml:space="preserve">Type </w:t>
            </w:r>
            <w:r w:rsidR="00543B41">
              <w:rPr>
                <w:rFonts w:ascii="Arial" w:hAnsi="Arial" w:cs="Arial"/>
                <w:b/>
                <w:sz w:val="20"/>
                <w:szCs w:val="20"/>
                <w:lang w:val="en-GB"/>
              </w:rPr>
              <w:t>of businesses survey</w:t>
            </w:r>
          </w:p>
        </w:tc>
        <w:tc>
          <w:tcPr>
            <w:tcW w:w="2126" w:type="dxa"/>
            <w:vAlign w:val="center"/>
          </w:tcPr>
          <w:p w14:paraId="7BB5D50F" w14:textId="3B1FEABA" w:rsidR="007D6270" w:rsidRPr="00543B41" w:rsidRDefault="00543B41" w:rsidP="00AD06B2">
            <w:pPr>
              <w:spacing w:before="120" w:line="360" w:lineRule="auto"/>
              <w:jc w:val="center"/>
              <w:rPr>
                <w:rFonts w:ascii="Arial" w:hAnsi="Arial" w:cs="Arial"/>
                <w:b/>
                <w:sz w:val="20"/>
                <w:szCs w:val="20"/>
                <w:lang w:val="en-GB"/>
              </w:rPr>
            </w:pPr>
            <w:r>
              <w:rPr>
                <w:rFonts w:ascii="Arial" w:hAnsi="Arial" w:cs="Arial"/>
                <w:b/>
                <w:sz w:val="20"/>
                <w:szCs w:val="20"/>
                <w:lang w:val="en-GB"/>
              </w:rPr>
              <w:t>Management</w:t>
            </w:r>
            <w:r w:rsidR="00514E1D">
              <w:rPr>
                <w:rFonts w:ascii="Arial" w:hAnsi="Arial" w:cs="Arial"/>
                <w:b/>
                <w:sz w:val="20"/>
                <w:szCs w:val="20"/>
                <w:lang w:val="en-GB"/>
              </w:rPr>
              <w:t xml:space="preserve"> type</w:t>
            </w:r>
          </w:p>
        </w:tc>
        <w:tc>
          <w:tcPr>
            <w:tcW w:w="2127" w:type="dxa"/>
            <w:vAlign w:val="center"/>
          </w:tcPr>
          <w:p w14:paraId="09BB9963" w14:textId="0DF6C37C" w:rsidR="007D6270" w:rsidRPr="00543B41" w:rsidRDefault="007D6270" w:rsidP="00AD06B2">
            <w:pPr>
              <w:spacing w:before="120" w:line="360" w:lineRule="auto"/>
              <w:jc w:val="center"/>
              <w:rPr>
                <w:rFonts w:ascii="Arial" w:hAnsi="Arial" w:cs="Arial"/>
                <w:b/>
                <w:sz w:val="20"/>
                <w:szCs w:val="20"/>
                <w:lang w:val="en-GB"/>
              </w:rPr>
            </w:pPr>
            <w:r w:rsidRPr="00543B41">
              <w:rPr>
                <w:rFonts w:ascii="Arial" w:hAnsi="Arial" w:cs="Arial"/>
                <w:b/>
                <w:sz w:val="20"/>
                <w:szCs w:val="20"/>
                <w:lang w:val="en-GB"/>
              </w:rPr>
              <w:t>T</w:t>
            </w:r>
            <w:r w:rsidR="00543B41">
              <w:rPr>
                <w:rFonts w:ascii="Arial" w:hAnsi="Arial" w:cs="Arial"/>
                <w:b/>
                <w:sz w:val="20"/>
                <w:szCs w:val="20"/>
                <w:lang w:val="en-GB"/>
              </w:rPr>
              <w:t xml:space="preserve">otal </w:t>
            </w:r>
            <w:proofErr w:type="spellStart"/>
            <w:r w:rsidR="00543B41">
              <w:rPr>
                <w:rFonts w:ascii="Arial" w:hAnsi="Arial" w:cs="Arial"/>
                <w:b/>
                <w:sz w:val="20"/>
                <w:szCs w:val="20"/>
                <w:lang w:val="en-GB"/>
              </w:rPr>
              <w:t>suvery</w:t>
            </w:r>
            <w:proofErr w:type="spellEnd"/>
            <w:r w:rsidR="00543B41">
              <w:rPr>
                <w:rFonts w:ascii="Arial" w:hAnsi="Arial" w:cs="Arial"/>
                <w:b/>
                <w:sz w:val="20"/>
                <w:szCs w:val="20"/>
                <w:lang w:val="en-GB"/>
              </w:rPr>
              <w:t xml:space="preserve"> units</w:t>
            </w:r>
            <w:r w:rsidRPr="00543B41">
              <w:rPr>
                <w:rFonts w:ascii="Arial" w:hAnsi="Arial" w:cs="Arial"/>
                <w:b/>
                <w:sz w:val="20"/>
                <w:szCs w:val="20"/>
                <w:lang w:val="en-GB"/>
              </w:rPr>
              <w:t xml:space="preserve"> (*)</w:t>
            </w:r>
          </w:p>
        </w:tc>
        <w:tc>
          <w:tcPr>
            <w:tcW w:w="2268" w:type="dxa"/>
            <w:vAlign w:val="center"/>
          </w:tcPr>
          <w:p w14:paraId="7CF82508" w14:textId="4B8EE5AC" w:rsidR="007D6270" w:rsidRPr="00543B41" w:rsidRDefault="007D6270" w:rsidP="00AD06B2">
            <w:pPr>
              <w:spacing w:before="120" w:line="360" w:lineRule="auto"/>
              <w:jc w:val="center"/>
              <w:rPr>
                <w:rFonts w:ascii="Arial" w:hAnsi="Arial" w:cs="Arial"/>
                <w:b/>
                <w:sz w:val="20"/>
                <w:szCs w:val="20"/>
                <w:lang w:val="en-GB"/>
              </w:rPr>
            </w:pPr>
            <w:r w:rsidRPr="00543B41">
              <w:rPr>
                <w:rFonts w:ascii="Arial" w:hAnsi="Arial" w:cs="Arial"/>
                <w:b/>
                <w:sz w:val="20"/>
                <w:szCs w:val="20"/>
                <w:lang w:val="en-GB"/>
              </w:rPr>
              <w:t xml:space="preserve">General </w:t>
            </w:r>
            <w:proofErr w:type="spellStart"/>
            <w:r w:rsidR="00AD06B2" w:rsidRPr="00AD06B2">
              <w:rPr>
                <w:rFonts w:ascii="Arial" w:hAnsi="Arial" w:cs="Arial"/>
                <w:b/>
                <w:i/>
                <w:sz w:val="20"/>
                <w:szCs w:val="20"/>
                <w:lang w:val="en-GB"/>
              </w:rPr>
              <w:t>rr</w:t>
            </w:r>
            <w:proofErr w:type="spellEnd"/>
            <w:r w:rsidR="00A10322">
              <w:rPr>
                <w:rFonts w:ascii="Arial" w:hAnsi="Arial" w:cs="Arial"/>
                <w:b/>
                <w:sz w:val="20"/>
                <w:szCs w:val="20"/>
                <w:lang w:val="en-GB"/>
              </w:rPr>
              <w:t xml:space="preserve"> (</w:t>
            </w:r>
            <w:r w:rsidR="00A10322" w:rsidRPr="00E83152">
              <w:rPr>
                <w:rFonts w:ascii="Arial" w:hAnsi="Arial" w:cs="Arial"/>
                <w:b/>
                <w:sz w:val="20"/>
                <w:szCs w:val="20"/>
                <w:lang w:val="en-GB"/>
              </w:rPr>
              <w:t>average</w:t>
            </w:r>
            <w:r w:rsidR="006C69AC">
              <w:rPr>
                <w:rFonts w:ascii="Arial" w:hAnsi="Arial" w:cs="Arial"/>
                <w:b/>
                <w:sz w:val="20"/>
                <w:szCs w:val="20"/>
                <w:lang w:val="en-GB"/>
              </w:rPr>
              <w:t xml:space="preserve"> for short term</w:t>
            </w:r>
            <w:r w:rsidR="00A10322">
              <w:rPr>
                <w:rFonts w:ascii="Arial" w:hAnsi="Arial" w:cs="Arial"/>
                <w:b/>
                <w:sz w:val="20"/>
                <w:szCs w:val="20"/>
                <w:lang w:val="en-GB"/>
              </w:rPr>
              <w:t>)</w:t>
            </w:r>
          </w:p>
        </w:tc>
      </w:tr>
      <w:tr w:rsidR="00543B41" w:rsidRPr="00CC150C" w14:paraId="72457366" w14:textId="77777777" w:rsidTr="007D6270">
        <w:trPr>
          <w:cantSplit/>
        </w:trPr>
        <w:tc>
          <w:tcPr>
            <w:tcW w:w="2518" w:type="dxa"/>
            <w:vMerge w:val="restart"/>
          </w:tcPr>
          <w:p w14:paraId="1F905AE3" w14:textId="77777777" w:rsidR="00543B41" w:rsidRDefault="00543B41" w:rsidP="00543B41">
            <w:pPr>
              <w:jc w:val="center"/>
              <w:rPr>
                <w:rFonts w:ascii="Arial" w:hAnsi="Arial" w:cs="Arial"/>
                <w:b/>
                <w:sz w:val="20"/>
                <w:szCs w:val="20"/>
                <w:lang w:val="en-GB"/>
              </w:rPr>
            </w:pPr>
          </w:p>
          <w:p w14:paraId="5D874327" w14:textId="3DD86FD6" w:rsidR="00543B41" w:rsidRPr="00543B41" w:rsidRDefault="00543B41" w:rsidP="00543B41">
            <w:pPr>
              <w:spacing w:before="80"/>
              <w:jc w:val="center"/>
              <w:rPr>
                <w:rFonts w:ascii="Arial" w:hAnsi="Arial" w:cs="Arial"/>
                <w:b/>
                <w:sz w:val="20"/>
                <w:szCs w:val="20"/>
                <w:lang w:val="en-GB"/>
              </w:rPr>
            </w:pPr>
            <w:r>
              <w:rPr>
                <w:rFonts w:ascii="Arial" w:hAnsi="Arial" w:cs="Arial"/>
                <w:b/>
                <w:sz w:val="20"/>
                <w:szCs w:val="20"/>
                <w:lang w:val="en-GB"/>
              </w:rPr>
              <w:t>Structural</w:t>
            </w:r>
            <w:r w:rsidR="004732A5">
              <w:rPr>
                <w:rFonts w:ascii="Arial" w:hAnsi="Arial" w:cs="Arial"/>
                <w:b/>
                <w:sz w:val="20"/>
                <w:szCs w:val="20"/>
                <w:lang w:val="en-GB"/>
              </w:rPr>
              <w:t xml:space="preserve"> (**)</w:t>
            </w:r>
          </w:p>
        </w:tc>
        <w:tc>
          <w:tcPr>
            <w:tcW w:w="2126" w:type="dxa"/>
            <w:vAlign w:val="bottom"/>
          </w:tcPr>
          <w:p w14:paraId="0E6F6165" w14:textId="6B6E328F"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P</w:t>
            </w:r>
            <w:r>
              <w:rPr>
                <w:rFonts w:ascii="Arial" w:hAnsi="Arial" w:cs="Arial"/>
                <w:sz w:val="20"/>
                <w:szCs w:val="20"/>
                <w:lang w:val="en-GB"/>
              </w:rPr>
              <w:t>re</w:t>
            </w:r>
            <w:r w:rsidRPr="00543B41">
              <w:rPr>
                <w:rFonts w:ascii="Arial" w:hAnsi="Arial" w:cs="Arial"/>
                <w:sz w:val="20"/>
                <w:szCs w:val="20"/>
                <w:lang w:val="en-GB"/>
              </w:rPr>
              <w:t xml:space="preserve"> </w:t>
            </w:r>
            <w:r w:rsidR="00A10322">
              <w:rPr>
                <w:rFonts w:ascii="Arial" w:hAnsi="Arial" w:cs="Arial"/>
                <w:sz w:val="20"/>
                <w:szCs w:val="20"/>
                <w:lang w:val="en-GB"/>
              </w:rPr>
              <w:t>C</w:t>
            </w:r>
            <w:r w:rsidRPr="00543B41">
              <w:rPr>
                <w:rFonts w:ascii="Arial" w:hAnsi="Arial" w:cs="Arial"/>
                <w:sz w:val="20"/>
                <w:szCs w:val="20"/>
                <w:lang w:val="en-GB"/>
              </w:rPr>
              <w:t>D</w:t>
            </w:r>
            <w:r>
              <w:rPr>
                <w:rFonts w:ascii="Arial" w:hAnsi="Arial" w:cs="Arial"/>
                <w:sz w:val="20"/>
                <w:szCs w:val="20"/>
                <w:lang w:val="en-GB"/>
              </w:rPr>
              <w:t>C</w:t>
            </w:r>
          </w:p>
        </w:tc>
        <w:tc>
          <w:tcPr>
            <w:tcW w:w="2127" w:type="dxa"/>
            <w:vAlign w:val="bottom"/>
          </w:tcPr>
          <w:p w14:paraId="61F82320" w14:textId="24F5A0DA"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264</w:t>
            </w:r>
            <w:r w:rsidR="0044622A">
              <w:rPr>
                <w:rFonts w:ascii="Arial" w:hAnsi="Arial" w:cs="Arial"/>
                <w:sz w:val="20"/>
                <w:szCs w:val="20"/>
                <w:lang w:val="en-GB"/>
              </w:rPr>
              <w:t>,</w:t>
            </w:r>
            <w:r w:rsidRPr="00543B41">
              <w:rPr>
                <w:rFonts w:ascii="Arial" w:hAnsi="Arial" w:cs="Arial"/>
                <w:sz w:val="20"/>
                <w:szCs w:val="20"/>
                <w:lang w:val="en-GB"/>
              </w:rPr>
              <w:t xml:space="preserve">698 </w:t>
            </w:r>
          </w:p>
        </w:tc>
        <w:tc>
          <w:tcPr>
            <w:tcW w:w="2268" w:type="dxa"/>
            <w:vAlign w:val="bottom"/>
          </w:tcPr>
          <w:p w14:paraId="07686EC0" w14:textId="57D4BBED"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48</w:t>
            </w:r>
            <w:r w:rsidR="0044622A">
              <w:rPr>
                <w:rFonts w:ascii="Arial" w:hAnsi="Arial" w:cs="Arial"/>
                <w:sz w:val="20"/>
                <w:szCs w:val="20"/>
                <w:lang w:val="en-GB"/>
              </w:rPr>
              <w:t>.</w:t>
            </w:r>
            <w:r w:rsidRPr="00543B41">
              <w:rPr>
                <w:rFonts w:ascii="Arial" w:hAnsi="Arial" w:cs="Arial"/>
                <w:sz w:val="20"/>
                <w:szCs w:val="20"/>
                <w:lang w:val="en-GB"/>
              </w:rPr>
              <w:t>8</w:t>
            </w:r>
          </w:p>
        </w:tc>
      </w:tr>
      <w:tr w:rsidR="00543B41" w:rsidRPr="00CC150C" w14:paraId="3A099865" w14:textId="77777777" w:rsidTr="007D6270">
        <w:trPr>
          <w:cantSplit/>
        </w:trPr>
        <w:tc>
          <w:tcPr>
            <w:tcW w:w="2518" w:type="dxa"/>
            <w:vMerge/>
          </w:tcPr>
          <w:p w14:paraId="0488EE61" w14:textId="77777777" w:rsidR="00543B41" w:rsidRPr="00543B41" w:rsidRDefault="00543B41" w:rsidP="00543B41">
            <w:pPr>
              <w:spacing w:before="120" w:line="360" w:lineRule="auto"/>
              <w:jc w:val="center"/>
              <w:rPr>
                <w:rFonts w:ascii="Arial" w:hAnsi="Arial" w:cs="Arial"/>
                <w:b/>
                <w:sz w:val="20"/>
                <w:szCs w:val="20"/>
                <w:lang w:val="en-GB"/>
              </w:rPr>
            </w:pPr>
          </w:p>
        </w:tc>
        <w:tc>
          <w:tcPr>
            <w:tcW w:w="2126" w:type="dxa"/>
            <w:vAlign w:val="bottom"/>
          </w:tcPr>
          <w:p w14:paraId="6D68F2E2" w14:textId="11054AB6"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P</w:t>
            </w:r>
            <w:r>
              <w:rPr>
                <w:rFonts w:ascii="Arial" w:hAnsi="Arial" w:cs="Arial"/>
                <w:sz w:val="20"/>
                <w:szCs w:val="20"/>
                <w:lang w:val="en-GB"/>
              </w:rPr>
              <w:t xml:space="preserve">ost </w:t>
            </w:r>
            <w:r w:rsidR="00A10322">
              <w:rPr>
                <w:rFonts w:ascii="Arial" w:hAnsi="Arial" w:cs="Arial"/>
                <w:sz w:val="20"/>
                <w:szCs w:val="20"/>
                <w:lang w:val="en-GB"/>
              </w:rPr>
              <w:t>C</w:t>
            </w:r>
            <w:r w:rsidRPr="00543B41">
              <w:rPr>
                <w:rFonts w:ascii="Arial" w:hAnsi="Arial" w:cs="Arial"/>
                <w:sz w:val="20"/>
                <w:szCs w:val="20"/>
                <w:lang w:val="en-GB"/>
              </w:rPr>
              <w:t>D</w:t>
            </w:r>
            <w:r>
              <w:rPr>
                <w:rFonts w:ascii="Arial" w:hAnsi="Arial" w:cs="Arial"/>
                <w:sz w:val="20"/>
                <w:szCs w:val="20"/>
                <w:lang w:val="en-GB"/>
              </w:rPr>
              <w:t>C</w:t>
            </w:r>
            <w:r w:rsidRPr="00543B41">
              <w:rPr>
                <w:rFonts w:ascii="Arial" w:hAnsi="Arial" w:cs="Arial"/>
                <w:sz w:val="20"/>
                <w:szCs w:val="20"/>
                <w:lang w:val="en-GB"/>
              </w:rPr>
              <w:t xml:space="preserve"> **</w:t>
            </w:r>
            <w:r w:rsidR="004732A5">
              <w:rPr>
                <w:rFonts w:ascii="Arial" w:hAnsi="Arial" w:cs="Arial"/>
                <w:sz w:val="20"/>
                <w:szCs w:val="20"/>
                <w:lang w:val="en-GB"/>
              </w:rPr>
              <w:t>*</w:t>
            </w:r>
          </w:p>
        </w:tc>
        <w:tc>
          <w:tcPr>
            <w:tcW w:w="2127" w:type="dxa"/>
            <w:vAlign w:val="bottom"/>
          </w:tcPr>
          <w:p w14:paraId="6E3AB86B" w14:textId="7E288137"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231</w:t>
            </w:r>
            <w:r w:rsidR="0044622A">
              <w:rPr>
                <w:rFonts w:ascii="Arial" w:hAnsi="Arial" w:cs="Arial"/>
                <w:sz w:val="20"/>
                <w:szCs w:val="20"/>
                <w:lang w:val="en-GB"/>
              </w:rPr>
              <w:t>,</w:t>
            </w:r>
            <w:r w:rsidRPr="00543B41">
              <w:rPr>
                <w:rFonts w:ascii="Arial" w:hAnsi="Arial" w:cs="Arial"/>
                <w:sz w:val="20"/>
                <w:szCs w:val="20"/>
                <w:lang w:val="en-GB"/>
              </w:rPr>
              <w:t xml:space="preserve">681 </w:t>
            </w:r>
          </w:p>
        </w:tc>
        <w:tc>
          <w:tcPr>
            <w:tcW w:w="2268" w:type="dxa"/>
            <w:vAlign w:val="bottom"/>
          </w:tcPr>
          <w:p w14:paraId="5DC1C580" w14:textId="173A678A"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59</w:t>
            </w:r>
            <w:r w:rsidR="0044622A">
              <w:rPr>
                <w:rFonts w:ascii="Arial" w:hAnsi="Arial" w:cs="Arial"/>
                <w:sz w:val="20"/>
                <w:szCs w:val="20"/>
                <w:lang w:val="en-GB"/>
              </w:rPr>
              <w:t>.</w:t>
            </w:r>
            <w:r w:rsidRPr="00543B41">
              <w:rPr>
                <w:rFonts w:ascii="Arial" w:hAnsi="Arial" w:cs="Arial"/>
                <w:sz w:val="20"/>
                <w:szCs w:val="20"/>
                <w:lang w:val="en-GB"/>
              </w:rPr>
              <w:t>5</w:t>
            </w:r>
          </w:p>
        </w:tc>
      </w:tr>
      <w:tr w:rsidR="00543B41" w:rsidRPr="00CC150C" w14:paraId="3F41AAC5" w14:textId="77777777" w:rsidTr="00AD06B2">
        <w:trPr>
          <w:cantSplit/>
          <w:trHeight w:val="316"/>
        </w:trPr>
        <w:tc>
          <w:tcPr>
            <w:tcW w:w="2518" w:type="dxa"/>
            <w:vMerge w:val="restart"/>
          </w:tcPr>
          <w:p w14:paraId="4A1C80B0" w14:textId="77777777" w:rsidR="00543B41" w:rsidRDefault="00543B41" w:rsidP="00543B41">
            <w:pPr>
              <w:spacing w:before="80"/>
              <w:jc w:val="center"/>
              <w:rPr>
                <w:rFonts w:ascii="Arial" w:hAnsi="Arial" w:cs="Arial"/>
                <w:b/>
                <w:sz w:val="20"/>
                <w:szCs w:val="20"/>
                <w:lang w:val="en-GB"/>
              </w:rPr>
            </w:pPr>
          </w:p>
          <w:p w14:paraId="500B3303" w14:textId="2561E16F" w:rsidR="00543B41" w:rsidRPr="00543B41" w:rsidRDefault="00543B41" w:rsidP="00543B41">
            <w:pPr>
              <w:spacing w:before="80"/>
              <w:jc w:val="center"/>
              <w:rPr>
                <w:rFonts w:ascii="Arial" w:hAnsi="Arial" w:cs="Arial"/>
                <w:b/>
                <w:sz w:val="20"/>
                <w:szCs w:val="20"/>
                <w:lang w:val="en-GB"/>
              </w:rPr>
            </w:pPr>
            <w:r>
              <w:rPr>
                <w:rFonts w:ascii="Arial" w:hAnsi="Arial" w:cs="Arial"/>
                <w:b/>
                <w:sz w:val="20"/>
                <w:szCs w:val="20"/>
                <w:lang w:val="en-GB"/>
              </w:rPr>
              <w:t>Short-term</w:t>
            </w:r>
            <w:r w:rsidR="008A7B01">
              <w:rPr>
                <w:rFonts w:ascii="Arial" w:hAnsi="Arial" w:cs="Arial"/>
                <w:b/>
                <w:sz w:val="20"/>
                <w:szCs w:val="20"/>
                <w:lang w:val="en-GB"/>
              </w:rPr>
              <w:t xml:space="preserve"> (**)</w:t>
            </w:r>
          </w:p>
        </w:tc>
        <w:tc>
          <w:tcPr>
            <w:tcW w:w="2126" w:type="dxa"/>
            <w:vAlign w:val="bottom"/>
          </w:tcPr>
          <w:p w14:paraId="58B0CC5C" w14:textId="5E469B1D"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P</w:t>
            </w:r>
            <w:r>
              <w:rPr>
                <w:rFonts w:ascii="Arial" w:hAnsi="Arial" w:cs="Arial"/>
                <w:sz w:val="20"/>
                <w:szCs w:val="20"/>
                <w:lang w:val="en-GB"/>
              </w:rPr>
              <w:t>re</w:t>
            </w:r>
            <w:r w:rsidRPr="00543B41">
              <w:rPr>
                <w:rFonts w:ascii="Arial" w:hAnsi="Arial" w:cs="Arial"/>
                <w:sz w:val="20"/>
                <w:szCs w:val="20"/>
                <w:lang w:val="en-GB"/>
              </w:rPr>
              <w:t xml:space="preserve"> </w:t>
            </w:r>
            <w:r w:rsidR="00A10322">
              <w:rPr>
                <w:rFonts w:ascii="Arial" w:hAnsi="Arial" w:cs="Arial"/>
                <w:sz w:val="20"/>
                <w:szCs w:val="20"/>
                <w:lang w:val="en-GB"/>
              </w:rPr>
              <w:t>C</w:t>
            </w:r>
            <w:r w:rsidRPr="00543B41">
              <w:rPr>
                <w:rFonts w:ascii="Arial" w:hAnsi="Arial" w:cs="Arial"/>
                <w:sz w:val="20"/>
                <w:szCs w:val="20"/>
                <w:lang w:val="en-GB"/>
              </w:rPr>
              <w:t>D</w:t>
            </w:r>
            <w:r>
              <w:rPr>
                <w:rFonts w:ascii="Arial" w:hAnsi="Arial" w:cs="Arial"/>
                <w:sz w:val="20"/>
                <w:szCs w:val="20"/>
                <w:lang w:val="en-GB"/>
              </w:rPr>
              <w:t>C</w:t>
            </w:r>
          </w:p>
        </w:tc>
        <w:tc>
          <w:tcPr>
            <w:tcW w:w="2127" w:type="dxa"/>
            <w:vAlign w:val="bottom"/>
          </w:tcPr>
          <w:p w14:paraId="119CD033" w14:textId="72F219C2" w:rsidR="00543B41" w:rsidRPr="00FA723C" w:rsidRDefault="00CB0F1D" w:rsidP="00FA723C">
            <w:pPr>
              <w:spacing w:before="120" w:line="360" w:lineRule="auto"/>
              <w:jc w:val="center"/>
              <w:rPr>
                <w:rFonts w:ascii="Arial" w:hAnsi="Arial" w:cs="Arial"/>
                <w:sz w:val="20"/>
                <w:szCs w:val="20"/>
                <w:lang w:val="en-GB"/>
              </w:rPr>
            </w:pPr>
            <w:r w:rsidRPr="00FA723C">
              <w:rPr>
                <w:rFonts w:ascii="Arial" w:hAnsi="Arial" w:cs="Arial"/>
                <w:sz w:val="20"/>
                <w:szCs w:val="20"/>
                <w:lang w:val="en-GB"/>
              </w:rPr>
              <w:t>55</w:t>
            </w:r>
            <w:r w:rsidR="0044622A">
              <w:rPr>
                <w:rFonts w:ascii="Arial" w:hAnsi="Arial" w:cs="Arial"/>
                <w:sz w:val="20"/>
                <w:szCs w:val="20"/>
                <w:lang w:val="en-GB"/>
              </w:rPr>
              <w:t>,</w:t>
            </w:r>
            <w:r w:rsidRPr="00FA723C">
              <w:rPr>
                <w:rFonts w:ascii="Arial" w:hAnsi="Arial" w:cs="Arial"/>
                <w:sz w:val="20"/>
                <w:szCs w:val="20"/>
                <w:lang w:val="en-GB"/>
              </w:rPr>
              <w:t>512</w:t>
            </w:r>
          </w:p>
        </w:tc>
        <w:tc>
          <w:tcPr>
            <w:tcW w:w="2268" w:type="dxa"/>
            <w:vAlign w:val="bottom"/>
          </w:tcPr>
          <w:p w14:paraId="47EBE1C9" w14:textId="44B5AAE8" w:rsidR="00543B41" w:rsidRPr="00FA723C" w:rsidRDefault="00FA723C" w:rsidP="00375596">
            <w:pPr>
              <w:spacing w:before="120" w:line="360" w:lineRule="auto"/>
              <w:jc w:val="center"/>
              <w:rPr>
                <w:rFonts w:ascii="Arial" w:hAnsi="Arial" w:cs="Arial"/>
                <w:sz w:val="20"/>
                <w:szCs w:val="20"/>
                <w:lang w:val="en-GB"/>
              </w:rPr>
            </w:pPr>
            <w:r w:rsidRPr="00FA723C">
              <w:rPr>
                <w:rFonts w:ascii="Arial" w:hAnsi="Arial" w:cs="Arial"/>
                <w:sz w:val="20"/>
                <w:szCs w:val="20"/>
                <w:lang w:val="en-GB"/>
              </w:rPr>
              <w:t>5</w:t>
            </w:r>
            <w:r w:rsidR="000B47B6">
              <w:rPr>
                <w:rFonts w:ascii="Arial" w:hAnsi="Arial" w:cs="Arial"/>
                <w:sz w:val="20"/>
                <w:szCs w:val="20"/>
                <w:lang w:val="en-GB"/>
              </w:rPr>
              <w:t>9</w:t>
            </w:r>
            <w:r w:rsidR="0044622A">
              <w:rPr>
                <w:rFonts w:ascii="Arial" w:hAnsi="Arial" w:cs="Arial"/>
                <w:sz w:val="20"/>
                <w:szCs w:val="20"/>
                <w:lang w:val="en-GB"/>
              </w:rPr>
              <w:t>.</w:t>
            </w:r>
            <w:r w:rsidR="00375596">
              <w:rPr>
                <w:rFonts w:ascii="Arial" w:hAnsi="Arial" w:cs="Arial"/>
                <w:sz w:val="20"/>
                <w:szCs w:val="20"/>
                <w:lang w:val="en-GB"/>
              </w:rPr>
              <w:t>0</w:t>
            </w:r>
          </w:p>
        </w:tc>
      </w:tr>
      <w:tr w:rsidR="00543B41" w:rsidRPr="00CC150C" w14:paraId="0B908ABE" w14:textId="77777777" w:rsidTr="007D6270">
        <w:trPr>
          <w:cantSplit/>
        </w:trPr>
        <w:tc>
          <w:tcPr>
            <w:tcW w:w="2518" w:type="dxa"/>
            <w:vMerge/>
          </w:tcPr>
          <w:p w14:paraId="4B283386" w14:textId="77777777" w:rsidR="00543B41" w:rsidRPr="00543B41" w:rsidRDefault="00543B41" w:rsidP="00543B41">
            <w:pPr>
              <w:spacing w:before="120" w:line="360" w:lineRule="auto"/>
              <w:jc w:val="center"/>
              <w:rPr>
                <w:rFonts w:ascii="Arial" w:hAnsi="Arial" w:cs="Arial"/>
                <w:b/>
                <w:sz w:val="20"/>
                <w:szCs w:val="20"/>
                <w:lang w:val="en-GB"/>
              </w:rPr>
            </w:pPr>
          </w:p>
        </w:tc>
        <w:tc>
          <w:tcPr>
            <w:tcW w:w="2126" w:type="dxa"/>
            <w:vAlign w:val="bottom"/>
          </w:tcPr>
          <w:p w14:paraId="604D73DE" w14:textId="54B92829" w:rsidR="00543B41" w:rsidRPr="00543B41" w:rsidRDefault="00543B41" w:rsidP="00543B41">
            <w:pPr>
              <w:spacing w:before="120" w:line="360" w:lineRule="auto"/>
              <w:jc w:val="center"/>
              <w:rPr>
                <w:rFonts w:ascii="Arial" w:hAnsi="Arial" w:cs="Arial"/>
                <w:sz w:val="20"/>
                <w:szCs w:val="20"/>
                <w:lang w:val="en-GB"/>
              </w:rPr>
            </w:pPr>
            <w:r w:rsidRPr="00543B41">
              <w:rPr>
                <w:rFonts w:ascii="Arial" w:hAnsi="Arial" w:cs="Arial"/>
                <w:sz w:val="20"/>
                <w:szCs w:val="20"/>
                <w:lang w:val="en-GB"/>
              </w:rPr>
              <w:t>P</w:t>
            </w:r>
            <w:r>
              <w:rPr>
                <w:rFonts w:ascii="Arial" w:hAnsi="Arial" w:cs="Arial"/>
                <w:sz w:val="20"/>
                <w:szCs w:val="20"/>
                <w:lang w:val="en-GB"/>
              </w:rPr>
              <w:t xml:space="preserve">ost </w:t>
            </w:r>
            <w:r w:rsidR="00A10322">
              <w:rPr>
                <w:rFonts w:ascii="Arial" w:hAnsi="Arial" w:cs="Arial"/>
                <w:sz w:val="20"/>
                <w:szCs w:val="20"/>
                <w:lang w:val="en-GB"/>
              </w:rPr>
              <w:t>C</w:t>
            </w:r>
            <w:r w:rsidRPr="00543B41">
              <w:rPr>
                <w:rFonts w:ascii="Arial" w:hAnsi="Arial" w:cs="Arial"/>
                <w:sz w:val="20"/>
                <w:szCs w:val="20"/>
                <w:lang w:val="en-GB"/>
              </w:rPr>
              <w:t>D</w:t>
            </w:r>
            <w:r>
              <w:rPr>
                <w:rFonts w:ascii="Arial" w:hAnsi="Arial" w:cs="Arial"/>
                <w:sz w:val="20"/>
                <w:szCs w:val="20"/>
                <w:lang w:val="en-GB"/>
              </w:rPr>
              <w:t>C</w:t>
            </w:r>
          </w:p>
        </w:tc>
        <w:tc>
          <w:tcPr>
            <w:tcW w:w="2127" w:type="dxa"/>
            <w:vAlign w:val="bottom"/>
          </w:tcPr>
          <w:p w14:paraId="166303D6" w14:textId="4CD30E34" w:rsidR="00543B41" w:rsidRPr="00FA723C" w:rsidRDefault="00CB0F1D" w:rsidP="00FA723C">
            <w:pPr>
              <w:spacing w:before="120" w:line="360" w:lineRule="auto"/>
              <w:jc w:val="center"/>
              <w:rPr>
                <w:rFonts w:ascii="Arial" w:hAnsi="Arial" w:cs="Arial"/>
                <w:sz w:val="20"/>
                <w:szCs w:val="20"/>
                <w:lang w:val="en-GB"/>
              </w:rPr>
            </w:pPr>
            <w:r w:rsidRPr="00FA723C">
              <w:rPr>
                <w:rFonts w:ascii="Arial" w:hAnsi="Arial" w:cs="Arial"/>
                <w:sz w:val="20"/>
                <w:szCs w:val="20"/>
                <w:lang w:val="en-GB"/>
              </w:rPr>
              <w:t>57</w:t>
            </w:r>
            <w:r w:rsidR="0044622A">
              <w:rPr>
                <w:rFonts w:ascii="Arial" w:hAnsi="Arial" w:cs="Arial"/>
                <w:sz w:val="20"/>
                <w:szCs w:val="20"/>
                <w:lang w:val="en-GB"/>
              </w:rPr>
              <w:t>,</w:t>
            </w:r>
            <w:r w:rsidRPr="00FA723C">
              <w:rPr>
                <w:rFonts w:ascii="Arial" w:hAnsi="Arial" w:cs="Arial"/>
                <w:sz w:val="20"/>
                <w:szCs w:val="20"/>
                <w:lang w:val="en-GB"/>
              </w:rPr>
              <w:t>667</w:t>
            </w:r>
          </w:p>
        </w:tc>
        <w:tc>
          <w:tcPr>
            <w:tcW w:w="2268" w:type="dxa"/>
            <w:vAlign w:val="bottom"/>
          </w:tcPr>
          <w:p w14:paraId="6F96E9B4" w14:textId="201CFC80" w:rsidR="00543B41" w:rsidRPr="00FA723C" w:rsidRDefault="00FA723C" w:rsidP="00543B41">
            <w:pPr>
              <w:spacing w:before="120" w:line="360" w:lineRule="auto"/>
              <w:jc w:val="center"/>
              <w:rPr>
                <w:rFonts w:ascii="Arial" w:hAnsi="Arial" w:cs="Arial"/>
                <w:sz w:val="20"/>
                <w:szCs w:val="20"/>
                <w:lang w:val="en-GB"/>
              </w:rPr>
            </w:pPr>
            <w:r w:rsidRPr="00FA723C">
              <w:rPr>
                <w:rFonts w:ascii="Arial" w:hAnsi="Arial" w:cs="Arial"/>
                <w:sz w:val="20"/>
                <w:szCs w:val="20"/>
                <w:lang w:val="en-GB"/>
              </w:rPr>
              <w:t>79</w:t>
            </w:r>
            <w:r w:rsidR="0044622A">
              <w:rPr>
                <w:rFonts w:ascii="Arial" w:hAnsi="Arial" w:cs="Arial"/>
                <w:sz w:val="20"/>
                <w:szCs w:val="20"/>
                <w:lang w:val="en-GB"/>
              </w:rPr>
              <w:t>.</w:t>
            </w:r>
            <w:r w:rsidRPr="00FA723C">
              <w:rPr>
                <w:rFonts w:ascii="Arial" w:hAnsi="Arial" w:cs="Arial"/>
                <w:sz w:val="20"/>
                <w:szCs w:val="20"/>
                <w:lang w:val="en-GB"/>
              </w:rPr>
              <w:t>0</w:t>
            </w:r>
          </w:p>
        </w:tc>
      </w:tr>
    </w:tbl>
    <w:p w14:paraId="41402F4F" w14:textId="77777777" w:rsidR="00AD06B2" w:rsidRDefault="00851A41" w:rsidP="00AD06B2">
      <w:pPr>
        <w:spacing w:after="0" w:line="240" w:lineRule="auto"/>
        <w:jc w:val="both"/>
        <w:rPr>
          <w:rFonts w:ascii="Arial" w:hAnsi="Arial" w:cs="Arial"/>
          <w:sz w:val="20"/>
          <w:szCs w:val="20"/>
          <w:lang w:val="en-US"/>
        </w:rPr>
      </w:pPr>
      <w:r w:rsidRPr="002074E6">
        <w:rPr>
          <w:rFonts w:ascii="Arial" w:hAnsi="Arial" w:cs="Arial"/>
          <w:sz w:val="20"/>
          <w:szCs w:val="20"/>
          <w:lang w:val="en-US"/>
        </w:rPr>
        <w:t>Source:</w:t>
      </w:r>
      <w:r w:rsidR="009936E9" w:rsidRPr="002074E6">
        <w:rPr>
          <w:rFonts w:ascii="Arial" w:hAnsi="Arial" w:cs="Arial"/>
          <w:sz w:val="20"/>
          <w:szCs w:val="20"/>
          <w:lang w:val="en-US"/>
        </w:rPr>
        <w:t xml:space="preserve"> </w:t>
      </w:r>
      <w:r w:rsidR="00BC15E2" w:rsidRPr="002074E6">
        <w:rPr>
          <w:rFonts w:ascii="Arial" w:hAnsi="Arial" w:cs="Arial"/>
          <w:sz w:val="20"/>
          <w:szCs w:val="20"/>
          <w:lang w:val="en-US"/>
        </w:rPr>
        <w:t xml:space="preserve">Elaboration </w:t>
      </w:r>
      <w:r w:rsidR="004267DC" w:rsidRPr="002074E6">
        <w:rPr>
          <w:rFonts w:ascii="Arial" w:hAnsi="Arial" w:cs="Arial"/>
          <w:sz w:val="20"/>
          <w:szCs w:val="20"/>
          <w:lang w:val="en-US"/>
        </w:rPr>
        <w:t xml:space="preserve">on data extracted from </w:t>
      </w:r>
      <w:r w:rsidR="00CB1176" w:rsidRPr="002074E6">
        <w:rPr>
          <w:rFonts w:ascii="Arial" w:hAnsi="Arial" w:cs="Arial"/>
          <w:sz w:val="20"/>
          <w:szCs w:val="20"/>
          <w:lang w:val="en-US"/>
        </w:rPr>
        <w:t>Business</w:t>
      </w:r>
      <w:r w:rsidR="00062022" w:rsidRPr="002074E6">
        <w:rPr>
          <w:rFonts w:ascii="Arial" w:hAnsi="Arial" w:cs="Arial"/>
          <w:sz w:val="20"/>
          <w:szCs w:val="20"/>
          <w:lang w:val="en-US"/>
        </w:rPr>
        <w:t xml:space="preserve"> Statistical</w:t>
      </w:r>
      <w:r w:rsidR="00CB1176" w:rsidRPr="002074E6">
        <w:rPr>
          <w:rFonts w:ascii="Arial" w:hAnsi="Arial" w:cs="Arial"/>
          <w:sz w:val="20"/>
          <w:szCs w:val="20"/>
          <w:lang w:val="en-US"/>
        </w:rPr>
        <w:t xml:space="preserve"> Portal </w:t>
      </w:r>
    </w:p>
    <w:p w14:paraId="159A5C28" w14:textId="1B3962EA" w:rsidR="00C70EE3" w:rsidRDefault="00A74CF5" w:rsidP="009F4D69">
      <w:pPr>
        <w:widowControl w:val="0"/>
        <w:spacing w:after="0" w:line="240" w:lineRule="auto"/>
        <w:jc w:val="both"/>
        <w:rPr>
          <w:rFonts w:ascii="Calibri" w:eastAsia="Times New Roman" w:hAnsi="Calibri" w:cs="Times New Roman"/>
          <w:color w:val="000000"/>
          <w:lang w:val="en-US" w:eastAsia="it-IT"/>
        </w:rPr>
      </w:pPr>
      <w:r>
        <w:rPr>
          <w:rFonts w:ascii="Calibri" w:eastAsia="Times New Roman" w:hAnsi="Calibri" w:cs="Times New Roman"/>
          <w:color w:val="000000"/>
          <w:lang w:val="en-US" w:eastAsia="it-IT"/>
        </w:rPr>
        <w:t>*</w:t>
      </w:r>
      <w:r w:rsidR="004732A5" w:rsidRPr="002074E6">
        <w:rPr>
          <w:rFonts w:ascii="Calibri" w:eastAsia="Times New Roman" w:hAnsi="Calibri" w:cs="Times New Roman"/>
          <w:color w:val="000000"/>
          <w:lang w:val="en-US" w:eastAsia="it-IT"/>
        </w:rPr>
        <w:t xml:space="preserve"> </w:t>
      </w:r>
      <w:r w:rsidR="004732A5" w:rsidRPr="00A74CF5">
        <w:rPr>
          <w:rFonts w:ascii="Calibri" w:eastAsia="Times New Roman" w:hAnsi="Calibri" w:cs="Times New Roman"/>
          <w:color w:val="000000"/>
          <w:sz w:val="20"/>
          <w:lang w:val="en-US" w:eastAsia="it-IT"/>
        </w:rPr>
        <w:t>E</w:t>
      </w:r>
      <w:r w:rsidR="0072406A" w:rsidRPr="00A74CF5">
        <w:rPr>
          <w:rFonts w:ascii="Calibri" w:eastAsia="Times New Roman" w:hAnsi="Calibri" w:cs="Times New Roman"/>
          <w:color w:val="000000"/>
          <w:sz w:val="20"/>
          <w:lang w:val="en-US" w:eastAsia="it-IT"/>
        </w:rPr>
        <w:t>ach unit can be included in one or more survey</w:t>
      </w:r>
      <w:r w:rsidR="00D67148" w:rsidRPr="00A74CF5">
        <w:rPr>
          <w:rFonts w:ascii="Calibri" w:eastAsia="Times New Roman" w:hAnsi="Calibri" w:cs="Times New Roman"/>
          <w:color w:val="000000"/>
          <w:sz w:val="20"/>
          <w:lang w:val="en-US" w:eastAsia="it-IT"/>
        </w:rPr>
        <w:t>s</w:t>
      </w:r>
      <w:r w:rsidR="002C137D" w:rsidRPr="00A74CF5">
        <w:rPr>
          <w:rFonts w:ascii="Calibri" w:eastAsia="Times New Roman" w:hAnsi="Calibri" w:cs="Times New Roman"/>
          <w:color w:val="000000"/>
          <w:sz w:val="20"/>
          <w:lang w:val="en-US" w:eastAsia="it-IT"/>
        </w:rPr>
        <w:t>.</w:t>
      </w:r>
      <w:r w:rsidR="009F4D69">
        <w:rPr>
          <w:rFonts w:ascii="Calibri" w:eastAsia="Times New Roman" w:hAnsi="Calibri" w:cs="Times New Roman"/>
          <w:color w:val="000000"/>
          <w:sz w:val="20"/>
          <w:lang w:val="en-US" w:eastAsia="it-IT"/>
        </w:rPr>
        <w:t xml:space="preserve"> </w:t>
      </w:r>
      <w:r w:rsidR="004732A5" w:rsidRPr="002074E6">
        <w:rPr>
          <w:rFonts w:ascii="Calibri" w:eastAsia="Times New Roman" w:hAnsi="Calibri" w:cs="Times New Roman"/>
          <w:color w:val="000000"/>
          <w:lang w:val="en-US" w:eastAsia="it-IT"/>
        </w:rPr>
        <w:t xml:space="preserve">** </w:t>
      </w:r>
      <w:r w:rsidR="004732A5" w:rsidRPr="00A74CF5">
        <w:rPr>
          <w:rFonts w:ascii="Calibri" w:eastAsia="Times New Roman" w:hAnsi="Calibri" w:cs="Times New Roman"/>
          <w:color w:val="000000"/>
          <w:sz w:val="20"/>
          <w:lang w:val="en-US" w:eastAsia="it-IT"/>
        </w:rPr>
        <w:t xml:space="preserve">The </w:t>
      </w:r>
      <w:r w:rsidR="004732A5" w:rsidRPr="00A74CF5">
        <w:rPr>
          <w:rFonts w:ascii="Calibri" w:eastAsia="Times New Roman" w:hAnsi="Calibri" w:cs="Times New Roman"/>
          <w:sz w:val="20"/>
          <w:lang w:val="en-US" w:eastAsia="it-IT"/>
        </w:rPr>
        <w:t>main structural survey</w:t>
      </w:r>
      <w:r w:rsidR="000362A1" w:rsidRPr="00A74CF5">
        <w:rPr>
          <w:rFonts w:ascii="Calibri" w:eastAsia="Times New Roman" w:hAnsi="Calibri" w:cs="Times New Roman"/>
          <w:sz w:val="20"/>
          <w:lang w:val="en-US" w:eastAsia="it-IT"/>
        </w:rPr>
        <w:t>s</w:t>
      </w:r>
      <w:r w:rsidR="004732A5" w:rsidRPr="00A74CF5">
        <w:rPr>
          <w:rFonts w:ascii="Calibri" w:eastAsia="Times New Roman" w:hAnsi="Calibri" w:cs="Times New Roman"/>
          <w:sz w:val="20"/>
          <w:lang w:val="en-US" w:eastAsia="it-IT"/>
        </w:rPr>
        <w:t xml:space="preserve"> </w:t>
      </w:r>
      <w:r w:rsidR="000362A1" w:rsidRPr="00A74CF5">
        <w:rPr>
          <w:rFonts w:ascii="Calibri" w:eastAsia="Times New Roman" w:hAnsi="Calibri" w:cs="Times New Roman"/>
          <w:sz w:val="20"/>
          <w:lang w:val="en-US" w:eastAsia="it-IT"/>
        </w:rPr>
        <w:t xml:space="preserve">and a </w:t>
      </w:r>
      <w:r w:rsidR="008A7B01" w:rsidRPr="00A74CF5">
        <w:rPr>
          <w:rFonts w:ascii="Calibri" w:eastAsia="Times New Roman" w:hAnsi="Calibri" w:cs="Times New Roman"/>
          <w:sz w:val="20"/>
          <w:lang w:val="en-US" w:eastAsia="it-IT"/>
        </w:rPr>
        <w:t xml:space="preserve">selection of short-term surveys </w:t>
      </w:r>
      <w:r w:rsidR="009F4D69">
        <w:rPr>
          <w:rFonts w:ascii="Calibri" w:eastAsia="Times New Roman" w:hAnsi="Calibri" w:cs="Times New Roman"/>
          <w:sz w:val="20"/>
          <w:lang w:val="en-US" w:eastAsia="it-IT"/>
        </w:rPr>
        <w:t>are included. See T</w:t>
      </w:r>
      <w:r w:rsidR="002074E6" w:rsidRPr="00A74CF5">
        <w:rPr>
          <w:rFonts w:ascii="Calibri" w:eastAsia="Times New Roman" w:hAnsi="Calibri" w:cs="Times New Roman"/>
          <w:sz w:val="20"/>
          <w:lang w:val="en-US" w:eastAsia="it-IT"/>
        </w:rPr>
        <w:t>able</w:t>
      </w:r>
      <w:r w:rsidR="009F4D69">
        <w:rPr>
          <w:rFonts w:ascii="Calibri" w:eastAsia="Times New Roman" w:hAnsi="Calibri" w:cs="Times New Roman"/>
          <w:sz w:val="20"/>
          <w:lang w:val="en-US" w:eastAsia="it-IT"/>
        </w:rPr>
        <w:t>s</w:t>
      </w:r>
      <w:r w:rsidR="002074E6" w:rsidRPr="00A74CF5">
        <w:rPr>
          <w:rFonts w:ascii="Calibri" w:eastAsia="Times New Roman" w:hAnsi="Calibri" w:cs="Times New Roman"/>
          <w:sz w:val="20"/>
          <w:lang w:val="en-US" w:eastAsia="it-IT"/>
        </w:rPr>
        <w:t xml:space="preserve"> 2</w:t>
      </w:r>
      <w:r w:rsidR="004732A5" w:rsidRPr="00A74CF5">
        <w:rPr>
          <w:rFonts w:ascii="Calibri" w:eastAsia="Times New Roman" w:hAnsi="Calibri" w:cs="Times New Roman"/>
          <w:sz w:val="20"/>
          <w:lang w:val="en-US" w:eastAsia="it-IT"/>
        </w:rPr>
        <w:t xml:space="preserve"> </w:t>
      </w:r>
      <w:r w:rsidR="009F4D69">
        <w:rPr>
          <w:rFonts w:ascii="Calibri" w:eastAsia="Times New Roman" w:hAnsi="Calibri" w:cs="Times New Roman"/>
          <w:sz w:val="20"/>
          <w:lang w:val="en-US" w:eastAsia="it-IT"/>
        </w:rPr>
        <w:t xml:space="preserve">and </w:t>
      </w:r>
      <w:r w:rsidR="002074E6" w:rsidRPr="00A74CF5">
        <w:rPr>
          <w:rFonts w:ascii="Calibri" w:eastAsia="Times New Roman" w:hAnsi="Calibri" w:cs="Times New Roman"/>
          <w:sz w:val="20"/>
          <w:lang w:val="en-US" w:eastAsia="it-IT"/>
        </w:rPr>
        <w:t>4</w:t>
      </w:r>
      <w:r w:rsidR="008A7B01" w:rsidRPr="00A74CF5">
        <w:rPr>
          <w:rFonts w:ascii="Calibri" w:eastAsia="Times New Roman" w:hAnsi="Calibri" w:cs="Times New Roman"/>
          <w:sz w:val="20"/>
          <w:lang w:val="en-US" w:eastAsia="it-IT"/>
        </w:rPr>
        <w:t xml:space="preserve"> </w:t>
      </w:r>
      <w:r w:rsidR="004732A5" w:rsidRPr="00A74CF5">
        <w:rPr>
          <w:rFonts w:ascii="Calibri" w:eastAsia="Times New Roman" w:hAnsi="Calibri" w:cs="Times New Roman"/>
          <w:sz w:val="20"/>
          <w:lang w:val="en-US" w:eastAsia="it-IT"/>
        </w:rPr>
        <w:t>for the complete list</w:t>
      </w:r>
      <w:r w:rsidR="008A7B01" w:rsidRPr="00A74CF5">
        <w:rPr>
          <w:rFonts w:ascii="Calibri" w:eastAsia="Times New Roman" w:hAnsi="Calibri" w:cs="Times New Roman"/>
          <w:sz w:val="20"/>
          <w:lang w:val="en-US" w:eastAsia="it-IT"/>
        </w:rPr>
        <w:t>s</w:t>
      </w:r>
      <w:r w:rsidR="004732A5" w:rsidRPr="00A74CF5">
        <w:rPr>
          <w:rFonts w:ascii="Calibri" w:eastAsia="Times New Roman" w:hAnsi="Calibri" w:cs="Times New Roman"/>
          <w:sz w:val="20"/>
          <w:lang w:val="en-US" w:eastAsia="it-IT"/>
        </w:rPr>
        <w:t>.</w:t>
      </w:r>
      <w:r w:rsidR="00AD06B2">
        <w:rPr>
          <w:rFonts w:ascii="Calibri" w:eastAsia="Times New Roman" w:hAnsi="Calibri" w:cs="Times New Roman"/>
          <w:sz w:val="20"/>
          <w:lang w:val="en-US" w:eastAsia="it-IT"/>
        </w:rPr>
        <w:t xml:space="preserve"> </w:t>
      </w:r>
      <w:r w:rsidR="00C70EE3" w:rsidRPr="002074E6">
        <w:rPr>
          <w:rFonts w:ascii="Calibri" w:eastAsia="Times New Roman" w:hAnsi="Calibri" w:cs="Times New Roman"/>
          <w:lang w:val="en-US" w:eastAsia="it-IT"/>
        </w:rPr>
        <w:t>**</w:t>
      </w:r>
      <w:r w:rsidR="004732A5" w:rsidRPr="002074E6">
        <w:rPr>
          <w:rFonts w:ascii="Calibri" w:eastAsia="Times New Roman" w:hAnsi="Calibri" w:cs="Times New Roman"/>
          <w:lang w:val="en-US" w:eastAsia="it-IT"/>
        </w:rPr>
        <w:t>*</w:t>
      </w:r>
      <w:r w:rsidR="00C70EE3" w:rsidRPr="002074E6">
        <w:rPr>
          <w:rFonts w:ascii="Calibri" w:eastAsia="Times New Roman" w:hAnsi="Calibri" w:cs="Times New Roman"/>
          <w:lang w:val="en-US" w:eastAsia="it-IT"/>
        </w:rPr>
        <w:t xml:space="preserve"> </w:t>
      </w:r>
      <w:r w:rsidR="00C70EE3" w:rsidRPr="00A74CF5">
        <w:rPr>
          <w:rFonts w:ascii="Calibri" w:eastAsia="Times New Roman" w:hAnsi="Calibri" w:cs="Times New Roman"/>
          <w:sz w:val="20"/>
          <w:lang w:val="en-US" w:eastAsia="it-IT"/>
        </w:rPr>
        <w:t>Considering last</w:t>
      </w:r>
      <w:r w:rsidR="000241EC" w:rsidRPr="00A74CF5">
        <w:rPr>
          <w:rFonts w:ascii="Calibri" w:eastAsia="Times New Roman" w:hAnsi="Calibri" w:cs="Times New Roman"/>
          <w:sz w:val="20"/>
          <w:lang w:val="en-US" w:eastAsia="it-IT"/>
        </w:rPr>
        <w:t xml:space="preserve"> concluded</w:t>
      </w:r>
      <w:r w:rsidR="00C70EE3" w:rsidRPr="00A74CF5">
        <w:rPr>
          <w:rFonts w:ascii="Calibri" w:eastAsia="Times New Roman" w:hAnsi="Calibri" w:cs="Times New Roman"/>
          <w:sz w:val="20"/>
          <w:lang w:val="en-US" w:eastAsia="it-IT"/>
        </w:rPr>
        <w:t xml:space="preserve"> </w:t>
      </w:r>
      <w:r w:rsidR="0046662C" w:rsidRPr="00A74CF5">
        <w:rPr>
          <w:rFonts w:ascii="Calibri" w:eastAsia="Times New Roman" w:hAnsi="Calibri" w:cs="Times New Roman"/>
          <w:sz w:val="20"/>
          <w:lang w:val="en-US" w:eastAsia="it-IT"/>
        </w:rPr>
        <w:t>survey</w:t>
      </w:r>
      <w:r w:rsidR="00A10322" w:rsidRPr="00A74CF5">
        <w:rPr>
          <w:rFonts w:ascii="Calibri" w:eastAsia="Times New Roman" w:hAnsi="Calibri" w:cs="Times New Roman"/>
          <w:color w:val="000000"/>
          <w:sz w:val="20"/>
          <w:lang w:val="en-US" w:eastAsia="it-IT"/>
        </w:rPr>
        <w:t>.</w:t>
      </w:r>
    </w:p>
    <w:p w14:paraId="300D541B" w14:textId="7EB3C1ED" w:rsidR="00F025E9" w:rsidRPr="00F025E9" w:rsidRDefault="00F025E9" w:rsidP="00F025E9">
      <w:pPr>
        <w:spacing w:before="360" w:after="0" w:line="360" w:lineRule="auto"/>
        <w:jc w:val="both"/>
        <w:rPr>
          <w:rFonts w:ascii="Arial" w:hAnsi="Arial" w:cs="Arial"/>
          <w:i/>
          <w:sz w:val="24"/>
          <w:szCs w:val="24"/>
          <w:lang w:val="en-GB"/>
        </w:rPr>
      </w:pPr>
      <w:r w:rsidRPr="00F025E9">
        <w:rPr>
          <w:rFonts w:ascii="Arial" w:hAnsi="Arial" w:cs="Arial"/>
          <w:i/>
          <w:sz w:val="24"/>
          <w:szCs w:val="24"/>
          <w:lang w:val="en-GB"/>
        </w:rPr>
        <w:lastRenderedPageBreak/>
        <w:t>1.1</w:t>
      </w:r>
      <w:r>
        <w:rPr>
          <w:rFonts w:ascii="Arial" w:hAnsi="Arial" w:cs="Arial"/>
          <w:i/>
          <w:sz w:val="24"/>
          <w:szCs w:val="24"/>
          <w:lang w:val="en-GB"/>
        </w:rPr>
        <w:t>. Response Rates in Structural surveys</w:t>
      </w:r>
    </w:p>
    <w:p w14:paraId="6CBD5953" w14:textId="086A5988" w:rsidR="00F025E9" w:rsidRDefault="00942A6D" w:rsidP="007723A4">
      <w:pPr>
        <w:spacing w:before="120" w:after="0" w:line="360" w:lineRule="auto"/>
        <w:jc w:val="both"/>
        <w:rPr>
          <w:rFonts w:ascii="Arial" w:hAnsi="Arial" w:cs="Arial"/>
          <w:sz w:val="24"/>
          <w:szCs w:val="24"/>
          <w:lang w:val="en-US"/>
        </w:rPr>
      </w:pPr>
      <w:r w:rsidRPr="002074E6">
        <w:rPr>
          <w:rFonts w:ascii="Arial" w:hAnsi="Arial" w:cs="Arial"/>
          <w:sz w:val="24"/>
          <w:szCs w:val="24"/>
          <w:lang w:val="en-US"/>
        </w:rPr>
        <w:t xml:space="preserve">Among the structural surveys, some responded very positively to the new organizational scheme, that are not only the ones characterized by a low </w:t>
      </w:r>
      <w:proofErr w:type="spellStart"/>
      <w:r w:rsidRPr="002074E6">
        <w:rPr>
          <w:rFonts w:ascii="Arial" w:hAnsi="Arial" w:cs="Arial"/>
          <w:i/>
          <w:sz w:val="24"/>
          <w:szCs w:val="24"/>
          <w:lang w:val="en-US"/>
        </w:rPr>
        <w:t>rr</w:t>
      </w:r>
      <w:proofErr w:type="spellEnd"/>
      <w:r w:rsidRPr="002074E6">
        <w:rPr>
          <w:rFonts w:ascii="Arial" w:hAnsi="Arial" w:cs="Arial"/>
          <w:sz w:val="24"/>
          <w:szCs w:val="24"/>
          <w:lang w:val="en-US"/>
        </w:rPr>
        <w:t xml:space="preserve"> as the Community innovation survey (CIS) that </w:t>
      </w:r>
      <w:proofErr w:type="spellStart"/>
      <w:r w:rsidRPr="002074E6">
        <w:rPr>
          <w:rFonts w:ascii="Arial" w:hAnsi="Arial" w:cs="Arial"/>
          <w:sz w:val="24"/>
          <w:szCs w:val="24"/>
          <w:lang w:val="en-US"/>
        </w:rPr>
        <w:t>increased</w:t>
      </w:r>
      <w:proofErr w:type="spellEnd"/>
      <w:r w:rsidRPr="002074E6">
        <w:rPr>
          <w:rFonts w:ascii="Arial" w:hAnsi="Arial" w:cs="Arial"/>
          <w:sz w:val="24"/>
          <w:szCs w:val="24"/>
          <w:lang w:val="en-US"/>
        </w:rPr>
        <w:t xml:space="preserve"> of 15 </w:t>
      </w:r>
      <w:r w:rsidR="001E3D7B" w:rsidRPr="00EB0CE6">
        <w:rPr>
          <w:rFonts w:ascii="Arial" w:hAnsi="Arial" w:cs="Arial"/>
          <w:i/>
          <w:sz w:val="24"/>
          <w:szCs w:val="24"/>
          <w:lang w:val="en-US"/>
        </w:rPr>
        <w:t>pp</w:t>
      </w:r>
      <w:r w:rsidRPr="002074E6">
        <w:rPr>
          <w:rFonts w:ascii="Arial" w:hAnsi="Arial" w:cs="Arial"/>
          <w:sz w:val="24"/>
          <w:szCs w:val="24"/>
          <w:lang w:val="en-US"/>
        </w:rPr>
        <w:t xml:space="preserve"> in 2016 starting from 53</w:t>
      </w:r>
      <w:r w:rsidR="009231F9">
        <w:rPr>
          <w:rFonts w:ascii="Arial" w:hAnsi="Arial" w:cs="Arial"/>
          <w:sz w:val="24"/>
          <w:szCs w:val="24"/>
          <w:lang w:val="en-US"/>
        </w:rPr>
        <w:t xml:space="preserve"> percent</w:t>
      </w:r>
      <w:r w:rsidRPr="002074E6">
        <w:rPr>
          <w:rFonts w:ascii="Arial" w:hAnsi="Arial" w:cs="Arial"/>
          <w:sz w:val="24"/>
          <w:szCs w:val="24"/>
          <w:lang w:val="en-US"/>
        </w:rPr>
        <w:t xml:space="preserve"> in 2014, but also surveys with an already </w:t>
      </w:r>
      <w:r w:rsidR="003B3263">
        <w:rPr>
          <w:rFonts w:ascii="Arial" w:hAnsi="Arial" w:cs="Arial"/>
          <w:sz w:val="24"/>
          <w:szCs w:val="24"/>
          <w:lang w:val="en-US"/>
        </w:rPr>
        <w:t>satisfactory</w:t>
      </w:r>
      <w:r w:rsidR="003B3263" w:rsidRPr="002074E6">
        <w:rPr>
          <w:rFonts w:ascii="Arial" w:hAnsi="Arial" w:cs="Arial"/>
          <w:sz w:val="24"/>
          <w:szCs w:val="24"/>
          <w:lang w:val="en-US"/>
        </w:rPr>
        <w:t xml:space="preserve"> </w:t>
      </w:r>
      <w:proofErr w:type="spellStart"/>
      <w:r w:rsidRPr="002074E6">
        <w:rPr>
          <w:rFonts w:ascii="Arial" w:hAnsi="Arial" w:cs="Arial"/>
          <w:i/>
          <w:sz w:val="24"/>
          <w:szCs w:val="24"/>
          <w:lang w:val="en-US"/>
        </w:rPr>
        <w:t>rr</w:t>
      </w:r>
      <w:proofErr w:type="spellEnd"/>
      <w:r w:rsidRPr="002074E6">
        <w:rPr>
          <w:rFonts w:ascii="Arial" w:hAnsi="Arial" w:cs="Arial"/>
          <w:sz w:val="24"/>
          <w:szCs w:val="24"/>
          <w:lang w:val="en-US"/>
        </w:rPr>
        <w:t xml:space="preserve"> such as Survey on enterprise accounting system (SBS – Structural Business Statistics Regulation), that increased </w:t>
      </w:r>
      <w:r w:rsidRPr="00EB0CE6">
        <w:rPr>
          <w:rFonts w:ascii="Arial" w:hAnsi="Arial" w:cs="Arial"/>
          <w:sz w:val="24"/>
          <w:szCs w:val="24"/>
          <w:lang w:val="en-US"/>
        </w:rPr>
        <w:t xml:space="preserve">8 </w:t>
      </w:r>
      <w:r w:rsidRPr="00EB0CE6">
        <w:rPr>
          <w:rFonts w:ascii="Arial" w:hAnsi="Arial" w:cs="Arial"/>
          <w:i/>
          <w:sz w:val="24"/>
          <w:szCs w:val="24"/>
          <w:lang w:val="en-US"/>
        </w:rPr>
        <w:t>p</w:t>
      </w:r>
      <w:r w:rsidR="001E3D7B" w:rsidRPr="00EB0CE6">
        <w:rPr>
          <w:rFonts w:ascii="Arial" w:hAnsi="Arial" w:cs="Arial"/>
          <w:i/>
          <w:sz w:val="24"/>
          <w:szCs w:val="24"/>
          <w:lang w:val="en-US"/>
        </w:rPr>
        <w:t>p</w:t>
      </w:r>
      <w:r w:rsidRPr="00EB0CE6">
        <w:rPr>
          <w:rFonts w:ascii="Arial" w:hAnsi="Arial" w:cs="Arial"/>
          <w:sz w:val="24"/>
          <w:szCs w:val="24"/>
          <w:lang w:val="en-US"/>
        </w:rPr>
        <w:t>, starting</w:t>
      </w:r>
      <w:r w:rsidRPr="002074E6">
        <w:rPr>
          <w:rFonts w:ascii="Arial" w:hAnsi="Arial" w:cs="Arial"/>
          <w:sz w:val="24"/>
          <w:szCs w:val="24"/>
          <w:lang w:val="en-US"/>
        </w:rPr>
        <w:t xml:space="preserve"> from 68 in 2014 (Table 2). </w:t>
      </w:r>
    </w:p>
    <w:p w14:paraId="061E84A7" w14:textId="77777777" w:rsidR="00F025E9" w:rsidRPr="00E06362" w:rsidRDefault="00F025E9" w:rsidP="00F025E9">
      <w:pPr>
        <w:jc w:val="both"/>
        <w:rPr>
          <w:rFonts w:ascii="Arial" w:eastAsia="Arial" w:hAnsi="Arial" w:cs="Arial"/>
          <w:b/>
          <w:sz w:val="20"/>
          <w:lang w:val="en-US"/>
        </w:rPr>
      </w:pPr>
      <w:r w:rsidRPr="00E06362">
        <w:rPr>
          <w:rFonts w:ascii="Arial" w:eastAsia="Arial" w:hAnsi="Arial" w:cs="Arial"/>
          <w:b/>
          <w:sz w:val="20"/>
          <w:lang w:val="en-US"/>
        </w:rPr>
        <w:t xml:space="preserve">Table 2. Structural surveys, response rates and data collection lengths </w:t>
      </w:r>
    </w:p>
    <w:tbl>
      <w:tblPr>
        <w:tblStyle w:val="Grigliatabella"/>
        <w:tblW w:w="9453" w:type="dxa"/>
        <w:tblLook w:val="04A0" w:firstRow="1" w:lastRow="0" w:firstColumn="1" w:lastColumn="0" w:noHBand="0" w:noVBand="1"/>
      </w:tblPr>
      <w:tblGrid>
        <w:gridCol w:w="2565"/>
        <w:gridCol w:w="1300"/>
        <w:gridCol w:w="994"/>
        <w:gridCol w:w="1165"/>
        <w:gridCol w:w="1184"/>
        <w:gridCol w:w="1050"/>
        <w:gridCol w:w="1195"/>
      </w:tblGrid>
      <w:tr w:rsidR="00E7131D" w:rsidRPr="00CC150C" w14:paraId="3D2224EB" w14:textId="77777777" w:rsidTr="00E7131D">
        <w:trPr>
          <w:trHeight w:val="1196"/>
        </w:trPr>
        <w:tc>
          <w:tcPr>
            <w:tcW w:w="2565" w:type="dxa"/>
            <w:vAlign w:val="bottom"/>
          </w:tcPr>
          <w:p w14:paraId="5BD3AD3E" w14:textId="77777777" w:rsidR="00E7131D" w:rsidRDefault="00E7131D" w:rsidP="001328E9">
            <w:pPr>
              <w:jc w:val="center"/>
              <w:rPr>
                <w:rFonts w:ascii="Arial" w:hAnsi="Arial" w:cs="Arial"/>
                <w:color w:val="000000"/>
                <w:sz w:val="20"/>
                <w:szCs w:val="20"/>
              </w:rPr>
            </w:pPr>
            <w:r>
              <w:rPr>
                <w:rFonts w:ascii="Arial" w:hAnsi="Arial" w:cs="Arial"/>
                <w:color w:val="000000"/>
                <w:sz w:val="20"/>
                <w:szCs w:val="20"/>
              </w:rPr>
              <w:t>SURVEYS</w:t>
            </w:r>
          </w:p>
          <w:p w14:paraId="62AA14AA" w14:textId="77777777" w:rsidR="00E7131D" w:rsidRDefault="00E7131D" w:rsidP="001328E9">
            <w:pPr>
              <w:jc w:val="center"/>
              <w:rPr>
                <w:rFonts w:ascii="Arial" w:hAnsi="Arial" w:cs="Arial"/>
                <w:color w:val="000000"/>
                <w:sz w:val="20"/>
                <w:szCs w:val="20"/>
              </w:rPr>
            </w:pPr>
          </w:p>
          <w:p w14:paraId="31E7A23D" w14:textId="77777777" w:rsidR="00E7131D" w:rsidRPr="00CC150C" w:rsidRDefault="00E7131D" w:rsidP="001328E9">
            <w:pPr>
              <w:jc w:val="center"/>
              <w:rPr>
                <w:rFonts w:ascii="Arial" w:hAnsi="Arial" w:cs="Arial"/>
                <w:b/>
                <w:bCs/>
                <w:color w:val="3388CC"/>
                <w:sz w:val="20"/>
                <w:szCs w:val="20"/>
                <w:highlight w:val="cyan"/>
              </w:rPr>
            </w:pPr>
          </w:p>
        </w:tc>
        <w:tc>
          <w:tcPr>
            <w:tcW w:w="1300" w:type="dxa"/>
            <w:vAlign w:val="bottom"/>
          </w:tcPr>
          <w:p w14:paraId="1E47C7E4" w14:textId="77777777" w:rsidR="00E7131D" w:rsidRDefault="00E7131D" w:rsidP="001328E9">
            <w:pPr>
              <w:jc w:val="center"/>
              <w:rPr>
                <w:rFonts w:ascii="Arial" w:hAnsi="Arial" w:cs="Arial"/>
                <w:color w:val="000000"/>
                <w:sz w:val="20"/>
                <w:szCs w:val="20"/>
              </w:rPr>
            </w:pPr>
            <w:r>
              <w:rPr>
                <w:rFonts w:ascii="Arial" w:hAnsi="Arial" w:cs="Arial"/>
                <w:color w:val="000000"/>
                <w:sz w:val="20"/>
                <w:szCs w:val="20"/>
              </w:rPr>
              <w:t>Reference Year</w:t>
            </w:r>
          </w:p>
          <w:p w14:paraId="42CC457A" w14:textId="77777777" w:rsidR="00E7131D" w:rsidRDefault="00E7131D" w:rsidP="001328E9">
            <w:pPr>
              <w:jc w:val="center"/>
              <w:rPr>
                <w:rFonts w:ascii="Arial" w:hAnsi="Arial" w:cs="Arial"/>
                <w:color w:val="000000"/>
                <w:sz w:val="20"/>
                <w:szCs w:val="20"/>
              </w:rPr>
            </w:pPr>
          </w:p>
          <w:p w14:paraId="31923662" w14:textId="77777777" w:rsidR="00E7131D" w:rsidRPr="00CC150C" w:rsidRDefault="00E7131D" w:rsidP="001328E9">
            <w:pPr>
              <w:jc w:val="center"/>
              <w:rPr>
                <w:rFonts w:ascii="Arial" w:hAnsi="Arial" w:cs="Arial"/>
                <w:b/>
                <w:bCs/>
                <w:color w:val="3388CC"/>
                <w:sz w:val="20"/>
                <w:szCs w:val="20"/>
                <w:highlight w:val="cyan"/>
              </w:rPr>
            </w:pPr>
          </w:p>
        </w:tc>
        <w:tc>
          <w:tcPr>
            <w:tcW w:w="994" w:type="dxa"/>
            <w:vAlign w:val="bottom"/>
          </w:tcPr>
          <w:p w14:paraId="513D1801" w14:textId="77777777" w:rsidR="00E7131D" w:rsidRDefault="00E7131D" w:rsidP="001328E9">
            <w:pPr>
              <w:jc w:val="center"/>
              <w:rPr>
                <w:rFonts w:ascii="Arial" w:hAnsi="Arial" w:cs="Arial"/>
                <w:color w:val="000000"/>
                <w:sz w:val="20"/>
                <w:szCs w:val="20"/>
              </w:rPr>
            </w:pPr>
            <w:r>
              <w:rPr>
                <w:rFonts w:ascii="Arial" w:hAnsi="Arial" w:cs="Arial"/>
                <w:color w:val="000000"/>
                <w:sz w:val="20"/>
                <w:szCs w:val="20"/>
              </w:rPr>
              <w:t>Total units</w:t>
            </w:r>
          </w:p>
          <w:p w14:paraId="2FCEC65D" w14:textId="77777777" w:rsidR="00E7131D" w:rsidRDefault="00E7131D" w:rsidP="001328E9">
            <w:pPr>
              <w:jc w:val="center"/>
              <w:rPr>
                <w:rFonts w:ascii="Arial" w:hAnsi="Arial" w:cs="Arial"/>
                <w:color w:val="000000"/>
                <w:sz w:val="20"/>
                <w:szCs w:val="20"/>
              </w:rPr>
            </w:pPr>
          </w:p>
          <w:p w14:paraId="2A9CBC1F" w14:textId="77777777" w:rsidR="00E7131D" w:rsidRPr="00CC150C" w:rsidRDefault="00E7131D" w:rsidP="001328E9">
            <w:pPr>
              <w:jc w:val="center"/>
              <w:rPr>
                <w:rFonts w:ascii="Arial" w:hAnsi="Arial" w:cs="Arial"/>
                <w:b/>
                <w:bCs/>
                <w:color w:val="3388CC"/>
                <w:sz w:val="20"/>
                <w:szCs w:val="20"/>
                <w:highlight w:val="cyan"/>
              </w:rPr>
            </w:pPr>
          </w:p>
        </w:tc>
        <w:tc>
          <w:tcPr>
            <w:tcW w:w="1165" w:type="dxa"/>
            <w:vAlign w:val="bottom"/>
          </w:tcPr>
          <w:p w14:paraId="59E9BF09" w14:textId="19174C19" w:rsidR="00E7131D" w:rsidRDefault="00E7131D" w:rsidP="001328E9">
            <w:pPr>
              <w:jc w:val="center"/>
              <w:rPr>
                <w:rFonts w:ascii="Arial" w:hAnsi="Arial" w:cs="Arial"/>
                <w:color w:val="000000"/>
                <w:sz w:val="20"/>
                <w:szCs w:val="20"/>
              </w:rPr>
            </w:pPr>
            <w:r>
              <w:rPr>
                <w:rFonts w:ascii="Arial" w:hAnsi="Arial" w:cs="Arial"/>
                <w:color w:val="000000"/>
                <w:sz w:val="20"/>
                <w:szCs w:val="20"/>
              </w:rPr>
              <w:t>Response rate (%)</w:t>
            </w:r>
          </w:p>
          <w:p w14:paraId="7752AAF0" w14:textId="77777777" w:rsidR="00E7131D" w:rsidRDefault="00E7131D" w:rsidP="001328E9">
            <w:pPr>
              <w:jc w:val="center"/>
              <w:rPr>
                <w:rFonts w:ascii="Arial" w:hAnsi="Arial" w:cs="Arial"/>
                <w:color w:val="000000"/>
                <w:sz w:val="20"/>
                <w:szCs w:val="20"/>
              </w:rPr>
            </w:pPr>
          </w:p>
          <w:p w14:paraId="39749DE4" w14:textId="77777777" w:rsidR="00E7131D" w:rsidRPr="00CC150C" w:rsidRDefault="00E7131D" w:rsidP="001328E9">
            <w:pPr>
              <w:jc w:val="center"/>
              <w:rPr>
                <w:rFonts w:ascii="Arial" w:hAnsi="Arial" w:cs="Arial"/>
                <w:b/>
                <w:bCs/>
                <w:color w:val="3388CC"/>
                <w:sz w:val="20"/>
                <w:szCs w:val="20"/>
                <w:highlight w:val="cyan"/>
              </w:rPr>
            </w:pPr>
          </w:p>
        </w:tc>
        <w:tc>
          <w:tcPr>
            <w:tcW w:w="1184" w:type="dxa"/>
            <w:vAlign w:val="bottom"/>
          </w:tcPr>
          <w:p w14:paraId="49DA1276" w14:textId="77777777" w:rsidR="00E7131D" w:rsidRPr="00CC150C" w:rsidRDefault="00E7131D" w:rsidP="001328E9">
            <w:pPr>
              <w:jc w:val="center"/>
              <w:rPr>
                <w:rFonts w:ascii="Arial" w:hAnsi="Arial" w:cs="Arial"/>
                <w:b/>
                <w:bCs/>
                <w:color w:val="3388CC"/>
                <w:sz w:val="20"/>
                <w:szCs w:val="20"/>
                <w:highlight w:val="cyan"/>
              </w:rPr>
            </w:pPr>
            <w:r>
              <w:rPr>
                <w:rFonts w:ascii="Arial" w:hAnsi="Arial" w:cs="Arial"/>
                <w:color w:val="000000"/>
                <w:sz w:val="20"/>
                <w:szCs w:val="20"/>
              </w:rPr>
              <w:t>Response rate variation (%) (*)</w:t>
            </w:r>
          </w:p>
        </w:tc>
        <w:tc>
          <w:tcPr>
            <w:tcW w:w="1050" w:type="dxa"/>
            <w:vAlign w:val="bottom"/>
          </w:tcPr>
          <w:p w14:paraId="4E032284" w14:textId="77777777" w:rsidR="00E7131D" w:rsidRPr="00CC150C" w:rsidRDefault="00E7131D" w:rsidP="001328E9">
            <w:pPr>
              <w:jc w:val="center"/>
              <w:rPr>
                <w:rFonts w:ascii="Arial" w:hAnsi="Arial" w:cs="Arial"/>
                <w:b/>
                <w:bCs/>
                <w:color w:val="3388CC"/>
                <w:sz w:val="20"/>
                <w:szCs w:val="20"/>
                <w:highlight w:val="cyan"/>
              </w:rPr>
            </w:pPr>
            <w:r>
              <w:rPr>
                <w:rFonts w:ascii="Arial" w:hAnsi="Arial" w:cs="Arial"/>
                <w:color w:val="000000"/>
                <w:sz w:val="20"/>
                <w:szCs w:val="20"/>
              </w:rPr>
              <w:t>Data collection lenght (Total days -</w:t>
            </w:r>
            <w:r w:rsidRPr="0068397E">
              <w:rPr>
                <w:rFonts w:ascii="Arial" w:hAnsi="Arial" w:cs="Arial"/>
                <w:i/>
                <w:color w:val="000000"/>
                <w:sz w:val="20"/>
                <w:szCs w:val="20"/>
              </w:rPr>
              <w:t>d</w:t>
            </w:r>
            <w:r>
              <w:rPr>
                <w:rFonts w:ascii="Arial" w:hAnsi="Arial" w:cs="Arial"/>
                <w:color w:val="000000"/>
                <w:sz w:val="20"/>
                <w:szCs w:val="20"/>
              </w:rPr>
              <w:t>)</w:t>
            </w:r>
          </w:p>
        </w:tc>
        <w:tc>
          <w:tcPr>
            <w:tcW w:w="1195" w:type="dxa"/>
            <w:vAlign w:val="bottom"/>
          </w:tcPr>
          <w:p w14:paraId="69500023" w14:textId="77777777" w:rsidR="00E7131D" w:rsidRPr="00CC150C" w:rsidRDefault="00E7131D" w:rsidP="001328E9">
            <w:pPr>
              <w:jc w:val="center"/>
              <w:rPr>
                <w:rFonts w:ascii="Arial" w:hAnsi="Arial" w:cs="Arial"/>
                <w:b/>
                <w:bCs/>
                <w:color w:val="3388CC"/>
                <w:sz w:val="20"/>
                <w:szCs w:val="20"/>
                <w:highlight w:val="cyan"/>
              </w:rPr>
            </w:pPr>
            <w:r>
              <w:rPr>
                <w:rFonts w:ascii="Arial" w:hAnsi="Arial" w:cs="Arial"/>
                <w:color w:val="000000"/>
                <w:sz w:val="20"/>
                <w:szCs w:val="20"/>
              </w:rPr>
              <w:t>Data collection lenght variation (</w:t>
            </w:r>
            <w:r>
              <w:rPr>
                <w:rFonts w:ascii="Arial" w:hAnsi="Arial" w:cs="Arial"/>
                <w:i/>
                <w:color w:val="000000"/>
                <w:sz w:val="20"/>
                <w:szCs w:val="20"/>
              </w:rPr>
              <w:t>d</w:t>
            </w:r>
            <w:r>
              <w:rPr>
                <w:rFonts w:ascii="Arial" w:hAnsi="Arial" w:cs="Arial"/>
                <w:color w:val="000000"/>
                <w:sz w:val="20"/>
                <w:szCs w:val="20"/>
              </w:rPr>
              <w:t>) (*)</w:t>
            </w:r>
          </w:p>
        </w:tc>
      </w:tr>
      <w:tr w:rsidR="00E7131D" w:rsidRPr="00CC150C" w14:paraId="14722260" w14:textId="77777777" w:rsidTr="00E7131D">
        <w:trPr>
          <w:trHeight w:val="428"/>
        </w:trPr>
        <w:tc>
          <w:tcPr>
            <w:tcW w:w="2565" w:type="dxa"/>
            <w:vAlign w:val="center"/>
          </w:tcPr>
          <w:p w14:paraId="61EF1BEB" w14:textId="77777777" w:rsidR="00E7131D" w:rsidRPr="00CC150C" w:rsidRDefault="00E7131D" w:rsidP="001328E9">
            <w:pPr>
              <w:jc w:val="center"/>
              <w:rPr>
                <w:rFonts w:ascii="Arial" w:hAnsi="Arial" w:cs="Arial"/>
                <w:color w:val="000000"/>
                <w:sz w:val="20"/>
                <w:szCs w:val="20"/>
                <w:highlight w:val="cyan"/>
              </w:rPr>
            </w:pPr>
            <w:r>
              <w:rPr>
                <w:rFonts w:ascii="Arial" w:hAnsi="Arial" w:cs="Arial"/>
                <w:color w:val="000000"/>
                <w:sz w:val="20"/>
                <w:szCs w:val="20"/>
              </w:rPr>
              <w:t>CIS</w:t>
            </w:r>
          </w:p>
        </w:tc>
        <w:tc>
          <w:tcPr>
            <w:tcW w:w="1300" w:type="dxa"/>
            <w:noWrap/>
            <w:vAlign w:val="bottom"/>
          </w:tcPr>
          <w:p w14:paraId="2D0EEA54"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2016</w:t>
            </w:r>
          </w:p>
        </w:tc>
        <w:tc>
          <w:tcPr>
            <w:tcW w:w="994" w:type="dxa"/>
            <w:vAlign w:val="bottom"/>
          </w:tcPr>
          <w:p w14:paraId="304057D5"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32,018 </w:t>
            </w:r>
          </w:p>
        </w:tc>
        <w:tc>
          <w:tcPr>
            <w:tcW w:w="1165" w:type="dxa"/>
            <w:vAlign w:val="bottom"/>
          </w:tcPr>
          <w:p w14:paraId="2F764C83" w14:textId="7B43378F"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68.1</w:t>
            </w:r>
          </w:p>
        </w:tc>
        <w:tc>
          <w:tcPr>
            <w:tcW w:w="1184" w:type="dxa"/>
            <w:vAlign w:val="bottom"/>
          </w:tcPr>
          <w:p w14:paraId="68621807"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15.1</w:t>
            </w:r>
          </w:p>
        </w:tc>
        <w:tc>
          <w:tcPr>
            <w:tcW w:w="1050" w:type="dxa"/>
            <w:vAlign w:val="bottom"/>
          </w:tcPr>
          <w:p w14:paraId="1640A79A"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143</w:t>
            </w:r>
          </w:p>
        </w:tc>
        <w:tc>
          <w:tcPr>
            <w:tcW w:w="1195" w:type="dxa"/>
            <w:noWrap/>
            <w:vAlign w:val="bottom"/>
          </w:tcPr>
          <w:p w14:paraId="496A775E"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-92</w:t>
            </w:r>
          </w:p>
        </w:tc>
      </w:tr>
      <w:tr w:rsidR="00E7131D" w:rsidRPr="00CC150C" w14:paraId="52239099" w14:textId="77777777" w:rsidTr="00E7131D">
        <w:trPr>
          <w:trHeight w:val="615"/>
        </w:trPr>
        <w:tc>
          <w:tcPr>
            <w:tcW w:w="2565" w:type="dxa"/>
            <w:vAlign w:val="center"/>
          </w:tcPr>
          <w:p w14:paraId="799D6C74" w14:textId="77777777" w:rsidR="00E7131D" w:rsidRPr="00CC150C" w:rsidRDefault="00E7131D" w:rsidP="001328E9">
            <w:pPr>
              <w:jc w:val="center"/>
              <w:rPr>
                <w:rFonts w:ascii="Arial" w:hAnsi="Arial" w:cs="Arial"/>
                <w:color w:val="000000"/>
                <w:sz w:val="20"/>
                <w:szCs w:val="20"/>
                <w:highlight w:val="cyan"/>
              </w:rPr>
            </w:pPr>
            <w:r>
              <w:rPr>
                <w:rFonts w:ascii="Arial" w:hAnsi="Arial" w:cs="Arial"/>
                <w:color w:val="000000"/>
                <w:sz w:val="20"/>
                <w:szCs w:val="20"/>
              </w:rPr>
              <w:t>Prodcom</w:t>
            </w:r>
          </w:p>
        </w:tc>
        <w:tc>
          <w:tcPr>
            <w:tcW w:w="1300" w:type="dxa"/>
            <w:noWrap/>
            <w:vAlign w:val="bottom"/>
          </w:tcPr>
          <w:p w14:paraId="27568518"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2017</w:t>
            </w:r>
          </w:p>
        </w:tc>
        <w:tc>
          <w:tcPr>
            <w:tcW w:w="994" w:type="dxa"/>
            <w:vAlign w:val="bottom"/>
          </w:tcPr>
          <w:p w14:paraId="3D3CB360"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39,799 </w:t>
            </w:r>
          </w:p>
        </w:tc>
        <w:tc>
          <w:tcPr>
            <w:tcW w:w="1165" w:type="dxa"/>
            <w:vAlign w:val="bottom"/>
          </w:tcPr>
          <w:p w14:paraId="5CBA328E" w14:textId="00FC8981"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56.2</w:t>
            </w:r>
          </w:p>
        </w:tc>
        <w:tc>
          <w:tcPr>
            <w:tcW w:w="1184" w:type="dxa"/>
            <w:vAlign w:val="bottom"/>
          </w:tcPr>
          <w:p w14:paraId="6E3252C4"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11.6</w:t>
            </w:r>
          </w:p>
        </w:tc>
        <w:tc>
          <w:tcPr>
            <w:tcW w:w="1050" w:type="dxa"/>
            <w:vAlign w:val="bottom"/>
          </w:tcPr>
          <w:p w14:paraId="1B9E1999"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124</w:t>
            </w:r>
          </w:p>
        </w:tc>
        <w:tc>
          <w:tcPr>
            <w:tcW w:w="1195" w:type="dxa"/>
            <w:noWrap/>
            <w:vAlign w:val="bottom"/>
          </w:tcPr>
          <w:p w14:paraId="1B48C7BE"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w:t>
            </w:r>
          </w:p>
        </w:tc>
      </w:tr>
      <w:tr w:rsidR="00E7131D" w:rsidRPr="00CC150C" w14:paraId="7A308982" w14:textId="77777777" w:rsidTr="00E7131D">
        <w:trPr>
          <w:trHeight w:val="615"/>
        </w:trPr>
        <w:tc>
          <w:tcPr>
            <w:tcW w:w="2565" w:type="dxa"/>
            <w:vAlign w:val="center"/>
          </w:tcPr>
          <w:p w14:paraId="396F2FD9" w14:textId="77777777" w:rsidR="00E7131D" w:rsidRPr="00CC150C" w:rsidRDefault="00E7131D" w:rsidP="001328E9">
            <w:pPr>
              <w:jc w:val="center"/>
              <w:rPr>
                <w:rFonts w:ascii="Arial" w:hAnsi="Arial" w:cs="Arial"/>
                <w:color w:val="000000"/>
                <w:sz w:val="20"/>
                <w:szCs w:val="20"/>
                <w:highlight w:val="cyan"/>
              </w:rPr>
            </w:pPr>
            <w:r>
              <w:rPr>
                <w:rFonts w:ascii="Arial" w:hAnsi="Arial" w:cs="Arial"/>
                <w:color w:val="000000"/>
                <w:sz w:val="20"/>
                <w:szCs w:val="20"/>
              </w:rPr>
              <w:t>SME - SBS</w:t>
            </w:r>
          </w:p>
        </w:tc>
        <w:tc>
          <w:tcPr>
            <w:tcW w:w="1300" w:type="dxa"/>
            <w:noWrap/>
            <w:vAlign w:val="bottom"/>
          </w:tcPr>
          <w:p w14:paraId="798B71BE"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2016</w:t>
            </w:r>
          </w:p>
        </w:tc>
        <w:tc>
          <w:tcPr>
            <w:tcW w:w="994" w:type="dxa"/>
            <w:vAlign w:val="bottom"/>
          </w:tcPr>
          <w:p w14:paraId="75978506"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74,207 </w:t>
            </w:r>
          </w:p>
        </w:tc>
        <w:tc>
          <w:tcPr>
            <w:tcW w:w="1165" w:type="dxa"/>
            <w:vAlign w:val="bottom"/>
          </w:tcPr>
          <w:p w14:paraId="50D732E3" w14:textId="277E5B94"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43.5</w:t>
            </w:r>
          </w:p>
        </w:tc>
        <w:tc>
          <w:tcPr>
            <w:tcW w:w="1184" w:type="dxa"/>
            <w:vAlign w:val="bottom"/>
          </w:tcPr>
          <w:p w14:paraId="6AC8041B"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11.0</w:t>
            </w:r>
          </w:p>
        </w:tc>
        <w:tc>
          <w:tcPr>
            <w:tcW w:w="1050" w:type="dxa"/>
            <w:vAlign w:val="bottom"/>
          </w:tcPr>
          <w:p w14:paraId="16527141"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99</w:t>
            </w:r>
          </w:p>
        </w:tc>
        <w:tc>
          <w:tcPr>
            <w:tcW w:w="1195" w:type="dxa"/>
            <w:noWrap/>
            <w:vAlign w:val="bottom"/>
          </w:tcPr>
          <w:p w14:paraId="73CF7E63"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-118</w:t>
            </w:r>
          </w:p>
        </w:tc>
      </w:tr>
      <w:tr w:rsidR="00E7131D" w:rsidRPr="00CC150C" w14:paraId="292CD9CF" w14:textId="77777777" w:rsidTr="00E7131D">
        <w:trPr>
          <w:trHeight w:val="411"/>
        </w:trPr>
        <w:tc>
          <w:tcPr>
            <w:tcW w:w="2565" w:type="dxa"/>
            <w:vAlign w:val="center"/>
          </w:tcPr>
          <w:p w14:paraId="33182FA5" w14:textId="77777777" w:rsidR="00E7131D" w:rsidRPr="00CC150C" w:rsidRDefault="00E7131D" w:rsidP="001328E9">
            <w:pPr>
              <w:jc w:val="center"/>
              <w:rPr>
                <w:rFonts w:ascii="Arial" w:hAnsi="Arial" w:cs="Arial"/>
                <w:color w:val="000000"/>
                <w:sz w:val="20"/>
                <w:szCs w:val="20"/>
                <w:highlight w:val="cyan"/>
              </w:rPr>
            </w:pPr>
            <w:r w:rsidRPr="002074E6">
              <w:rPr>
                <w:rFonts w:ascii="Arial" w:hAnsi="Arial" w:cs="Arial"/>
                <w:color w:val="000000"/>
                <w:sz w:val="20"/>
                <w:szCs w:val="20"/>
              </w:rPr>
              <w:t>ICT</w:t>
            </w:r>
          </w:p>
        </w:tc>
        <w:tc>
          <w:tcPr>
            <w:tcW w:w="1300" w:type="dxa"/>
            <w:noWrap/>
            <w:vAlign w:val="bottom"/>
          </w:tcPr>
          <w:p w14:paraId="41E8AAAD"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2017</w:t>
            </w:r>
          </w:p>
        </w:tc>
        <w:tc>
          <w:tcPr>
            <w:tcW w:w="994" w:type="dxa"/>
            <w:vAlign w:val="bottom"/>
          </w:tcPr>
          <w:p w14:paraId="15E8919B"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32,255 </w:t>
            </w:r>
          </w:p>
        </w:tc>
        <w:tc>
          <w:tcPr>
            <w:tcW w:w="1165" w:type="dxa"/>
            <w:vAlign w:val="bottom"/>
          </w:tcPr>
          <w:p w14:paraId="1626AA39" w14:textId="58FE98FB"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67.0</w:t>
            </w:r>
          </w:p>
        </w:tc>
        <w:tc>
          <w:tcPr>
            <w:tcW w:w="1184" w:type="dxa"/>
            <w:vAlign w:val="bottom"/>
          </w:tcPr>
          <w:p w14:paraId="645D080C"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5.2</w:t>
            </w:r>
          </w:p>
        </w:tc>
        <w:tc>
          <w:tcPr>
            <w:tcW w:w="1050" w:type="dxa"/>
            <w:vAlign w:val="bottom"/>
          </w:tcPr>
          <w:p w14:paraId="600AAF2A"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66</w:t>
            </w:r>
          </w:p>
        </w:tc>
        <w:tc>
          <w:tcPr>
            <w:tcW w:w="1195" w:type="dxa"/>
            <w:noWrap/>
            <w:vAlign w:val="bottom"/>
          </w:tcPr>
          <w:p w14:paraId="14EED34C"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-27</w:t>
            </w:r>
          </w:p>
        </w:tc>
      </w:tr>
      <w:tr w:rsidR="00E7131D" w:rsidRPr="00CC150C" w14:paraId="097B0176" w14:textId="77777777" w:rsidTr="00E7131D">
        <w:trPr>
          <w:trHeight w:val="615"/>
        </w:trPr>
        <w:tc>
          <w:tcPr>
            <w:tcW w:w="2565" w:type="dxa"/>
            <w:vAlign w:val="center"/>
          </w:tcPr>
          <w:p w14:paraId="38ACB3D0" w14:textId="77777777" w:rsidR="00E7131D" w:rsidRPr="00CC150C" w:rsidRDefault="00E7131D" w:rsidP="001328E9">
            <w:pPr>
              <w:jc w:val="center"/>
              <w:rPr>
                <w:rFonts w:ascii="Arial" w:hAnsi="Arial" w:cs="Arial"/>
                <w:color w:val="000000"/>
                <w:sz w:val="20"/>
                <w:szCs w:val="20"/>
                <w:highlight w:val="cyan"/>
              </w:rPr>
            </w:pPr>
            <w:r>
              <w:rPr>
                <w:rFonts w:ascii="Arial" w:hAnsi="Arial" w:cs="Arial"/>
                <w:color w:val="000000"/>
                <w:sz w:val="20"/>
                <w:szCs w:val="20"/>
              </w:rPr>
              <w:t>SBS</w:t>
            </w:r>
          </w:p>
        </w:tc>
        <w:tc>
          <w:tcPr>
            <w:tcW w:w="1300" w:type="dxa"/>
            <w:noWrap/>
            <w:vAlign w:val="bottom"/>
          </w:tcPr>
          <w:p w14:paraId="547B15B1"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2016</w:t>
            </w:r>
          </w:p>
        </w:tc>
        <w:tc>
          <w:tcPr>
            <w:tcW w:w="994" w:type="dxa"/>
            <w:vAlign w:val="bottom"/>
          </w:tcPr>
          <w:p w14:paraId="10FC0D0E"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10,558 </w:t>
            </w:r>
          </w:p>
        </w:tc>
        <w:tc>
          <w:tcPr>
            <w:tcW w:w="1165" w:type="dxa"/>
            <w:vAlign w:val="bottom"/>
          </w:tcPr>
          <w:p w14:paraId="308D9F30" w14:textId="3ABF6D1B"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76.4</w:t>
            </w:r>
          </w:p>
        </w:tc>
        <w:tc>
          <w:tcPr>
            <w:tcW w:w="1184" w:type="dxa"/>
            <w:vAlign w:val="bottom"/>
          </w:tcPr>
          <w:p w14:paraId="4420CAC1"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8.4</w:t>
            </w:r>
          </w:p>
        </w:tc>
        <w:tc>
          <w:tcPr>
            <w:tcW w:w="1050" w:type="dxa"/>
            <w:vAlign w:val="bottom"/>
          </w:tcPr>
          <w:p w14:paraId="390F318B"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139</w:t>
            </w:r>
          </w:p>
        </w:tc>
        <w:tc>
          <w:tcPr>
            <w:tcW w:w="1195" w:type="dxa"/>
            <w:noWrap/>
            <w:vAlign w:val="bottom"/>
          </w:tcPr>
          <w:p w14:paraId="16EC7CC3"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-4</w:t>
            </w:r>
          </w:p>
        </w:tc>
      </w:tr>
      <w:tr w:rsidR="00E7131D" w:rsidRPr="00CC150C" w14:paraId="72957970" w14:textId="77777777" w:rsidTr="00E7131D">
        <w:trPr>
          <w:trHeight w:val="615"/>
        </w:trPr>
        <w:tc>
          <w:tcPr>
            <w:tcW w:w="2565" w:type="dxa"/>
            <w:vAlign w:val="center"/>
          </w:tcPr>
          <w:p w14:paraId="4EF3BD52" w14:textId="77777777" w:rsidR="00E7131D" w:rsidRPr="002074E6" w:rsidRDefault="00E7131D" w:rsidP="001328E9">
            <w:pPr>
              <w:jc w:val="center"/>
              <w:rPr>
                <w:rFonts w:ascii="Arial" w:hAnsi="Arial" w:cs="Arial"/>
                <w:color w:val="000000"/>
                <w:sz w:val="20"/>
                <w:szCs w:val="20"/>
              </w:rPr>
            </w:pPr>
            <w:r w:rsidRPr="002074E6">
              <w:rPr>
                <w:rFonts w:ascii="Arial" w:hAnsi="Arial" w:cs="Arial"/>
                <w:color w:val="000000"/>
                <w:sz w:val="20"/>
                <w:szCs w:val="20"/>
              </w:rPr>
              <w:t>R&amp;D</w:t>
            </w:r>
          </w:p>
        </w:tc>
        <w:tc>
          <w:tcPr>
            <w:tcW w:w="1300" w:type="dxa"/>
            <w:noWrap/>
            <w:vAlign w:val="bottom"/>
          </w:tcPr>
          <w:p w14:paraId="77B2C821"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2015</w:t>
            </w:r>
          </w:p>
        </w:tc>
        <w:tc>
          <w:tcPr>
            <w:tcW w:w="994" w:type="dxa"/>
            <w:vAlign w:val="bottom"/>
          </w:tcPr>
          <w:p w14:paraId="20B495EC"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17,977 </w:t>
            </w:r>
          </w:p>
        </w:tc>
        <w:tc>
          <w:tcPr>
            <w:tcW w:w="1165" w:type="dxa"/>
            <w:vAlign w:val="bottom"/>
          </w:tcPr>
          <w:p w14:paraId="4AE842FE" w14:textId="3AAA655B"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76.5</w:t>
            </w:r>
          </w:p>
        </w:tc>
        <w:tc>
          <w:tcPr>
            <w:tcW w:w="1184" w:type="dxa"/>
            <w:vAlign w:val="bottom"/>
          </w:tcPr>
          <w:p w14:paraId="4B5EF652"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-1.0</w:t>
            </w:r>
          </w:p>
        </w:tc>
        <w:tc>
          <w:tcPr>
            <w:tcW w:w="1050" w:type="dxa"/>
            <w:vAlign w:val="bottom"/>
          </w:tcPr>
          <w:p w14:paraId="151C7EC9"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89</w:t>
            </w:r>
          </w:p>
        </w:tc>
        <w:tc>
          <w:tcPr>
            <w:tcW w:w="1195" w:type="dxa"/>
            <w:noWrap/>
            <w:vAlign w:val="bottom"/>
          </w:tcPr>
          <w:p w14:paraId="01389414"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-48</w:t>
            </w:r>
          </w:p>
        </w:tc>
      </w:tr>
      <w:tr w:rsidR="00E7131D" w:rsidRPr="00CC150C" w14:paraId="2ADBC4B4" w14:textId="77777777" w:rsidTr="00E7131D">
        <w:trPr>
          <w:trHeight w:val="360"/>
        </w:trPr>
        <w:tc>
          <w:tcPr>
            <w:tcW w:w="2565" w:type="dxa"/>
            <w:vAlign w:val="center"/>
          </w:tcPr>
          <w:p w14:paraId="6B60A40A" w14:textId="77777777" w:rsidR="00E7131D" w:rsidRPr="002074E6" w:rsidRDefault="00E7131D" w:rsidP="001328E9">
            <w:pPr>
              <w:jc w:val="center"/>
              <w:rPr>
                <w:rFonts w:ascii="Arial" w:hAnsi="Arial" w:cs="Arial"/>
                <w:color w:val="000000"/>
                <w:sz w:val="20"/>
                <w:szCs w:val="20"/>
              </w:rPr>
            </w:pPr>
            <w:r w:rsidRPr="002074E6">
              <w:rPr>
                <w:rFonts w:ascii="Arial" w:hAnsi="Arial" w:cs="Arial"/>
                <w:color w:val="000000"/>
                <w:sz w:val="20"/>
                <w:szCs w:val="20"/>
              </w:rPr>
              <w:t>Updating of the statistical register of economic units ASIA - Local units</w:t>
            </w:r>
          </w:p>
        </w:tc>
        <w:tc>
          <w:tcPr>
            <w:tcW w:w="1300" w:type="dxa"/>
            <w:noWrap/>
            <w:vAlign w:val="bottom"/>
          </w:tcPr>
          <w:p w14:paraId="7581FDA7"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2016</w:t>
            </w:r>
          </w:p>
        </w:tc>
        <w:tc>
          <w:tcPr>
            <w:tcW w:w="994" w:type="dxa"/>
            <w:vAlign w:val="bottom"/>
          </w:tcPr>
          <w:p w14:paraId="16ECF0C6"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10,536 </w:t>
            </w:r>
          </w:p>
        </w:tc>
        <w:tc>
          <w:tcPr>
            <w:tcW w:w="1165" w:type="dxa"/>
            <w:vAlign w:val="bottom"/>
          </w:tcPr>
          <w:p w14:paraId="1ADD8E36" w14:textId="16CD820B"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80.4</w:t>
            </w:r>
          </w:p>
        </w:tc>
        <w:tc>
          <w:tcPr>
            <w:tcW w:w="1184" w:type="dxa"/>
            <w:vAlign w:val="bottom"/>
          </w:tcPr>
          <w:p w14:paraId="40A55C86"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-3.8</w:t>
            </w:r>
          </w:p>
        </w:tc>
        <w:tc>
          <w:tcPr>
            <w:tcW w:w="1050" w:type="dxa"/>
            <w:vAlign w:val="bottom"/>
          </w:tcPr>
          <w:p w14:paraId="22DB4F48"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62</w:t>
            </w:r>
          </w:p>
        </w:tc>
        <w:tc>
          <w:tcPr>
            <w:tcW w:w="1195" w:type="dxa"/>
            <w:noWrap/>
            <w:vAlign w:val="bottom"/>
          </w:tcPr>
          <w:p w14:paraId="527D4563"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-51</w:t>
            </w:r>
          </w:p>
        </w:tc>
      </w:tr>
      <w:tr w:rsidR="00E7131D" w:rsidRPr="00CC150C" w14:paraId="396C6356" w14:textId="77777777" w:rsidTr="00E7131D">
        <w:trPr>
          <w:trHeight w:val="653"/>
        </w:trPr>
        <w:tc>
          <w:tcPr>
            <w:tcW w:w="2565" w:type="dxa"/>
            <w:vAlign w:val="center"/>
          </w:tcPr>
          <w:p w14:paraId="4C15E9C8" w14:textId="77777777" w:rsidR="00E7131D" w:rsidRPr="002074E6" w:rsidRDefault="00E7131D" w:rsidP="001328E9">
            <w:pPr>
              <w:jc w:val="center"/>
              <w:rPr>
                <w:rFonts w:ascii="Arial" w:hAnsi="Arial" w:cs="Arial"/>
                <w:color w:val="000000"/>
                <w:sz w:val="20"/>
                <w:szCs w:val="20"/>
              </w:rPr>
            </w:pPr>
            <w:r w:rsidRPr="002074E6">
              <w:rPr>
                <w:rFonts w:ascii="Arial" w:hAnsi="Arial" w:cs="Arial"/>
                <w:color w:val="000000"/>
                <w:sz w:val="20"/>
                <w:szCs w:val="20"/>
              </w:rPr>
              <w:t>Inward Fats</w:t>
            </w:r>
          </w:p>
        </w:tc>
        <w:tc>
          <w:tcPr>
            <w:tcW w:w="1300" w:type="dxa"/>
            <w:noWrap/>
            <w:vAlign w:val="bottom"/>
          </w:tcPr>
          <w:p w14:paraId="7FB686ED"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2015</w:t>
            </w:r>
          </w:p>
        </w:tc>
        <w:tc>
          <w:tcPr>
            <w:tcW w:w="994" w:type="dxa"/>
            <w:vAlign w:val="bottom"/>
          </w:tcPr>
          <w:p w14:paraId="18633A2C"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 7,791 </w:t>
            </w:r>
          </w:p>
        </w:tc>
        <w:tc>
          <w:tcPr>
            <w:tcW w:w="1165" w:type="dxa"/>
            <w:vAlign w:val="bottom"/>
          </w:tcPr>
          <w:p w14:paraId="31BB5811" w14:textId="3141BF3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74.4</w:t>
            </w:r>
          </w:p>
        </w:tc>
        <w:tc>
          <w:tcPr>
            <w:tcW w:w="1184" w:type="dxa"/>
            <w:vAlign w:val="bottom"/>
          </w:tcPr>
          <w:p w14:paraId="7B2E52D9"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24.2</w:t>
            </w:r>
          </w:p>
        </w:tc>
        <w:tc>
          <w:tcPr>
            <w:tcW w:w="1050" w:type="dxa"/>
            <w:vAlign w:val="bottom"/>
          </w:tcPr>
          <w:p w14:paraId="3B2D4465"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120</w:t>
            </w:r>
          </w:p>
        </w:tc>
        <w:tc>
          <w:tcPr>
            <w:tcW w:w="1195" w:type="dxa"/>
            <w:noWrap/>
            <w:vAlign w:val="bottom"/>
          </w:tcPr>
          <w:p w14:paraId="52A5B061"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-21</w:t>
            </w:r>
          </w:p>
        </w:tc>
      </w:tr>
      <w:tr w:rsidR="00E7131D" w:rsidRPr="00CC150C" w14:paraId="696C064C" w14:textId="77777777" w:rsidTr="00E7131D">
        <w:trPr>
          <w:trHeight w:val="615"/>
        </w:trPr>
        <w:tc>
          <w:tcPr>
            <w:tcW w:w="2565" w:type="dxa"/>
            <w:vAlign w:val="center"/>
          </w:tcPr>
          <w:p w14:paraId="0E2BBBE1" w14:textId="77777777" w:rsidR="00E7131D" w:rsidRPr="002074E6" w:rsidRDefault="00E7131D" w:rsidP="001328E9">
            <w:pPr>
              <w:jc w:val="center"/>
              <w:rPr>
                <w:rFonts w:ascii="Arial" w:hAnsi="Arial" w:cs="Arial"/>
                <w:color w:val="000000"/>
                <w:sz w:val="20"/>
                <w:szCs w:val="20"/>
              </w:rPr>
            </w:pPr>
            <w:r w:rsidRPr="002074E6">
              <w:rPr>
                <w:rFonts w:ascii="Arial" w:hAnsi="Arial" w:cs="Arial"/>
                <w:color w:val="000000"/>
                <w:sz w:val="20"/>
                <w:szCs w:val="20"/>
              </w:rPr>
              <w:t>Outward Fats</w:t>
            </w:r>
          </w:p>
        </w:tc>
        <w:tc>
          <w:tcPr>
            <w:tcW w:w="1300" w:type="dxa"/>
            <w:noWrap/>
            <w:vAlign w:val="bottom"/>
          </w:tcPr>
          <w:p w14:paraId="3ED34DDA"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2016</w:t>
            </w:r>
          </w:p>
        </w:tc>
        <w:tc>
          <w:tcPr>
            <w:tcW w:w="994" w:type="dxa"/>
            <w:vAlign w:val="bottom"/>
          </w:tcPr>
          <w:p w14:paraId="4B5E76FE"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 xml:space="preserve">6,326 </w:t>
            </w:r>
          </w:p>
        </w:tc>
        <w:tc>
          <w:tcPr>
            <w:tcW w:w="1165" w:type="dxa"/>
            <w:vAlign w:val="bottom"/>
          </w:tcPr>
          <w:p w14:paraId="0207BD1A" w14:textId="465E0FF3"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69.8</w:t>
            </w:r>
          </w:p>
        </w:tc>
        <w:tc>
          <w:tcPr>
            <w:tcW w:w="1184" w:type="dxa"/>
            <w:vAlign w:val="bottom"/>
          </w:tcPr>
          <w:p w14:paraId="7DEE4537"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10.2</w:t>
            </w:r>
          </w:p>
        </w:tc>
        <w:tc>
          <w:tcPr>
            <w:tcW w:w="1050" w:type="dxa"/>
            <w:vAlign w:val="bottom"/>
          </w:tcPr>
          <w:p w14:paraId="38E246B8"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193</w:t>
            </w:r>
          </w:p>
        </w:tc>
        <w:tc>
          <w:tcPr>
            <w:tcW w:w="1195" w:type="dxa"/>
            <w:noWrap/>
            <w:vAlign w:val="bottom"/>
          </w:tcPr>
          <w:p w14:paraId="5BBFD570" w14:textId="77777777" w:rsidR="00E7131D" w:rsidRPr="00CC150C" w:rsidRDefault="00E7131D" w:rsidP="001328E9">
            <w:pPr>
              <w:spacing w:line="360" w:lineRule="auto"/>
              <w:jc w:val="center"/>
              <w:rPr>
                <w:rFonts w:ascii="Arial" w:hAnsi="Arial" w:cs="Arial"/>
                <w:sz w:val="20"/>
                <w:szCs w:val="20"/>
                <w:highlight w:val="cyan"/>
                <w:lang w:val="en-GB"/>
              </w:rPr>
            </w:pPr>
            <w:r>
              <w:rPr>
                <w:rFonts w:ascii="Arial" w:hAnsi="Arial" w:cs="Arial"/>
                <w:color w:val="000000"/>
                <w:sz w:val="20"/>
                <w:szCs w:val="20"/>
              </w:rPr>
              <w:t>24</w:t>
            </w:r>
          </w:p>
        </w:tc>
      </w:tr>
    </w:tbl>
    <w:p w14:paraId="703A7EED" w14:textId="77777777" w:rsidR="00F025E9" w:rsidRPr="00BF6CA0" w:rsidRDefault="00F025E9" w:rsidP="00F025E9">
      <w:pPr>
        <w:spacing w:after="0" w:line="360" w:lineRule="auto"/>
        <w:jc w:val="both"/>
        <w:rPr>
          <w:rFonts w:ascii="Arial" w:hAnsi="Arial" w:cs="Arial"/>
          <w:sz w:val="20"/>
          <w:szCs w:val="20"/>
          <w:lang w:val="en-US"/>
        </w:rPr>
      </w:pPr>
      <w:r w:rsidRPr="00BF6CA0">
        <w:rPr>
          <w:rFonts w:ascii="Arial" w:hAnsi="Arial" w:cs="Arial"/>
          <w:sz w:val="20"/>
          <w:szCs w:val="20"/>
          <w:lang w:val="en-US"/>
        </w:rPr>
        <w:t>Source: Elaboration on data extracted from Business Statistical Portal</w:t>
      </w:r>
    </w:p>
    <w:p w14:paraId="0F244AD4" w14:textId="77777777" w:rsidR="00F025E9" w:rsidRPr="00BF6CA0" w:rsidRDefault="00F025E9" w:rsidP="00F025E9">
      <w:pPr>
        <w:spacing w:after="0" w:line="240" w:lineRule="auto"/>
        <w:jc w:val="both"/>
        <w:rPr>
          <w:rFonts w:ascii="Calibri" w:eastAsia="Times New Roman" w:hAnsi="Calibri" w:cs="Times New Roman"/>
          <w:color w:val="000000"/>
          <w:lang w:val="en-US" w:eastAsia="it-IT"/>
        </w:rPr>
      </w:pPr>
      <w:r w:rsidRPr="00BF6CA0">
        <w:rPr>
          <w:rFonts w:ascii="Calibri" w:eastAsia="Times New Roman" w:hAnsi="Calibri" w:cs="Times New Roman"/>
          <w:color w:val="000000"/>
          <w:lang w:val="en-US" w:eastAsia="it-IT"/>
        </w:rPr>
        <w:t xml:space="preserve">* </w:t>
      </w:r>
      <w:r w:rsidRPr="00A74CF5">
        <w:rPr>
          <w:rFonts w:ascii="Calibri" w:eastAsia="Times New Roman" w:hAnsi="Calibri" w:cs="Times New Roman"/>
          <w:color w:val="000000"/>
          <w:sz w:val="20"/>
          <w:lang w:val="en-US" w:eastAsia="it-IT"/>
        </w:rPr>
        <w:t>Comparison was carried out between last concluded survey and the last run before CDC introduction.</w:t>
      </w:r>
    </w:p>
    <w:p w14:paraId="0ED8B87B" w14:textId="3718A9A2" w:rsidR="007723A4" w:rsidRDefault="00942A6D" w:rsidP="007723A4">
      <w:pPr>
        <w:spacing w:before="120" w:after="0" w:line="360" w:lineRule="auto"/>
        <w:jc w:val="both"/>
        <w:rPr>
          <w:rFonts w:ascii="Arial" w:hAnsi="Arial" w:cs="Arial"/>
          <w:sz w:val="24"/>
          <w:szCs w:val="24"/>
        </w:rPr>
      </w:pPr>
      <w:r w:rsidRPr="002074E6">
        <w:rPr>
          <w:rFonts w:ascii="Arial" w:hAnsi="Arial" w:cs="Arial"/>
          <w:sz w:val="24"/>
          <w:szCs w:val="24"/>
          <w:lang w:val="en-US"/>
        </w:rPr>
        <w:t>Regarding the length of the survey, we can highlight the Small and medium enterprise accounting system survey - SME (including professional and artistic activities - SBS Regulation) case that was run in 118 days (</w:t>
      </w:r>
      <w:r w:rsidRPr="002074E6">
        <w:rPr>
          <w:rFonts w:ascii="Arial" w:hAnsi="Arial" w:cs="Arial"/>
          <w:i/>
          <w:sz w:val="24"/>
          <w:szCs w:val="24"/>
          <w:lang w:val="en-US"/>
        </w:rPr>
        <w:t>d</w:t>
      </w:r>
      <w:r w:rsidRPr="002074E6">
        <w:rPr>
          <w:rFonts w:ascii="Arial" w:hAnsi="Arial" w:cs="Arial"/>
          <w:sz w:val="24"/>
          <w:szCs w:val="24"/>
          <w:lang w:val="en-US"/>
        </w:rPr>
        <w:t xml:space="preserve">) less than the previous editions, and the Community innovation survey (CIS) with 92 </w:t>
      </w:r>
      <w:r w:rsidRPr="002074E6">
        <w:rPr>
          <w:rFonts w:ascii="Arial" w:hAnsi="Arial" w:cs="Arial"/>
          <w:i/>
          <w:sz w:val="24"/>
          <w:szCs w:val="24"/>
          <w:lang w:val="en-US"/>
        </w:rPr>
        <w:t>d</w:t>
      </w:r>
      <w:r w:rsidRPr="002074E6">
        <w:rPr>
          <w:rFonts w:ascii="Arial" w:hAnsi="Arial" w:cs="Arial"/>
          <w:sz w:val="24"/>
          <w:szCs w:val="24"/>
          <w:lang w:val="en-US"/>
        </w:rPr>
        <w:t xml:space="preserve"> less; several other surveys were run in shorter time, with more than 20 </w:t>
      </w:r>
      <w:r w:rsidRPr="002074E6">
        <w:rPr>
          <w:rFonts w:ascii="Arial" w:hAnsi="Arial" w:cs="Arial"/>
          <w:i/>
          <w:sz w:val="24"/>
          <w:szCs w:val="24"/>
          <w:lang w:val="en-US"/>
        </w:rPr>
        <w:t>d</w:t>
      </w:r>
      <w:r w:rsidRPr="002074E6">
        <w:rPr>
          <w:rFonts w:ascii="Arial" w:hAnsi="Arial" w:cs="Arial"/>
          <w:sz w:val="24"/>
          <w:szCs w:val="24"/>
          <w:lang w:val="en-US"/>
        </w:rPr>
        <w:t xml:space="preserve"> less than usual (Table 2).</w:t>
      </w:r>
      <w:r>
        <w:rPr>
          <w:rFonts w:ascii="Arial" w:hAnsi="Arial" w:cs="Arial"/>
          <w:sz w:val="24"/>
          <w:szCs w:val="24"/>
          <w:lang w:val="en-US"/>
        </w:rPr>
        <w:t xml:space="preserve"> </w:t>
      </w:r>
      <w:r w:rsidRPr="00942A6D">
        <w:rPr>
          <w:rFonts w:ascii="Arial" w:hAnsi="Arial" w:cs="Arial"/>
          <w:iCs/>
          <w:sz w:val="24"/>
          <w:szCs w:val="24"/>
          <w:lang w:val="en-US"/>
        </w:rPr>
        <w:t xml:space="preserve">The analysis of </w:t>
      </w:r>
      <w:proofErr w:type="spellStart"/>
      <w:r w:rsidRPr="00942A6D">
        <w:rPr>
          <w:rFonts w:ascii="Arial" w:hAnsi="Arial" w:cs="Arial"/>
          <w:i/>
          <w:iCs/>
          <w:sz w:val="24"/>
          <w:szCs w:val="24"/>
          <w:lang w:val="en-US"/>
        </w:rPr>
        <w:t>rr</w:t>
      </w:r>
      <w:proofErr w:type="spellEnd"/>
      <w:r w:rsidRPr="00942A6D">
        <w:rPr>
          <w:rFonts w:ascii="Arial" w:hAnsi="Arial" w:cs="Arial"/>
          <w:iCs/>
          <w:sz w:val="24"/>
          <w:szCs w:val="24"/>
          <w:lang w:val="en-US"/>
        </w:rPr>
        <w:t xml:space="preserve"> related to enterprise dimension, enhances the effect of several factors. Table 3 below shows that a relevant increase was registered for SBS (8.9</w:t>
      </w:r>
      <w:r w:rsidR="001E3D7B">
        <w:rPr>
          <w:rFonts w:ascii="Arial" w:hAnsi="Arial" w:cs="Arial"/>
          <w:iCs/>
          <w:sz w:val="24"/>
          <w:szCs w:val="24"/>
          <w:lang w:val="en-US"/>
        </w:rPr>
        <w:t xml:space="preserve"> </w:t>
      </w:r>
      <w:r w:rsidR="001E3D7B" w:rsidRPr="00EB0CE6">
        <w:rPr>
          <w:rFonts w:ascii="Arial" w:hAnsi="Arial" w:cs="Arial"/>
          <w:i/>
          <w:iCs/>
          <w:sz w:val="24"/>
          <w:szCs w:val="24"/>
          <w:lang w:val="en-US"/>
        </w:rPr>
        <w:t>pp</w:t>
      </w:r>
      <w:r w:rsidRPr="00942A6D">
        <w:rPr>
          <w:rFonts w:ascii="Arial" w:hAnsi="Arial" w:cs="Arial"/>
          <w:iCs/>
          <w:sz w:val="24"/>
          <w:szCs w:val="24"/>
          <w:lang w:val="en-US"/>
        </w:rPr>
        <w:t>) and ICT (9.4</w:t>
      </w:r>
      <w:r w:rsidR="001E3D7B">
        <w:rPr>
          <w:rFonts w:ascii="Arial" w:hAnsi="Arial" w:cs="Arial"/>
          <w:iCs/>
          <w:sz w:val="24"/>
          <w:szCs w:val="24"/>
          <w:lang w:val="en-US"/>
        </w:rPr>
        <w:t xml:space="preserve"> </w:t>
      </w:r>
      <w:r w:rsidR="001E3D7B" w:rsidRPr="00EB0CE6">
        <w:rPr>
          <w:rFonts w:ascii="Arial" w:hAnsi="Arial" w:cs="Arial"/>
          <w:i/>
          <w:iCs/>
          <w:sz w:val="24"/>
          <w:szCs w:val="24"/>
          <w:lang w:val="en-US"/>
        </w:rPr>
        <w:t>pp</w:t>
      </w:r>
      <w:r w:rsidRPr="00942A6D">
        <w:rPr>
          <w:rFonts w:ascii="Arial" w:hAnsi="Arial" w:cs="Arial"/>
          <w:iCs/>
          <w:sz w:val="24"/>
          <w:szCs w:val="24"/>
          <w:lang w:val="en-US"/>
        </w:rPr>
        <w:t xml:space="preserve">) surveys, where the enterprises involved with at least 250 employees are more than 3,000. In </w:t>
      </w:r>
      <w:r w:rsidRPr="00942A6D">
        <w:rPr>
          <w:rFonts w:ascii="Arial" w:hAnsi="Arial" w:cs="Arial"/>
          <w:iCs/>
          <w:sz w:val="24"/>
          <w:szCs w:val="24"/>
          <w:lang w:val="en-US"/>
        </w:rPr>
        <w:lastRenderedPageBreak/>
        <w:t xml:space="preserve">both cases the increase was higher than the general </w:t>
      </w:r>
      <w:proofErr w:type="spellStart"/>
      <w:r w:rsidRPr="00942A6D">
        <w:rPr>
          <w:rFonts w:ascii="Arial" w:hAnsi="Arial" w:cs="Arial"/>
          <w:i/>
          <w:iCs/>
          <w:sz w:val="24"/>
          <w:szCs w:val="24"/>
          <w:lang w:val="en-US"/>
        </w:rPr>
        <w:t>rr</w:t>
      </w:r>
      <w:proofErr w:type="spellEnd"/>
      <w:r w:rsidRPr="00942A6D">
        <w:rPr>
          <w:rFonts w:ascii="Arial" w:hAnsi="Arial" w:cs="Arial"/>
          <w:iCs/>
          <w:sz w:val="24"/>
          <w:szCs w:val="24"/>
          <w:lang w:val="en-US"/>
        </w:rPr>
        <w:t xml:space="preserve"> variation of each survey (8.4</w:t>
      </w:r>
      <w:r w:rsidR="001E3D7B">
        <w:rPr>
          <w:rFonts w:ascii="Arial" w:hAnsi="Arial" w:cs="Arial"/>
          <w:iCs/>
          <w:sz w:val="24"/>
          <w:szCs w:val="24"/>
          <w:lang w:val="en-US"/>
        </w:rPr>
        <w:t xml:space="preserve"> </w:t>
      </w:r>
      <w:r w:rsidR="001E3D7B" w:rsidRPr="00EB0CE6">
        <w:rPr>
          <w:rFonts w:ascii="Arial" w:hAnsi="Arial" w:cs="Arial"/>
          <w:i/>
          <w:iCs/>
          <w:sz w:val="24"/>
          <w:szCs w:val="24"/>
          <w:lang w:val="en-US"/>
        </w:rPr>
        <w:t>pp</w:t>
      </w:r>
      <w:r w:rsidRPr="00942A6D">
        <w:rPr>
          <w:rFonts w:ascii="Arial" w:hAnsi="Arial" w:cs="Arial"/>
          <w:iCs/>
          <w:sz w:val="24"/>
          <w:szCs w:val="24"/>
          <w:lang w:val="en-US"/>
        </w:rPr>
        <w:t xml:space="preserve"> for SBS and 5.2</w:t>
      </w:r>
      <w:r w:rsidR="001E3D7B">
        <w:rPr>
          <w:rFonts w:ascii="Arial" w:hAnsi="Arial" w:cs="Arial"/>
          <w:iCs/>
          <w:sz w:val="24"/>
          <w:szCs w:val="24"/>
          <w:lang w:val="en-US"/>
        </w:rPr>
        <w:t xml:space="preserve"> </w:t>
      </w:r>
      <w:r w:rsidR="001E3D7B" w:rsidRPr="00EB0CE6">
        <w:rPr>
          <w:rFonts w:ascii="Arial" w:hAnsi="Arial" w:cs="Arial"/>
          <w:i/>
          <w:iCs/>
          <w:sz w:val="24"/>
          <w:szCs w:val="24"/>
          <w:lang w:val="en-US"/>
        </w:rPr>
        <w:t>pp</w:t>
      </w:r>
      <w:r w:rsidRPr="00942A6D">
        <w:rPr>
          <w:rFonts w:ascii="Arial" w:hAnsi="Arial" w:cs="Arial"/>
          <w:iCs/>
          <w:sz w:val="24"/>
          <w:szCs w:val="24"/>
          <w:lang w:val="en-US"/>
        </w:rPr>
        <w:t xml:space="preserve"> for ICT), meaning that the impact of the new organizational</w:t>
      </w:r>
      <w:r w:rsidRPr="00942A6D">
        <w:rPr>
          <w:rFonts w:ascii="Arial" w:hAnsi="Arial" w:cs="Arial"/>
          <w:sz w:val="24"/>
          <w:szCs w:val="24"/>
        </w:rPr>
        <w:t xml:space="preserve"> scheme garantees effectiveness of the activities run particularly on the larger units.</w:t>
      </w:r>
      <w:r w:rsidR="007723A4">
        <w:rPr>
          <w:rFonts w:ascii="Arial" w:hAnsi="Arial" w:cs="Arial"/>
          <w:sz w:val="24"/>
          <w:szCs w:val="24"/>
        </w:rPr>
        <w:t xml:space="preserve"> </w:t>
      </w:r>
      <w:r w:rsidR="00C66EBF">
        <w:rPr>
          <w:rFonts w:ascii="Arial" w:hAnsi="Arial" w:cs="Arial"/>
          <w:sz w:val="24"/>
          <w:szCs w:val="24"/>
        </w:rPr>
        <w:t>M</w:t>
      </w:r>
      <w:r w:rsidR="00B610D7" w:rsidRPr="00B610D7">
        <w:rPr>
          <w:rFonts w:ascii="Arial" w:hAnsi="Arial" w:cs="Arial"/>
          <w:sz w:val="24"/>
          <w:szCs w:val="24"/>
        </w:rPr>
        <w:t>oreover the response rate</w:t>
      </w:r>
      <w:r w:rsidR="00CB0F6B">
        <w:rPr>
          <w:rFonts w:ascii="Arial" w:hAnsi="Arial" w:cs="Arial"/>
          <w:sz w:val="24"/>
          <w:szCs w:val="24"/>
        </w:rPr>
        <w:t>s</w:t>
      </w:r>
      <w:r w:rsidR="00B610D7" w:rsidRPr="00B610D7">
        <w:rPr>
          <w:rFonts w:ascii="Arial" w:hAnsi="Arial" w:cs="Arial"/>
          <w:sz w:val="24"/>
          <w:szCs w:val="24"/>
        </w:rPr>
        <w:t xml:space="preserve"> </w:t>
      </w:r>
      <w:r w:rsidR="002D0AC4">
        <w:rPr>
          <w:rFonts w:ascii="Arial" w:hAnsi="Arial" w:cs="Arial"/>
          <w:sz w:val="24"/>
          <w:szCs w:val="24"/>
        </w:rPr>
        <w:t xml:space="preserve">for enterprises </w:t>
      </w:r>
      <w:r w:rsidR="00CB0F6B">
        <w:rPr>
          <w:rFonts w:ascii="Arial" w:hAnsi="Arial" w:cs="Arial"/>
          <w:sz w:val="24"/>
          <w:szCs w:val="24"/>
        </w:rPr>
        <w:t xml:space="preserve">having </w:t>
      </w:r>
      <w:r w:rsidR="002D0AC4">
        <w:rPr>
          <w:rFonts w:ascii="Arial" w:hAnsi="Arial" w:cs="Arial"/>
          <w:sz w:val="24"/>
          <w:szCs w:val="24"/>
        </w:rPr>
        <w:t xml:space="preserve">at least 250 employees </w:t>
      </w:r>
      <w:r w:rsidR="00B610D7" w:rsidRPr="00B610D7">
        <w:rPr>
          <w:rFonts w:ascii="Arial" w:hAnsi="Arial" w:cs="Arial"/>
          <w:sz w:val="24"/>
          <w:szCs w:val="24"/>
        </w:rPr>
        <w:t xml:space="preserve">of </w:t>
      </w:r>
      <w:r w:rsidR="00CB0F6B">
        <w:rPr>
          <w:rFonts w:ascii="Arial" w:hAnsi="Arial" w:cs="Arial"/>
          <w:sz w:val="24"/>
          <w:szCs w:val="24"/>
        </w:rPr>
        <w:t>these</w:t>
      </w:r>
      <w:r w:rsidR="00CB0F6B" w:rsidRPr="00B610D7">
        <w:rPr>
          <w:rFonts w:ascii="Arial" w:hAnsi="Arial" w:cs="Arial"/>
          <w:sz w:val="24"/>
          <w:szCs w:val="24"/>
        </w:rPr>
        <w:t xml:space="preserve"> </w:t>
      </w:r>
      <w:r w:rsidR="00CB0F6B">
        <w:rPr>
          <w:rFonts w:ascii="Arial" w:hAnsi="Arial" w:cs="Arial"/>
          <w:sz w:val="24"/>
          <w:szCs w:val="24"/>
        </w:rPr>
        <w:t xml:space="preserve">two </w:t>
      </w:r>
      <w:r w:rsidR="002D0AC4">
        <w:rPr>
          <w:rFonts w:ascii="Arial" w:hAnsi="Arial" w:cs="Arial"/>
          <w:sz w:val="24"/>
          <w:szCs w:val="24"/>
        </w:rPr>
        <w:t>surveys before the reorganisation</w:t>
      </w:r>
      <w:r w:rsidR="00B610D7" w:rsidRPr="00B610D7">
        <w:rPr>
          <w:rFonts w:ascii="Arial" w:hAnsi="Arial" w:cs="Arial"/>
          <w:sz w:val="24"/>
          <w:szCs w:val="24"/>
        </w:rPr>
        <w:t xml:space="preserve"> was lower than the one</w:t>
      </w:r>
      <w:r w:rsidR="002D0AC4">
        <w:rPr>
          <w:rFonts w:ascii="Arial" w:hAnsi="Arial" w:cs="Arial"/>
          <w:sz w:val="24"/>
          <w:szCs w:val="24"/>
        </w:rPr>
        <w:t>s</w:t>
      </w:r>
      <w:r w:rsidR="00B610D7" w:rsidRPr="00B610D7">
        <w:rPr>
          <w:rFonts w:ascii="Arial" w:hAnsi="Arial" w:cs="Arial"/>
          <w:sz w:val="24"/>
          <w:szCs w:val="24"/>
        </w:rPr>
        <w:t xml:space="preserve"> registered for </w:t>
      </w:r>
      <w:r w:rsidR="002D0AC4">
        <w:rPr>
          <w:rFonts w:ascii="Arial" w:hAnsi="Arial" w:cs="Arial"/>
          <w:sz w:val="24"/>
          <w:szCs w:val="24"/>
        </w:rPr>
        <w:t xml:space="preserve">Prodcom and Outward Fats. </w:t>
      </w:r>
      <w:r w:rsidR="0000583D">
        <w:rPr>
          <w:rFonts w:ascii="Arial" w:hAnsi="Arial" w:cs="Arial"/>
          <w:sz w:val="24"/>
          <w:szCs w:val="24"/>
        </w:rPr>
        <w:t xml:space="preserve">On the other hand, for Prodcom and Outward Fats the variation of the </w:t>
      </w:r>
      <w:r w:rsidR="0000583D">
        <w:rPr>
          <w:rFonts w:ascii="Arial" w:hAnsi="Arial" w:cs="Arial"/>
          <w:i/>
          <w:sz w:val="24"/>
          <w:szCs w:val="24"/>
        </w:rPr>
        <w:t xml:space="preserve">rr </w:t>
      </w:r>
      <w:r w:rsidR="0000583D" w:rsidRPr="002B790E">
        <w:rPr>
          <w:rFonts w:ascii="Arial" w:hAnsi="Arial" w:cs="Arial"/>
          <w:sz w:val="24"/>
          <w:szCs w:val="24"/>
        </w:rPr>
        <w:t>for enterprises with at least 250 employees</w:t>
      </w:r>
      <w:r w:rsidR="0000583D">
        <w:rPr>
          <w:rFonts w:ascii="Arial" w:hAnsi="Arial" w:cs="Arial"/>
          <w:sz w:val="24"/>
          <w:szCs w:val="24"/>
        </w:rPr>
        <w:t xml:space="preserve"> was quite different from the previ</w:t>
      </w:r>
      <w:r w:rsidR="0044622A">
        <w:rPr>
          <w:rFonts w:ascii="Arial" w:hAnsi="Arial" w:cs="Arial"/>
          <w:sz w:val="24"/>
          <w:szCs w:val="24"/>
        </w:rPr>
        <w:t>ous ones with a decrease of 0.5</w:t>
      </w:r>
      <w:r w:rsidR="00F444CA">
        <w:rPr>
          <w:rFonts w:ascii="Arial" w:hAnsi="Arial" w:cs="Arial"/>
          <w:sz w:val="24"/>
          <w:szCs w:val="24"/>
        </w:rPr>
        <w:t xml:space="preserve"> </w:t>
      </w:r>
      <w:r w:rsidR="00F444CA" w:rsidRPr="00EB0CE6">
        <w:rPr>
          <w:rFonts w:ascii="Arial" w:hAnsi="Arial" w:cs="Arial"/>
          <w:i/>
          <w:sz w:val="24"/>
          <w:szCs w:val="24"/>
        </w:rPr>
        <w:t>pp</w:t>
      </w:r>
      <w:r w:rsidR="0044622A">
        <w:rPr>
          <w:rFonts w:ascii="Arial" w:hAnsi="Arial" w:cs="Arial"/>
          <w:sz w:val="24"/>
          <w:szCs w:val="24"/>
        </w:rPr>
        <w:t xml:space="preserve"> </w:t>
      </w:r>
      <w:r w:rsidR="0000583D">
        <w:rPr>
          <w:rFonts w:ascii="Arial" w:hAnsi="Arial" w:cs="Arial"/>
          <w:sz w:val="24"/>
          <w:szCs w:val="24"/>
        </w:rPr>
        <w:t>and an increase of 4.9</w:t>
      </w:r>
      <w:r w:rsidR="00F444CA">
        <w:rPr>
          <w:rFonts w:ascii="Arial" w:hAnsi="Arial" w:cs="Arial"/>
          <w:sz w:val="24"/>
          <w:szCs w:val="24"/>
        </w:rPr>
        <w:t xml:space="preserve"> </w:t>
      </w:r>
      <w:r w:rsidR="00F444CA" w:rsidRPr="00EB0CE6">
        <w:rPr>
          <w:rFonts w:ascii="Arial" w:hAnsi="Arial" w:cs="Arial"/>
          <w:i/>
          <w:sz w:val="24"/>
          <w:szCs w:val="24"/>
        </w:rPr>
        <w:t>pp</w:t>
      </w:r>
      <w:r w:rsidR="0000583D">
        <w:rPr>
          <w:rFonts w:ascii="Arial" w:hAnsi="Arial" w:cs="Arial"/>
          <w:sz w:val="24"/>
          <w:szCs w:val="24"/>
        </w:rPr>
        <w:t xml:space="preserve"> respectively and definitely lower than</w:t>
      </w:r>
      <w:r w:rsidR="005555B7">
        <w:rPr>
          <w:rFonts w:ascii="Arial" w:hAnsi="Arial" w:cs="Arial"/>
          <w:sz w:val="24"/>
          <w:szCs w:val="24"/>
        </w:rPr>
        <w:t xml:space="preserve"> the </w:t>
      </w:r>
      <w:r w:rsidR="00641B6F">
        <w:rPr>
          <w:rFonts w:ascii="Arial" w:hAnsi="Arial" w:cs="Arial"/>
          <w:sz w:val="24"/>
          <w:szCs w:val="24"/>
        </w:rPr>
        <w:t>variations</w:t>
      </w:r>
      <w:r w:rsidR="005555B7">
        <w:rPr>
          <w:rFonts w:ascii="Arial" w:hAnsi="Arial" w:cs="Arial"/>
          <w:sz w:val="24"/>
          <w:szCs w:val="24"/>
        </w:rPr>
        <w:t xml:space="preserve"> recorded for the survey</w:t>
      </w:r>
      <w:r w:rsidR="00641B6F">
        <w:rPr>
          <w:rFonts w:ascii="Arial" w:hAnsi="Arial" w:cs="Arial"/>
          <w:sz w:val="24"/>
          <w:szCs w:val="24"/>
        </w:rPr>
        <w:t xml:space="preserve"> as a whole</w:t>
      </w:r>
      <w:r w:rsidR="00C577BE">
        <w:rPr>
          <w:rFonts w:ascii="Arial" w:hAnsi="Arial" w:cs="Arial"/>
          <w:sz w:val="24"/>
          <w:szCs w:val="24"/>
        </w:rPr>
        <w:t xml:space="preserve"> (</w:t>
      </w:r>
      <w:r w:rsidR="00641B6F">
        <w:rPr>
          <w:rFonts w:ascii="Arial" w:hAnsi="Arial" w:cs="Arial"/>
          <w:sz w:val="24"/>
          <w:szCs w:val="24"/>
        </w:rPr>
        <w:t>11.6</w:t>
      </w:r>
      <w:r w:rsidR="009231F9">
        <w:rPr>
          <w:rFonts w:ascii="Arial" w:hAnsi="Arial" w:cs="Arial"/>
          <w:sz w:val="24"/>
          <w:szCs w:val="24"/>
        </w:rPr>
        <w:t xml:space="preserve"> </w:t>
      </w:r>
      <w:r w:rsidR="0044622A">
        <w:rPr>
          <w:rFonts w:ascii="Arial" w:hAnsi="Arial" w:cs="Arial"/>
          <w:sz w:val="24"/>
          <w:szCs w:val="24"/>
        </w:rPr>
        <w:t>and 10.2</w:t>
      </w:r>
      <w:r w:rsidR="009231F9">
        <w:rPr>
          <w:rFonts w:ascii="Arial" w:hAnsi="Arial" w:cs="Arial"/>
          <w:sz w:val="24"/>
          <w:szCs w:val="24"/>
        </w:rPr>
        <w:t xml:space="preserve"> </w:t>
      </w:r>
      <w:r w:rsidR="009231F9" w:rsidRPr="009231F9">
        <w:rPr>
          <w:rFonts w:ascii="Arial" w:hAnsi="Arial" w:cs="Arial"/>
          <w:i/>
          <w:sz w:val="24"/>
          <w:szCs w:val="24"/>
        </w:rPr>
        <w:t>pp</w:t>
      </w:r>
      <w:r w:rsidR="0044622A">
        <w:rPr>
          <w:rFonts w:ascii="Arial" w:hAnsi="Arial" w:cs="Arial"/>
          <w:sz w:val="24"/>
          <w:szCs w:val="24"/>
        </w:rPr>
        <w:t xml:space="preserve"> </w:t>
      </w:r>
      <w:r w:rsidR="00641B6F">
        <w:rPr>
          <w:rFonts w:ascii="Arial" w:hAnsi="Arial" w:cs="Arial"/>
          <w:sz w:val="24"/>
          <w:szCs w:val="24"/>
        </w:rPr>
        <w:t>respectively)</w:t>
      </w:r>
      <w:r w:rsidR="00CB0F6B">
        <w:rPr>
          <w:rFonts w:ascii="Arial" w:hAnsi="Arial" w:cs="Arial"/>
          <w:sz w:val="24"/>
          <w:szCs w:val="24"/>
        </w:rPr>
        <w:t>.</w:t>
      </w:r>
      <w:r w:rsidR="004338A6">
        <w:rPr>
          <w:rFonts w:ascii="Arial" w:hAnsi="Arial" w:cs="Arial"/>
          <w:sz w:val="24"/>
          <w:szCs w:val="24"/>
        </w:rPr>
        <w:t xml:space="preserve"> </w:t>
      </w:r>
      <w:r w:rsidR="005555B7">
        <w:rPr>
          <w:rFonts w:ascii="Arial" w:hAnsi="Arial" w:cs="Arial"/>
          <w:sz w:val="24"/>
          <w:szCs w:val="24"/>
        </w:rPr>
        <w:t>In those two cases,</w:t>
      </w:r>
      <w:r w:rsidR="00CB0F6B">
        <w:rPr>
          <w:rFonts w:ascii="Arial" w:hAnsi="Arial" w:cs="Arial"/>
          <w:sz w:val="24"/>
          <w:szCs w:val="24"/>
        </w:rPr>
        <w:t xml:space="preserve"> </w:t>
      </w:r>
      <w:r w:rsidR="004338A6">
        <w:rPr>
          <w:rFonts w:ascii="Arial" w:hAnsi="Arial" w:cs="Arial"/>
          <w:sz w:val="24"/>
          <w:szCs w:val="24"/>
        </w:rPr>
        <w:t>the number of units</w:t>
      </w:r>
      <w:r w:rsidR="007E7E02">
        <w:rPr>
          <w:rFonts w:ascii="Arial" w:hAnsi="Arial" w:cs="Arial"/>
          <w:sz w:val="24"/>
          <w:szCs w:val="24"/>
        </w:rPr>
        <w:t xml:space="preserve"> involved</w:t>
      </w:r>
      <w:r w:rsidR="004338A6">
        <w:rPr>
          <w:rFonts w:ascii="Arial" w:hAnsi="Arial" w:cs="Arial"/>
          <w:sz w:val="24"/>
          <w:szCs w:val="24"/>
        </w:rPr>
        <w:t xml:space="preserve"> with this dimension is not very high (</w:t>
      </w:r>
      <w:r w:rsidR="007E7E02">
        <w:rPr>
          <w:rFonts w:ascii="Arial" w:hAnsi="Arial" w:cs="Arial"/>
          <w:sz w:val="24"/>
          <w:szCs w:val="24"/>
        </w:rPr>
        <w:t>aroun</w:t>
      </w:r>
      <w:r w:rsidR="00C577BE">
        <w:rPr>
          <w:rFonts w:ascii="Arial" w:hAnsi="Arial" w:cs="Arial"/>
          <w:sz w:val="24"/>
          <w:szCs w:val="24"/>
        </w:rPr>
        <w:t>d</w:t>
      </w:r>
      <w:r w:rsidR="007E7E02">
        <w:rPr>
          <w:rFonts w:ascii="Arial" w:hAnsi="Arial" w:cs="Arial"/>
          <w:sz w:val="24"/>
          <w:szCs w:val="24"/>
        </w:rPr>
        <w:t xml:space="preserve"> 1,200 and 500 respectively) and the </w:t>
      </w:r>
      <w:r w:rsidR="007E7E02">
        <w:rPr>
          <w:rFonts w:ascii="Arial" w:hAnsi="Arial" w:cs="Arial"/>
          <w:i/>
          <w:sz w:val="24"/>
          <w:szCs w:val="24"/>
        </w:rPr>
        <w:t>rr</w:t>
      </w:r>
      <w:r w:rsidR="007E7E02">
        <w:rPr>
          <w:rFonts w:ascii="Arial" w:hAnsi="Arial" w:cs="Arial"/>
          <w:sz w:val="24"/>
          <w:szCs w:val="24"/>
        </w:rPr>
        <w:t xml:space="preserve"> for this specific group was already high before reorganisation (88.9 and 85.4</w:t>
      </w:r>
      <w:r w:rsidR="009231F9">
        <w:rPr>
          <w:rFonts w:ascii="Arial" w:hAnsi="Arial" w:cs="Arial"/>
          <w:sz w:val="24"/>
          <w:szCs w:val="24"/>
        </w:rPr>
        <w:t xml:space="preserve"> percent</w:t>
      </w:r>
      <w:r w:rsidR="0044622A">
        <w:rPr>
          <w:rFonts w:ascii="Arial" w:hAnsi="Arial" w:cs="Arial"/>
          <w:sz w:val="24"/>
          <w:szCs w:val="24"/>
        </w:rPr>
        <w:t xml:space="preserve"> </w:t>
      </w:r>
      <w:r w:rsidR="007E7E02">
        <w:rPr>
          <w:rFonts w:ascii="Arial" w:hAnsi="Arial" w:cs="Arial"/>
          <w:sz w:val="24"/>
          <w:szCs w:val="24"/>
        </w:rPr>
        <w:t>respectively).</w:t>
      </w:r>
      <w:r w:rsidRPr="00942A6D">
        <w:rPr>
          <w:rFonts w:ascii="Arial" w:hAnsi="Arial" w:cs="Arial"/>
          <w:sz w:val="24"/>
          <w:szCs w:val="24"/>
        </w:rPr>
        <w:t xml:space="preserve"> </w:t>
      </w:r>
    </w:p>
    <w:p w14:paraId="2E59ED5F" w14:textId="77777777" w:rsidR="00F025E9" w:rsidRDefault="00F025E9" w:rsidP="00F025E9">
      <w:pPr>
        <w:jc w:val="both"/>
        <w:rPr>
          <w:rFonts w:ascii="Arial" w:eastAsia="Arial" w:hAnsi="Arial" w:cs="Arial"/>
          <w:b/>
          <w:sz w:val="20"/>
          <w:lang w:val="en-US"/>
        </w:rPr>
      </w:pPr>
      <w:r w:rsidRPr="00EA7054">
        <w:rPr>
          <w:rFonts w:ascii="Arial" w:eastAsia="Arial" w:hAnsi="Arial" w:cs="Arial"/>
          <w:b/>
          <w:sz w:val="20"/>
          <w:lang w:val="en-US"/>
        </w:rPr>
        <w:t xml:space="preserve">Table </w:t>
      </w:r>
      <w:r>
        <w:rPr>
          <w:rFonts w:ascii="Arial" w:eastAsia="Arial" w:hAnsi="Arial" w:cs="Arial"/>
          <w:b/>
          <w:sz w:val="20"/>
          <w:lang w:val="en-US"/>
        </w:rPr>
        <w:t>3</w:t>
      </w:r>
      <w:r w:rsidRPr="00EA7054">
        <w:rPr>
          <w:rFonts w:ascii="Arial" w:eastAsia="Arial" w:hAnsi="Arial" w:cs="Arial"/>
          <w:b/>
          <w:sz w:val="20"/>
          <w:lang w:val="en-US"/>
        </w:rPr>
        <w:t xml:space="preserve">. </w:t>
      </w:r>
      <w:r>
        <w:rPr>
          <w:rFonts w:ascii="Arial" w:eastAsia="Arial" w:hAnsi="Arial" w:cs="Arial"/>
          <w:b/>
          <w:sz w:val="20"/>
          <w:lang w:val="en-US"/>
        </w:rPr>
        <w:t>S</w:t>
      </w:r>
      <w:r w:rsidRPr="007B56DA">
        <w:rPr>
          <w:rFonts w:ascii="Arial" w:eastAsia="Arial" w:hAnsi="Arial" w:cs="Arial"/>
          <w:b/>
          <w:sz w:val="20"/>
          <w:lang w:val="en-US"/>
        </w:rPr>
        <w:t>tructural surveys, response rate</w:t>
      </w:r>
      <w:r>
        <w:rPr>
          <w:rFonts w:ascii="Arial" w:eastAsia="Arial" w:hAnsi="Arial" w:cs="Arial"/>
          <w:b/>
          <w:sz w:val="20"/>
          <w:lang w:val="en-US"/>
        </w:rPr>
        <w:t>s</w:t>
      </w:r>
      <w:r w:rsidRPr="007B56DA">
        <w:rPr>
          <w:rFonts w:ascii="Arial" w:eastAsia="Arial" w:hAnsi="Arial" w:cs="Arial"/>
          <w:b/>
          <w:sz w:val="20"/>
          <w:lang w:val="en-US"/>
        </w:rPr>
        <w:t xml:space="preserve"> </w:t>
      </w:r>
      <w:r w:rsidRPr="00902A8C">
        <w:rPr>
          <w:rFonts w:ascii="Arial" w:eastAsia="Arial" w:hAnsi="Arial" w:cs="Arial"/>
          <w:b/>
          <w:sz w:val="20"/>
          <w:lang w:val="en-US"/>
        </w:rPr>
        <w:t xml:space="preserve">for enterprises </w:t>
      </w:r>
      <w:r>
        <w:rPr>
          <w:rFonts w:ascii="Arial" w:eastAsia="Arial" w:hAnsi="Arial" w:cs="Arial"/>
          <w:b/>
          <w:sz w:val="20"/>
          <w:lang w:val="en-US"/>
        </w:rPr>
        <w:t>having</w:t>
      </w:r>
      <w:r w:rsidRPr="00902A8C">
        <w:rPr>
          <w:rFonts w:ascii="Arial" w:eastAsia="Arial" w:hAnsi="Arial" w:cs="Arial"/>
          <w:b/>
          <w:sz w:val="20"/>
          <w:lang w:val="en-US"/>
        </w:rPr>
        <w:t xml:space="preserve"> at least 250 employees</w:t>
      </w:r>
    </w:p>
    <w:tbl>
      <w:tblPr>
        <w:tblW w:w="9072" w:type="dxa"/>
        <w:tblInd w:w="108" w:type="dxa"/>
        <w:tblCellMar>
          <w:left w:w="10" w:type="dxa"/>
          <w:right w:w="10" w:type="dxa"/>
        </w:tblCellMar>
        <w:tblLook w:val="0000" w:firstRow="0" w:lastRow="0" w:firstColumn="0" w:lastColumn="0" w:noHBand="0" w:noVBand="0"/>
      </w:tblPr>
      <w:tblGrid>
        <w:gridCol w:w="3119"/>
        <w:gridCol w:w="2977"/>
        <w:gridCol w:w="2976"/>
      </w:tblGrid>
      <w:tr w:rsidR="00F025E9" w14:paraId="79A443E5" w14:textId="77777777" w:rsidTr="001328E9">
        <w:trPr>
          <w:trHeight w:val="1"/>
        </w:trPr>
        <w:tc>
          <w:tcPr>
            <w:tcW w:w="31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AF41460" w14:textId="77777777" w:rsidR="00F025E9" w:rsidRDefault="00F025E9" w:rsidP="001328E9">
            <w:pPr>
              <w:jc w:val="center"/>
              <w:rPr>
                <w:rFonts w:ascii="Arial" w:hAnsi="Arial" w:cs="Arial"/>
                <w:color w:val="000000"/>
                <w:sz w:val="20"/>
                <w:szCs w:val="20"/>
              </w:rPr>
            </w:pPr>
            <w:r>
              <w:rPr>
                <w:rFonts w:ascii="Arial" w:hAnsi="Arial" w:cs="Arial"/>
                <w:color w:val="000000"/>
                <w:sz w:val="20"/>
                <w:szCs w:val="20"/>
              </w:rPr>
              <w:t>SURVEY</w:t>
            </w:r>
          </w:p>
        </w:tc>
        <w:tc>
          <w:tcPr>
            <w:tcW w:w="59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BE8FED" w14:textId="77777777" w:rsidR="00F025E9" w:rsidRDefault="00F025E9" w:rsidP="001328E9">
            <w:pPr>
              <w:jc w:val="center"/>
              <w:rPr>
                <w:rFonts w:ascii="Calibri" w:hAnsi="Calibri"/>
                <w:color w:val="000000"/>
              </w:rPr>
            </w:pPr>
            <w:r w:rsidRPr="006168B4">
              <w:rPr>
                <w:rFonts w:ascii="Calibri" w:hAnsi="Calibri"/>
                <w:color w:val="000000"/>
              </w:rPr>
              <w:t xml:space="preserve">Response rate </w:t>
            </w:r>
            <w:r>
              <w:rPr>
                <w:rFonts w:ascii="Calibri" w:hAnsi="Calibri"/>
                <w:color w:val="000000"/>
              </w:rPr>
              <w:t>(*)</w:t>
            </w:r>
          </w:p>
        </w:tc>
      </w:tr>
      <w:tr w:rsidR="00F025E9" w14:paraId="20B8906F" w14:textId="77777777" w:rsidTr="001328E9">
        <w:trPr>
          <w:trHeight w:val="1"/>
        </w:trPr>
        <w:tc>
          <w:tcPr>
            <w:tcW w:w="31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CDAF5D" w14:textId="77777777" w:rsidR="00F025E9" w:rsidRDefault="00F025E9" w:rsidP="001328E9">
            <w:pPr>
              <w:rPr>
                <w:rFonts w:ascii="Arial" w:hAnsi="Arial" w:cs="Arial"/>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CD5056" w14:textId="77777777" w:rsidR="00F025E9" w:rsidRDefault="00F025E9" w:rsidP="001328E9">
            <w:pPr>
              <w:jc w:val="center"/>
              <w:rPr>
                <w:rFonts w:ascii="Calibri" w:hAnsi="Calibri"/>
                <w:color w:val="000000"/>
              </w:rPr>
            </w:pPr>
            <w:r>
              <w:rPr>
                <w:rFonts w:ascii="Calibri" w:hAnsi="Calibri"/>
                <w:color w:val="000000"/>
              </w:rPr>
              <w:t>T</w:t>
            </w:r>
            <w:r w:rsidRPr="006168B4">
              <w:rPr>
                <w:rFonts w:ascii="Calibri" w:hAnsi="Calibri"/>
                <w:color w:val="000000"/>
              </w:rPr>
              <w:t>otal</w:t>
            </w:r>
            <w:r>
              <w:rPr>
                <w:rFonts w:ascii="Calibri" w:hAnsi="Calibri"/>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8FCD01" w14:textId="77777777" w:rsidR="00F025E9" w:rsidRPr="00596047" w:rsidRDefault="00F025E9" w:rsidP="001328E9">
            <w:pPr>
              <w:jc w:val="center"/>
              <w:rPr>
                <w:rFonts w:ascii="Calibri" w:hAnsi="Calibri"/>
                <w:color w:val="000000"/>
              </w:rPr>
            </w:pPr>
            <w:r w:rsidRPr="00B65803">
              <w:rPr>
                <w:rFonts w:ascii="Calibri" w:hAnsi="Calibri"/>
                <w:i/>
                <w:color w:val="000000"/>
              </w:rPr>
              <w:t>pp</w:t>
            </w:r>
            <w:r>
              <w:rPr>
                <w:rFonts w:ascii="Calibri" w:hAnsi="Calibri"/>
                <w:color w:val="000000"/>
              </w:rPr>
              <w:t xml:space="preserve"> v</w:t>
            </w:r>
            <w:r w:rsidRPr="00596047">
              <w:rPr>
                <w:rFonts w:ascii="Calibri" w:hAnsi="Calibri"/>
                <w:color w:val="000000"/>
              </w:rPr>
              <w:t xml:space="preserve">ariation </w:t>
            </w:r>
            <w:r>
              <w:rPr>
                <w:rFonts w:ascii="Calibri" w:hAnsi="Calibri"/>
                <w:color w:val="000000"/>
              </w:rPr>
              <w:t>(*)</w:t>
            </w:r>
          </w:p>
        </w:tc>
      </w:tr>
      <w:tr w:rsidR="00F025E9" w14:paraId="36F7FA8A" w14:textId="77777777" w:rsidTr="001328E9">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389A978" w14:textId="77777777" w:rsidR="00F025E9" w:rsidRDefault="00F025E9" w:rsidP="001328E9">
            <w:pPr>
              <w:jc w:val="center"/>
            </w:pPr>
            <w:r>
              <w:rPr>
                <w:rFonts w:ascii="Arial" w:hAnsi="Arial" w:cs="Arial"/>
                <w:color w:val="000000"/>
                <w:sz w:val="20"/>
                <w:szCs w:val="20"/>
              </w:rPr>
              <w:t>SBS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33754CF" w14:textId="77777777" w:rsidR="00F025E9" w:rsidRDefault="00F025E9" w:rsidP="001328E9">
            <w:pPr>
              <w:jc w:val="center"/>
            </w:pPr>
            <w:r>
              <w:rPr>
                <w:rFonts w:ascii="Arial" w:hAnsi="Arial" w:cs="Arial"/>
                <w:color w:val="000000"/>
                <w:sz w:val="20"/>
                <w:szCs w:val="20"/>
              </w:rPr>
              <w:t>86.2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BD5879" w14:textId="77777777" w:rsidR="00F025E9" w:rsidRPr="00596047" w:rsidRDefault="00F025E9" w:rsidP="001328E9">
            <w:pPr>
              <w:jc w:val="center"/>
            </w:pPr>
            <w:r w:rsidRPr="00596047">
              <w:rPr>
                <w:rFonts w:ascii="Calibri" w:hAnsi="Calibri"/>
                <w:color w:val="000000"/>
              </w:rPr>
              <w:t>8.9</w:t>
            </w:r>
          </w:p>
        </w:tc>
      </w:tr>
      <w:tr w:rsidR="00F025E9" w14:paraId="1B3173A9" w14:textId="77777777" w:rsidTr="001328E9">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535F37" w14:textId="77777777" w:rsidR="00F025E9" w:rsidRPr="00DB4263" w:rsidRDefault="00F025E9" w:rsidP="001328E9">
            <w:pPr>
              <w:jc w:val="center"/>
              <w:rPr>
                <w:rFonts w:ascii="Arial" w:hAnsi="Arial" w:cs="Arial"/>
                <w:color w:val="000000"/>
                <w:sz w:val="20"/>
                <w:szCs w:val="20"/>
              </w:rPr>
            </w:pPr>
            <w:r>
              <w:rPr>
                <w:rFonts w:ascii="Arial" w:hAnsi="Arial" w:cs="Arial"/>
                <w:color w:val="000000"/>
                <w:sz w:val="20"/>
                <w:szCs w:val="20"/>
              </w:rPr>
              <w:t>Prodcom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378AE14" w14:textId="77777777" w:rsidR="00F025E9" w:rsidRDefault="00F025E9" w:rsidP="001328E9">
            <w:pPr>
              <w:jc w:val="center"/>
            </w:pPr>
            <w:r>
              <w:rPr>
                <w:rFonts w:ascii="Arial" w:hAnsi="Arial" w:cs="Arial"/>
                <w:color w:val="000000"/>
                <w:sz w:val="20"/>
                <w:szCs w:val="20"/>
              </w:rPr>
              <w:t>89.0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BAFABA" w14:textId="77777777" w:rsidR="00F025E9" w:rsidRPr="00596047" w:rsidRDefault="00F025E9" w:rsidP="001328E9">
            <w:pPr>
              <w:jc w:val="center"/>
              <w:rPr>
                <w:rFonts w:ascii="Calibri" w:hAnsi="Calibri"/>
                <w:color w:val="000000"/>
              </w:rPr>
            </w:pPr>
            <w:r>
              <w:rPr>
                <w:rFonts w:ascii="Calibri" w:hAnsi="Calibri"/>
                <w:color w:val="000000"/>
              </w:rPr>
              <w:t>-0.5</w:t>
            </w:r>
          </w:p>
        </w:tc>
      </w:tr>
      <w:tr w:rsidR="00F025E9" w14:paraId="0753AE74" w14:textId="77777777" w:rsidTr="001328E9">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2ED5D0" w14:textId="77777777" w:rsidR="00F025E9" w:rsidRDefault="00F025E9" w:rsidP="001328E9">
            <w:pPr>
              <w:jc w:val="center"/>
            </w:pPr>
            <w:r>
              <w:rPr>
                <w:rFonts w:ascii="Arial" w:hAnsi="Arial" w:cs="Arial"/>
                <w:color w:val="000000"/>
                <w:sz w:val="20"/>
                <w:szCs w:val="20"/>
              </w:rPr>
              <w:t>ICT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CD67FA" w14:textId="77777777" w:rsidR="00F025E9" w:rsidRDefault="00F025E9" w:rsidP="001328E9">
            <w:pPr>
              <w:jc w:val="center"/>
            </w:pPr>
            <w:r>
              <w:rPr>
                <w:rFonts w:ascii="Arial" w:hAnsi="Arial" w:cs="Arial"/>
                <w:color w:val="000000"/>
                <w:sz w:val="20"/>
                <w:szCs w:val="20"/>
              </w:rPr>
              <w:t>91.6</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1AAC60" w14:textId="77777777" w:rsidR="00F025E9" w:rsidRPr="00596047" w:rsidRDefault="00F025E9" w:rsidP="001328E9">
            <w:pPr>
              <w:jc w:val="center"/>
            </w:pPr>
            <w:r w:rsidRPr="00596047">
              <w:rPr>
                <w:rFonts w:ascii="Calibri" w:hAnsi="Calibri"/>
                <w:color w:val="000000"/>
              </w:rPr>
              <w:t>9.4</w:t>
            </w:r>
          </w:p>
        </w:tc>
      </w:tr>
      <w:tr w:rsidR="00F025E9" w14:paraId="594C7B8C" w14:textId="77777777" w:rsidTr="001328E9">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5847DF" w14:textId="77777777" w:rsidR="00F025E9" w:rsidRDefault="00F025E9" w:rsidP="001328E9">
            <w:pPr>
              <w:jc w:val="center"/>
              <w:rPr>
                <w:rFonts w:ascii="Arial" w:eastAsia="Arial" w:hAnsi="Arial" w:cs="Arial"/>
                <w:sz w:val="20"/>
              </w:rPr>
            </w:pPr>
            <w:r>
              <w:rPr>
                <w:rFonts w:ascii="Arial" w:hAnsi="Arial" w:cs="Arial"/>
                <w:color w:val="000000"/>
                <w:sz w:val="20"/>
                <w:szCs w:val="20"/>
              </w:rPr>
              <w:t>Outward Fats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CA0489" w14:textId="77777777" w:rsidR="00F025E9" w:rsidRDefault="00F025E9" w:rsidP="001328E9">
            <w:pPr>
              <w:jc w:val="center"/>
              <w:rPr>
                <w:rFonts w:ascii="Arial" w:eastAsia="Arial" w:hAnsi="Arial" w:cs="Arial"/>
                <w:sz w:val="20"/>
              </w:rPr>
            </w:pPr>
            <w:r>
              <w:rPr>
                <w:rFonts w:ascii="Arial" w:hAnsi="Arial" w:cs="Arial"/>
                <w:color w:val="000000"/>
                <w:sz w:val="20"/>
                <w:szCs w:val="20"/>
              </w:rPr>
              <w:t>90.3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1CE365" w14:textId="77777777" w:rsidR="00F025E9" w:rsidRPr="00596047" w:rsidRDefault="00F025E9" w:rsidP="001328E9">
            <w:pPr>
              <w:jc w:val="center"/>
              <w:rPr>
                <w:rFonts w:ascii="Arial" w:eastAsia="Arial" w:hAnsi="Arial" w:cs="Arial"/>
                <w:sz w:val="20"/>
              </w:rPr>
            </w:pPr>
            <w:r w:rsidRPr="00596047">
              <w:rPr>
                <w:rFonts w:ascii="Calibri" w:hAnsi="Calibri"/>
                <w:color w:val="000000"/>
              </w:rPr>
              <w:t>4.9</w:t>
            </w:r>
          </w:p>
        </w:tc>
      </w:tr>
    </w:tbl>
    <w:p w14:paraId="662C8C63" w14:textId="77777777" w:rsidR="00F025E9" w:rsidRPr="00BF6CA0" w:rsidRDefault="00F025E9" w:rsidP="00F025E9">
      <w:pPr>
        <w:spacing w:after="0" w:line="360" w:lineRule="auto"/>
        <w:jc w:val="both"/>
        <w:rPr>
          <w:rFonts w:ascii="Arial" w:eastAsia="Arial" w:hAnsi="Arial" w:cs="Arial"/>
          <w:sz w:val="20"/>
          <w:lang w:val="en-US"/>
        </w:rPr>
      </w:pPr>
      <w:r w:rsidRPr="00BF6CA0">
        <w:rPr>
          <w:rFonts w:ascii="Arial" w:eastAsia="Arial" w:hAnsi="Arial" w:cs="Arial"/>
          <w:sz w:val="20"/>
          <w:lang w:val="en-US"/>
        </w:rPr>
        <w:t xml:space="preserve">Source: </w:t>
      </w:r>
      <w:r w:rsidRPr="00BF6CA0">
        <w:rPr>
          <w:rFonts w:ascii="Arial" w:hAnsi="Arial" w:cs="Arial"/>
          <w:sz w:val="20"/>
          <w:szCs w:val="20"/>
          <w:lang w:val="en-US"/>
        </w:rPr>
        <w:t>Elaboration on data extracted from Business Statistical Portal</w:t>
      </w:r>
    </w:p>
    <w:p w14:paraId="5612ACB2" w14:textId="77777777" w:rsidR="00F025E9" w:rsidRPr="00BF6CA0" w:rsidRDefault="00F025E9" w:rsidP="00F025E9">
      <w:pPr>
        <w:spacing w:after="0" w:line="240" w:lineRule="auto"/>
        <w:jc w:val="both"/>
        <w:rPr>
          <w:rFonts w:ascii="Calibri" w:eastAsia="Times New Roman" w:hAnsi="Calibri" w:cs="Times New Roman"/>
          <w:color w:val="000000"/>
          <w:lang w:val="en-US" w:eastAsia="it-IT"/>
        </w:rPr>
      </w:pPr>
      <w:r w:rsidRPr="00BF6CA0">
        <w:rPr>
          <w:rFonts w:ascii="Calibri" w:eastAsia="Times New Roman" w:hAnsi="Calibri" w:cs="Times New Roman"/>
          <w:color w:val="000000"/>
          <w:lang w:val="en-US" w:eastAsia="it-IT"/>
        </w:rPr>
        <w:t xml:space="preserve">* </w:t>
      </w:r>
      <w:r w:rsidRPr="00981BAA">
        <w:rPr>
          <w:rFonts w:ascii="Calibri" w:eastAsia="Times New Roman" w:hAnsi="Calibri" w:cs="Times New Roman"/>
          <w:color w:val="000000"/>
          <w:sz w:val="20"/>
          <w:lang w:val="en-US" w:eastAsia="it-IT"/>
        </w:rPr>
        <w:t xml:space="preserve">Comparison was performed between last concluded survey and the one run before CDC introduction. For </w:t>
      </w:r>
      <w:proofErr w:type="spellStart"/>
      <w:r w:rsidRPr="00981BAA">
        <w:rPr>
          <w:rFonts w:ascii="Calibri" w:eastAsia="Times New Roman" w:hAnsi="Calibri" w:cs="Times New Roman"/>
          <w:color w:val="000000"/>
          <w:sz w:val="20"/>
          <w:lang w:val="en-US" w:eastAsia="it-IT"/>
        </w:rPr>
        <w:t>Prodcom</w:t>
      </w:r>
      <w:proofErr w:type="spellEnd"/>
      <w:r w:rsidRPr="00981BAA">
        <w:rPr>
          <w:rFonts w:ascii="Calibri" w:eastAsia="Times New Roman" w:hAnsi="Calibri" w:cs="Times New Roman"/>
          <w:color w:val="000000"/>
          <w:sz w:val="20"/>
          <w:lang w:val="en-US" w:eastAsia="it-IT"/>
        </w:rPr>
        <w:t>, data referred to last concluded survey (2017) are still provisional.</w:t>
      </w:r>
    </w:p>
    <w:p w14:paraId="4908DC74" w14:textId="6A49A6DD" w:rsidR="00F025E9" w:rsidRPr="00F025E9" w:rsidRDefault="00F025E9" w:rsidP="00F025E9">
      <w:pPr>
        <w:spacing w:before="360" w:after="0" w:line="360" w:lineRule="auto"/>
        <w:jc w:val="both"/>
        <w:rPr>
          <w:rFonts w:ascii="Arial" w:hAnsi="Arial" w:cs="Arial"/>
          <w:i/>
          <w:sz w:val="24"/>
          <w:szCs w:val="24"/>
          <w:lang w:val="en-GB"/>
        </w:rPr>
      </w:pPr>
      <w:r w:rsidRPr="00F025E9">
        <w:rPr>
          <w:rFonts w:ascii="Arial" w:hAnsi="Arial" w:cs="Arial"/>
          <w:i/>
          <w:sz w:val="24"/>
          <w:szCs w:val="24"/>
          <w:lang w:val="en-GB"/>
        </w:rPr>
        <w:t>1.</w:t>
      </w:r>
      <w:r>
        <w:rPr>
          <w:rFonts w:ascii="Arial" w:hAnsi="Arial" w:cs="Arial"/>
          <w:i/>
          <w:sz w:val="24"/>
          <w:szCs w:val="24"/>
          <w:lang w:val="en-GB"/>
        </w:rPr>
        <w:t>2. Response Rates in Short-term surveys</w:t>
      </w:r>
    </w:p>
    <w:p w14:paraId="7A1DB042" w14:textId="26AAC270" w:rsidR="00A96E56" w:rsidRDefault="00942A6D" w:rsidP="00F025E9">
      <w:pPr>
        <w:spacing w:before="120" w:after="0" w:line="360" w:lineRule="auto"/>
        <w:jc w:val="both"/>
        <w:rPr>
          <w:rFonts w:ascii="Arial" w:hAnsi="Arial" w:cs="Arial"/>
          <w:sz w:val="24"/>
          <w:szCs w:val="24"/>
          <w:lang w:val="en-US"/>
        </w:rPr>
      </w:pPr>
      <w:r w:rsidRPr="00DF3962">
        <w:rPr>
          <w:rFonts w:ascii="Arial" w:hAnsi="Arial" w:cs="Arial"/>
          <w:sz w:val="24"/>
          <w:szCs w:val="24"/>
        </w:rPr>
        <w:t xml:space="preserve">The following tables </w:t>
      </w:r>
      <w:r>
        <w:rPr>
          <w:rFonts w:ascii="Arial" w:hAnsi="Arial" w:cs="Arial"/>
          <w:sz w:val="24"/>
          <w:szCs w:val="24"/>
        </w:rPr>
        <w:t xml:space="preserve">4,5,6 </w:t>
      </w:r>
      <w:r w:rsidRPr="00DF3962">
        <w:rPr>
          <w:rFonts w:ascii="Arial" w:hAnsi="Arial" w:cs="Arial"/>
          <w:sz w:val="24"/>
          <w:szCs w:val="24"/>
        </w:rPr>
        <w:t xml:space="preserve">show the results obtained </w:t>
      </w:r>
      <w:r>
        <w:rPr>
          <w:rFonts w:ascii="Arial" w:hAnsi="Arial" w:cs="Arial"/>
          <w:sz w:val="24"/>
          <w:szCs w:val="24"/>
        </w:rPr>
        <w:t>for</w:t>
      </w:r>
      <w:r w:rsidRPr="00DF3962">
        <w:rPr>
          <w:rFonts w:ascii="Arial" w:hAnsi="Arial" w:cs="Arial"/>
          <w:sz w:val="24"/>
          <w:szCs w:val="24"/>
        </w:rPr>
        <w:t xml:space="preserve"> the </w:t>
      </w:r>
      <w:r>
        <w:rPr>
          <w:rFonts w:ascii="Arial" w:hAnsi="Arial" w:cs="Arial"/>
          <w:sz w:val="24"/>
          <w:szCs w:val="24"/>
        </w:rPr>
        <w:t>first</w:t>
      </w:r>
      <w:r w:rsidRPr="00DF3962">
        <w:rPr>
          <w:rFonts w:ascii="Arial" w:hAnsi="Arial" w:cs="Arial"/>
          <w:sz w:val="24"/>
          <w:szCs w:val="24"/>
        </w:rPr>
        <w:t xml:space="preserve"> quarter 2018 in terms of </w:t>
      </w:r>
      <w:r w:rsidRPr="00021D14">
        <w:rPr>
          <w:rFonts w:ascii="Arial" w:hAnsi="Arial" w:cs="Arial"/>
          <w:i/>
          <w:sz w:val="24"/>
          <w:szCs w:val="24"/>
        </w:rPr>
        <w:t>rr</w:t>
      </w:r>
      <w:r w:rsidRPr="00DF3962">
        <w:rPr>
          <w:rFonts w:ascii="Arial" w:hAnsi="Arial" w:cs="Arial"/>
          <w:sz w:val="24"/>
          <w:szCs w:val="24"/>
        </w:rPr>
        <w:t xml:space="preserve"> </w:t>
      </w:r>
      <w:r>
        <w:rPr>
          <w:rFonts w:ascii="Arial" w:hAnsi="Arial" w:cs="Arial"/>
          <w:sz w:val="24"/>
          <w:szCs w:val="24"/>
        </w:rPr>
        <w:t xml:space="preserve">after CDC introduction </w:t>
      </w:r>
      <w:r w:rsidRPr="00DF3962">
        <w:rPr>
          <w:rFonts w:ascii="Arial" w:hAnsi="Arial" w:cs="Arial"/>
          <w:sz w:val="24"/>
          <w:szCs w:val="24"/>
        </w:rPr>
        <w:t xml:space="preserve">for </w:t>
      </w:r>
      <w:r>
        <w:rPr>
          <w:rFonts w:ascii="Arial" w:hAnsi="Arial" w:cs="Arial"/>
          <w:sz w:val="24"/>
          <w:szCs w:val="24"/>
        </w:rPr>
        <w:t>a selected</w:t>
      </w:r>
      <w:r w:rsidRPr="00DF3962">
        <w:rPr>
          <w:rFonts w:ascii="Arial" w:hAnsi="Arial" w:cs="Arial"/>
          <w:sz w:val="24"/>
          <w:szCs w:val="24"/>
        </w:rPr>
        <w:t xml:space="preserve"> business short-term surveys. </w:t>
      </w:r>
      <w:r w:rsidRPr="00CB0F6B">
        <w:rPr>
          <w:rFonts w:ascii="Arial" w:hAnsi="Arial" w:cs="Arial"/>
          <w:sz w:val="24"/>
          <w:szCs w:val="24"/>
        </w:rPr>
        <w:t>Since the</w:t>
      </w:r>
      <w:r>
        <w:rPr>
          <w:rFonts w:ascii="Arial" w:hAnsi="Arial" w:cs="Arial"/>
          <w:sz w:val="24"/>
          <w:szCs w:val="24"/>
        </w:rPr>
        <w:t>se</w:t>
      </w:r>
      <w:r w:rsidRPr="00CB0F6B">
        <w:rPr>
          <w:rFonts w:ascii="Arial" w:hAnsi="Arial" w:cs="Arial"/>
          <w:sz w:val="24"/>
          <w:szCs w:val="24"/>
        </w:rPr>
        <w:t xml:space="preserve"> surveys are characterized by a continuous </w:t>
      </w:r>
      <w:r>
        <w:rPr>
          <w:rFonts w:ascii="Arial" w:hAnsi="Arial" w:cs="Arial"/>
          <w:sz w:val="24"/>
          <w:szCs w:val="24"/>
        </w:rPr>
        <w:t>DC (Data Collection)</w:t>
      </w:r>
      <w:r w:rsidRPr="00CB0F6B">
        <w:rPr>
          <w:rFonts w:ascii="Arial" w:hAnsi="Arial" w:cs="Arial"/>
          <w:sz w:val="24"/>
          <w:szCs w:val="24"/>
        </w:rPr>
        <w:t xml:space="preserve"> process, the comparison was made at the end of the useful period, introduced with the new sanctioning procedure (paragraph </w:t>
      </w:r>
      <w:r w:rsidR="004F0E36">
        <w:rPr>
          <w:rFonts w:ascii="Arial" w:hAnsi="Arial" w:cs="Arial"/>
          <w:sz w:val="24"/>
          <w:szCs w:val="24"/>
        </w:rPr>
        <w:t>2</w:t>
      </w:r>
      <w:r w:rsidRPr="00CB0F6B">
        <w:rPr>
          <w:rFonts w:ascii="Arial" w:hAnsi="Arial" w:cs="Arial"/>
          <w:sz w:val="24"/>
          <w:szCs w:val="24"/>
        </w:rPr>
        <w:t>.</w:t>
      </w:r>
      <w:r w:rsidR="004F0E36">
        <w:rPr>
          <w:rFonts w:ascii="Arial" w:hAnsi="Arial" w:cs="Arial"/>
          <w:sz w:val="24"/>
          <w:szCs w:val="24"/>
        </w:rPr>
        <w:t>7</w:t>
      </w:r>
      <w:r w:rsidRPr="00CB0F6B">
        <w:rPr>
          <w:rFonts w:ascii="Arial" w:hAnsi="Arial" w:cs="Arial"/>
          <w:sz w:val="24"/>
          <w:szCs w:val="24"/>
        </w:rPr>
        <w:t>)</w:t>
      </w:r>
      <w:r>
        <w:rPr>
          <w:rFonts w:ascii="Arial" w:hAnsi="Arial" w:cs="Arial"/>
          <w:sz w:val="24"/>
          <w:szCs w:val="24"/>
        </w:rPr>
        <w:t>.</w:t>
      </w:r>
      <w:r w:rsidR="00F025E9">
        <w:rPr>
          <w:rFonts w:ascii="Arial" w:hAnsi="Arial" w:cs="Arial"/>
          <w:sz w:val="24"/>
          <w:szCs w:val="24"/>
        </w:rPr>
        <w:t xml:space="preserve"> </w:t>
      </w:r>
      <w:r w:rsidR="00DF3962" w:rsidRPr="00DF3962">
        <w:rPr>
          <w:rFonts w:ascii="Arial" w:hAnsi="Arial" w:cs="Arial"/>
          <w:sz w:val="24"/>
          <w:szCs w:val="24"/>
        </w:rPr>
        <w:t xml:space="preserve">Compared with the </w:t>
      </w:r>
      <w:r w:rsidR="000B1EBA">
        <w:rPr>
          <w:rFonts w:ascii="Arial" w:hAnsi="Arial" w:cs="Arial"/>
          <w:sz w:val="24"/>
          <w:szCs w:val="24"/>
        </w:rPr>
        <w:t xml:space="preserve">first </w:t>
      </w:r>
      <w:r w:rsidR="00DF3962" w:rsidRPr="00DF3962">
        <w:rPr>
          <w:rFonts w:ascii="Arial" w:hAnsi="Arial" w:cs="Arial"/>
          <w:sz w:val="24"/>
          <w:szCs w:val="24"/>
        </w:rPr>
        <w:t xml:space="preserve">quarter 2016, the </w:t>
      </w:r>
      <w:r w:rsidR="00021D14" w:rsidRPr="00021D14">
        <w:rPr>
          <w:rFonts w:ascii="Arial" w:hAnsi="Arial" w:cs="Arial"/>
          <w:i/>
          <w:sz w:val="24"/>
          <w:szCs w:val="24"/>
        </w:rPr>
        <w:t>rr</w:t>
      </w:r>
      <w:r w:rsidR="00021D14" w:rsidRPr="00DF3962">
        <w:rPr>
          <w:rFonts w:ascii="Arial" w:hAnsi="Arial" w:cs="Arial"/>
          <w:sz w:val="24"/>
          <w:szCs w:val="24"/>
        </w:rPr>
        <w:t xml:space="preserve"> </w:t>
      </w:r>
      <w:r w:rsidR="00DF3962" w:rsidRPr="00DF3962">
        <w:rPr>
          <w:rFonts w:ascii="Arial" w:hAnsi="Arial" w:cs="Arial"/>
          <w:sz w:val="24"/>
          <w:szCs w:val="24"/>
        </w:rPr>
        <w:t xml:space="preserve">shows a positive </w:t>
      </w:r>
      <w:r w:rsidR="00CB0F6B" w:rsidRPr="00DF3962">
        <w:rPr>
          <w:rFonts w:ascii="Arial" w:hAnsi="Arial" w:cs="Arial"/>
          <w:sz w:val="24"/>
          <w:szCs w:val="24"/>
        </w:rPr>
        <w:t xml:space="preserve">average </w:t>
      </w:r>
      <w:r w:rsidR="00DF3962" w:rsidRPr="00DF3962">
        <w:rPr>
          <w:rFonts w:ascii="Arial" w:hAnsi="Arial" w:cs="Arial"/>
          <w:sz w:val="24"/>
          <w:szCs w:val="24"/>
        </w:rPr>
        <w:t xml:space="preserve">variation of </w:t>
      </w:r>
      <w:r w:rsidR="00375596">
        <w:rPr>
          <w:rFonts w:ascii="Arial" w:hAnsi="Arial" w:cs="Arial"/>
          <w:sz w:val="24"/>
          <w:szCs w:val="24"/>
        </w:rPr>
        <w:t>20</w:t>
      </w:r>
      <w:r w:rsidR="00DF3962" w:rsidRPr="00DF3962">
        <w:rPr>
          <w:rFonts w:ascii="Arial" w:hAnsi="Arial" w:cs="Arial"/>
          <w:sz w:val="24"/>
          <w:szCs w:val="24"/>
        </w:rPr>
        <w:t>.</w:t>
      </w:r>
      <w:r w:rsidR="00375596">
        <w:rPr>
          <w:rFonts w:ascii="Arial" w:hAnsi="Arial" w:cs="Arial"/>
          <w:sz w:val="24"/>
          <w:szCs w:val="24"/>
        </w:rPr>
        <w:t>0</w:t>
      </w:r>
      <w:r w:rsidR="00DF3962" w:rsidRPr="00DF3962">
        <w:rPr>
          <w:rFonts w:ascii="Arial" w:hAnsi="Arial" w:cs="Arial"/>
          <w:sz w:val="24"/>
          <w:szCs w:val="24"/>
        </w:rPr>
        <w:t>, particular</w:t>
      </w:r>
      <w:r w:rsidR="00BD4309">
        <w:rPr>
          <w:rFonts w:ascii="Arial" w:hAnsi="Arial" w:cs="Arial"/>
          <w:sz w:val="24"/>
          <w:szCs w:val="24"/>
        </w:rPr>
        <w:t>ly relevant is the</w:t>
      </w:r>
      <w:r w:rsidR="00DF3962" w:rsidRPr="00DF3962">
        <w:rPr>
          <w:rFonts w:ascii="Arial" w:hAnsi="Arial" w:cs="Arial"/>
          <w:sz w:val="24"/>
          <w:szCs w:val="24"/>
        </w:rPr>
        <w:t xml:space="preserve"> increase of 28</w:t>
      </w:r>
      <w:r w:rsidR="00F444CA">
        <w:rPr>
          <w:rFonts w:ascii="Arial" w:hAnsi="Arial" w:cs="Arial"/>
          <w:sz w:val="24"/>
          <w:szCs w:val="24"/>
        </w:rPr>
        <w:t xml:space="preserve"> </w:t>
      </w:r>
      <w:r w:rsidR="00F444CA" w:rsidRPr="00EB0CE6">
        <w:rPr>
          <w:rFonts w:ascii="Arial" w:hAnsi="Arial" w:cs="Arial"/>
          <w:i/>
          <w:sz w:val="24"/>
          <w:szCs w:val="24"/>
        </w:rPr>
        <w:t>pp</w:t>
      </w:r>
      <w:r w:rsidR="000B47B6">
        <w:rPr>
          <w:rFonts w:ascii="Arial" w:hAnsi="Arial" w:cs="Arial"/>
          <w:sz w:val="24"/>
          <w:szCs w:val="24"/>
        </w:rPr>
        <w:t xml:space="preserve"> </w:t>
      </w:r>
      <w:r w:rsidR="00BD4309" w:rsidRPr="00BD4309">
        <w:rPr>
          <w:rFonts w:ascii="Arial" w:hAnsi="Arial" w:cs="Arial"/>
          <w:sz w:val="24"/>
          <w:szCs w:val="24"/>
        </w:rPr>
        <w:t xml:space="preserve">registered </w:t>
      </w:r>
      <w:r w:rsidR="00DF3962" w:rsidRPr="00DF3962">
        <w:rPr>
          <w:rFonts w:ascii="Arial" w:hAnsi="Arial" w:cs="Arial"/>
          <w:sz w:val="24"/>
          <w:szCs w:val="24"/>
        </w:rPr>
        <w:t xml:space="preserve">for the </w:t>
      </w:r>
      <w:r w:rsidR="00026B6A" w:rsidRPr="00026B6A">
        <w:rPr>
          <w:rFonts w:ascii="Arial" w:hAnsi="Arial" w:cs="Arial"/>
          <w:sz w:val="24"/>
          <w:szCs w:val="24"/>
        </w:rPr>
        <w:t xml:space="preserve">Monthly survey on retail </w:t>
      </w:r>
      <w:r w:rsidR="00026B6A" w:rsidRPr="007464CE">
        <w:rPr>
          <w:rFonts w:ascii="Arial" w:hAnsi="Arial" w:cs="Arial"/>
          <w:sz w:val="24"/>
          <w:szCs w:val="24"/>
        </w:rPr>
        <w:t xml:space="preserve">sales </w:t>
      </w:r>
      <w:r w:rsidR="00DF3962" w:rsidRPr="00BD4309">
        <w:rPr>
          <w:rFonts w:ascii="Arial" w:hAnsi="Arial" w:cs="Arial"/>
          <w:sz w:val="24"/>
          <w:szCs w:val="24"/>
        </w:rPr>
        <w:t>(</w:t>
      </w:r>
      <w:r w:rsidR="00CE791F" w:rsidRPr="00BD4309">
        <w:rPr>
          <w:rFonts w:ascii="Arial" w:hAnsi="Arial" w:cs="Arial"/>
          <w:sz w:val="24"/>
          <w:szCs w:val="24"/>
        </w:rPr>
        <w:t>MR</w:t>
      </w:r>
      <w:r w:rsidR="007464CE" w:rsidRPr="00BD4309">
        <w:rPr>
          <w:rFonts w:ascii="Arial" w:hAnsi="Arial" w:cs="Arial"/>
          <w:sz w:val="24"/>
          <w:szCs w:val="24"/>
        </w:rPr>
        <w:t>S</w:t>
      </w:r>
      <w:r w:rsidR="00BD4309">
        <w:rPr>
          <w:rFonts w:ascii="Arial" w:hAnsi="Arial" w:cs="Arial"/>
          <w:sz w:val="24"/>
          <w:szCs w:val="24"/>
        </w:rPr>
        <w:t>)</w:t>
      </w:r>
      <w:r w:rsidR="00DF3962" w:rsidRPr="00DF3962">
        <w:rPr>
          <w:rFonts w:ascii="Arial" w:hAnsi="Arial" w:cs="Arial"/>
          <w:sz w:val="24"/>
          <w:szCs w:val="24"/>
        </w:rPr>
        <w:t xml:space="preserve">. </w:t>
      </w:r>
      <w:r w:rsidR="002E25CC" w:rsidRPr="002E25CC">
        <w:rPr>
          <w:rFonts w:ascii="Arial" w:hAnsi="Arial" w:cs="Arial"/>
          <w:sz w:val="24"/>
          <w:szCs w:val="24"/>
        </w:rPr>
        <w:t xml:space="preserve">The </w:t>
      </w:r>
      <w:r w:rsidR="002E25CC" w:rsidRPr="00026B6A">
        <w:rPr>
          <w:rFonts w:ascii="Arial" w:hAnsi="Arial" w:cs="Arial"/>
          <w:sz w:val="24"/>
          <w:szCs w:val="24"/>
        </w:rPr>
        <w:t xml:space="preserve">Monthly survey on industrial production </w:t>
      </w:r>
      <w:r w:rsidR="002E25CC" w:rsidRPr="00DF3962">
        <w:rPr>
          <w:rFonts w:ascii="Arial" w:hAnsi="Arial" w:cs="Arial"/>
          <w:sz w:val="24"/>
          <w:szCs w:val="24"/>
        </w:rPr>
        <w:t xml:space="preserve">(IPI) </w:t>
      </w:r>
      <w:r w:rsidR="002E25CC" w:rsidRPr="002E25CC">
        <w:rPr>
          <w:rFonts w:ascii="Arial" w:hAnsi="Arial" w:cs="Arial"/>
          <w:sz w:val="24"/>
          <w:szCs w:val="24"/>
        </w:rPr>
        <w:t xml:space="preserve">and </w:t>
      </w:r>
      <w:r w:rsidR="002E25CC" w:rsidRPr="00DF3962">
        <w:rPr>
          <w:rFonts w:ascii="Arial" w:hAnsi="Arial" w:cs="Arial"/>
          <w:sz w:val="24"/>
          <w:szCs w:val="24"/>
        </w:rPr>
        <w:t xml:space="preserve">the </w:t>
      </w:r>
      <w:r w:rsidR="002E25CC" w:rsidRPr="00026B6A">
        <w:rPr>
          <w:rFonts w:ascii="Arial" w:hAnsi="Arial" w:cs="Arial"/>
          <w:sz w:val="24"/>
          <w:szCs w:val="24"/>
        </w:rPr>
        <w:t xml:space="preserve">Monthly survey on producer prices for industrial products sold on the domestic market </w:t>
      </w:r>
      <w:r w:rsidR="002E25CC" w:rsidRPr="00DF3962">
        <w:rPr>
          <w:rFonts w:ascii="Arial" w:hAnsi="Arial" w:cs="Arial"/>
          <w:sz w:val="24"/>
          <w:szCs w:val="24"/>
        </w:rPr>
        <w:t xml:space="preserve">(PPID) </w:t>
      </w:r>
      <w:r w:rsidR="002E25CC" w:rsidRPr="002E25CC">
        <w:rPr>
          <w:rFonts w:ascii="Arial" w:hAnsi="Arial" w:cs="Arial"/>
          <w:sz w:val="24"/>
          <w:szCs w:val="24"/>
        </w:rPr>
        <w:t>also show</w:t>
      </w:r>
      <w:r w:rsidR="00CB0F6B">
        <w:rPr>
          <w:rFonts w:ascii="Arial" w:hAnsi="Arial" w:cs="Arial"/>
          <w:sz w:val="24"/>
          <w:szCs w:val="24"/>
        </w:rPr>
        <w:t xml:space="preserve"> significant</w:t>
      </w:r>
      <w:r w:rsidR="002E25CC" w:rsidRPr="002E25CC">
        <w:rPr>
          <w:rFonts w:ascii="Arial" w:hAnsi="Arial" w:cs="Arial"/>
          <w:sz w:val="24"/>
          <w:szCs w:val="24"/>
        </w:rPr>
        <w:t xml:space="preserve"> </w:t>
      </w:r>
      <w:r w:rsidR="00CB0F6B">
        <w:rPr>
          <w:rFonts w:ascii="Arial" w:hAnsi="Arial" w:cs="Arial"/>
          <w:sz w:val="24"/>
          <w:szCs w:val="24"/>
        </w:rPr>
        <w:t>increases</w:t>
      </w:r>
      <w:r w:rsidR="00CB0F6B" w:rsidRPr="002E25CC">
        <w:rPr>
          <w:rFonts w:ascii="Arial" w:hAnsi="Arial" w:cs="Arial"/>
          <w:sz w:val="24"/>
          <w:szCs w:val="24"/>
        </w:rPr>
        <w:t xml:space="preserve"> </w:t>
      </w:r>
      <w:r w:rsidR="002E25CC" w:rsidRPr="002E25CC">
        <w:rPr>
          <w:rFonts w:ascii="Arial" w:hAnsi="Arial" w:cs="Arial"/>
          <w:sz w:val="24"/>
          <w:szCs w:val="24"/>
        </w:rPr>
        <w:t>of 20.</w:t>
      </w:r>
      <w:r w:rsidR="00520BC6">
        <w:rPr>
          <w:rFonts w:ascii="Arial" w:hAnsi="Arial" w:cs="Arial"/>
          <w:sz w:val="24"/>
          <w:szCs w:val="24"/>
        </w:rPr>
        <w:t>1</w:t>
      </w:r>
      <w:r w:rsidR="00F444CA">
        <w:rPr>
          <w:rFonts w:ascii="Arial" w:hAnsi="Arial" w:cs="Arial"/>
          <w:sz w:val="24"/>
          <w:szCs w:val="24"/>
        </w:rPr>
        <w:t xml:space="preserve"> </w:t>
      </w:r>
      <w:r w:rsidR="00F444CA" w:rsidRPr="00EB0CE6">
        <w:rPr>
          <w:rFonts w:ascii="Arial" w:hAnsi="Arial" w:cs="Arial"/>
          <w:i/>
          <w:sz w:val="24"/>
          <w:szCs w:val="24"/>
        </w:rPr>
        <w:t>pp</w:t>
      </w:r>
      <w:r w:rsidR="002E25CC" w:rsidRPr="002E25CC">
        <w:rPr>
          <w:rFonts w:ascii="Arial" w:hAnsi="Arial" w:cs="Arial"/>
          <w:sz w:val="24"/>
          <w:szCs w:val="24"/>
        </w:rPr>
        <w:t xml:space="preserve"> and 11.</w:t>
      </w:r>
      <w:r w:rsidR="00375596">
        <w:rPr>
          <w:rFonts w:ascii="Arial" w:hAnsi="Arial" w:cs="Arial"/>
          <w:sz w:val="24"/>
          <w:szCs w:val="24"/>
        </w:rPr>
        <w:t>9</w:t>
      </w:r>
      <w:r w:rsidR="00F444CA">
        <w:rPr>
          <w:rFonts w:ascii="Arial" w:hAnsi="Arial" w:cs="Arial"/>
          <w:sz w:val="24"/>
          <w:szCs w:val="24"/>
        </w:rPr>
        <w:t xml:space="preserve"> </w:t>
      </w:r>
      <w:r w:rsidR="00F444CA" w:rsidRPr="00EB0CE6">
        <w:rPr>
          <w:rFonts w:ascii="Arial" w:hAnsi="Arial" w:cs="Arial"/>
          <w:i/>
          <w:sz w:val="24"/>
          <w:szCs w:val="24"/>
        </w:rPr>
        <w:t>pp</w:t>
      </w:r>
      <w:r w:rsidR="002E25CC" w:rsidRPr="002E25CC">
        <w:rPr>
          <w:rFonts w:ascii="Arial" w:hAnsi="Arial" w:cs="Arial"/>
          <w:sz w:val="24"/>
          <w:szCs w:val="24"/>
        </w:rPr>
        <w:t xml:space="preserve"> respectively</w:t>
      </w:r>
      <w:r w:rsidR="002E25CC">
        <w:rPr>
          <w:rFonts w:ascii="Arial" w:hAnsi="Arial" w:cs="Arial"/>
          <w:sz w:val="24"/>
          <w:szCs w:val="24"/>
        </w:rPr>
        <w:t xml:space="preserve"> (</w:t>
      </w:r>
      <w:r w:rsidR="00F444CA">
        <w:rPr>
          <w:rFonts w:ascii="Arial" w:hAnsi="Arial" w:cs="Arial"/>
          <w:sz w:val="24"/>
          <w:szCs w:val="24"/>
        </w:rPr>
        <w:t>T</w:t>
      </w:r>
      <w:r w:rsidR="002E25CC">
        <w:rPr>
          <w:rFonts w:ascii="Arial" w:hAnsi="Arial" w:cs="Arial"/>
          <w:sz w:val="24"/>
          <w:szCs w:val="24"/>
        </w:rPr>
        <w:t>able 4)</w:t>
      </w:r>
      <w:r w:rsidR="002E25CC" w:rsidRPr="002E25CC">
        <w:rPr>
          <w:rFonts w:ascii="Arial" w:hAnsi="Arial" w:cs="Arial"/>
          <w:sz w:val="24"/>
          <w:szCs w:val="24"/>
        </w:rPr>
        <w:t>.</w:t>
      </w:r>
      <w:r w:rsidR="007723A4">
        <w:rPr>
          <w:rFonts w:ascii="Arial" w:hAnsi="Arial" w:cs="Arial"/>
          <w:sz w:val="24"/>
          <w:szCs w:val="24"/>
        </w:rPr>
        <w:t xml:space="preserve"> </w:t>
      </w:r>
      <w:r w:rsidR="00A96E56">
        <w:rPr>
          <w:rFonts w:ascii="Arial" w:hAnsi="Arial" w:cs="Arial"/>
          <w:sz w:val="24"/>
          <w:szCs w:val="24"/>
        </w:rPr>
        <w:t>T</w:t>
      </w:r>
      <w:r w:rsidR="00DF3962" w:rsidRPr="00DF3962">
        <w:rPr>
          <w:rFonts w:ascii="Arial" w:hAnsi="Arial" w:cs="Arial"/>
          <w:sz w:val="24"/>
          <w:szCs w:val="24"/>
        </w:rPr>
        <w:t xml:space="preserve">he </w:t>
      </w:r>
      <w:r w:rsidR="00C407BD">
        <w:rPr>
          <w:rFonts w:ascii="Arial" w:hAnsi="Arial" w:cs="Arial"/>
          <w:sz w:val="24"/>
          <w:szCs w:val="24"/>
        </w:rPr>
        <w:t xml:space="preserve">increase concerning </w:t>
      </w:r>
      <w:r w:rsidR="00DF3962" w:rsidRPr="00DF3962">
        <w:rPr>
          <w:rFonts w:ascii="Arial" w:hAnsi="Arial" w:cs="Arial"/>
          <w:sz w:val="24"/>
          <w:szCs w:val="24"/>
        </w:rPr>
        <w:t xml:space="preserve">enterprises </w:t>
      </w:r>
      <w:r w:rsidR="00C264D3" w:rsidRPr="00C264D3">
        <w:rPr>
          <w:rFonts w:ascii="Arial" w:hAnsi="Arial" w:cs="Arial"/>
          <w:sz w:val="24"/>
          <w:szCs w:val="24"/>
        </w:rPr>
        <w:t xml:space="preserve">having at </w:t>
      </w:r>
      <w:r w:rsidR="00C264D3" w:rsidRPr="00C264D3">
        <w:rPr>
          <w:rFonts w:ascii="Arial" w:hAnsi="Arial" w:cs="Arial"/>
          <w:sz w:val="24"/>
          <w:szCs w:val="24"/>
        </w:rPr>
        <w:lastRenderedPageBreak/>
        <w:t>least 100 employees</w:t>
      </w:r>
      <w:r w:rsidR="00C264D3" w:rsidRPr="00DF3962">
        <w:rPr>
          <w:rFonts w:ascii="Arial" w:hAnsi="Arial" w:cs="Arial"/>
          <w:sz w:val="24"/>
          <w:szCs w:val="24"/>
        </w:rPr>
        <w:t xml:space="preserve"> </w:t>
      </w:r>
      <w:r w:rsidR="00DF3962" w:rsidRPr="00DF3962">
        <w:rPr>
          <w:rFonts w:ascii="Arial" w:hAnsi="Arial" w:cs="Arial"/>
          <w:sz w:val="24"/>
          <w:szCs w:val="24"/>
        </w:rPr>
        <w:t>(</w:t>
      </w:r>
      <w:r w:rsidR="001F164E">
        <w:rPr>
          <w:rFonts w:ascii="Arial" w:hAnsi="Arial" w:cs="Arial"/>
          <w:sz w:val="24"/>
          <w:szCs w:val="24"/>
        </w:rPr>
        <w:t>T</w:t>
      </w:r>
      <w:r w:rsidR="00DF3962" w:rsidRPr="00DF3962">
        <w:rPr>
          <w:rFonts w:ascii="Arial" w:hAnsi="Arial" w:cs="Arial"/>
          <w:sz w:val="24"/>
          <w:szCs w:val="24"/>
        </w:rPr>
        <w:t xml:space="preserve">able </w:t>
      </w:r>
      <w:r w:rsidR="00DF3962">
        <w:rPr>
          <w:rFonts w:ascii="Arial" w:hAnsi="Arial" w:cs="Arial"/>
          <w:sz w:val="24"/>
          <w:szCs w:val="24"/>
        </w:rPr>
        <w:t>5</w:t>
      </w:r>
      <w:r w:rsidR="00DF3962" w:rsidRPr="00DF3962">
        <w:rPr>
          <w:rFonts w:ascii="Arial" w:hAnsi="Arial" w:cs="Arial"/>
          <w:sz w:val="24"/>
          <w:szCs w:val="24"/>
        </w:rPr>
        <w:t xml:space="preserve">), highlighted by the average </w:t>
      </w:r>
      <w:r w:rsidR="00BD4309" w:rsidRPr="00BD4309">
        <w:rPr>
          <w:rFonts w:ascii="Arial" w:hAnsi="Arial" w:cs="Arial"/>
          <w:i/>
          <w:sz w:val="24"/>
          <w:szCs w:val="24"/>
        </w:rPr>
        <w:t>rr</w:t>
      </w:r>
      <w:r w:rsidR="00C264D3">
        <w:rPr>
          <w:rFonts w:ascii="Arial" w:hAnsi="Arial" w:cs="Arial"/>
          <w:sz w:val="24"/>
          <w:szCs w:val="24"/>
        </w:rPr>
        <w:t xml:space="preserve"> </w:t>
      </w:r>
      <w:r w:rsidR="00C407BD">
        <w:rPr>
          <w:rFonts w:ascii="Arial" w:hAnsi="Arial" w:cs="Arial"/>
          <w:sz w:val="24"/>
          <w:szCs w:val="24"/>
        </w:rPr>
        <w:t>variation</w:t>
      </w:r>
      <w:r w:rsidR="00A96E56">
        <w:rPr>
          <w:rFonts w:ascii="Arial" w:hAnsi="Arial" w:cs="Arial"/>
          <w:sz w:val="24"/>
          <w:szCs w:val="24"/>
        </w:rPr>
        <w:t xml:space="preserve"> </w:t>
      </w:r>
      <w:r w:rsidR="00C264D3">
        <w:rPr>
          <w:rFonts w:ascii="Arial" w:hAnsi="Arial" w:cs="Arial"/>
          <w:sz w:val="24"/>
          <w:szCs w:val="24"/>
        </w:rPr>
        <w:t>from 6</w:t>
      </w:r>
      <w:r w:rsidR="00520BC6">
        <w:rPr>
          <w:rFonts w:ascii="Arial" w:hAnsi="Arial" w:cs="Arial"/>
          <w:sz w:val="24"/>
          <w:szCs w:val="24"/>
        </w:rPr>
        <w:t>2</w:t>
      </w:r>
      <w:r w:rsidR="00C264D3">
        <w:rPr>
          <w:rFonts w:ascii="Arial" w:hAnsi="Arial" w:cs="Arial"/>
          <w:sz w:val="24"/>
          <w:szCs w:val="24"/>
        </w:rPr>
        <w:t>.9 to 85.6</w:t>
      </w:r>
      <w:r w:rsidR="00E06362">
        <w:rPr>
          <w:rFonts w:ascii="Arial" w:hAnsi="Arial" w:cs="Arial"/>
          <w:sz w:val="24"/>
          <w:szCs w:val="24"/>
        </w:rPr>
        <w:t xml:space="preserve"> percent</w:t>
      </w:r>
      <w:r w:rsidR="00DF3962" w:rsidRPr="00DF3962">
        <w:rPr>
          <w:rFonts w:ascii="Arial" w:hAnsi="Arial" w:cs="Arial"/>
          <w:sz w:val="24"/>
          <w:szCs w:val="24"/>
        </w:rPr>
        <w:t xml:space="preserve">, </w:t>
      </w:r>
      <w:r w:rsidR="00C407BD">
        <w:rPr>
          <w:rFonts w:ascii="Arial" w:hAnsi="Arial" w:cs="Arial"/>
          <w:sz w:val="24"/>
          <w:szCs w:val="24"/>
        </w:rPr>
        <w:t xml:space="preserve">associated </w:t>
      </w:r>
      <w:r w:rsidR="00DF3962" w:rsidRPr="00DF3962">
        <w:rPr>
          <w:rFonts w:ascii="Arial" w:hAnsi="Arial" w:cs="Arial"/>
          <w:sz w:val="24"/>
          <w:szCs w:val="24"/>
        </w:rPr>
        <w:t xml:space="preserve">with an average reduction in the number of enterprises </w:t>
      </w:r>
      <w:r w:rsidR="00BD4309" w:rsidRPr="00BD4309">
        <w:rPr>
          <w:rFonts w:ascii="Arial" w:hAnsi="Arial" w:cs="Arial"/>
          <w:sz w:val="24"/>
          <w:szCs w:val="24"/>
        </w:rPr>
        <w:t>virtually subject to penalties</w:t>
      </w:r>
      <w:r w:rsidR="00BD4309" w:rsidRPr="00DF3962">
        <w:rPr>
          <w:rFonts w:ascii="Arial" w:hAnsi="Arial" w:cs="Arial"/>
          <w:sz w:val="24"/>
          <w:szCs w:val="24"/>
        </w:rPr>
        <w:t xml:space="preserve"> </w:t>
      </w:r>
      <w:r w:rsidR="00DF3962" w:rsidRPr="00DF3962">
        <w:rPr>
          <w:rFonts w:ascii="Arial" w:hAnsi="Arial" w:cs="Arial"/>
          <w:sz w:val="24"/>
          <w:szCs w:val="24"/>
        </w:rPr>
        <w:t>of 6</w:t>
      </w:r>
      <w:r w:rsidR="00520BC6">
        <w:rPr>
          <w:rFonts w:ascii="Arial" w:hAnsi="Arial" w:cs="Arial"/>
          <w:sz w:val="24"/>
          <w:szCs w:val="24"/>
        </w:rPr>
        <w:t>3</w:t>
      </w:r>
      <w:r w:rsidR="00DF3962" w:rsidRPr="00DF3962">
        <w:rPr>
          <w:rFonts w:ascii="Arial" w:hAnsi="Arial" w:cs="Arial"/>
          <w:sz w:val="24"/>
          <w:szCs w:val="24"/>
        </w:rPr>
        <w:t>.</w:t>
      </w:r>
      <w:r w:rsidR="00520BC6">
        <w:rPr>
          <w:rFonts w:ascii="Arial" w:hAnsi="Arial" w:cs="Arial"/>
          <w:sz w:val="24"/>
          <w:szCs w:val="24"/>
        </w:rPr>
        <w:t>4</w:t>
      </w:r>
      <w:r w:rsidR="00D536EA">
        <w:rPr>
          <w:rFonts w:ascii="Arial" w:hAnsi="Arial" w:cs="Arial"/>
          <w:sz w:val="24"/>
          <w:szCs w:val="24"/>
        </w:rPr>
        <w:t xml:space="preserve"> </w:t>
      </w:r>
      <w:r w:rsidR="00E06362" w:rsidRPr="00E06362">
        <w:rPr>
          <w:rFonts w:ascii="Arial" w:hAnsi="Arial" w:cs="Arial"/>
          <w:sz w:val="24"/>
          <w:szCs w:val="24"/>
        </w:rPr>
        <w:t>percent</w:t>
      </w:r>
      <w:r w:rsidR="006A4F28">
        <w:rPr>
          <w:rFonts w:ascii="Arial" w:hAnsi="Arial" w:cs="Arial"/>
          <w:sz w:val="24"/>
          <w:szCs w:val="24"/>
        </w:rPr>
        <w:t xml:space="preserve"> </w:t>
      </w:r>
      <w:r w:rsidR="00A96E56" w:rsidRPr="00A96E56">
        <w:rPr>
          <w:rFonts w:ascii="Arial" w:hAnsi="Arial" w:cs="Arial"/>
          <w:sz w:val="24"/>
          <w:szCs w:val="24"/>
        </w:rPr>
        <w:t xml:space="preserve">according to the new </w:t>
      </w:r>
      <w:r w:rsidR="00A96E56">
        <w:rPr>
          <w:rFonts w:ascii="Arial" w:hAnsi="Arial" w:cs="Arial"/>
          <w:sz w:val="24"/>
          <w:szCs w:val="24"/>
        </w:rPr>
        <w:t xml:space="preserve">management criteria, is </w:t>
      </w:r>
      <w:r w:rsidR="00A96E56" w:rsidRPr="00A96E56">
        <w:rPr>
          <w:rFonts w:ascii="Arial" w:hAnsi="Arial" w:cs="Arial"/>
          <w:sz w:val="24"/>
          <w:szCs w:val="24"/>
        </w:rPr>
        <w:t>considerably</w:t>
      </w:r>
      <w:r w:rsidR="00A96E56">
        <w:rPr>
          <w:rFonts w:ascii="Arial" w:hAnsi="Arial" w:cs="Arial"/>
          <w:sz w:val="24"/>
          <w:szCs w:val="24"/>
        </w:rPr>
        <w:t xml:space="preserve"> positive</w:t>
      </w:r>
      <w:r w:rsidR="00D536EA">
        <w:rPr>
          <w:rFonts w:ascii="Arial" w:hAnsi="Arial" w:cs="Arial"/>
          <w:sz w:val="24"/>
          <w:szCs w:val="24"/>
        </w:rPr>
        <w:t xml:space="preserve"> </w:t>
      </w:r>
      <w:r w:rsidR="00DF3962" w:rsidRPr="00DF3962">
        <w:rPr>
          <w:rFonts w:ascii="Arial" w:hAnsi="Arial" w:cs="Arial"/>
          <w:sz w:val="24"/>
          <w:szCs w:val="24"/>
        </w:rPr>
        <w:t>(</w:t>
      </w:r>
      <w:r w:rsidR="001F164E">
        <w:rPr>
          <w:rFonts w:ascii="Arial" w:hAnsi="Arial" w:cs="Arial"/>
          <w:sz w:val="24"/>
          <w:szCs w:val="24"/>
        </w:rPr>
        <w:t>T</w:t>
      </w:r>
      <w:r w:rsidR="00DF3962" w:rsidRPr="00DF3962">
        <w:rPr>
          <w:rFonts w:ascii="Arial" w:hAnsi="Arial" w:cs="Arial"/>
          <w:sz w:val="24"/>
          <w:szCs w:val="24"/>
        </w:rPr>
        <w:t>able 6)</w:t>
      </w:r>
      <w:r w:rsidR="00BE734E">
        <w:rPr>
          <w:rStyle w:val="Rimandonotaapidipagina"/>
          <w:rFonts w:ascii="Arial" w:hAnsi="Arial" w:cs="Arial"/>
          <w:sz w:val="24"/>
          <w:szCs w:val="24"/>
        </w:rPr>
        <w:footnoteReference w:id="4"/>
      </w:r>
      <w:r w:rsidR="00DF3962" w:rsidRPr="00DF3962">
        <w:rPr>
          <w:rFonts w:ascii="Arial" w:hAnsi="Arial" w:cs="Arial"/>
          <w:sz w:val="24"/>
          <w:szCs w:val="24"/>
        </w:rPr>
        <w:t>.</w:t>
      </w:r>
      <w:r w:rsidR="007723A4">
        <w:rPr>
          <w:rFonts w:ascii="Arial" w:hAnsi="Arial" w:cs="Arial"/>
          <w:sz w:val="24"/>
          <w:szCs w:val="24"/>
        </w:rPr>
        <w:t xml:space="preserve"> </w:t>
      </w:r>
      <w:r w:rsidR="00A96E56" w:rsidRPr="00DB4263">
        <w:rPr>
          <w:rFonts w:ascii="Arial" w:eastAsia="Times New Roman" w:hAnsi="Arial" w:cs="Arial"/>
          <w:sz w:val="24"/>
          <w:szCs w:val="24"/>
          <w:lang w:val="en-US" w:eastAsia="it-IT"/>
        </w:rPr>
        <w:t xml:space="preserve">It is also noted that the </w:t>
      </w:r>
      <w:proofErr w:type="spellStart"/>
      <w:r w:rsidR="00D536EA" w:rsidRPr="00EB0CE6">
        <w:rPr>
          <w:rFonts w:ascii="Arial" w:eastAsia="Times New Roman" w:hAnsi="Arial" w:cs="Arial"/>
          <w:i/>
          <w:sz w:val="24"/>
          <w:szCs w:val="24"/>
          <w:lang w:val="en-US" w:eastAsia="it-IT"/>
        </w:rPr>
        <w:t>rr</w:t>
      </w:r>
      <w:proofErr w:type="spellEnd"/>
      <w:r w:rsidR="00A96E56" w:rsidRPr="00DB4263">
        <w:rPr>
          <w:rFonts w:ascii="Arial" w:eastAsia="Times New Roman" w:hAnsi="Arial" w:cs="Arial"/>
          <w:sz w:val="24"/>
          <w:szCs w:val="24"/>
          <w:lang w:val="en-US" w:eastAsia="it-IT"/>
        </w:rPr>
        <w:t xml:space="preserve"> of the short-term surveys in 2018</w:t>
      </w:r>
      <w:r w:rsidR="00D536EA">
        <w:rPr>
          <w:rFonts w:ascii="Arial" w:eastAsia="Times New Roman" w:hAnsi="Arial" w:cs="Arial"/>
          <w:sz w:val="24"/>
          <w:szCs w:val="24"/>
          <w:lang w:val="en-US" w:eastAsia="it-IT"/>
        </w:rPr>
        <w:t xml:space="preserve"> </w:t>
      </w:r>
      <w:r w:rsidR="00D536EA" w:rsidRPr="004F0E36">
        <w:rPr>
          <w:rFonts w:ascii="Arial" w:hAnsi="Arial" w:cs="Arial"/>
          <w:sz w:val="24"/>
          <w:szCs w:val="24"/>
          <w:lang w:val="en-GB"/>
        </w:rPr>
        <w:t>compared to</w:t>
      </w:r>
      <w:r w:rsidR="00D536EA" w:rsidRPr="004F0E36" w:rsidDel="004F0E36">
        <w:rPr>
          <w:rFonts w:ascii="Arial" w:hAnsi="Arial" w:cs="Arial"/>
          <w:sz w:val="24"/>
          <w:szCs w:val="24"/>
          <w:lang w:val="en-GB"/>
        </w:rPr>
        <w:t xml:space="preserve"> </w:t>
      </w:r>
      <w:r w:rsidR="00D536EA" w:rsidRPr="00DB4263">
        <w:rPr>
          <w:rFonts w:ascii="Arial" w:eastAsia="Times New Roman" w:hAnsi="Arial" w:cs="Arial"/>
          <w:sz w:val="24"/>
          <w:szCs w:val="24"/>
          <w:lang w:val="en-US" w:eastAsia="it-IT"/>
        </w:rPr>
        <w:t>2016</w:t>
      </w:r>
      <w:r w:rsidR="00A96E56" w:rsidRPr="00DB4263">
        <w:rPr>
          <w:rFonts w:ascii="Arial" w:eastAsia="Times New Roman" w:hAnsi="Arial" w:cs="Arial"/>
          <w:sz w:val="24"/>
          <w:szCs w:val="24"/>
          <w:lang w:val="en-US" w:eastAsia="it-IT"/>
        </w:rPr>
        <w:t>, despite the more stringent tolerance times envisaged by the current sanctions system</w:t>
      </w:r>
      <w:r w:rsidR="004F0E36">
        <w:rPr>
          <w:rFonts w:ascii="Arial" w:eastAsia="Times New Roman" w:hAnsi="Arial" w:cs="Arial"/>
          <w:sz w:val="24"/>
          <w:szCs w:val="24"/>
          <w:lang w:val="en-US" w:eastAsia="it-IT"/>
        </w:rPr>
        <w:t>,</w:t>
      </w:r>
      <w:r w:rsidR="0014271A" w:rsidRPr="00DB4263">
        <w:rPr>
          <w:rFonts w:ascii="Arial" w:eastAsia="Times New Roman" w:hAnsi="Arial" w:cs="Arial"/>
          <w:sz w:val="24"/>
          <w:szCs w:val="24"/>
          <w:lang w:val="en-US" w:eastAsia="it-IT"/>
        </w:rPr>
        <w:t xml:space="preserve"> are </w:t>
      </w:r>
      <w:r w:rsidR="00A96E56" w:rsidRPr="00DB4263">
        <w:rPr>
          <w:rFonts w:ascii="Arial" w:eastAsia="Times New Roman" w:hAnsi="Arial" w:cs="Arial"/>
          <w:sz w:val="24"/>
          <w:szCs w:val="24"/>
          <w:lang w:val="en-US" w:eastAsia="it-IT"/>
        </w:rPr>
        <w:t>significantly higher</w:t>
      </w:r>
      <w:r w:rsidR="0014271A" w:rsidRPr="00DB4263">
        <w:rPr>
          <w:rFonts w:ascii="Arial" w:eastAsia="Times New Roman" w:hAnsi="Arial" w:cs="Arial"/>
          <w:sz w:val="24"/>
          <w:szCs w:val="24"/>
          <w:lang w:val="en-US" w:eastAsia="it-IT"/>
        </w:rPr>
        <w:t xml:space="preserve"> at the date of May 2018,</w:t>
      </w:r>
      <w:r w:rsidR="00A96E56" w:rsidRPr="00DB4263">
        <w:rPr>
          <w:rFonts w:ascii="Arial" w:eastAsia="Times New Roman" w:hAnsi="Arial" w:cs="Arial"/>
          <w:sz w:val="24"/>
          <w:szCs w:val="24"/>
          <w:lang w:val="en-US" w:eastAsia="it-IT"/>
        </w:rPr>
        <w:t xml:space="preserve"> </w:t>
      </w:r>
      <w:r w:rsidR="0030786D" w:rsidRPr="00DB4263">
        <w:rPr>
          <w:rFonts w:ascii="Arial" w:eastAsia="Times New Roman" w:hAnsi="Arial" w:cs="Arial"/>
          <w:sz w:val="24"/>
          <w:szCs w:val="24"/>
          <w:lang w:val="en-US" w:eastAsia="it-IT"/>
        </w:rPr>
        <w:t>particularly</w:t>
      </w:r>
      <w:r w:rsidR="00A96E56" w:rsidRPr="00DB4263">
        <w:rPr>
          <w:rFonts w:ascii="Arial" w:eastAsia="Times New Roman" w:hAnsi="Arial" w:cs="Arial"/>
          <w:sz w:val="24"/>
          <w:szCs w:val="24"/>
          <w:lang w:val="en-US" w:eastAsia="it-IT"/>
        </w:rPr>
        <w:t xml:space="preserve"> </w:t>
      </w:r>
      <w:r w:rsidR="0030786D" w:rsidRPr="00DB4263">
        <w:rPr>
          <w:rFonts w:ascii="Arial" w:eastAsia="Times New Roman" w:hAnsi="Arial" w:cs="Arial"/>
          <w:sz w:val="24"/>
          <w:szCs w:val="24"/>
          <w:lang w:val="en-US" w:eastAsia="it-IT"/>
        </w:rPr>
        <w:t>for the surveys</w:t>
      </w:r>
      <w:r w:rsidR="00A96E56" w:rsidRPr="00DB4263">
        <w:rPr>
          <w:rFonts w:ascii="Arial" w:eastAsia="Times New Roman" w:hAnsi="Arial" w:cs="Arial"/>
          <w:sz w:val="24"/>
          <w:szCs w:val="24"/>
          <w:lang w:val="en-US" w:eastAsia="it-IT"/>
        </w:rPr>
        <w:t xml:space="preserve"> </w:t>
      </w:r>
      <w:r w:rsidR="0030786D" w:rsidRPr="00DB4263">
        <w:rPr>
          <w:rFonts w:ascii="Arial" w:eastAsia="Times New Roman" w:hAnsi="Arial" w:cs="Arial"/>
          <w:sz w:val="24"/>
          <w:szCs w:val="24"/>
          <w:lang w:val="en-US" w:eastAsia="it-IT"/>
        </w:rPr>
        <w:t>MRS</w:t>
      </w:r>
      <w:r w:rsidR="00A96E56" w:rsidRPr="00DB4263">
        <w:rPr>
          <w:rFonts w:ascii="Arial" w:eastAsia="Times New Roman" w:hAnsi="Arial" w:cs="Arial"/>
          <w:sz w:val="24"/>
          <w:szCs w:val="24"/>
          <w:lang w:val="en-US" w:eastAsia="it-IT"/>
        </w:rPr>
        <w:t xml:space="preserve"> and PPID. </w:t>
      </w:r>
    </w:p>
    <w:p w14:paraId="020DFA73" w14:textId="5EA891FA" w:rsidR="00DF3962" w:rsidRDefault="00DF3962" w:rsidP="00E06362">
      <w:pPr>
        <w:jc w:val="both"/>
        <w:rPr>
          <w:rFonts w:ascii="Arial" w:eastAsia="Arial" w:hAnsi="Arial" w:cs="Arial"/>
          <w:b/>
          <w:sz w:val="20"/>
          <w:lang w:val="en-US"/>
        </w:rPr>
      </w:pPr>
      <w:r w:rsidRPr="00EA7054">
        <w:rPr>
          <w:rFonts w:ascii="Arial" w:eastAsia="Arial" w:hAnsi="Arial" w:cs="Arial"/>
          <w:b/>
          <w:sz w:val="20"/>
          <w:lang w:val="en-US"/>
        </w:rPr>
        <w:t xml:space="preserve">Table 4. </w:t>
      </w:r>
      <w:r w:rsidR="00981BAA">
        <w:rPr>
          <w:rFonts w:ascii="Arial" w:eastAsia="Arial" w:hAnsi="Arial" w:cs="Arial"/>
          <w:b/>
          <w:sz w:val="20"/>
          <w:lang w:val="en-US"/>
        </w:rPr>
        <w:t>S</w:t>
      </w:r>
      <w:r w:rsidRPr="00EA7054">
        <w:rPr>
          <w:rFonts w:ascii="Arial" w:eastAsia="Arial" w:hAnsi="Arial" w:cs="Arial"/>
          <w:b/>
          <w:sz w:val="20"/>
          <w:lang w:val="en-US"/>
        </w:rPr>
        <w:t>hort-term surveys, average response rate</w:t>
      </w:r>
      <w:r w:rsidR="00981BAA">
        <w:rPr>
          <w:rFonts w:ascii="Arial" w:eastAsia="Arial" w:hAnsi="Arial" w:cs="Arial"/>
          <w:b/>
          <w:sz w:val="20"/>
          <w:lang w:val="en-US"/>
        </w:rPr>
        <w:t>s</w:t>
      </w:r>
      <w:r w:rsidRPr="00EA7054">
        <w:rPr>
          <w:rFonts w:ascii="Arial" w:eastAsia="Arial" w:hAnsi="Arial" w:cs="Arial"/>
          <w:b/>
          <w:sz w:val="20"/>
          <w:lang w:val="en-US"/>
        </w:rPr>
        <w:t xml:space="preserve"> – I</w:t>
      </w:r>
      <w:r w:rsidRPr="00E06362">
        <w:rPr>
          <w:rFonts w:ascii="Arial" w:eastAsia="Arial" w:hAnsi="Arial" w:cs="Arial"/>
          <w:b/>
          <w:sz w:val="20"/>
          <w:lang w:val="en-US"/>
        </w:rPr>
        <w:t xml:space="preserve"> </w:t>
      </w:r>
      <w:r w:rsidRPr="00EA7054">
        <w:rPr>
          <w:rFonts w:ascii="Arial" w:eastAsia="Arial" w:hAnsi="Arial" w:cs="Arial"/>
          <w:b/>
          <w:sz w:val="20"/>
          <w:lang w:val="en-US"/>
        </w:rPr>
        <w:t xml:space="preserve">Quarter, years 2016 </w:t>
      </w:r>
      <w:r w:rsidR="00981BAA">
        <w:rPr>
          <w:rFonts w:ascii="Arial" w:eastAsia="Arial" w:hAnsi="Arial" w:cs="Arial"/>
          <w:b/>
          <w:sz w:val="20"/>
          <w:lang w:val="en-US"/>
        </w:rPr>
        <w:t xml:space="preserve">(pre CDC) </w:t>
      </w:r>
      <w:r w:rsidR="004B436C">
        <w:rPr>
          <w:rFonts w:ascii="Arial" w:eastAsia="Arial" w:hAnsi="Arial" w:cs="Arial"/>
          <w:b/>
          <w:sz w:val="20"/>
          <w:lang w:val="en-US"/>
        </w:rPr>
        <w:t>and 2018</w:t>
      </w:r>
    </w:p>
    <w:tbl>
      <w:tblPr>
        <w:tblW w:w="0" w:type="auto"/>
        <w:jc w:val="center"/>
        <w:tblCellMar>
          <w:left w:w="10" w:type="dxa"/>
          <w:right w:w="10" w:type="dxa"/>
        </w:tblCellMar>
        <w:tblLook w:val="0000" w:firstRow="0" w:lastRow="0" w:firstColumn="0" w:lastColumn="0" w:noHBand="0" w:noVBand="0"/>
      </w:tblPr>
      <w:tblGrid>
        <w:gridCol w:w="2099"/>
        <w:gridCol w:w="2654"/>
        <w:gridCol w:w="2238"/>
        <w:gridCol w:w="2069"/>
      </w:tblGrid>
      <w:tr w:rsidR="00DF3962" w14:paraId="52AB91BB" w14:textId="77777777" w:rsidTr="00981BAA">
        <w:trPr>
          <w:trHeight w:val="1"/>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4DC872" w14:textId="77777777" w:rsidR="00DF3962" w:rsidRDefault="00DF3962" w:rsidP="00131E27">
            <w:pPr>
              <w:jc w:val="center"/>
            </w:pPr>
            <w:r>
              <w:rPr>
                <w:rFonts w:ascii="Arial" w:eastAsia="Arial" w:hAnsi="Arial" w:cs="Arial"/>
                <w:sz w:val="20"/>
              </w:rPr>
              <w:t>Survey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0F9FDF" w14:textId="07C3CB8F" w:rsidR="00DF3962" w:rsidRDefault="00DF3962" w:rsidP="00981BAA">
            <w:pPr>
              <w:jc w:val="center"/>
            </w:pPr>
            <w:r>
              <w:rPr>
                <w:rFonts w:ascii="Arial" w:eastAsia="Arial" w:hAnsi="Arial" w:cs="Arial"/>
                <w:sz w:val="20"/>
              </w:rPr>
              <w:t>I quarter 2016</w:t>
            </w:r>
            <w:r w:rsidR="00004B88">
              <w:rPr>
                <w:rFonts w:ascii="Arial" w:eastAsia="Arial" w:hAnsi="Arial" w:cs="Arial"/>
                <w:sz w:val="20"/>
              </w:rPr>
              <w:t xml:space="preserve"> (%)</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751257" w14:textId="4FA5BBE7" w:rsidR="00004B88" w:rsidRPr="0096747C" w:rsidRDefault="00DF3962" w:rsidP="00131E27">
            <w:pPr>
              <w:jc w:val="center"/>
              <w:rPr>
                <w:rFonts w:ascii="Arial" w:eastAsia="Arial" w:hAnsi="Arial" w:cs="Arial"/>
                <w:sz w:val="20"/>
              </w:rPr>
            </w:pPr>
            <w:r>
              <w:rPr>
                <w:rFonts w:ascii="Arial" w:eastAsia="Arial" w:hAnsi="Arial" w:cs="Arial"/>
                <w:sz w:val="20"/>
              </w:rPr>
              <w:t>I quarter 2018</w:t>
            </w:r>
            <w:r w:rsidR="0096747C">
              <w:rPr>
                <w:rFonts w:ascii="Arial" w:eastAsia="Arial" w:hAnsi="Arial" w:cs="Arial"/>
                <w:sz w:val="20"/>
              </w:rPr>
              <w:t xml:space="preserve"> </w:t>
            </w:r>
            <w:r w:rsidR="00004B88">
              <w:rPr>
                <w:rFonts w:ascii="Arial" w:eastAsia="Arial" w:hAnsi="Arial" w:cs="Arial"/>
                <w:sz w:val="20"/>
              </w:rPr>
              <w:t>(%)</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4D75C3" w14:textId="524D282D" w:rsidR="00DF3962" w:rsidRDefault="00E06362" w:rsidP="00EE1BD5">
            <w:pPr>
              <w:jc w:val="center"/>
            </w:pPr>
            <w:r w:rsidRPr="00E06362">
              <w:rPr>
                <w:rFonts w:ascii="Arial" w:eastAsia="Arial" w:hAnsi="Arial" w:cs="Arial"/>
                <w:i/>
                <w:sz w:val="20"/>
              </w:rPr>
              <w:t>pp</w:t>
            </w:r>
            <w:r w:rsidR="00EE1BD5" w:rsidRPr="002074E6">
              <w:rPr>
                <w:rFonts w:ascii="Arial" w:eastAsia="Arial" w:hAnsi="Arial" w:cs="Arial"/>
                <w:sz w:val="20"/>
              </w:rPr>
              <w:t xml:space="preserve"> variation</w:t>
            </w:r>
          </w:p>
        </w:tc>
      </w:tr>
      <w:tr w:rsidR="00DF3962" w14:paraId="1A88A987" w14:textId="77777777" w:rsidTr="00DA5B2C">
        <w:trPr>
          <w:trHeight w:val="1"/>
          <w:jc w:val="center"/>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028F3F" w14:textId="6A1C4E6F" w:rsidR="00DF3962" w:rsidRDefault="00BC2396" w:rsidP="00DA5B2C">
            <w:pPr>
              <w:jc w:val="center"/>
            </w:pPr>
            <w:r>
              <w:rPr>
                <w:rFonts w:ascii="Arial" w:eastAsia="Arial" w:hAnsi="Arial" w:cs="Arial"/>
                <w:sz w:val="20"/>
              </w:rPr>
              <w:t>MRS</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3E3555" w14:textId="761D065F" w:rsidR="00DF3962" w:rsidRDefault="000B47B6" w:rsidP="00DA5B2C">
            <w:pPr>
              <w:jc w:val="center"/>
            </w:pPr>
            <w:r>
              <w:rPr>
                <w:rFonts w:ascii="Arial" w:eastAsia="Arial" w:hAnsi="Arial" w:cs="Arial"/>
                <w:sz w:val="20"/>
              </w:rPr>
              <w:t>38</w:t>
            </w:r>
            <w:r w:rsidR="0044622A">
              <w:rPr>
                <w:rFonts w:ascii="Arial" w:eastAsia="Arial" w:hAnsi="Arial" w:cs="Arial"/>
                <w:sz w:val="20"/>
              </w:rPr>
              <w:t>.</w:t>
            </w:r>
            <w:r>
              <w:rPr>
                <w:rFonts w:ascii="Arial" w:eastAsia="Arial" w:hAnsi="Arial" w:cs="Arial"/>
                <w:sz w:val="20"/>
              </w:rPr>
              <w:t>3</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90E8BB" w14:textId="20A31D75" w:rsidR="00DF3962" w:rsidRDefault="00DF3962" w:rsidP="00DA5B2C">
            <w:pPr>
              <w:jc w:val="center"/>
            </w:pPr>
            <w:r>
              <w:rPr>
                <w:rFonts w:ascii="Arial" w:eastAsia="Arial" w:hAnsi="Arial" w:cs="Arial"/>
                <w:sz w:val="20"/>
              </w:rPr>
              <w:t>66</w:t>
            </w:r>
            <w:r w:rsidR="0044622A">
              <w:rPr>
                <w:rFonts w:ascii="Arial" w:eastAsia="Arial" w:hAnsi="Arial" w:cs="Arial"/>
                <w:sz w:val="20"/>
              </w:rPr>
              <w:t>.</w:t>
            </w:r>
            <w:r>
              <w:rPr>
                <w:rFonts w:ascii="Arial" w:eastAsia="Arial" w:hAnsi="Arial" w:cs="Arial"/>
                <w:sz w:val="20"/>
              </w:rPr>
              <w:t>3</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3D0229" w14:textId="23FCE53E" w:rsidR="00DF3962" w:rsidRDefault="00DF3962" w:rsidP="00DA5B2C">
            <w:pPr>
              <w:jc w:val="center"/>
            </w:pPr>
            <w:r>
              <w:rPr>
                <w:rFonts w:ascii="Arial" w:eastAsia="Arial" w:hAnsi="Arial" w:cs="Arial"/>
                <w:sz w:val="20"/>
              </w:rPr>
              <w:t>28</w:t>
            </w:r>
            <w:r w:rsidR="0044622A">
              <w:rPr>
                <w:rFonts w:ascii="Arial" w:eastAsia="Arial" w:hAnsi="Arial" w:cs="Arial"/>
                <w:sz w:val="20"/>
              </w:rPr>
              <w:t>.</w:t>
            </w:r>
            <w:r w:rsidR="000B47B6">
              <w:rPr>
                <w:rFonts w:ascii="Arial" w:eastAsia="Arial" w:hAnsi="Arial" w:cs="Arial"/>
                <w:sz w:val="20"/>
              </w:rPr>
              <w:t>0</w:t>
            </w:r>
          </w:p>
        </w:tc>
      </w:tr>
      <w:tr w:rsidR="00DF3962" w14:paraId="3849FD0B" w14:textId="77777777" w:rsidTr="00DA5B2C">
        <w:trPr>
          <w:trHeight w:val="1"/>
          <w:jc w:val="center"/>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7DC503A" w14:textId="77777777" w:rsidR="00DF3962" w:rsidRDefault="00DF3962" w:rsidP="00DA5B2C">
            <w:pPr>
              <w:jc w:val="center"/>
            </w:pPr>
            <w:r>
              <w:rPr>
                <w:rFonts w:ascii="Arial" w:eastAsia="Arial" w:hAnsi="Arial" w:cs="Arial"/>
                <w:sz w:val="20"/>
              </w:rPr>
              <w:t>IPI</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FE6CAE" w14:textId="064C367D" w:rsidR="00DF3962" w:rsidRDefault="00DF3962" w:rsidP="00843A66">
            <w:pPr>
              <w:jc w:val="center"/>
            </w:pPr>
            <w:r>
              <w:rPr>
                <w:rFonts w:ascii="Arial" w:eastAsia="Arial" w:hAnsi="Arial" w:cs="Arial"/>
                <w:sz w:val="20"/>
              </w:rPr>
              <w:t>58</w:t>
            </w:r>
            <w:r w:rsidR="0044622A">
              <w:rPr>
                <w:rFonts w:ascii="Arial" w:eastAsia="Arial" w:hAnsi="Arial" w:cs="Arial"/>
                <w:sz w:val="20"/>
              </w:rPr>
              <w:t>.</w:t>
            </w:r>
            <w:r w:rsidR="00843A66">
              <w:rPr>
                <w:rFonts w:ascii="Arial" w:eastAsia="Arial" w:hAnsi="Arial" w:cs="Arial"/>
                <w:sz w:val="20"/>
              </w:rPr>
              <w:t>8</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9C1E1D" w14:textId="37F77EF4" w:rsidR="00DF3962" w:rsidRDefault="00DF3962" w:rsidP="00DA5B2C">
            <w:pPr>
              <w:jc w:val="center"/>
            </w:pPr>
            <w:r>
              <w:rPr>
                <w:rFonts w:ascii="Arial" w:eastAsia="Arial" w:hAnsi="Arial" w:cs="Arial"/>
                <w:sz w:val="20"/>
              </w:rPr>
              <w:t>78</w:t>
            </w:r>
            <w:r w:rsidR="0044622A">
              <w:rPr>
                <w:rFonts w:ascii="Arial" w:eastAsia="Arial" w:hAnsi="Arial" w:cs="Arial"/>
                <w:sz w:val="20"/>
              </w:rPr>
              <w:t>.</w:t>
            </w:r>
            <w:r>
              <w:rPr>
                <w:rFonts w:ascii="Arial" w:eastAsia="Arial" w:hAnsi="Arial" w:cs="Arial"/>
                <w:sz w:val="20"/>
              </w:rPr>
              <w:t>9</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3BFC47" w14:textId="34D31547" w:rsidR="00DF3962" w:rsidRDefault="00DF3962" w:rsidP="00DA5B2C">
            <w:pPr>
              <w:jc w:val="center"/>
            </w:pPr>
            <w:r>
              <w:rPr>
                <w:rFonts w:ascii="Arial" w:eastAsia="Arial" w:hAnsi="Arial" w:cs="Arial"/>
                <w:sz w:val="20"/>
              </w:rPr>
              <w:t>20</w:t>
            </w:r>
            <w:r w:rsidR="0044622A">
              <w:rPr>
                <w:rFonts w:ascii="Arial" w:eastAsia="Arial" w:hAnsi="Arial" w:cs="Arial"/>
                <w:sz w:val="20"/>
              </w:rPr>
              <w:t>.</w:t>
            </w:r>
            <w:r w:rsidR="00843A66">
              <w:rPr>
                <w:rFonts w:ascii="Arial" w:eastAsia="Arial" w:hAnsi="Arial" w:cs="Arial"/>
                <w:sz w:val="20"/>
              </w:rPr>
              <w:t>1</w:t>
            </w:r>
          </w:p>
        </w:tc>
      </w:tr>
      <w:tr w:rsidR="00DF3962" w14:paraId="03F9EFB4" w14:textId="77777777" w:rsidTr="00DA5B2C">
        <w:trPr>
          <w:jc w:val="center"/>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7D7341" w14:textId="77777777" w:rsidR="00DF3962" w:rsidRDefault="00DF3962" w:rsidP="00DA5B2C">
            <w:pPr>
              <w:jc w:val="center"/>
            </w:pPr>
            <w:r>
              <w:rPr>
                <w:rFonts w:ascii="Arial" w:eastAsia="Arial" w:hAnsi="Arial" w:cs="Arial"/>
                <w:sz w:val="20"/>
              </w:rPr>
              <w:t>PPID</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BB3970" w14:textId="7FF21867" w:rsidR="00DF3962" w:rsidRDefault="00375596" w:rsidP="00375596">
            <w:pPr>
              <w:jc w:val="center"/>
            </w:pPr>
            <w:r>
              <w:rPr>
                <w:rFonts w:ascii="Arial" w:eastAsia="Arial" w:hAnsi="Arial" w:cs="Arial"/>
                <w:sz w:val="20"/>
              </w:rPr>
              <w:t>79</w:t>
            </w:r>
            <w:r w:rsidR="0044622A">
              <w:rPr>
                <w:rFonts w:ascii="Arial" w:eastAsia="Arial" w:hAnsi="Arial" w:cs="Arial"/>
                <w:sz w:val="20"/>
              </w:rPr>
              <w:t>.</w:t>
            </w:r>
            <w:r>
              <w:rPr>
                <w:rFonts w:ascii="Arial" w:eastAsia="Arial" w:hAnsi="Arial" w:cs="Arial"/>
                <w:sz w:val="20"/>
              </w:rPr>
              <w:t>9</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9759B4" w14:textId="08A03A49" w:rsidR="00DF3962" w:rsidRDefault="00DF3962" w:rsidP="00DA5B2C">
            <w:pPr>
              <w:jc w:val="center"/>
            </w:pPr>
            <w:r>
              <w:rPr>
                <w:rFonts w:ascii="Arial" w:eastAsia="Arial" w:hAnsi="Arial" w:cs="Arial"/>
                <w:sz w:val="20"/>
              </w:rPr>
              <w:t>91</w:t>
            </w:r>
            <w:r w:rsidR="0044622A">
              <w:rPr>
                <w:rFonts w:ascii="Arial" w:eastAsia="Arial" w:hAnsi="Arial" w:cs="Arial"/>
                <w:sz w:val="20"/>
              </w:rPr>
              <w:t>.</w:t>
            </w:r>
            <w:r>
              <w:rPr>
                <w:rFonts w:ascii="Arial" w:eastAsia="Arial" w:hAnsi="Arial" w:cs="Arial"/>
                <w:sz w:val="20"/>
              </w:rPr>
              <w:t>8</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A5903F7" w14:textId="059F1FD5" w:rsidR="00DF3962" w:rsidRDefault="00DF3962" w:rsidP="00250A65">
            <w:pPr>
              <w:jc w:val="center"/>
            </w:pPr>
            <w:r>
              <w:rPr>
                <w:rFonts w:ascii="Arial" w:eastAsia="Arial" w:hAnsi="Arial" w:cs="Arial"/>
                <w:sz w:val="20"/>
              </w:rPr>
              <w:t>11</w:t>
            </w:r>
            <w:r w:rsidR="0044622A">
              <w:rPr>
                <w:rFonts w:ascii="Arial" w:eastAsia="Arial" w:hAnsi="Arial" w:cs="Arial"/>
                <w:sz w:val="20"/>
              </w:rPr>
              <w:t>.</w:t>
            </w:r>
            <w:r w:rsidR="00250A65">
              <w:rPr>
                <w:rFonts w:ascii="Arial" w:eastAsia="Arial" w:hAnsi="Arial" w:cs="Arial"/>
                <w:sz w:val="20"/>
              </w:rPr>
              <w:t>9</w:t>
            </w:r>
          </w:p>
        </w:tc>
      </w:tr>
    </w:tbl>
    <w:p w14:paraId="1F6FF1E7" w14:textId="3B844F5E" w:rsidR="00405418" w:rsidRPr="00EA7054" w:rsidRDefault="00DF3962" w:rsidP="00DF3962">
      <w:pPr>
        <w:spacing w:after="0" w:line="360" w:lineRule="auto"/>
        <w:jc w:val="both"/>
        <w:rPr>
          <w:rFonts w:ascii="Arial" w:eastAsia="Arial" w:hAnsi="Arial" w:cs="Arial"/>
          <w:sz w:val="20"/>
          <w:lang w:val="en-US"/>
        </w:rPr>
      </w:pPr>
      <w:r w:rsidRPr="00EA7054">
        <w:rPr>
          <w:rFonts w:ascii="Arial" w:eastAsia="Arial" w:hAnsi="Arial" w:cs="Arial"/>
          <w:sz w:val="20"/>
          <w:lang w:val="en-US"/>
        </w:rPr>
        <w:t>Source</w:t>
      </w:r>
      <w:r w:rsidRPr="002074E6">
        <w:rPr>
          <w:rFonts w:ascii="Arial" w:eastAsia="Arial" w:hAnsi="Arial" w:cs="Arial"/>
          <w:sz w:val="20"/>
          <w:lang w:val="en-US"/>
        </w:rPr>
        <w:t xml:space="preserve">: </w:t>
      </w:r>
      <w:r w:rsidR="00C407BD" w:rsidRPr="006C69AC">
        <w:rPr>
          <w:rFonts w:ascii="Arial" w:hAnsi="Arial" w:cs="Arial"/>
          <w:sz w:val="20"/>
          <w:szCs w:val="20"/>
          <w:lang w:val="en-US"/>
        </w:rPr>
        <w:t>Elaboration on data extracted from Business Statistical Portal</w:t>
      </w:r>
    </w:p>
    <w:p w14:paraId="4716B546" w14:textId="12761366" w:rsidR="00DF3962" w:rsidRPr="00EA7054" w:rsidRDefault="00DF3962" w:rsidP="00DF3962">
      <w:pPr>
        <w:jc w:val="both"/>
        <w:rPr>
          <w:rFonts w:ascii="Arial" w:eastAsia="Arial" w:hAnsi="Arial" w:cs="Arial"/>
          <w:b/>
          <w:sz w:val="20"/>
          <w:lang w:val="en-US"/>
        </w:rPr>
      </w:pPr>
      <w:r w:rsidRPr="00EA7054">
        <w:rPr>
          <w:rFonts w:ascii="Arial" w:eastAsia="Arial" w:hAnsi="Arial" w:cs="Arial"/>
          <w:b/>
          <w:sz w:val="20"/>
          <w:lang w:val="en-US"/>
        </w:rPr>
        <w:t xml:space="preserve">Table 5. </w:t>
      </w:r>
      <w:r w:rsidR="00981BAA">
        <w:rPr>
          <w:rFonts w:ascii="Arial" w:eastAsia="Arial" w:hAnsi="Arial" w:cs="Arial"/>
          <w:b/>
          <w:sz w:val="20"/>
          <w:lang w:val="en-US"/>
        </w:rPr>
        <w:t>S</w:t>
      </w:r>
      <w:r w:rsidRPr="00EA7054">
        <w:rPr>
          <w:rFonts w:ascii="Arial" w:eastAsia="Arial" w:hAnsi="Arial" w:cs="Arial"/>
          <w:b/>
          <w:sz w:val="20"/>
          <w:lang w:val="en-US"/>
        </w:rPr>
        <w:t xml:space="preserve">hort-term surveys, </w:t>
      </w:r>
      <w:r w:rsidR="00131E27">
        <w:rPr>
          <w:rFonts w:ascii="Arial" w:eastAsia="Arial" w:hAnsi="Arial" w:cs="Arial"/>
          <w:b/>
          <w:sz w:val="20"/>
          <w:lang w:val="en-US"/>
        </w:rPr>
        <w:t xml:space="preserve">average </w:t>
      </w:r>
      <w:r w:rsidRPr="00EA7054">
        <w:rPr>
          <w:rFonts w:ascii="Arial" w:eastAsia="Arial" w:hAnsi="Arial" w:cs="Arial"/>
          <w:b/>
          <w:sz w:val="20"/>
          <w:lang w:val="en-US"/>
        </w:rPr>
        <w:t>response rate</w:t>
      </w:r>
      <w:r w:rsidR="00EE1BD5">
        <w:rPr>
          <w:rFonts w:ascii="Arial" w:eastAsia="Arial" w:hAnsi="Arial" w:cs="Arial"/>
          <w:b/>
          <w:sz w:val="20"/>
          <w:lang w:val="en-US"/>
        </w:rPr>
        <w:t>s</w:t>
      </w:r>
      <w:r w:rsidRPr="00EA7054">
        <w:rPr>
          <w:rFonts w:ascii="Arial" w:eastAsia="Arial" w:hAnsi="Arial" w:cs="Arial"/>
          <w:b/>
          <w:sz w:val="20"/>
          <w:lang w:val="en-US"/>
        </w:rPr>
        <w:t xml:space="preserve"> for enterprises</w:t>
      </w:r>
      <w:r w:rsidRPr="00E06362">
        <w:rPr>
          <w:rFonts w:ascii="Arial" w:eastAsia="Arial" w:hAnsi="Arial" w:cs="Arial"/>
          <w:b/>
          <w:sz w:val="20"/>
          <w:lang w:val="en-US"/>
        </w:rPr>
        <w:t xml:space="preserve"> </w:t>
      </w:r>
      <w:r w:rsidR="00062022">
        <w:rPr>
          <w:rFonts w:ascii="Arial" w:eastAsia="Arial" w:hAnsi="Arial" w:cs="Arial"/>
          <w:b/>
          <w:sz w:val="20"/>
          <w:lang w:val="en-US"/>
        </w:rPr>
        <w:t>having</w:t>
      </w:r>
      <w:r w:rsidRPr="00EA7054">
        <w:rPr>
          <w:rFonts w:ascii="Arial" w:eastAsia="Arial" w:hAnsi="Arial" w:cs="Arial"/>
          <w:b/>
          <w:sz w:val="20"/>
          <w:lang w:val="en-US"/>
        </w:rPr>
        <w:t xml:space="preserve"> at least 100 employees</w:t>
      </w:r>
      <w:r w:rsidRPr="00E06362">
        <w:rPr>
          <w:rFonts w:ascii="Arial" w:eastAsia="Arial" w:hAnsi="Arial" w:cs="Arial"/>
          <w:b/>
          <w:sz w:val="20"/>
          <w:lang w:val="en-US"/>
        </w:rPr>
        <w:t xml:space="preserve"> </w:t>
      </w:r>
      <w:r w:rsidRPr="00EA7054">
        <w:rPr>
          <w:rFonts w:ascii="Arial" w:eastAsia="Arial" w:hAnsi="Arial" w:cs="Arial"/>
          <w:b/>
          <w:sz w:val="20"/>
          <w:lang w:val="en-US"/>
        </w:rPr>
        <w:t>– I</w:t>
      </w:r>
      <w:r w:rsidRPr="00E06362">
        <w:rPr>
          <w:rFonts w:ascii="Arial" w:eastAsia="Arial" w:hAnsi="Arial" w:cs="Arial"/>
          <w:b/>
          <w:sz w:val="20"/>
          <w:lang w:val="en-US"/>
        </w:rPr>
        <w:t xml:space="preserve"> </w:t>
      </w:r>
      <w:r w:rsidRPr="00EA7054">
        <w:rPr>
          <w:rFonts w:ascii="Arial" w:eastAsia="Arial" w:hAnsi="Arial" w:cs="Arial"/>
          <w:b/>
          <w:sz w:val="20"/>
          <w:lang w:val="en-US"/>
        </w:rPr>
        <w:t>Quarter, years 2016</w:t>
      </w:r>
      <w:r w:rsidR="00981BAA">
        <w:rPr>
          <w:rFonts w:ascii="Arial" w:eastAsia="Arial" w:hAnsi="Arial" w:cs="Arial"/>
          <w:b/>
          <w:sz w:val="20"/>
          <w:lang w:val="en-US"/>
        </w:rPr>
        <w:t xml:space="preserve"> (pre CDC)</w:t>
      </w:r>
      <w:r w:rsidRPr="00EA7054">
        <w:rPr>
          <w:rFonts w:ascii="Arial" w:eastAsia="Arial" w:hAnsi="Arial" w:cs="Arial"/>
          <w:b/>
          <w:sz w:val="20"/>
          <w:lang w:val="en-US"/>
        </w:rPr>
        <w:t xml:space="preserve"> </w:t>
      </w:r>
      <w:r w:rsidR="00062022">
        <w:rPr>
          <w:rFonts w:ascii="Arial" w:eastAsia="Arial" w:hAnsi="Arial" w:cs="Arial"/>
          <w:b/>
          <w:sz w:val="20"/>
          <w:lang w:val="en-US"/>
        </w:rPr>
        <w:t>and</w:t>
      </w:r>
      <w:r w:rsidR="00062022" w:rsidRPr="00EA7054">
        <w:rPr>
          <w:rFonts w:ascii="Arial" w:eastAsia="Arial" w:hAnsi="Arial" w:cs="Arial"/>
          <w:b/>
          <w:sz w:val="20"/>
          <w:lang w:val="en-US"/>
        </w:rPr>
        <w:t xml:space="preserve"> </w:t>
      </w:r>
      <w:r w:rsidRPr="00EA7054">
        <w:rPr>
          <w:rFonts w:ascii="Arial" w:eastAsia="Arial" w:hAnsi="Arial" w:cs="Arial"/>
          <w:b/>
          <w:sz w:val="20"/>
          <w:lang w:val="en-US"/>
        </w:rPr>
        <w:t>2018</w:t>
      </w:r>
    </w:p>
    <w:tbl>
      <w:tblPr>
        <w:tblW w:w="0" w:type="auto"/>
        <w:tblInd w:w="108" w:type="dxa"/>
        <w:tblCellMar>
          <w:left w:w="10" w:type="dxa"/>
          <w:right w:w="10" w:type="dxa"/>
        </w:tblCellMar>
        <w:tblLook w:val="0000" w:firstRow="0" w:lastRow="0" w:firstColumn="0" w:lastColumn="0" w:noHBand="0" w:noVBand="0"/>
      </w:tblPr>
      <w:tblGrid>
        <w:gridCol w:w="2075"/>
        <w:gridCol w:w="2619"/>
        <w:gridCol w:w="2211"/>
        <w:gridCol w:w="2047"/>
      </w:tblGrid>
      <w:tr w:rsidR="00004B88" w14:paraId="59C46B62" w14:textId="77777777" w:rsidTr="008C5892">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508E8" w14:textId="77777777" w:rsidR="00004B88" w:rsidRDefault="00004B88" w:rsidP="00026B6A">
            <w:pPr>
              <w:jc w:val="center"/>
            </w:pPr>
            <w:r>
              <w:rPr>
                <w:rFonts w:ascii="Arial" w:eastAsia="Arial" w:hAnsi="Arial" w:cs="Arial"/>
                <w:sz w:val="20"/>
              </w:rPr>
              <w:t>Survey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A39B41" w14:textId="30A5764E" w:rsidR="00004B88" w:rsidRDefault="00004B88" w:rsidP="00026B6A">
            <w:pPr>
              <w:jc w:val="center"/>
            </w:pPr>
            <w:r>
              <w:rPr>
                <w:rFonts w:ascii="Arial" w:eastAsia="Arial" w:hAnsi="Arial" w:cs="Arial"/>
                <w:sz w:val="20"/>
              </w:rPr>
              <w:t>I quarter 2016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87C077" w14:textId="71CDA04C" w:rsidR="00004B88" w:rsidRPr="0096747C" w:rsidRDefault="00004B88" w:rsidP="0096747C">
            <w:pPr>
              <w:jc w:val="center"/>
              <w:rPr>
                <w:rFonts w:ascii="Arial" w:eastAsia="Arial" w:hAnsi="Arial" w:cs="Arial"/>
                <w:sz w:val="20"/>
              </w:rPr>
            </w:pPr>
            <w:r>
              <w:rPr>
                <w:rFonts w:ascii="Arial" w:eastAsia="Arial" w:hAnsi="Arial" w:cs="Arial"/>
                <w:sz w:val="20"/>
              </w:rPr>
              <w:t>I quarter 2018</w:t>
            </w:r>
            <w:r w:rsidR="0096747C">
              <w:rPr>
                <w:rFonts w:ascii="Arial" w:eastAsia="Arial" w:hAnsi="Arial" w:cs="Arial"/>
                <w:sz w:val="20"/>
              </w:rPr>
              <w:t xml:space="preserve"> </w:t>
            </w:r>
            <w:r>
              <w:rPr>
                <w:rFonts w:ascii="Arial" w:eastAsia="Arial" w:hAnsi="Arial" w:cs="Arial"/>
                <w:sz w:val="20"/>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EF6361" w14:textId="46D8E35E" w:rsidR="00004B88" w:rsidRDefault="00E06362" w:rsidP="00EE1BD5">
            <w:pPr>
              <w:jc w:val="center"/>
            </w:pPr>
            <w:r w:rsidRPr="00E06362">
              <w:rPr>
                <w:rFonts w:ascii="Arial" w:eastAsia="Arial" w:hAnsi="Arial" w:cs="Arial"/>
                <w:i/>
                <w:sz w:val="20"/>
              </w:rPr>
              <w:t>pp</w:t>
            </w:r>
            <w:r w:rsidR="00EE1BD5" w:rsidRPr="002074E6">
              <w:rPr>
                <w:rFonts w:ascii="Arial" w:eastAsia="Arial" w:hAnsi="Arial" w:cs="Arial"/>
                <w:sz w:val="20"/>
              </w:rPr>
              <w:t xml:space="preserve"> variation</w:t>
            </w:r>
          </w:p>
        </w:tc>
      </w:tr>
      <w:tr w:rsidR="00DF3962" w14:paraId="4C2868E8"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88510" w14:textId="3D75BF30" w:rsidR="00DF3962" w:rsidRDefault="00BC2396" w:rsidP="00DB4263">
            <w:pPr>
              <w:jc w:val="center"/>
            </w:pPr>
            <w:r>
              <w:rPr>
                <w:rFonts w:ascii="Arial" w:eastAsia="Arial" w:hAnsi="Arial" w:cs="Arial"/>
                <w:sz w:val="20"/>
              </w:rPr>
              <w:t>MRS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59752" w14:textId="07909DCD" w:rsidR="00DF3962" w:rsidRDefault="00DF3962" w:rsidP="00131E27">
            <w:pPr>
              <w:jc w:val="center"/>
            </w:pPr>
            <w:r>
              <w:rPr>
                <w:rFonts w:ascii="Arial" w:eastAsia="Arial" w:hAnsi="Arial" w:cs="Arial"/>
                <w:sz w:val="20"/>
              </w:rPr>
              <w:t>51</w:t>
            </w:r>
            <w:r w:rsidR="0044622A">
              <w:rPr>
                <w:rFonts w:ascii="Arial" w:eastAsia="Arial" w:hAnsi="Arial" w:cs="Arial"/>
                <w:sz w:val="20"/>
              </w:rPr>
              <w:t>.</w:t>
            </w:r>
            <w:r w:rsidR="00843A66">
              <w:rPr>
                <w:rFonts w:ascii="Arial" w:eastAsia="Arial" w:hAnsi="Arial" w:cs="Arial"/>
                <w:sz w:val="20"/>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AFCD5" w14:textId="3615CA04" w:rsidR="00DF3962" w:rsidRDefault="00DF3962" w:rsidP="00131E27">
            <w:pPr>
              <w:jc w:val="center"/>
            </w:pPr>
            <w:r>
              <w:rPr>
                <w:rFonts w:ascii="Arial" w:eastAsia="Arial" w:hAnsi="Arial" w:cs="Arial"/>
                <w:sz w:val="20"/>
              </w:rPr>
              <w:t>78</w:t>
            </w:r>
            <w:r w:rsidR="0044622A">
              <w:rPr>
                <w:rFonts w:ascii="Arial" w:eastAsia="Arial" w:hAnsi="Arial" w:cs="Arial"/>
                <w:sz w:val="20"/>
              </w:rPr>
              <w:t>.</w:t>
            </w:r>
            <w:r>
              <w:rPr>
                <w:rFonts w:ascii="Arial" w:eastAsia="Arial" w:hAnsi="Arial" w:cs="Arial"/>
                <w:sz w:val="20"/>
              </w:rPr>
              <w:t>1</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23B44" w14:textId="483D898E" w:rsidR="00DF3962" w:rsidRDefault="00DF3962">
            <w:pPr>
              <w:jc w:val="center"/>
            </w:pPr>
            <w:r>
              <w:rPr>
                <w:rFonts w:ascii="Arial" w:eastAsia="Arial" w:hAnsi="Arial" w:cs="Arial"/>
                <w:sz w:val="20"/>
              </w:rPr>
              <w:t>26</w:t>
            </w:r>
            <w:r w:rsidR="0044622A">
              <w:rPr>
                <w:rFonts w:ascii="Arial" w:eastAsia="Arial" w:hAnsi="Arial" w:cs="Arial"/>
                <w:sz w:val="20"/>
              </w:rPr>
              <w:t>.</w:t>
            </w:r>
            <w:r w:rsidR="00843A66">
              <w:rPr>
                <w:rFonts w:ascii="Arial" w:eastAsia="Arial" w:hAnsi="Arial" w:cs="Arial"/>
                <w:sz w:val="20"/>
              </w:rPr>
              <w:t>2</w:t>
            </w:r>
          </w:p>
        </w:tc>
      </w:tr>
      <w:tr w:rsidR="00DF3962" w14:paraId="36E28976"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D77E1" w14:textId="77777777" w:rsidR="00DF3962" w:rsidRDefault="00DF3962" w:rsidP="00DB4263">
            <w:pPr>
              <w:jc w:val="center"/>
            </w:pPr>
            <w:r>
              <w:rPr>
                <w:rFonts w:ascii="Arial" w:eastAsia="Arial" w:hAnsi="Arial" w:cs="Arial"/>
                <w:sz w:val="20"/>
              </w:rPr>
              <w:t>IPI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CC648" w14:textId="065AC454" w:rsidR="00DF3962" w:rsidRDefault="00843A66" w:rsidP="00131E27">
            <w:pPr>
              <w:jc w:val="center"/>
            </w:pPr>
            <w:r>
              <w:rPr>
                <w:rFonts w:ascii="Arial" w:eastAsia="Arial" w:hAnsi="Arial" w:cs="Arial"/>
                <w:sz w:val="20"/>
              </w:rPr>
              <w:t>60.2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4FA64D" w14:textId="2431D27E" w:rsidR="00DF3962" w:rsidRDefault="00DF3962" w:rsidP="00131E27">
            <w:pPr>
              <w:jc w:val="center"/>
            </w:pPr>
            <w:r>
              <w:rPr>
                <w:rFonts w:ascii="Arial" w:eastAsia="Arial" w:hAnsi="Arial" w:cs="Arial"/>
                <w:sz w:val="20"/>
              </w:rPr>
              <w:t>84</w:t>
            </w:r>
            <w:r w:rsidR="0044622A">
              <w:rPr>
                <w:rFonts w:ascii="Arial" w:eastAsia="Arial" w:hAnsi="Arial" w:cs="Arial"/>
                <w:sz w:val="20"/>
              </w:rPr>
              <w:t>.</w:t>
            </w:r>
            <w:r>
              <w:rPr>
                <w:rFonts w:ascii="Arial" w:eastAsia="Arial" w:hAnsi="Arial" w:cs="Arial"/>
                <w:sz w:val="20"/>
              </w:rPr>
              <w:t>6</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BB243" w14:textId="0203B29E" w:rsidR="00DF3962" w:rsidRDefault="00843A66">
            <w:pPr>
              <w:jc w:val="center"/>
            </w:pPr>
            <w:r>
              <w:rPr>
                <w:rFonts w:ascii="Arial" w:eastAsia="Arial" w:hAnsi="Arial" w:cs="Arial"/>
                <w:sz w:val="20"/>
              </w:rPr>
              <w:t>24.4</w:t>
            </w:r>
          </w:p>
        </w:tc>
      </w:tr>
      <w:tr w:rsidR="00DF3962" w14:paraId="0D9CE67D"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03488" w14:textId="77777777" w:rsidR="00DF3962" w:rsidRDefault="00DF3962" w:rsidP="00DB4263">
            <w:pPr>
              <w:jc w:val="center"/>
            </w:pPr>
            <w:r>
              <w:rPr>
                <w:rFonts w:ascii="Arial" w:eastAsia="Arial" w:hAnsi="Arial" w:cs="Arial"/>
                <w:sz w:val="20"/>
              </w:rPr>
              <w:t>PPID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C15E2" w14:textId="632A881B" w:rsidR="00DF3962" w:rsidRDefault="00DF3962" w:rsidP="00131E27">
            <w:pPr>
              <w:jc w:val="center"/>
            </w:pPr>
            <w:r>
              <w:rPr>
                <w:rFonts w:ascii="Arial" w:eastAsia="Arial" w:hAnsi="Arial" w:cs="Arial"/>
                <w:sz w:val="20"/>
              </w:rPr>
              <w:t>76</w:t>
            </w:r>
            <w:r w:rsidR="0044622A">
              <w:rPr>
                <w:rFonts w:ascii="Arial" w:eastAsia="Arial" w:hAnsi="Arial" w:cs="Arial"/>
                <w:sz w:val="20"/>
              </w:rPr>
              <w:t>.</w:t>
            </w:r>
            <w:r w:rsidR="00843A66">
              <w:rPr>
                <w:rFonts w:ascii="Arial" w:eastAsia="Arial" w:hAnsi="Arial" w:cs="Arial"/>
                <w:sz w:val="20"/>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035B9" w14:textId="162262F7" w:rsidR="00DF3962" w:rsidRDefault="00DF3962" w:rsidP="00131E27">
            <w:pPr>
              <w:jc w:val="center"/>
            </w:pPr>
            <w:r>
              <w:rPr>
                <w:rFonts w:ascii="Arial" w:eastAsia="Arial" w:hAnsi="Arial" w:cs="Arial"/>
                <w:sz w:val="20"/>
              </w:rPr>
              <w:t>94</w:t>
            </w:r>
            <w:r w:rsidR="0044622A">
              <w:rPr>
                <w:rFonts w:ascii="Arial" w:eastAsia="Arial" w:hAnsi="Arial" w:cs="Arial"/>
                <w:sz w:val="20"/>
              </w:rPr>
              <w:t>.</w:t>
            </w:r>
            <w:r>
              <w:rPr>
                <w:rFonts w:ascii="Arial" w:eastAsia="Arial" w:hAnsi="Arial" w:cs="Arial"/>
                <w:sz w:val="20"/>
              </w:rPr>
              <w:t>2</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9E402" w14:textId="7AAE2847" w:rsidR="00DF3962" w:rsidRDefault="00DF3962">
            <w:pPr>
              <w:jc w:val="center"/>
            </w:pPr>
            <w:r>
              <w:rPr>
                <w:rFonts w:ascii="Arial" w:eastAsia="Arial" w:hAnsi="Arial" w:cs="Arial"/>
                <w:sz w:val="20"/>
              </w:rPr>
              <w:t>1</w:t>
            </w:r>
            <w:r w:rsidR="00843A66">
              <w:rPr>
                <w:rFonts w:ascii="Arial" w:eastAsia="Arial" w:hAnsi="Arial" w:cs="Arial"/>
                <w:sz w:val="20"/>
              </w:rPr>
              <w:t>7</w:t>
            </w:r>
            <w:r w:rsidR="0044622A">
              <w:rPr>
                <w:rFonts w:ascii="Arial" w:eastAsia="Arial" w:hAnsi="Arial" w:cs="Arial"/>
                <w:sz w:val="20"/>
              </w:rPr>
              <w:t>.</w:t>
            </w:r>
            <w:r w:rsidR="00843A66">
              <w:rPr>
                <w:rFonts w:ascii="Arial" w:eastAsia="Arial" w:hAnsi="Arial" w:cs="Arial"/>
                <w:sz w:val="20"/>
              </w:rPr>
              <w:t>6</w:t>
            </w:r>
          </w:p>
        </w:tc>
      </w:tr>
    </w:tbl>
    <w:p w14:paraId="57430101" w14:textId="69345CBE" w:rsidR="00DF3962" w:rsidRPr="002074E6" w:rsidRDefault="00DF3962" w:rsidP="00DF3962">
      <w:pPr>
        <w:spacing w:after="0" w:line="360" w:lineRule="auto"/>
        <w:jc w:val="both"/>
        <w:rPr>
          <w:rFonts w:ascii="Arial" w:hAnsi="Arial" w:cs="Arial"/>
          <w:sz w:val="20"/>
          <w:szCs w:val="20"/>
          <w:lang w:val="en-US"/>
        </w:rPr>
      </w:pPr>
      <w:r w:rsidRPr="002074E6">
        <w:rPr>
          <w:rFonts w:ascii="Arial" w:eastAsia="Arial" w:hAnsi="Arial" w:cs="Arial"/>
          <w:sz w:val="20"/>
          <w:lang w:val="en-US"/>
        </w:rPr>
        <w:t xml:space="preserve">Source: </w:t>
      </w:r>
      <w:r w:rsidR="00C407BD" w:rsidRPr="002074E6">
        <w:rPr>
          <w:rFonts w:ascii="Arial" w:hAnsi="Arial" w:cs="Arial"/>
          <w:sz w:val="20"/>
          <w:szCs w:val="20"/>
          <w:lang w:val="en-US"/>
        </w:rPr>
        <w:t>Elaboration on data extracted from Business Statistical Portal</w:t>
      </w:r>
    </w:p>
    <w:p w14:paraId="1B9E7218" w14:textId="5B6D3AEA" w:rsidR="00DF3962" w:rsidRPr="002074E6" w:rsidRDefault="00E759B7" w:rsidP="00E06362">
      <w:pPr>
        <w:jc w:val="both"/>
        <w:rPr>
          <w:rFonts w:ascii="Arial" w:eastAsia="Arial" w:hAnsi="Arial" w:cs="Arial"/>
          <w:b/>
          <w:sz w:val="20"/>
          <w:lang w:val="en-US"/>
        </w:rPr>
      </w:pPr>
      <w:r w:rsidRPr="002074E6">
        <w:rPr>
          <w:rFonts w:ascii="Arial" w:eastAsia="Arial" w:hAnsi="Arial" w:cs="Arial"/>
          <w:b/>
          <w:sz w:val="20"/>
          <w:lang w:val="en-US"/>
        </w:rPr>
        <w:t>Table 6</w:t>
      </w:r>
      <w:r w:rsidR="00DF3962" w:rsidRPr="002074E6">
        <w:rPr>
          <w:rFonts w:ascii="Arial" w:eastAsia="Arial" w:hAnsi="Arial" w:cs="Arial"/>
          <w:b/>
          <w:sz w:val="20"/>
          <w:lang w:val="en-US"/>
        </w:rPr>
        <w:t xml:space="preserve">. Business short-term surveys, </w:t>
      </w:r>
      <w:r w:rsidR="00062022" w:rsidRPr="002074E6">
        <w:rPr>
          <w:rFonts w:ascii="Arial" w:eastAsia="Arial" w:hAnsi="Arial" w:cs="Arial"/>
          <w:b/>
          <w:sz w:val="20"/>
          <w:lang w:val="en-US"/>
        </w:rPr>
        <w:t>number of</w:t>
      </w:r>
      <w:r w:rsidR="00DF3962" w:rsidRPr="002074E6">
        <w:rPr>
          <w:rFonts w:ascii="Arial" w:eastAsia="Arial" w:hAnsi="Arial" w:cs="Arial"/>
          <w:b/>
          <w:sz w:val="20"/>
          <w:lang w:val="en-US"/>
        </w:rPr>
        <w:t xml:space="preserve"> </w:t>
      </w:r>
      <w:r w:rsidR="00062022" w:rsidRPr="002074E6">
        <w:rPr>
          <w:rFonts w:ascii="Arial" w:eastAsia="Arial" w:hAnsi="Arial" w:cs="Arial"/>
          <w:b/>
          <w:sz w:val="20"/>
          <w:lang w:val="en-US"/>
        </w:rPr>
        <w:t xml:space="preserve">enterprises </w:t>
      </w:r>
      <w:r w:rsidR="00BD4309" w:rsidRPr="002074E6">
        <w:rPr>
          <w:rFonts w:ascii="Arial" w:eastAsia="Arial" w:hAnsi="Arial" w:cs="Arial"/>
          <w:b/>
          <w:sz w:val="20"/>
          <w:lang w:val="en-US"/>
        </w:rPr>
        <w:t xml:space="preserve">virtually </w:t>
      </w:r>
      <w:r w:rsidR="00062022" w:rsidRPr="002074E6">
        <w:rPr>
          <w:rFonts w:ascii="Arial" w:eastAsia="Arial" w:hAnsi="Arial" w:cs="Arial"/>
          <w:b/>
          <w:sz w:val="20"/>
          <w:lang w:val="en-US"/>
        </w:rPr>
        <w:t>subject to penalties</w:t>
      </w:r>
      <w:r w:rsidR="00DF3962" w:rsidRPr="002074E6">
        <w:rPr>
          <w:rFonts w:ascii="Arial" w:eastAsia="Arial" w:hAnsi="Arial" w:cs="Arial"/>
          <w:b/>
          <w:sz w:val="20"/>
          <w:lang w:val="en-US"/>
        </w:rPr>
        <w:t xml:space="preserve"> – I</w:t>
      </w:r>
      <w:r w:rsidR="00DF3962" w:rsidRPr="00E06362">
        <w:rPr>
          <w:rFonts w:ascii="Arial" w:eastAsia="Arial" w:hAnsi="Arial" w:cs="Arial"/>
          <w:b/>
          <w:sz w:val="20"/>
          <w:lang w:val="en-US"/>
        </w:rPr>
        <w:t xml:space="preserve"> </w:t>
      </w:r>
      <w:r w:rsidR="00DF3962" w:rsidRPr="002074E6">
        <w:rPr>
          <w:rFonts w:ascii="Arial" w:eastAsia="Arial" w:hAnsi="Arial" w:cs="Arial"/>
          <w:b/>
          <w:sz w:val="20"/>
          <w:lang w:val="en-US"/>
        </w:rPr>
        <w:t xml:space="preserve">Quarter, years 2016 </w:t>
      </w:r>
      <w:r w:rsidR="00062022" w:rsidRPr="002074E6">
        <w:rPr>
          <w:rFonts w:ascii="Arial" w:eastAsia="Arial" w:hAnsi="Arial" w:cs="Arial"/>
          <w:b/>
          <w:sz w:val="20"/>
          <w:lang w:val="en-US"/>
        </w:rPr>
        <w:t>and</w:t>
      </w:r>
      <w:r w:rsidR="00DF3962" w:rsidRPr="002074E6">
        <w:rPr>
          <w:rFonts w:ascii="Arial" w:eastAsia="Arial" w:hAnsi="Arial" w:cs="Arial"/>
          <w:b/>
          <w:sz w:val="20"/>
          <w:lang w:val="en-US"/>
        </w:rPr>
        <w:t xml:space="preserve"> 2018*</w:t>
      </w:r>
    </w:p>
    <w:tbl>
      <w:tblPr>
        <w:tblW w:w="0" w:type="auto"/>
        <w:tblInd w:w="108" w:type="dxa"/>
        <w:tblCellMar>
          <w:left w:w="10" w:type="dxa"/>
          <w:right w:w="10" w:type="dxa"/>
        </w:tblCellMar>
        <w:tblLook w:val="0000" w:firstRow="0" w:lastRow="0" w:firstColumn="0" w:lastColumn="0" w:noHBand="0" w:noVBand="0"/>
      </w:tblPr>
      <w:tblGrid>
        <w:gridCol w:w="2071"/>
        <w:gridCol w:w="2622"/>
        <w:gridCol w:w="2351"/>
        <w:gridCol w:w="1908"/>
      </w:tblGrid>
      <w:tr w:rsidR="00DF3962" w:rsidRPr="002074E6" w14:paraId="1B571FCD"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8BBF30" w14:textId="77777777" w:rsidR="00DF3962" w:rsidRPr="002074E6" w:rsidRDefault="00DF3962" w:rsidP="00131E27">
            <w:pPr>
              <w:jc w:val="center"/>
            </w:pPr>
            <w:r w:rsidRPr="002074E6">
              <w:rPr>
                <w:rFonts w:ascii="Arial" w:eastAsia="Arial" w:hAnsi="Arial" w:cs="Arial"/>
                <w:sz w:val="20"/>
              </w:rPr>
              <w:t>Survey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325E52" w14:textId="3CEFFE55" w:rsidR="00DF3962" w:rsidRPr="002074E6" w:rsidRDefault="0096747C" w:rsidP="00DB4263">
            <w:pPr>
              <w:jc w:val="center"/>
            </w:pPr>
            <w:r w:rsidRPr="002074E6">
              <w:rPr>
                <w:rFonts w:ascii="Arial" w:eastAsia="Arial" w:hAnsi="Arial" w:cs="Arial"/>
                <w:sz w:val="20"/>
              </w:rPr>
              <w:t xml:space="preserve">I quarter 2016 </w:t>
            </w:r>
            <w:r w:rsidR="00004B88" w:rsidRPr="002074E6">
              <w:rPr>
                <w:rFonts w:ascii="Arial" w:eastAsia="Arial" w:hAnsi="Arial" w:cs="Arial"/>
                <w:sz w:val="20"/>
              </w:rPr>
              <w:t>(number)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592702" w14:textId="5DFCDBE4" w:rsidR="00DF3962" w:rsidRPr="002074E6" w:rsidRDefault="0096747C" w:rsidP="00131E27">
            <w:pPr>
              <w:jc w:val="center"/>
            </w:pPr>
            <w:r w:rsidRPr="002074E6">
              <w:rPr>
                <w:rFonts w:ascii="Arial" w:eastAsia="Arial" w:hAnsi="Arial" w:cs="Arial"/>
                <w:sz w:val="20"/>
              </w:rPr>
              <w:t xml:space="preserve">I quarter 2018 </w:t>
            </w:r>
            <w:r w:rsidR="00004B88" w:rsidRPr="002074E6">
              <w:rPr>
                <w:rFonts w:ascii="Arial" w:eastAsia="Arial" w:hAnsi="Arial" w:cs="Arial"/>
                <w:sz w:val="20"/>
              </w:rPr>
              <w:t>(number)</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3A72E8" w14:textId="5F997E36" w:rsidR="00DF3962" w:rsidRPr="002074E6" w:rsidRDefault="00673D3C">
            <w:pPr>
              <w:jc w:val="center"/>
            </w:pPr>
            <w:r w:rsidRPr="002074E6">
              <w:rPr>
                <w:rFonts w:ascii="Arial" w:eastAsia="Arial" w:hAnsi="Arial" w:cs="Arial"/>
                <w:sz w:val="20"/>
              </w:rPr>
              <w:t xml:space="preserve">% </w:t>
            </w:r>
            <w:r w:rsidR="00062022" w:rsidRPr="002074E6">
              <w:rPr>
                <w:rFonts w:ascii="Arial" w:eastAsia="Arial" w:hAnsi="Arial" w:cs="Arial"/>
                <w:sz w:val="20"/>
              </w:rPr>
              <w:t>variation</w:t>
            </w:r>
          </w:p>
        </w:tc>
      </w:tr>
      <w:tr w:rsidR="00DF3962" w:rsidRPr="002074E6" w14:paraId="47783E08"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BB610" w14:textId="18D6C9BB" w:rsidR="00DF3962" w:rsidRPr="002074E6" w:rsidRDefault="00BC2396" w:rsidP="00DB4263">
            <w:pPr>
              <w:jc w:val="center"/>
            </w:pPr>
            <w:r w:rsidRPr="002074E6">
              <w:rPr>
                <w:rFonts w:ascii="Arial" w:eastAsia="Arial" w:hAnsi="Arial" w:cs="Arial"/>
                <w:sz w:val="20"/>
              </w:rPr>
              <w:t>MRS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485AA" w14:textId="6A25A7F5" w:rsidR="00DF3962" w:rsidRPr="002074E6" w:rsidRDefault="00DF3962" w:rsidP="00131E27">
            <w:pPr>
              <w:jc w:val="center"/>
            </w:pPr>
            <w:r w:rsidRPr="002074E6">
              <w:rPr>
                <w:rFonts w:ascii="Arial" w:eastAsia="Arial" w:hAnsi="Arial" w:cs="Arial"/>
                <w:sz w:val="20"/>
              </w:rPr>
              <w:t>13</w:t>
            </w:r>
            <w:r w:rsidR="00843A66">
              <w:rPr>
                <w:rFonts w:ascii="Arial" w:eastAsia="Arial" w:hAnsi="Arial" w:cs="Arial"/>
                <w:sz w:val="20"/>
              </w:rPr>
              <w:t>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89C5C" w14:textId="77777777" w:rsidR="00DF3962" w:rsidRPr="002074E6" w:rsidRDefault="00DF3962">
            <w:pPr>
              <w:jc w:val="center"/>
            </w:pPr>
            <w:r w:rsidRPr="002074E6">
              <w:rPr>
                <w:rFonts w:ascii="Arial" w:eastAsia="Arial" w:hAnsi="Arial" w:cs="Arial"/>
                <w:sz w:val="20"/>
              </w:rPr>
              <w:t>55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3217B" w14:textId="2BFA7F60" w:rsidR="00DF3962" w:rsidRPr="002074E6" w:rsidRDefault="00DF3962">
            <w:pPr>
              <w:jc w:val="center"/>
            </w:pPr>
            <w:r w:rsidRPr="002074E6">
              <w:rPr>
                <w:rFonts w:ascii="Arial" w:eastAsia="Arial" w:hAnsi="Arial" w:cs="Arial"/>
                <w:sz w:val="20"/>
              </w:rPr>
              <w:t>-5</w:t>
            </w:r>
            <w:r w:rsidR="00520BC6">
              <w:rPr>
                <w:rFonts w:ascii="Arial" w:eastAsia="Arial" w:hAnsi="Arial" w:cs="Arial"/>
                <w:sz w:val="20"/>
              </w:rPr>
              <w:t>6</w:t>
            </w:r>
            <w:r w:rsidR="0044622A">
              <w:rPr>
                <w:rFonts w:ascii="Arial" w:eastAsia="Arial" w:hAnsi="Arial" w:cs="Arial"/>
                <w:sz w:val="20"/>
              </w:rPr>
              <w:t>.</w:t>
            </w:r>
            <w:r w:rsidR="00520BC6">
              <w:rPr>
                <w:rFonts w:ascii="Arial" w:eastAsia="Arial" w:hAnsi="Arial" w:cs="Arial"/>
                <w:sz w:val="20"/>
              </w:rPr>
              <w:t>6</w:t>
            </w:r>
          </w:p>
        </w:tc>
      </w:tr>
      <w:tr w:rsidR="00DF3962" w:rsidRPr="002074E6" w14:paraId="482B014E"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08448" w14:textId="77777777" w:rsidR="00DF3962" w:rsidRPr="002074E6" w:rsidRDefault="00DF3962" w:rsidP="00DB4263">
            <w:pPr>
              <w:jc w:val="center"/>
            </w:pPr>
            <w:r w:rsidRPr="002074E6">
              <w:rPr>
                <w:rFonts w:ascii="Arial" w:eastAsia="Arial" w:hAnsi="Arial" w:cs="Arial"/>
                <w:sz w:val="20"/>
              </w:rPr>
              <w:t>IPI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FB405" w14:textId="15583469" w:rsidR="00DF3962" w:rsidRPr="002074E6" w:rsidRDefault="0044622A" w:rsidP="00131E27">
            <w:pPr>
              <w:jc w:val="center"/>
            </w:pPr>
            <w:r>
              <w:rPr>
                <w:rFonts w:ascii="Arial" w:eastAsia="Arial" w:hAnsi="Arial" w:cs="Arial"/>
                <w:sz w:val="20"/>
              </w:rPr>
              <w:t>1,</w:t>
            </w:r>
            <w:r w:rsidR="00DF3962" w:rsidRPr="002074E6">
              <w:rPr>
                <w:rFonts w:ascii="Arial" w:eastAsia="Arial" w:hAnsi="Arial" w:cs="Arial"/>
                <w:sz w:val="20"/>
              </w:rPr>
              <w:t>3</w:t>
            </w:r>
            <w:r w:rsidR="00843A66">
              <w:rPr>
                <w:rFonts w:ascii="Arial" w:eastAsia="Arial" w:hAnsi="Arial" w:cs="Arial"/>
                <w:sz w:val="20"/>
              </w:rPr>
              <w:t>34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9F303" w14:textId="77777777" w:rsidR="00DF3962" w:rsidRPr="002074E6" w:rsidRDefault="00DF3962">
            <w:pPr>
              <w:jc w:val="center"/>
            </w:pPr>
            <w:r w:rsidRPr="002074E6">
              <w:rPr>
                <w:rFonts w:ascii="Arial" w:eastAsia="Arial" w:hAnsi="Arial" w:cs="Arial"/>
                <w:sz w:val="20"/>
              </w:rPr>
              <w:t>532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CBA11" w14:textId="43F559DF" w:rsidR="00DF3962" w:rsidRPr="002074E6" w:rsidRDefault="00DF3962">
            <w:pPr>
              <w:jc w:val="center"/>
            </w:pPr>
            <w:r w:rsidRPr="002074E6">
              <w:rPr>
                <w:rFonts w:ascii="Arial" w:eastAsia="Arial" w:hAnsi="Arial" w:cs="Arial"/>
                <w:sz w:val="20"/>
              </w:rPr>
              <w:t>-60</w:t>
            </w:r>
            <w:r w:rsidR="0044622A">
              <w:rPr>
                <w:rFonts w:ascii="Arial" w:eastAsia="Arial" w:hAnsi="Arial" w:cs="Arial"/>
                <w:sz w:val="20"/>
              </w:rPr>
              <w:t>.</w:t>
            </w:r>
            <w:r w:rsidR="00520BC6">
              <w:rPr>
                <w:rFonts w:ascii="Arial" w:eastAsia="Arial" w:hAnsi="Arial" w:cs="Arial"/>
                <w:sz w:val="20"/>
              </w:rPr>
              <w:t>1</w:t>
            </w:r>
          </w:p>
        </w:tc>
      </w:tr>
      <w:tr w:rsidR="00DF3962" w:rsidRPr="002074E6" w14:paraId="6386E91B" w14:textId="77777777" w:rsidTr="00DB426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DF317" w14:textId="77777777" w:rsidR="00DF3962" w:rsidRPr="002074E6" w:rsidRDefault="00DF3962" w:rsidP="00DB4263">
            <w:pPr>
              <w:jc w:val="center"/>
            </w:pPr>
            <w:r w:rsidRPr="002074E6">
              <w:rPr>
                <w:rFonts w:ascii="Arial" w:eastAsia="Arial" w:hAnsi="Arial" w:cs="Arial"/>
                <w:sz w:val="20"/>
              </w:rPr>
              <w:t>PPID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38675" w14:textId="73DF5664" w:rsidR="00DF3962" w:rsidRPr="002074E6" w:rsidRDefault="00843A66" w:rsidP="00843A66">
            <w:pPr>
              <w:jc w:val="center"/>
            </w:pPr>
            <w:r w:rsidRPr="002074E6">
              <w:rPr>
                <w:rFonts w:ascii="Arial" w:eastAsia="Arial" w:hAnsi="Arial" w:cs="Arial"/>
                <w:sz w:val="20"/>
              </w:rPr>
              <w:t>3</w:t>
            </w:r>
            <w:r>
              <w:rPr>
                <w:rFonts w:ascii="Arial" w:eastAsia="Arial" w:hAnsi="Arial" w:cs="Arial"/>
                <w:sz w:val="20"/>
              </w:rPr>
              <w:t>78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A0CD3" w14:textId="77777777" w:rsidR="00DF3962" w:rsidRPr="002074E6" w:rsidRDefault="00DF3962">
            <w:pPr>
              <w:jc w:val="center"/>
            </w:pPr>
            <w:r w:rsidRPr="002074E6">
              <w:rPr>
                <w:rFonts w:ascii="Arial" w:eastAsia="Arial" w:hAnsi="Arial" w:cs="Arial"/>
                <w:sz w:val="20"/>
              </w:rPr>
              <w:t>111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AB7B7" w14:textId="3C3B8B16" w:rsidR="00DF3962" w:rsidRPr="002074E6" w:rsidRDefault="00DF3962">
            <w:pPr>
              <w:jc w:val="center"/>
            </w:pPr>
            <w:r w:rsidRPr="002074E6">
              <w:rPr>
                <w:rFonts w:ascii="Arial" w:eastAsia="Arial" w:hAnsi="Arial" w:cs="Arial"/>
                <w:sz w:val="20"/>
              </w:rPr>
              <w:t>-7</w:t>
            </w:r>
            <w:r w:rsidR="00520BC6">
              <w:rPr>
                <w:rFonts w:ascii="Arial" w:eastAsia="Arial" w:hAnsi="Arial" w:cs="Arial"/>
                <w:sz w:val="20"/>
              </w:rPr>
              <w:t>0</w:t>
            </w:r>
            <w:r w:rsidR="0044622A">
              <w:rPr>
                <w:rFonts w:ascii="Arial" w:eastAsia="Arial" w:hAnsi="Arial" w:cs="Arial"/>
                <w:sz w:val="20"/>
              </w:rPr>
              <w:t>.</w:t>
            </w:r>
            <w:r w:rsidR="00520BC6">
              <w:rPr>
                <w:rFonts w:ascii="Arial" w:eastAsia="Arial" w:hAnsi="Arial" w:cs="Arial"/>
                <w:sz w:val="20"/>
              </w:rPr>
              <w:t>6</w:t>
            </w:r>
          </w:p>
        </w:tc>
      </w:tr>
    </w:tbl>
    <w:p w14:paraId="4220864E" w14:textId="77777777" w:rsidR="002074E6" w:rsidRPr="00F70F4A" w:rsidRDefault="00DF3962" w:rsidP="002074E6">
      <w:pPr>
        <w:spacing w:after="0" w:line="360" w:lineRule="auto"/>
        <w:jc w:val="both"/>
        <w:rPr>
          <w:rFonts w:ascii="Arial" w:hAnsi="Arial" w:cs="Arial"/>
          <w:sz w:val="20"/>
          <w:szCs w:val="20"/>
          <w:lang w:val="en-US"/>
        </w:rPr>
      </w:pPr>
      <w:r w:rsidRPr="00F70F4A">
        <w:rPr>
          <w:rFonts w:ascii="Arial" w:eastAsia="Arial" w:hAnsi="Arial" w:cs="Arial"/>
          <w:sz w:val="20"/>
          <w:lang w:val="en-US"/>
        </w:rPr>
        <w:t xml:space="preserve">Source: </w:t>
      </w:r>
      <w:r w:rsidR="00C407BD" w:rsidRPr="00F70F4A">
        <w:rPr>
          <w:rFonts w:ascii="Arial" w:hAnsi="Arial" w:cs="Arial"/>
          <w:sz w:val="20"/>
          <w:szCs w:val="20"/>
          <w:lang w:val="en-US"/>
        </w:rPr>
        <w:t xml:space="preserve">Elaboration on data extracted </w:t>
      </w:r>
      <w:r w:rsidR="002074E6" w:rsidRPr="00F70F4A">
        <w:rPr>
          <w:rFonts w:ascii="Arial" w:hAnsi="Arial" w:cs="Arial"/>
          <w:sz w:val="20"/>
          <w:szCs w:val="20"/>
          <w:lang w:val="en-US"/>
        </w:rPr>
        <w:t>from Business Statistical Portal</w:t>
      </w:r>
    </w:p>
    <w:p w14:paraId="683C29A8" w14:textId="5B9ABAF7" w:rsidR="009D4201" w:rsidRPr="00DD1BE6" w:rsidRDefault="00DF3962" w:rsidP="00DF3962">
      <w:pPr>
        <w:autoSpaceDE w:val="0"/>
        <w:autoSpaceDN w:val="0"/>
        <w:adjustRightInd w:val="0"/>
        <w:spacing w:before="120" w:after="0" w:line="360" w:lineRule="auto"/>
        <w:rPr>
          <w:rFonts w:ascii="Arial" w:eastAsia="Arial" w:hAnsi="Arial" w:cs="Arial"/>
          <w:sz w:val="18"/>
          <w:lang w:val="en-US"/>
        </w:rPr>
      </w:pPr>
      <w:r w:rsidRPr="00F70F4A">
        <w:rPr>
          <w:rFonts w:ascii="Arial" w:eastAsia="Arial" w:hAnsi="Arial" w:cs="Arial"/>
          <w:sz w:val="20"/>
          <w:lang w:val="en-US"/>
        </w:rPr>
        <w:t xml:space="preserve">* </w:t>
      </w:r>
      <w:r w:rsidR="00DD1BE6">
        <w:rPr>
          <w:rFonts w:ascii="Arial" w:eastAsia="Arial" w:hAnsi="Arial" w:cs="Arial"/>
          <w:sz w:val="18"/>
          <w:lang w:val="en-US"/>
        </w:rPr>
        <w:t>N</w:t>
      </w:r>
      <w:r w:rsidR="002843AF" w:rsidRPr="00DD1BE6">
        <w:rPr>
          <w:rFonts w:ascii="Arial" w:eastAsia="Arial" w:hAnsi="Arial" w:cs="Arial"/>
          <w:sz w:val="18"/>
          <w:lang w:val="en-US"/>
        </w:rPr>
        <w:t xml:space="preserve">umber of enterprises </w:t>
      </w:r>
      <w:r w:rsidR="00C407BD" w:rsidRPr="00DD1BE6">
        <w:rPr>
          <w:rFonts w:ascii="Arial" w:eastAsia="Arial" w:hAnsi="Arial" w:cs="Arial"/>
          <w:sz w:val="18"/>
          <w:lang w:val="en-US"/>
        </w:rPr>
        <w:t>virtually</w:t>
      </w:r>
      <w:r w:rsidR="002843AF" w:rsidRPr="00DD1BE6">
        <w:rPr>
          <w:rFonts w:ascii="Arial" w:eastAsia="Arial" w:hAnsi="Arial" w:cs="Arial"/>
          <w:sz w:val="18"/>
          <w:lang w:val="en-US"/>
        </w:rPr>
        <w:t xml:space="preserve"> subject to penalties</w:t>
      </w:r>
      <w:r w:rsidRPr="00DD1BE6">
        <w:rPr>
          <w:rFonts w:ascii="Arial" w:eastAsia="Arial" w:hAnsi="Arial" w:cs="Arial"/>
          <w:sz w:val="18"/>
          <w:lang w:val="en-US"/>
        </w:rPr>
        <w:t xml:space="preserve"> is calculated at the end of the ‘</w:t>
      </w:r>
      <w:r w:rsidR="00092396" w:rsidRPr="00DD1BE6">
        <w:rPr>
          <w:rFonts w:ascii="Arial" w:eastAsia="Arial" w:hAnsi="Arial" w:cs="Arial"/>
          <w:sz w:val="18"/>
          <w:lang w:val="en-US"/>
        </w:rPr>
        <w:t>useful data deadline’</w:t>
      </w:r>
    </w:p>
    <w:p w14:paraId="492849B9" w14:textId="45FBBEC3" w:rsidR="00942A6D" w:rsidRPr="00B455CB" w:rsidRDefault="00A64BB1" w:rsidP="00A87676">
      <w:pPr>
        <w:spacing w:before="120" w:after="0" w:line="360" w:lineRule="auto"/>
        <w:jc w:val="both"/>
        <w:rPr>
          <w:rFonts w:ascii="Arial" w:hAnsi="Arial" w:cs="Arial"/>
          <w:sz w:val="24"/>
          <w:szCs w:val="24"/>
          <w:lang w:val="en-GB"/>
        </w:rPr>
      </w:pPr>
      <w:r w:rsidRPr="00B455CB">
        <w:rPr>
          <w:rFonts w:ascii="Arial" w:hAnsi="Arial" w:cs="Arial"/>
          <w:sz w:val="24"/>
          <w:szCs w:val="24"/>
          <w:lang w:val="en-GB"/>
        </w:rPr>
        <w:t>Given the results</w:t>
      </w:r>
      <w:r w:rsidR="00A87676" w:rsidRPr="00B455CB">
        <w:rPr>
          <w:rFonts w:ascii="Arial" w:hAnsi="Arial" w:cs="Arial"/>
          <w:sz w:val="24"/>
          <w:szCs w:val="24"/>
          <w:lang w:val="en-GB"/>
        </w:rPr>
        <w:t xml:space="preserve"> mentioned</w:t>
      </w:r>
      <w:r w:rsidRPr="00B455CB">
        <w:rPr>
          <w:rFonts w:ascii="Arial" w:hAnsi="Arial" w:cs="Arial"/>
          <w:sz w:val="24"/>
          <w:szCs w:val="24"/>
          <w:lang w:val="en-GB"/>
        </w:rPr>
        <w:t>,</w:t>
      </w:r>
      <w:r w:rsidR="00A87676" w:rsidRPr="00B455CB">
        <w:rPr>
          <w:rFonts w:ascii="Arial" w:hAnsi="Arial" w:cs="Arial"/>
          <w:sz w:val="24"/>
          <w:szCs w:val="24"/>
          <w:lang w:val="en-GB"/>
        </w:rPr>
        <w:t xml:space="preserve"> the main objective of the present </w:t>
      </w:r>
      <w:r w:rsidR="00A35438">
        <w:rPr>
          <w:rFonts w:ascii="Arial" w:hAnsi="Arial" w:cs="Arial"/>
          <w:sz w:val="24"/>
          <w:szCs w:val="24"/>
          <w:lang w:val="en-GB"/>
        </w:rPr>
        <w:t>document</w:t>
      </w:r>
      <w:r w:rsidR="00A35438" w:rsidRPr="00B455CB">
        <w:rPr>
          <w:rFonts w:ascii="Arial" w:hAnsi="Arial" w:cs="Arial"/>
          <w:sz w:val="24"/>
          <w:szCs w:val="24"/>
          <w:lang w:val="en-GB"/>
        </w:rPr>
        <w:t xml:space="preserve"> </w:t>
      </w:r>
      <w:r w:rsidR="00A87676" w:rsidRPr="00B455CB">
        <w:rPr>
          <w:rFonts w:ascii="Arial" w:hAnsi="Arial" w:cs="Arial"/>
          <w:sz w:val="24"/>
          <w:szCs w:val="24"/>
          <w:lang w:val="en-GB"/>
        </w:rPr>
        <w:t xml:space="preserve">is to point out the causes that explain both the increasing trend in response rates and data collection </w:t>
      </w:r>
      <w:r w:rsidR="00A87676" w:rsidRPr="00B455CB">
        <w:rPr>
          <w:rFonts w:ascii="Arial" w:hAnsi="Arial" w:cs="Arial"/>
          <w:sz w:val="24"/>
          <w:szCs w:val="24"/>
          <w:lang w:val="en-GB"/>
        </w:rPr>
        <w:lastRenderedPageBreak/>
        <w:t>period reduction.</w:t>
      </w:r>
      <w:r w:rsidR="00DD1BE6">
        <w:rPr>
          <w:rFonts w:ascii="Arial" w:hAnsi="Arial" w:cs="Arial"/>
          <w:sz w:val="24"/>
          <w:szCs w:val="24"/>
          <w:lang w:val="en-GB"/>
        </w:rPr>
        <w:t xml:space="preserve"> </w:t>
      </w:r>
      <w:r w:rsidR="00A87676" w:rsidRPr="00B455CB">
        <w:rPr>
          <w:rFonts w:ascii="Arial" w:hAnsi="Arial" w:cs="Arial"/>
          <w:sz w:val="24"/>
          <w:szCs w:val="24"/>
          <w:lang w:val="en-GB"/>
        </w:rPr>
        <w:t>As pointed out in the following</w:t>
      </w:r>
      <w:r w:rsidRPr="00B455CB">
        <w:rPr>
          <w:rFonts w:ascii="Arial" w:hAnsi="Arial" w:cs="Arial"/>
          <w:sz w:val="24"/>
          <w:szCs w:val="24"/>
          <w:lang w:val="en-GB"/>
        </w:rPr>
        <w:t>,</w:t>
      </w:r>
      <w:r w:rsidR="00A87676" w:rsidRPr="00B455CB">
        <w:rPr>
          <w:rFonts w:ascii="Arial" w:hAnsi="Arial" w:cs="Arial"/>
          <w:sz w:val="24"/>
          <w:szCs w:val="24"/>
          <w:lang w:val="en-GB"/>
        </w:rPr>
        <w:t xml:space="preserve"> the main causes concern organizational set-up solutions of the data collection processes, that involved increasing efficiency and standardization.</w:t>
      </w:r>
      <w:r w:rsidR="00C407BD" w:rsidRPr="00B455CB">
        <w:rPr>
          <w:rFonts w:ascii="Arial" w:hAnsi="Arial" w:cs="Arial"/>
          <w:sz w:val="24"/>
          <w:szCs w:val="24"/>
          <w:lang w:val="en-GB"/>
        </w:rPr>
        <w:t xml:space="preserve"> All the results were obtained thanks to the synergies established among DC structures, production structures and IT structure.</w:t>
      </w:r>
      <w:r w:rsidR="00DD1BE6">
        <w:rPr>
          <w:rFonts w:ascii="Arial" w:hAnsi="Arial" w:cs="Arial"/>
          <w:sz w:val="24"/>
          <w:szCs w:val="24"/>
          <w:lang w:val="en-GB"/>
        </w:rPr>
        <w:t xml:space="preserve"> </w:t>
      </w:r>
    </w:p>
    <w:p w14:paraId="26A876AB" w14:textId="21CE70EF" w:rsidR="00FB165E" w:rsidRPr="00B455CB" w:rsidRDefault="00942A6D" w:rsidP="00FB165E">
      <w:pPr>
        <w:spacing w:before="360" w:after="0" w:line="360" w:lineRule="auto"/>
        <w:jc w:val="both"/>
        <w:rPr>
          <w:rFonts w:ascii="Arial" w:hAnsi="Arial" w:cs="Arial"/>
          <w:b/>
          <w:sz w:val="24"/>
          <w:szCs w:val="24"/>
          <w:lang w:val="en-US"/>
        </w:rPr>
      </w:pPr>
      <w:r>
        <w:rPr>
          <w:rFonts w:ascii="Arial" w:hAnsi="Arial" w:cs="Arial"/>
          <w:b/>
          <w:sz w:val="24"/>
          <w:szCs w:val="24"/>
          <w:lang w:val="en-US"/>
        </w:rPr>
        <w:t>2</w:t>
      </w:r>
      <w:r w:rsidR="00FB165E" w:rsidRPr="00B455CB">
        <w:rPr>
          <w:rFonts w:ascii="Arial" w:hAnsi="Arial" w:cs="Arial"/>
          <w:b/>
          <w:sz w:val="24"/>
          <w:szCs w:val="24"/>
          <w:lang w:val="en-US"/>
        </w:rPr>
        <w:t>.</w:t>
      </w:r>
      <w:r w:rsidR="00FB165E" w:rsidRPr="00B455CB">
        <w:rPr>
          <w:rFonts w:ascii="Arial" w:hAnsi="Arial" w:cs="Arial"/>
          <w:b/>
          <w:sz w:val="24"/>
          <w:szCs w:val="24"/>
          <w:lang w:val="en-US"/>
        </w:rPr>
        <w:tab/>
      </w:r>
      <w:r w:rsidR="007F4613" w:rsidRPr="00B455CB">
        <w:rPr>
          <w:rFonts w:ascii="Arial" w:hAnsi="Arial" w:cs="Arial"/>
          <w:b/>
          <w:sz w:val="24"/>
          <w:szCs w:val="24"/>
          <w:lang w:val="en-US"/>
        </w:rPr>
        <w:t>Innovations introduced in the field of DC implementation</w:t>
      </w:r>
    </w:p>
    <w:p w14:paraId="70A13441" w14:textId="34FEE9A9" w:rsidR="00070C8C" w:rsidRPr="00B455CB" w:rsidRDefault="00942A6D" w:rsidP="0018686D">
      <w:pPr>
        <w:spacing w:before="120" w:after="0" w:line="360" w:lineRule="auto"/>
        <w:jc w:val="both"/>
        <w:rPr>
          <w:rFonts w:ascii="Arial" w:hAnsi="Arial" w:cs="Arial"/>
          <w:i/>
          <w:sz w:val="24"/>
          <w:szCs w:val="24"/>
          <w:lang w:val="en-US"/>
        </w:rPr>
      </w:pPr>
      <w:r>
        <w:rPr>
          <w:rFonts w:ascii="Arial" w:hAnsi="Arial" w:cs="Arial"/>
          <w:i/>
          <w:sz w:val="24"/>
          <w:szCs w:val="24"/>
          <w:lang w:val="en-US"/>
        </w:rPr>
        <w:t>2</w:t>
      </w:r>
      <w:r w:rsidR="00070C8C" w:rsidRPr="00B455CB">
        <w:rPr>
          <w:rFonts w:ascii="Arial" w:hAnsi="Arial" w:cs="Arial"/>
          <w:i/>
          <w:sz w:val="24"/>
          <w:szCs w:val="24"/>
          <w:lang w:val="en-US"/>
        </w:rPr>
        <w:t>.</w:t>
      </w:r>
      <w:r w:rsidR="00F94866" w:rsidRPr="00B455CB">
        <w:rPr>
          <w:rFonts w:ascii="Arial" w:hAnsi="Arial" w:cs="Arial"/>
          <w:i/>
          <w:sz w:val="24"/>
          <w:szCs w:val="24"/>
          <w:lang w:val="en-US"/>
        </w:rPr>
        <w:t>1</w:t>
      </w:r>
      <w:r w:rsidR="00070C8C" w:rsidRPr="00B455CB">
        <w:rPr>
          <w:rFonts w:ascii="Arial" w:hAnsi="Arial" w:cs="Arial"/>
          <w:i/>
          <w:sz w:val="24"/>
          <w:szCs w:val="24"/>
          <w:lang w:val="en-US"/>
        </w:rPr>
        <w:t xml:space="preserve"> </w:t>
      </w:r>
      <w:r w:rsidR="006E6B34" w:rsidRPr="00B455CB">
        <w:rPr>
          <w:rFonts w:ascii="Arial" w:hAnsi="Arial" w:cs="Arial"/>
          <w:i/>
          <w:sz w:val="24"/>
          <w:szCs w:val="24"/>
          <w:lang w:val="en-US"/>
        </w:rPr>
        <w:t xml:space="preserve">Organizational set-up of DC </w:t>
      </w:r>
      <w:r w:rsidR="006E1B47" w:rsidRPr="00B455CB">
        <w:rPr>
          <w:rFonts w:ascii="Arial" w:hAnsi="Arial" w:cs="Arial"/>
          <w:i/>
          <w:sz w:val="24"/>
          <w:szCs w:val="24"/>
          <w:lang w:val="en-US"/>
        </w:rPr>
        <w:t>implementation</w:t>
      </w:r>
    </w:p>
    <w:p w14:paraId="2C7AB45A" w14:textId="5AEB198C" w:rsidR="00E213BA" w:rsidRPr="00B455CB" w:rsidRDefault="00E213BA" w:rsidP="00E213BA">
      <w:pPr>
        <w:spacing w:before="120" w:after="0" w:line="360" w:lineRule="auto"/>
        <w:jc w:val="both"/>
        <w:rPr>
          <w:rFonts w:ascii="Arial" w:hAnsi="Arial" w:cs="Arial"/>
          <w:sz w:val="24"/>
          <w:szCs w:val="24"/>
          <w:lang w:val="en-GB"/>
        </w:rPr>
      </w:pPr>
      <w:r w:rsidRPr="00B455CB">
        <w:rPr>
          <w:rFonts w:ascii="Arial" w:hAnsi="Arial" w:cs="Arial"/>
          <w:sz w:val="24"/>
          <w:szCs w:val="24"/>
          <w:lang w:val="en-GB"/>
        </w:rPr>
        <w:t>During 2016 the Italian National Statistical Institute (</w:t>
      </w:r>
      <w:proofErr w:type="spellStart"/>
      <w:r w:rsidRPr="00B455CB">
        <w:rPr>
          <w:rFonts w:ascii="Arial" w:hAnsi="Arial" w:cs="Arial"/>
          <w:sz w:val="24"/>
          <w:szCs w:val="24"/>
          <w:lang w:val="en-GB"/>
        </w:rPr>
        <w:t>Istat</w:t>
      </w:r>
      <w:proofErr w:type="spellEnd"/>
      <w:r w:rsidRPr="00B455CB">
        <w:rPr>
          <w:rFonts w:ascii="Arial" w:hAnsi="Arial" w:cs="Arial"/>
          <w:sz w:val="24"/>
          <w:szCs w:val="24"/>
          <w:lang w:val="en-GB"/>
        </w:rPr>
        <w:t xml:space="preserve">) launched a </w:t>
      </w:r>
      <w:r>
        <w:rPr>
          <w:rFonts w:ascii="Arial" w:hAnsi="Arial" w:cs="Arial"/>
          <w:sz w:val="24"/>
          <w:szCs w:val="24"/>
          <w:lang w:val="en-GB"/>
        </w:rPr>
        <w:t>wide</w:t>
      </w:r>
      <w:r w:rsidRPr="00B455CB">
        <w:rPr>
          <w:rFonts w:ascii="Arial" w:hAnsi="Arial" w:cs="Arial"/>
          <w:sz w:val="24"/>
          <w:szCs w:val="24"/>
          <w:lang w:val="en-GB"/>
        </w:rPr>
        <w:t xml:space="preserve"> modernization </w:t>
      </w:r>
      <w:r>
        <w:rPr>
          <w:rFonts w:ascii="Arial" w:hAnsi="Arial" w:cs="Arial"/>
          <w:sz w:val="24"/>
          <w:szCs w:val="24"/>
          <w:lang w:val="en-GB"/>
        </w:rPr>
        <w:t>programme</w:t>
      </w:r>
      <w:r w:rsidRPr="00B455CB">
        <w:rPr>
          <w:rFonts w:ascii="Arial" w:hAnsi="Arial" w:cs="Arial"/>
          <w:sz w:val="24"/>
          <w:szCs w:val="24"/>
          <w:lang w:val="en-GB"/>
        </w:rPr>
        <w:t xml:space="preserve"> whose main objective was to enrich the supply and the quality of the information produced, improving the effectiveness and efficiency of the statistical processes.</w:t>
      </w:r>
      <w:r>
        <w:rPr>
          <w:rFonts w:ascii="Arial" w:hAnsi="Arial" w:cs="Arial"/>
          <w:sz w:val="24"/>
          <w:szCs w:val="24"/>
          <w:lang w:val="en-GB"/>
        </w:rPr>
        <w:t xml:space="preserve"> </w:t>
      </w:r>
      <w:proofErr w:type="spellStart"/>
      <w:r w:rsidRPr="00B455CB">
        <w:rPr>
          <w:rFonts w:ascii="Arial" w:hAnsi="Arial" w:cs="Arial"/>
          <w:sz w:val="24"/>
          <w:szCs w:val="24"/>
          <w:lang w:val="en-GB"/>
        </w:rPr>
        <w:t>Istat</w:t>
      </w:r>
      <w:proofErr w:type="spellEnd"/>
      <w:r w:rsidRPr="00B455CB">
        <w:rPr>
          <w:rFonts w:ascii="Arial" w:hAnsi="Arial" w:cs="Arial"/>
          <w:sz w:val="24"/>
          <w:szCs w:val="24"/>
          <w:lang w:val="en-GB"/>
        </w:rPr>
        <w:t xml:space="preserve"> designed and implemented a new organizational set-up that was characterized by the centralisation of all the support services, that were clearly separated from statistical production. </w:t>
      </w:r>
      <w:r>
        <w:rPr>
          <w:rFonts w:ascii="Arial" w:hAnsi="Arial" w:cs="Arial"/>
          <w:sz w:val="24"/>
          <w:szCs w:val="24"/>
          <w:lang w:val="en-GB"/>
        </w:rPr>
        <w:t>T</w:t>
      </w:r>
      <w:r w:rsidRPr="00F70F4A">
        <w:rPr>
          <w:rFonts w:ascii="Arial" w:hAnsi="Arial" w:cs="Arial"/>
          <w:sz w:val="24"/>
          <w:szCs w:val="24"/>
          <w:lang w:val="en-GB"/>
        </w:rPr>
        <w:t>he most important innovation</w:t>
      </w:r>
      <w:r>
        <w:rPr>
          <w:rFonts w:ascii="Arial" w:hAnsi="Arial" w:cs="Arial"/>
          <w:sz w:val="24"/>
          <w:szCs w:val="24"/>
          <w:lang w:val="en-GB"/>
        </w:rPr>
        <w:t xml:space="preserve"> concerned</w:t>
      </w:r>
      <w:r w:rsidRPr="00B455CB">
        <w:rPr>
          <w:rFonts w:ascii="Arial" w:hAnsi="Arial" w:cs="Arial"/>
          <w:sz w:val="24"/>
          <w:szCs w:val="24"/>
          <w:lang w:val="en-GB"/>
        </w:rPr>
        <w:t xml:space="preserve"> the </w:t>
      </w:r>
      <w:r w:rsidRPr="00F70F4A">
        <w:rPr>
          <w:rFonts w:ascii="Arial" w:hAnsi="Arial" w:cs="Arial"/>
          <w:sz w:val="24"/>
          <w:szCs w:val="24"/>
          <w:lang w:val="en-GB"/>
        </w:rPr>
        <w:t>creation of the new Central Directorate for Data C</w:t>
      </w:r>
      <w:r w:rsidRPr="007F22CE">
        <w:rPr>
          <w:rFonts w:ascii="Arial" w:hAnsi="Arial" w:cs="Arial"/>
          <w:sz w:val="24"/>
          <w:szCs w:val="24"/>
          <w:lang w:val="en-GB"/>
        </w:rPr>
        <w:t>ollection</w:t>
      </w:r>
      <w:r w:rsidRPr="00B455CB">
        <w:rPr>
          <w:rFonts w:ascii="Arial" w:hAnsi="Arial" w:cs="Arial"/>
          <w:sz w:val="24"/>
          <w:szCs w:val="24"/>
          <w:lang w:val="en-GB"/>
        </w:rPr>
        <w:t xml:space="preserve"> </w:t>
      </w:r>
      <w:r>
        <w:rPr>
          <w:rFonts w:ascii="Arial" w:hAnsi="Arial" w:cs="Arial"/>
          <w:sz w:val="24"/>
          <w:szCs w:val="24"/>
          <w:lang w:val="en-GB"/>
        </w:rPr>
        <w:t>that</w:t>
      </w:r>
      <w:r w:rsidRPr="00B455CB">
        <w:rPr>
          <w:rFonts w:ascii="Arial" w:hAnsi="Arial" w:cs="Arial"/>
          <w:sz w:val="24"/>
          <w:szCs w:val="24"/>
          <w:lang w:val="en-GB"/>
        </w:rPr>
        <w:t xml:space="preserve"> was characterised by a very high degree of specialization of activities and Human Resources. In fact it included four Divisions specialised in the following areas:</w:t>
      </w:r>
      <w:r>
        <w:rPr>
          <w:rFonts w:ascii="Arial" w:hAnsi="Arial" w:cs="Arial"/>
          <w:sz w:val="24"/>
          <w:szCs w:val="24"/>
          <w:lang w:val="en-GB"/>
        </w:rPr>
        <w:t xml:space="preserve"> 1) </w:t>
      </w:r>
      <w:r w:rsidRPr="00B455CB">
        <w:rPr>
          <w:rFonts w:ascii="Arial" w:hAnsi="Arial" w:cs="Arial"/>
          <w:sz w:val="24"/>
          <w:szCs w:val="24"/>
          <w:lang w:val="en-GB"/>
        </w:rPr>
        <w:t>Division for design of data collection tools</w:t>
      </w:r>
      <w:r>
        <w:rPr>
          <w:rFonts w:ascii="Arial" w:hAnsi="Arial" w:cs="Arial"/>
          <w:sz w:val="24"/>
          <w:szCs w:val="24"/>
          <w:lang w:val="en-GB"/>
        </w:rPr>
        <w:t xml:space="preserve">; 2) </w:t>
      </w:r>
      <w:r w:rsidRPr="00B455CB">
        <w:rPr>
          <w:rFonts w:ascii="Arial" w:hAnsi="Arial" w:cs="Arial"/>
          <w:sz w:val="24"/>
          <w:szCs w:val="24"/>
          <w:lang w:val="en-GB"/>
        </w:rPr>
        <w:t>Division for data collection organization</w:t>
      </w:r>
      <w:r>
        <w:rPr>
          <w:rFonts w:ascii="Arial" w:hAnsi="Arial" w:cs="Arial"/>
          <w:sz w:val="24"/>
          <w:szCs w:val="24"/>
          <w:lang w:val="en-GB"/>
        </w:rPr>
        <w:t xml:space="preserve">; 3) </w:t>
      </w:r>
      <w:r w:rsidRPr="00B455CB">
        <w:rPr>
          <w:rFonts w:ascii="Arial" w:hAnsi="Arial" w:cs="Arial"/>
          <w:sz w:val="24"/>
          <w:szCs w:val="24"/>
          <w:lang w:val="en-GB"/>
        </w:rPr>
        <w:t>Division for implementation of data collection from direct surveys</w:t>
      </w:r>
      <w:r>
        <w:rPr>
          <w:rFonts w:ascii="Arial" w:hAnsi="Arial" w:cs="Arial"/>
          <w:sz w:val="24"/>
          <w:szCs w:val="24"/>
          <w:lang w:val="en-GB"/>
        </w:rPr>
        <w:t xml:space="preserve">; 4) </w:t>
      </w:r>
      <w:r w:rsidRPr="00B455CB">
        <w:rPr>
          <w:rFonts w:ascii="Arial" w:hAnsi="Arial" w:cs="Arial"/>
          <w:sz w:val="24"/>
          <w:szCs w:val="24"/>
          <w:lang w:val="en-GB"/>
        </w:rPr>
        <w:t>Division for integration of administrative sources and registers</w:t>
      </w:r>
      <w:r>
        <w:rPr>
          <w:rFonts w:ascii="Arial" w:hAnsi="Arial" w:cs="Arial"/>
          <w:sz w:val="24"/>
          <w:szCs w:val="24"/>
          <w:lang w:val="en-GB"/>
        </w:rPr>
        <w:t>.</w:t>
      </w:r>
    </w:p>
    <w:p w14:paraId="33BF194A" w14:textId="083FEB20" w:rsidR="000119BE" w:rsidRPr="00F70F4A" w:rsidRDefault="000119BE" w:rsidP="000119BE">
      <w:pPr>
        <w:spacing w:before="120" w:after="0" w:line="360" w:lineRule="auto"/>
        <w:jc w:val="both"/>
        <w:rPr>
          <w:rFonts w:ascii="Arial" w:hAnsi="Arial" w:cs="Arial"/>
          <w:sz w:val="24"/>
          <w:szCs w:val="24"/>
          <w:lang w:val="en-US"/>
        </w:rPr>
      </w:pPr>
      <w:r w:rsidRPr="00B455CB">
        <w:rPr>
          <w:rFonts w:ascii="Arial" w:hAnsi="Arial" w:cs="Arial"/>
          <w:sz w:val="24"/>
          <w:szCs w:val="24"/>
          <w:lang w:val="en-US"/>
        </w:rPr>
        <w:t>In the</w:t>
      </w:r>
      <w:r w:rsidR="00592129" w:rsidRPr="00B455CB">
        <w:rPr>
          <w:rFonts w:ascii="Arial" w:hAnsi="Arial" w:cs="Arial"/>
          <w:sz w:val="24"/>
          <w:szCs w:val="24"/>
          <w:lang w:val="en-US"/>
        </w:rPr>
        <w:t xml:space="preserve"> </w:t>
      </w:r>
      <w:r w:rsidRPr="00B455CB">
        <w:rPr>
          <w:rFonts w:ascii="Arial" w:hAnsi="Arial" w:cs="Arial"/>
          <w:sz w:val="24"/>
          <w:szCs w:val="24"/>
          <w:lang w:val="en-US"/>
        </w:rPr>
        <w:t xml:space="preserve">reorganization of data collection the </w:t>
      </w:r>
      <w:r w:rsidR="007F4613" w:rsidRPr="00B455CB">
        <w:rPr>
          <w:rFonts w:ascii="Arial" w:hAnsi="Arial" w:cs="Arial"/>
          <w:sz w:val="24"/>
          <w:szCs w:val="24"/>
          <w:lang w:val="en-US"/>
        </w:rPr>
        <w:t xml:space="preserve">goal </w:t>
      </w:r>
      <w:r w:rsidRPr="00B455CB">
        <w:rPr>
          <w:rFonts w:ascii="Arial" w:hAnsi="Arial" w:cs="Arial"/>
          <w:sz w:val="24"/>
          <w:szCs w:val="24"/>
          <w:lang w:val="en-US"/>
        </w:rPr>
        <w:t xml:space="preserve">of specialization was pursued concentrating a series of activities typical of survey’s </w:t>
      </w:r>
      <w:r w:rsidR="006E1B47" w:rsidRPr="00B455CB">
        <w:rPr>
          <w:rFonts w:ascii="Arial" w:hAnsi="Arial" w:cs="Arial"/>
          <w:sz w:val="24"/>
          <w:szCs w:val="24"/>
          <w:lang w:val="en-US"/>
        </w:rPr>
        <w:t xml:space="preserve">implementation </w:t>
      </w:r>
      <w:r w:rsidRPr="00B455CB">
        <w:rPr>
          <w:rFonts w:ascii="Arial" w:hAnsi="Arial" w:cs="Arial"/>
          <w:sz w:val="24"/>
          <w:szCs w:val="24"/>
          <w:lang w:val="en-US"/>
        </w:rPr>
        <w:t xml:space="preserve">in a </w:t>
      </w:r>
      <w:r w:rsidRPr="00EE1BD5">
        <w:rPr>
          <w:rFonts w:ascii="Arial" w:hAnsi="Arial" w:cs="Arial"/>
          <w:sz w:val="24"/>
          <w:szCs w:val="24"/>
          <w:lang w:val="en-US"/>
        </w:rPr>
        <w:t xml:space="preserve">single </w:t>
      </w:r>
      <w:r w:rsidR="00031A60" w:rsidRPr="00EE1BD5">
        <w:rPr>
          <w:rFonts w:ascii="Arial" w:hAnsi="Arial" w:cs="Arial"/>
          <w:sz w:val="24"/>
          <w:szCs w:val="24"/>
          <w:lang w:val="en-US"/>
        </w:rPr>
        <w:t>Division</w:t>
      </w:r>
      <w:r w:rsidR="00592129" w:rsidRPr="00EE1BD5">
        <w:rPr>
          <w:rFonts w:ascii="Arial" w:hAnsi="Arial" w:cs="Arial"/>
          <w:sz w:val="24"/>
          <w:szCs w:val="24"/>
          <w:lang w:val="en-US"/>
        </w:rPr>
        <w:t>. A further internal subdivision</w:t>
      </w:r>
      <w:r w:rsidR="00592129" w:rsidRPr="00EE1BD5" w:rsidDel="00592129">
        <w:rPr>
          <w:rFonts w:ascii="Arial" w:hAnsi="Arial" w:cs="Arial"/>
          <w:sz w:val="24"/>
          <w:szCs w:val="24"/>
          <w:lang w:val="en-US"/>
        </w:rPr>
        <w:t xml:space="preserve"> </w:t>
      </w:r>
      <w:r w:rsidR="00592129" w:rsidRPr="00EE1BD5">
        <w:rPr>
          <w:rFonts w:ascii="Arial" w:hAnsi="Arial" w:cs="Arial"/>
          <w:sz w:val="24"/>
          <w:szCs w:val="24"/>
          <w:lang w:val="en-US"/>
        </w:rPr>
        <w:t xml:space="preserve">concerned </w:t>
      </w:r>
      <w:r w:rsidRPr="00EE1BD5">
        <w:rPr>
          <w:rFonts w:ascii="Arial" w:hAnsi="Arial" w:cs="Arial"/>
          <w:sz w:val="24"/>
          <w:szCs w:val="24"/>
          <w:lang w:val="en-US"/>
        </w:rPr>
        <w:t>the type of responding</w:t>
      </w:r>
      <w:r w:rsidR="00592129" w:rsidRPr="00EE1BD5">
        <w:rPr>
          <w:rFonts w:ascii="Arial" w:hAnsi="Arial" w:cs="Arial"/>
          <w:sz w:val="24"/>
          <w:szCs w:val="24"/>
          <w:lang w:val="en-US"/>
        </w:rPr>
        <w:t xml:space="preserve"> unit</w:t>
      </w:r>
      <w:r w:rsidR="00CA7A14" w:rsidRPr="00EE1BD5">
        <w:rPr>
          <w:rFonts w:ascii="Arial" w:hAnsi="Arial" w:cs="Arial"/>
          <w:sz w:val="24"/>
          <w:szCs w:val="24"/>
          <w:lang w:val="en-US"/>
        </w:rPr>
        <w:t>s involved</w:t>
      </w:r>
      <w:r w:rsidRPr="00EE1BD5">
        <w:rPr>
          <w:rFonts w:ascii="Arial" w:hAnsi="Arial" w:cs="Arial"/>
          <w:sz w:val="24"/>
          <w:szCs w:val="24"/>
          <w:lang w:val="en-US"/>
        </w:rPr>
        <w:t xml:space="preserve"> (businesses, </w:t>
      </w:r>
      <w:r w:rsidR="00CA7A14" w:rsidRPr="00EE1BD5">
        <w:rPr>
          <w:rFonts w:ascii="Arial" w:hAnsi="Arial" w:cs="Arial"/>
          <w:sz w:val="24"/>
          <w:szCs w:val="24"/>
          <w:lang w:val="en-US"/>
        </w:rPr>
        <w:t xml:space="preserve">families and </w:t>
      </w:r>
      <w:r w:rsidRPr="00EE1BD5">
        <w:rPr>
          <w:rFonts w:ascii="Arial" w:hAnsi="Arial" w:cs="Arial"/>
          <w:sz w:val="24"/>
          <w:szCs w:val="24"/>
          <w:lang w:val="en-US"/>
        </w:rPr>
        <w:t>individuals, farms, public and private institutions, others).</w:t>
      </w:r>
      <w:r w:rsidR="00001E66" w:rsidRPr="00EE1BD5">
        <w:rPr>
          <w:rFonts w:ascii="Arial" w:hAnsi="Arial" w:cs="Arial"/>
          <w:sz w:val="24"/>
          <w:szCs w:val="24"/>
          <w:lang w:val="en-US"/>
        </w:rPr>
        <w:t xml:space="preserve"> </w:t>
      </w:r>
      <w:r w:rsidRPr="00EE1BD5">
        <w:rPr>
          <w:rFonts w:ascii="Arial" w:hAnsi="Arial" w:cs="Arial"/>
          <w:sz w:val="24"/>
          <w:szCs w:val="24"/>
          <w:lang w:val="en-US"/>
        </w:rPr>
        <w:t xml:space="preserve">The integration of </w:t>
      </w:r>
      <w:r w:rsidR="00031A60" w:rsidRPr="00EE1BD5">
        <w:rPr>
          <w:rFonts w:ascii="Arial" w:hAnsi="Arial" w:cs="Arial"/>
          <w:sz w:val="24"/>
          <w:szCs w:val="24"/>
          <w:lang w:val="en-US"/>
        </w:rPr>
        <w:t>data collection implementation</w:t>
      </w:r>
      <w:r w:rsidRPr="00EE1BD5">
        <w:rPr>
          <w:rFonts w:ascii="Arial" w:hAnsi="Arial" w:cs="Arial"/>
          <w:sz w:val="24"/>
          <w:szCs w:val="24"/>
          <w:lang w:val="en-US"/>
        </w:rPr>
        <w:t xml:space="preserve"> processes, previously run</w:t>
      </w:r>
      <w:r w:rsidRPr="00B455CB">
        <w:rPr>
          <w:rFonts w:ascii="Arial" w:hAnsi="Arial" w:cs="Arial"/>
          <w:sz w:val="24"/>
          <w:szCs w:val="24"/>
          <w:lang w:val="en-US"/>
        </w:rPr>
        <w:t xml:space="preserve"> independently, </w:t>
      </w:r>
      <w:r w:rsidR="00CA7A14" w:rsidRPr="00B455CB">
        <w:rPr>
          <w:rFonts w:ascii="Arial" w:hAnsi="Arial" w:cs="Arial"/>
          <w:sz w:val="24"/>
          <w:szCs w:val="24"/>
          <w:lang w:val="en-US"/>
        </w:rPr>
        <w:t xml:space="preserve">promoted </w:t>
      </w:r>
      <w:r w:rsidRPr="00B455CB">
        <w:rPr>
          <w:rFonts w:ascii="Arial" w:hAnsi="Arial" w:cs="Arial"/>
          <w:sz w:val="24"/>
          <w:szCs w:val="24"/>
          <w:lang w:val="en-US"/>
        </w:rPr>
        <w:t>standardization, with a view to optimi</w:t>
      </w:r>
      <w:r w:rsidR="00CA7A14" w:rsidRPr="00B455CB">
        <w:rPr>
          <w:rFonts w:ascii="Arial" w:hAnsi="Arial" w:cs="Arial"/>
          <w:sz w:val="24"/>
          <w:szCs w:val="24"/>
          <w:lang w:val="en-US"/>
        </w:rPr>
        <w:t>z</w:t>
      </w:r>
      <w:r w:rsidRPr="00B455CB">
        <w:rPr>
          <w:rFonts w:ascii="Arial" w:hAnsi="Arial" w:cs="Arial"/>
          <w:sz w:val="24"/>
          <w:szCs w:val="24"/>
          <w:lang w:val="en-US"/>
        </w:rPr>
        <w:t xml:space="preserve">ing and increasing efficiency. </w:t>
      </w:r>
      <w:r w:rsidR="00CA7A14" w:rsidRPr="00B455CB">
        <w:rPr>
          <w:rFonts w:ascii="Arial" w:hAnsi="Arial" w:cs="Arial"/>
          <w:sz w:val="24"/>
          <w:szCs w:val="24"/>
          <w:lang w:val="en-US"/>
        </w:rPr>
        <w:t>As a consequence,</w:t>
      </w:r>
      <w:r w:rsidR="00884610">
        <w:rPr>
          <w:rFonts w:ascii="Arial" w:hAnsi="Arial" w:cs="Arial"/>
          <w:sz w:val="24"/>
          <w:szCs w:val="24"/>
          <w:lang w:val="en-US"/>
        </w:rPr>
        <w:t xml:space="preserve"> </w:t>
      </w:r>
      <w:r w:rsidR="00CA7A14" w:rsidRPr="00B455CB">
        <w:rPr>
          <w:rFonts w:ascii="Arial" w:hAnsi="Arial" w:cs="Arial"/>
          <w:sz w:val="24"/>
          <w:szCs w:val="24"/>
          <w:lang w:val="en-US"/>
        </w:rPr>
        <w:t>several process</w:t>
      </w:r>
      <w:r w:rsidRPr="00B455CB">
        <w:rPr>
          <w:rFonts w:ascii="Arial" w:hAnsi="Arial" w:cs="Arial"/>
          <w:sz w:val="24"/>
          <w:szCs w:val="24"/>
          <w:lang w:val="en-US"/>
        </w:rPr>
        <w:t xml:space="preserve"> innovations were implemented.</w:t>
      </w:r>
    </w:p>
    <w:p w14:paraId="0AA98E99" w14:textId="77777777" w:rsidR="00233F52" w:rsidRDefault="00942A6D" w:rsidP="00233F52">
      <w:pPr>
        <w:spacing w:before="360" w:after="0" w:line="360" w:lineRule="auto"/>
        <w:jc w:val="both"/>
        <w:rPr>
          <w:rFonts w:ascii="Arial" w:hAnsi="Arial" w:cs="Arial"/>
          <w:i/>
          <w:sz w:val="24"/>
          <w:szCs w:val="24"/>
          <w:lang w:val="en-GB"/>
        </w:rPr>
      </w:pPr>
      <w:r w:rsidRPr="00233F52">
        <w:rPr>
          <w:rFonts w:ascii="Arial" w:hAnsi="Arial" w:cs="Arial"/>
          <w:i/>
          <w:sz w:val="24"/>
          <w:szCs w:val="24"/>
          <w:lang w:val="en-GB"/>
        </w:rPr>
        <w:t>2</w:t>
      </w:r>
      <w:r w:rsidR="00212C5D" w:rsidRPr="00233F52">
        <w:rPr>
          <w:rFonts w:ascii="Arial" w:hAnsi="Arial" w:cs="Arial"/>
          <w:i/>
          <w:sz w:val="24"/>
          <w:szCs w:val="24"/>
          <w:lang w:val="en-GB"/>
        </w:rPr>
        <w:t>.</w:t>
      </w:r>
      <w:r w:rsidR="009535A9" w:rsidRPr="00233F52">
        <w:rPr>
          <w:rFonts w:ascii="Arial" w:hAnsi="Arial" w:cs="Arial"/>
          <w:i/>
          <w:sz w:val="24"/>
          <w:szCs w:val="24"/>
          <w:lang w:val="en-GB"/>
        </w:rPr>
        <w:t>2</w:t>
      </w:r>
      <w:r w:rsidR="00466D05" w:rsidRPr="00B455CB">
        <w:rPr>
          <w:rFonts w:ascii="Arial" w:hAnsi="Arial" w:cs="Arial"/>
          <w:i/>
          <w:sz w:val="24"/>
          <w:szCs w:val="24"/>
          <w:lang w:val="en-GB"/>
        </w:rPr>
        <w:t xml:space="preserve">. </w:t>
      </w:r>
      <w:r w:rsidR="00212C5D" w:rsidRPr="00B455CB">
        <w:rPr>
          <w:rFonts w:ascii="Arial" w:hAnsi="Arial" w:cs="Arial"/>
          <w:i/>
          <w:sz w:val="24"/>
          <w:szCs w:val="24"/>
          <w:lang w:val="en-GB"/>
        </w:rPr>
        <w:t>H</w:t>
      </w:r>
      <w:r w:rsidR="006708E9" w:rsidRPr="00B455CB">
        <w:rPr>
          <w:rFonts w:ascii="Arial" w:hAnsi="Arial" w:cs="Arial"/>
          <w:i/>
          <w:sz w:val="24"/>
          <w:szCs w:val="24"/>
          <w:lang w:val="en-GB"/>
        </w:rPr>
        <w:t>armoni</w:t>
      </w:r>
      <w:r w:rsidR="00CA7A14" w:rsidRPr="00B455CB">
        <w:rPr>
          <w:rFonts w:ascii="Arial" w:hAnsi="Arial" w:cs="Arial"/>
          <w:i/>
          <w:sz w:val="24"/>
          <w:szCs w:val="24"/>
          <w:lang w:val="en-GB"/>
        </w:rPr>
        <w:t>z</w:t>
      </w:r>
      <w:r w:rsidR="006708E9" w:rsidRPr="00B455CB">
        <w:rPr>
          <w:rFonts w:ascii="Arial" w:hAnsi="Arial" w:cs="Arial"/>
          <w:i/>
          <w:sz w:val="24"/>
          <w:szCs w:val="24"/>
          <w:lang w:val="en-GB"/>
        </w:rPr>
        <w:t xml:space="preserve">ed </w:t>
      </w:r>
      <w:r w:rsidR="008B1953" w:rsidRPr="00B455CB">
        <w:rPr>
          <w:rFonts w:ascii="Arial" w:hAnsi="Arial" w:cs="Arial"/>
          <w:i/>
          <w:sz w:val="24"/>
          <w:szCs w:val="24"/>
          <w:lang w:val="en-GB"/>
        </w:rPr>
        <w:t xml:space="preserve">survey </w:t>
      </w:r>
      <w:r w:rsidR="006708E9" w:rsidRPr="00B455CB">
        <w:rPr>
          <w:rFonts w:ascii="Arial" w:hAnsi="Arial" w:cs="Arial"/>
          <w:i/>
          <w:sz w:val="24"/>
          <w:szCs w:val="24"/>
          <w:lang w:val="en-GB"/>
        </w:rPr>
        <w:t>list</w:t>
      </w:r>
      <w:r w:rsidR="008B1953" w:rsidRPr="00B455CB">
        <w:rPr>
          <w:rFonts w:ascii="Arial" w:hAnsi="Arial" w:cs="Arial"/>
          <w:i/>
          <w:sz w:val="24"/>
          <w:szCs w:val="24"/>
          <w:lang w:val="en-GB"/>
        </w:rPr>
        <w:t>s</w:t>
      </w:r>
      <w:r w:rsidR="006708E9" w:rsidRPr="00B455CB">
        <w:rPr>
          <w:rFonts w:ascii="Arial" w:hAnsi="Arial" w:cs="Arial"/>
          <w:i/>
          <w:sz w:val="24"/>
          <w:szCs w:val="24"/>
          <w:lang w:val="en-GB"/>
        </w:rPr>
        <w:t xml:space="preserve"> </w:t>
      </w:r>
      <w:r w:rsidR="008B1953" w:rsidRPr="00B455CB">
        <w:rPr>
          <w:rFonts w:ascii="Arial" w:hAnsi="Arial" w:cs="Arial"/>
          <w:i/>
          <w:sz w:val="24"/>
          <w:szCs w:val="24"/>
          <w:lang w:val="en-GB"/>
        </w:rPr>
        <w:t>management</w:t>
      </w:r>
      <w:r w:rsidR="006708E9" w:rsidRPr="00B455CB">
        <w:rPr>
          <w:rFonts w:ascii="Arial" w:hAnsi="Arial" w:cs="Arial"/>
          <w:i/>
          <w:sz w:val="24"/>
          <w:szCs w:val="24"/>
          <w:lang w:val="en-GB"/>
        </w:rPr>
        <w:t xml:space="preserve"> </w:t>
      </w:r>
    </w:p>
    <w:p w14:paraId="26BCE9E9" w14:textId="1D1A3970" w:rsidR="00125F92" w:rsidRDefault="00125F92" w:rsidP="00EB0CE6">
      <w:pPr>
        <w:spacing w:before="120" w:after="0" w:line="360" w:lineRule="auto"/>
        <w:jc w:val="both"/>
        <w:rPr>
          <w:rFonts w:ascii="Arial" w:hAnsi="Arial" w:cs="Arial"/>
          <w:sz w:val="24"/>
          <w:szCs w:val="24"/>
        </w:rPr>
      </w:pPr>
      <w:r w:rsidRPr="00233F52">
        <w:rPr>
          <w:rFonts w:ascii="Arial" w:hAnsi="Arial" w:cs="Arial"/>
          <w:sz w:val="24"/>
          <w:szCs w:val="24"/>
          <w:lang w:val="en-GB"/>
        </w:rPr>
        <w:t>The preparation of the</w:t>
      </w:r>
      <w:r w:rsidR="008B1953" w:rsidRPr="00233F52">
        <w:rPr>
          <w:rFonts w:ascii="Arial" w:hAnsi="Arial" w:cs="Arial"/>
          <w:sz w:val="24"/>
          <w:szCs w:val="24"/>
          <w:lang w:val="en-GB"/>
        </w:rPr>
        <w:t xml:space="preserve"> survey</w:t>
      </w:r>
      <w:r w:rsidRPr="00233F52">
        <w:rPr>
          <w:rFonts w:ascii="Arial" w:hAnsi="Arial" w:cs="Arial"/>
          <w:sz w:val="24"/>
          <w:szCs w:val="24"/>
          <w:lang w:val="en-GB"/>
        </w:rPr>
        <w:t xml:space="preserve"> list</w:t>
      </w:r>
      <w:r w:rsidR="008B1953" w:rsidRPr="00233F52">
        <w:rPr>
          <w:rFonts w:ascii="Arial" w:hAnsi="Arial" w:cs="Arial"/>
          <w:sz w:val="24"/>
          <w:szCs w:val="24"/>
          <w:lang w:val="en-GB"/>
        </w:rPr>
        <w:t>s</w:t>
      </w:r>
      <w:r w:rsidRPr="00233F52">
        <w:rPr>
          <w:rFonts w:ascii="Arial" w:hAnsi="Arial" w:cs="Arial"/>
          <w:sz w:val="24"/>
          <w:szCs w:val="24"/>
          <w:lang w:val="en-GB"/>
        </w:rPr>
        <w:t xml:space="preserve"> </w:t>
      </w:r>
      <w:r w:rsidR="008B1953" w:rsidRPr="00233F52">
        <w:rPr>
          <w:rFonts w:ascii="Arial" w:hAnsi="Arial" w:cs="Arial"/>
          <w:sz w:val="24"/>
          <w:szCs w:val="24"/>
          <w:lang w:val="en-GB"/>
        </w:rPr>
        <w:t>was</w:t>
      </w:r>
      <w:r w:rsidRPr="00B455CB">
        <w:rPr>
          <w:rFonts w:ascii="Arial" w:hAnsi="Arial" w:cs="Arial"/>
          <w:sz w:val="24"/>
          <w:szCs w:val="24"/>
        </w:rPr>
        <w:t xml:space="preserve"> standardized and generali</w:t>
      </w:r>
      <w:r w:rsidR="008B1953" w:rsidRPr="00B455CB">
        <w:rPr>
          <w:rFonts w:ascii="Arial" w:hAnsi="Arial" w:cs="Arial"/>
          <w:sz w:val="24"/>
          <w:szCs w:val="24"/>
        </w:rPr>
        <w:t>z</w:t>
      </w:r>
      <w:r w:rsidRPr="00B455CB">
        <w:rPr>
          <w:rFonts w:ascii="Arial" w:hAnsi="Arial" w:cs="Arial"/>
          <w:sz w:val="24"/>
          <w:szCs w:val="24"/>
        </w:rPr>
        <w:t>ed</w:t>
      </w:r>
      <w:r w:rsidR="008B1953" w:rsidRPr="00B455CB">
        <w:rPr>
          <w:rFonts w:ascii="Arial" w:hAnsi="Arial" w:cs="Arial"/>
          <w:sz w:val="24"/>
          <w:szCs w:val="24"/>
        </w:rPr>
        <w:t>,</w:t>
      </w:r>
      <w:r w:rsidRPr="00B455CB">
        <w:rPr>
          <w:rFonts w:ascii="Arial" w:hAnsi="Arial" w:cs="Arial"/>
          <w:sz w:val="24"/>
          <w:szCs w:val="24"/>
        </w:rPr>
        <w:t xml:space="preserve"> </w:t>
      </w:r>
      <w:r w:rsidR="008B1953" w:rsidRPr="00B455CB">
        <w:rPr>
          <w:rFonts w:ascii="Arial" w:hAnsi="Arial" w:cs="Arial"/>
          <w:sz w:val="24"/>
          <w:szCs w:val="24"/>
        </w:rPr>
        <w:t xml:space="preserve">by means of a </w:t>
      </w:r>
      <w:r w:rsidR="00D63E75" w:rsidRPr="00B455CB">
        <w:rPr>
          <w:rFonts w:ascii="Arial" w:hAnsi="Arial" w:cs="Arial"/>
          <w:sz w:val="24"/>
          <w:szCs w:val="24"/>
        </w:rPr>
        <w:t xml:space="preserve">new </w:t>
      </w:r>
      <w:r w:rsidR="008B1953" w:rsidRPr="00B455CB">
        <w:rPr>
          <w:rFonts w:ascii="Arial" w:hAnsi="Arial" w:cs="Arial"/>
          <w:sz w:val="24"/>
          <w:szCs w:val="24"/>
        </w:rPr>
        <w:t>procedure involving</w:t>
      </w:r>
      <w:r w:rsidRPr="00B455CB">
        <w:rPr>
          <w:rFonts w:ascii="Arial" w:hAnsi="Arial" w:cs="Arial"/>
          <w:sz w:val="24"/>
          <w:szCs w:val="24"/>
        </w:rPr>
        <w:t xml:space="preserve"> two successive steps of treatment:</w:t>
      </w:r>
      <w:r w:rsidR="00001E66">
        <w:rPr>
          <w:rFonts w:ascii="Arial" w:hAnsi="Arial" w:cs="Arial"/>
          <w:sz w:val="24"/>
          <w:szCs w:val="24"/>
        </w:rPr>
        <w:t xml:space="preserve"> </w:t>
      </w:r>
      <w:r w:rsidR="00233F52">
        <w:rPr>
          <w:rFonts w:ascii="Arial" w:hAnsi="Arial" w:cs="Arial"/>
          <w:sz w:val="24"/>
          <w:szCs w:val="24"/>
        </w:rPr>
        <w:t>i)</w:t>
      </w:r>
      <w:r w:rsidRPr="00B455CB">
        <w:rPr>
          <w:rFonts w:ascii="Arial" w:hAnsi="Arial" w:cs="Arial"/>
          <w:sz w:val="24"/>
          <w:szCs w:val="24"/>
        </w:rPr>
        <w:t xml:space="preserve"> </w:t>
      </w:r>
      <w:r w:rsidR="00CA7A14" w:rsidRPr="00F70F4A">
        <w:rPr>
          <w:rFonts w:ascii="Arial" w:hAnsi="Arial" w:cs="Arial"/>
          <w:sz w:val="24"/>
          <w:szCs w:val="24"/>
        </w:rPr>
        <w:t>verification</w:t>
      </w:r>
      <w:r w:rsidR="00CA7A14" w:rsidRPr="00B455CB" w:rsidDel="00CA7A14">
        <w:rPr>
          <w:rFonts w:ascii="Arial" w:hAnsi="Arial" w:cs="Arial"/>
          <w:sz w:val="24"/>
          <w:szCs w:val="24"/>
        </w:rPr>
        <w:t xml:space="preserve"> </w:t>
      </w:r>
      <w:r w:rsidR="00CA7A14" w:rsidRPr="00B455CB">
        <w:rPr>
          <w:rFonts w:ascii="Arial" w:hAnsi="Arial" w:cs="Arial"/>
          <w:sz w:val="24"/>
          <w:szCs w:val="24"/>
        </w:rPr>
        <w:t xml:space="preserve">of </w:t>
      </w:r>
      <w:r w:rsidRPr="00B455CB">
        <w:rPr>
          <w:rFonts w:ascii="Arial" w:hAnsi="Arial" w:cs="Arial"/>
          <w:sz w:val="24"/>
          <w:szCs w:val="24"/>
        </w:rPr>
        <w:t xml:space="preserve">the </w:t>
      </w:r>
      <w:r w:rsidR="008B1953" w:rsidRPr="00B455CB">
        <w:rPr>
          <w:rFonts w:ascii="Arial" w:hAnsi="Arial" w:cs="Arial"/>
          <w:sz w:val="24"/>
          <w:szCs w:val="24"/>
        </w:rPr>
        <w:t>elegibility</w:t>
      </w:r>
      <w:r w:rsidRPr="00B455CB">
        <w:rPr>
          <w:rFonts w:ascii="Arial" w:hAnsi="Arial" w:cs="Arial"/>
          <w:sz w:val="24"/>
          <w:szCs w:val="24"/>
        </w:rPr>
        <w:t xml:space="preserve"> </w:t>
      </w:r>
      <w:r w:rsidR="008B1953" w:rsidRPr="00B455CB">
        <w:rPr>
          <w:rFonts w:ascii="Arial" w:hAnsi="Arial" w:cs="Arial"/>
          <w:sz w:val="24"/>
          <w:szCs w:val="24"/>
        </w:rPr>
        <w:t xml:space="preserve">of the </w:t>
      </w:r>
      <w:r w:rsidRPr="00B455CB">
        <w:rPr>
          <w:rFonts w:ascii="Arial" w:hAnsi="Arial" w:cs="Arial"/>
          <w:sz w:val="24"/>
          <w:szCs w:val="24"/>
        </w:rPr>
        <w:t xml:space="preserve">units </w:t>
      </w:r>
      <w:r w:rsidR="008B1953" w:rsidRPr="00B455CB">
        <w:rPr>
          <w:rFonts w:ascii="Arial" w:hAnsi="Arial" w:cs="Arial"/>
          <w:sz w:val="24"/>
          <w:szCs w:val="24"/>
        </w:rPr>
        <w:t>included in</w:t>
      </w:r>
      <w:r w:rsidRPr="00B455CB">
        <w:rPr>
          <w:rFonts w:ascii="Arial" w:hAnsi="Arial" w:cs="Arial"/>
          <w:sz w:val="24"/>
          <w:szCs w:val="24"/>
        </w:rPr>
        <w:t xml:space="preserve"> the </w:t>
      </w:r>
      <w:r w:rsidR="00A64293" w:rsidRPr="00B455CB">
        <w:rPr>
          <w:rFonts w:ascii="Arial" w:hAnsi="Arial" w:cs="Arial"/>
          <w:sz w:val="24"/>
          <w:szCs w:val="24"/>
        </w:rPr>
        <w:t>survey samples</w:t>
      </w:r>
      <w:r w:rsidR="00D63E75" w:rsidRPr="00B455CB">
        <w:rPr>
          <w:rFonts w:ascii="Arial" w:hAnsi="Arial" w:cs="Arial"/>
          <w:sz w:val="24"/>
          <w:szCs w:val="24"/>
        </w:rPr>
        <w:t>,</w:t>
      </w:r>
      <w:r w:rsidRPr="00B455CB">
        <w:rPr>
          <w:rFonts w:ascii="Arial" w:hAnsi="Arial" w:cs="Arial"/>
          <w:sz w:val="24"/>
          <w:szCs w:val="24"/>
        </w:rPr>
        <w:t xml:space="preserve"> </w:t>
      </w:r>
      <w:r w:rsidR="00D63E75" w:rsidRPr="00B455CB">
        <w:rPr>
          <w:rFonts w:ascii="Arial" w:hAnsi="Arial" w:cs="Arial"/>
          <w:sz w:val="24"/>
          <w:szCs w:val="24"/>
        </w:rPr>
        <w:t xml:space="preserve">in order to define the correct </w:t>
      </w:r>
      <w:r w:rsidR="00CA7A14" w:rsidRPr="00B455CB">
        <w:rPr>
          <w:rFonts w:ascii="Arial" w:hAnsi="Arial" w:cs="Arial"/>
          <w:sz w:val="24"/>
          <w:szCs w:val="24"/>
        </w:rPr>
        <w:t xml:space="preserve">and </w:t>
      </w:r>
      <w:r w:rsidR="00CA7A14" w:rsidRPr="00F70F4A">
        <w:rPr>
          <w:rFonts w:ascii="Arial" w:hAnsi="Arial" w:cs="Arial"/>
          <w:sz w:val="24"/>
          <w:szCs w:val="24"/>
        </w:rPr>
        <w:t>updated</w:t>
      </w:r>
      <w:r w:rsidR="00CA7A14" w:rsidRPr="00B455CB">
        <w:rPr>
          <w:rFonts w:ascii="Arial" w:hAnsi="Arial" w:cs="Arial"/>
          <w:sz w:val="24"/>
          <w:szCs w:val="24"/>
        </w:rPr>
        <w:t xml:space="preserve"> </w:t>
      </w:r>
      <w:r w:rsidR="00A64293" w:rsidRPr="00B455CB">
        <w:rPr>
          <w:rFonts w:ascii="Arial" w:hAnsi="Arial" w:cs="Arial"/>
          <w:sz w:val="24"/>
          <w:szCs w:val="24"/>
        </w:rPr>
        <w:t>lists</w:t>
      </w:r>
      <w:r w:rsidR="00D63E75" w:rsidRPr="00B455CB">
        <w:rPr>
          <w:rFonts w:ascii="Arial" w:hAnsi="Arial" w:cs="Arial"/>
          <w:sz w:val="24"/>
          <w:szCs w:val="24"/>
        </w:rPr>
        <w:t xml:space="preserve"> of </w:t>
      </w:r>
      <w:r w:rsidRPr="00B455CB">
        <w:rPr>
          <w:rFonts w:ascii="Arial" w:hAnsi="Arial" w:cs="Arial"/>
          <w:sz w:val="24"/>
          <w:szCs w:val="24"/>
        </w:rPr>
        <w:t>units</w:t>
      </w:r>
      <w:r w:rsidR="00CA7A14" w:rsidRPr="00B455CB">
        <w:rPr>
          <w:rFonts w:ascii="Arial" w:hAnsi="Arial" w:cs="Arial"/>
          <w:sz w:val="24"/>
          <w:szCs w:val="24"/>
        </w:rPr>
        <w:t xml:space="preserve"> to involve in the survey</w:t>
      </w:r>
      <w:r w:rsidR="00A64293" w:rsidRPr="00B455CB">
        <w:rPr>
          <w:rFonts w:ascii="Arial" w:hAnsi="Arial" w:cs="Arial"/>
          <w:sz w:val="24"/>
          <w:szCs w:val="24"/>
        </w:rPr>
        <w:t>. These units receive</w:t>
      </w:r>
      <w:r w:rsidRPr="00B455CB">
        <w:rPr>
          <w:rFonts w:ascii="Arial" w:hAnsi="Arial" w:cs="Arial"/>
          <w:sz w:val="24"/>
          <w:szCs w:val="24"/>
        </w:rPr>
        <w:t xml:space="preserve"> the </w:t>
      </w:r>
      <w:r w:rsidR="00CA7A14" w:rsidRPr="00B455CB">
        <w:rPr>
          <w:rFonts w:ascii="Arial" w:hAnsi="Arial" w:cs="Arial"/>
          <w:sz w:val="24"/>
          <w:szCs w:val="24"/>
        </w:rPr>
        <w:t xml:space="preserve">informative </w:t>
      </w:r>
      <w:r w:rsidRPr="00B455CB">
        <w:rPr>
          <w:rFonts w:ascii="Arial" w:hAnsi="Arial" w:cs="Arial"/>
          <w:sz w:val="24"/>
          <w:szCs w:val="24"/>
        </w:rPr>
        <w:t>letter</w:t>
      </w:r>
      <w:r w:rsidR="00A64293" w:rsidRPr="00B455CB">
        <w:rPr>
          <w:rFonts w:ascii="Arial" w:hAnsi="Arial" w:cs="Arial"/>
          <w:sz w:val="24"/>
          <w:szCs w:val="24"/>
        </w:rPr>
        <w:t>, signed by Istat’s President,</w:t>
      </w:r>
      <w:r w:rsidR="00884610">
        <w:rPr>
          <w:rFonts w:ascii="Arial" w:hAnsi="Arial" w:cs="Arial"/>
          <w:sz w:val="24"/>
          <w:szCs w:val="24"/>
        </w:rPr>
        <w:t xml:space="preserve"> </w:t>
      </w:r>
      <w:r w:rsidR="00D63E75" w:rsidRPr="00B455CB">
        <w:rPr>
          <w:rFonts w:ascii="Arial" w:hAnsi="Arial" w:cs="Arial"/>
          <w:sz w:val="24"/>
          <w:szCs w:val="24"/>
        </w:rPr>
        <w:t>that communicates the start of the survey</w:t>
      </w:r>
      <w:r w:rsidRPr="00B455CB">
        <w:rPr>
          <w:rFonts w:ascii="Arial" w:hAnsi="Arial" w:cs="Arial"/>
          <w:sz w:val="24"/>
          <w:szCs w:val="24"/>
        </w:rPr>
        <w:t xml:space="preserve">. Eligibility is </w:t>
      </w:r>
      <w:r w:rsidRPr="00B455CB">
        <w:rPr>
          <w:rFonts w:ascii="Arial" w:hAnsi="Arial" w:cs="Arial"/>
          <w:sz w:val="24"/>
          <w:szCs w:val="24"/>
        </w:rPr>
        <w:lastRenderedPageBreak/>
        <w:t xml:space="preserve">assessed taking into account </w:t>
      </w:r>
      <w:r w:rsidR="00D63E75" w:rsidRPr="00B455CB">
        <w:rPr>
          <w:rFonts w:ascii="Arial" w:hAnsi="Arial" w:cs="Arial"/>
          <w:sz w:val="24"/>
          <w:szCs w:val="24"/>
        </w:rPr>
        <w:t>possible</w:t>
      </w:r>
      <w:r w:rsidRPr="00B455CB">
        <w:rPr>
          <w:rFonts w:ascii="Arial" w:hAnsi="Arial" w:cs="Arial"/>
          <w:sz w:val="24"/>
          <w:szCs w:val="24"/>
        </w:rPr>
        <w:t xml:space="preserve"> </w:t>
      </w:r>
      <w:r w:rsidR="00A64293" w:rsidRPr="00F70F4A">
        <w:rPr>
          <w:rFonts w:ascii="Arial" w:hAnsi="Arial" w:cs="Arial"/>
          <w:sz w:val="24"/>
          <w:szCs w:val="24"/>
        </w:rPr>
        <w:t>recent</w:t>
      </w:r>
      <w:r w:rsidR="00A64293" w:rsidRPr="00B455CB">
        <w:rPr>
          <w:rFonts w:ascii="Arial" w:hAnsi="Arial" w:cs="Arial"/>
          <w:sz w:val="24"/>
          <w:szCs w:val="24"/>
        </w:rPr>
        <w:t xml:space="preserve"> </w:t>
      </w:r>
      <w:r w:rsidRPr="00B455CB">
        <w:rPr>
          <w:rFonts w:ascii="Arial" w:hAnsi="Arial" w:cs="Arial"/>
          <w:sz w:val="24"/>
          <w:szCs w:val="24"/>
        </w:rPr>
        <w:t>business transformation events</w:t>
      </w:r>
      <w:r w:rsidR="00A64293" w:rsidRPr="00B455CB">
        <w:rPr>
          <w:rFonts w:ascii="Arial" w:hAnsi="Arial" w:cs="Arial"/>
          <w:sz w:val="24"/>
          <w:szCs w:val="24"/>
        </w:rPr>
        <w:t xml:space="preserve">, </w:t>
      </w:r>
      <w:r w:rsidR="00A64293" w:rsidRPr="00F70F4A">
        <w:rPr>
          <w:rFonts w:ascii="Arial" w:hAnsi="Arial" w:cs="Arial"/>
          <w:sz w:val="24"/>
          <w:szCs w:val="24"/>
        </w:rPr>
        <w:t>insolvency proceedings,</w:t>
      </w:r>
      <w:r w:rsidR="00ED5F8B" w:rsidRPr="007F22CE">
        <w:rPr>
          <w:rFonts w:ascii="Arial" w:hAnsi="Arial" w:cs="Arial"/>
          <w:sz w:val="24"/>
          <w:szCs w:val="24"/>
        </w:rPr>
        <w:t xml:space="preserve"> registrer</w:t>
      </w:r>
      <w:r w:rsidR="00A64293" w:rsidRPr="00B455CB" w:rsidDel="00A64293">
        <w:rPr>
          <w:rFonts w:ascii="Arial" w:hAnsi="Arial" w:cs="Arial"/>
          <w:sz w:val="24"/>
          <w:szCs w:val="24"/>
        </w:rPr>
        <w:t xml:space="preserve"> </w:t>
      </w:r>
      <w:r w:rsidR="00A64293" w:rsidRPr="00B455CB">
        <w:rPr>
          <w:rFonts w:ascii="Arial" w:hAnsi="Arial" w:cs="Arial"/>
          <w:sz w:val="24"/>
          <w:szCs w:val="24"/>
        </w:rPr>
        <w:t>modifications and economic activity variations</w:t>
      </w:r>
      <w:r w:rsidR="009535A9" w:rsidRPr="00B455CB">
        <w:rPr>
          <w:rFonts w:ascii="Arial" w:hAnsi="Arial" w:cs="Arial"/>
          <w:sz w:val="24"/>
          <w:szCs w:val="24"/>
        </w:rPr>
        <w:t>;</w:t>
      </w:r>
      <w:r w:rsidR="00001E66">
        <w:rPr>
          <w:rFonts w:ascii="Arial" w:hAnsi="Arial" w:cs="Arial"/>
          <w:sz w:val="24"/>
          <w:szCs w:val="24"/>
        </w:rPr>
        <w:t xml:space="preserve"> </w:t>
      </w:r>
      <w:r w:rsidR="00233F52">
        <w:rPr>
          <w:rFonts w:ascii="Arial" w:hAnsi="Arial" w:cs="Arial"/>
          <w:sz w:val="24"/>
          <w:szCs w:val="24"/>
        </w:rPr>
        <w:t xml:space="preserve">ii) </w:t>
      </w:r>
      <w:r w:rsidR="009535A9" w:rsidRPr="00B455CB">
        <w:rPr>
          <w:rFonts w:ascii="Arial" w:hAnsi="Arial" w:cs="Arial"/>
          <w:sz w:val="24"/>
          <w:szCs w:val="24"/>
        </w:rPr>
        <w:t>normalization of</w:t>
      </w:r>
      <w:r w:rsidRPr="00B455CB">
        <w:rPr>
          <w:rFonts w:ascii="Arial" w:hAnsi="Arial" w:cs="Arial"/>
          <w:sz w:val="24"/>
          <w:szCs w:val="24"/>
        </w:rPr>
        <w:t xml:space="preserve"> the mailing</w:t>
      </w:r>
      <w:r w:rsidR="00D63E75" w:rsidRPr="00B455CB">
        <w:rPr>
          <w:rFonts w:ascii="Arial" w:hAnsi="Arial" w:cs="Arial"/>
          <w:sz w:val="24"/>
          <w:szCs w:val="24"/>
        </w:rPr>
        <w:t xml:space="preserve"> list, </w:t>
      </w:r>
      <w:r w:rsidR="00A75282" w:rsidRPr="00B455CB">
        <w:rPr>
          <w:rFonts w:ascii="Arial" w:hAnsi="Arial" w:cs="Arial"/>
          <w:sz w:val="24"/>
          <w:szCs w:val="24"/>
        </w:rPr>
        <w:t xml:space="preserve">verifying </w:t>
      </w:r>
      <w:r w:rsidR="00D63E75" w:rsidRPr="00B455CB">
        <w:rPr>
          <w:rFonts w:ascii="Arial" w:hAnsi="Arial" w:cs="Arial"/>
          <w:sz w:val="24"/>
          <w:szCs w:val="24"/>
        </w:rPr>
        <w:t>for each unit</w:t>
      </w:r>
      <w:r w:rsidRPr="00B455CB">
        <w:rPr>
          <w:rFonts w:ascii="Arial" w:hAnsi="Arial" w:cs="Arial"/>
          <w:sz w:val="24"/>
          <w:szCs w:val="24"/>
        </w:rPr>
        <w:t xml:space="preserve"> the </w:t>
      </w:r>
      <w:r w:rsidR="00A75282" w:rsidRPr="00B455CB">
        <w:rPr>
          <w:rFonts w:ascii="Arial" w:hAnsi="Arial" w:cs="Arial"/>
          <w:sz w:val="24"/>
          <w:szCs w:val="24"/>
        </w:rPr>
        <w:t xml:space="preserve">completeness </w:t>
      </w:r>
      <w:r w:rsidRPr="00B455CB">
        <w:rPr>
          <w:rFonts w:ascii="Arial" w:hAnsi="Arial" w:cs="Arial"/>
          <w:sz w:val="24"/>
          <w:szCs w:val="24"/>
        </w:rPr>
        <w:t xml:space="preserve">of </w:t>
      </w:r>
      <w:r w:rsidR="00D63E75" w:rsidRPr="00B455CB">
        <w:rPr>
          <w:rFonts w:ascii="Arial" w:hAnsi="Arial" w:cs="Arial"/>
          <w:sz w:val="24"/>
          <w:szCs w:val="24"/>
        </w:rPr>
        <w:t xml:space="preserve">register information useful for </w:t>
      </w:r>
      <w:r w:rsidRPr="00B455CB">
        <w:rPr>
          <w:rFonts w:ascii="Arial" w:hAnsi="Arial" w:cs="Arial"/>
          <w:sz w:val="24"/>
          <w:szCs w:val="24"/>
        </w:rPr>
        <w:t>the</w:t>
      </w:r>
      <w:r w:rsidR="00A75282" w:rsidRPr="00B455CB">
        <w:rPr>
          <w:rFonts w:ascii="Arial" w:hAnsi="Arial" w:cs="Arial"/>
          <w:sz w:val="24"/>
          <w:szCs w:val="24"/>
        </w:rPr>
        <w:t xml:space="preserve"> correct</w:t>
      </w:r>
      <w:r w:rsidRPr="00B455CB">
        <w:rPr>
          <w:rFonts w:ascii="Arial" w:hAnsi="Arial" w:cs="Arial"/>
          <w:sz w:val="24"/>
          <w:szCs w:val="24"/>
        </w:rPr>
        <w:t xml:space="preserve"> delivery</w:t>
      </w:r>
      <w:r w:rsidR="00A75282" w:rsidRPr="00B455CB">
        <w:rPr>
          <w:rFonts w:ascii="Arial" w:hAnsi="Arial" w:cs="Arial"/>
          <w:sz w:val="24"/>
          <w:szCs w:val="24"/>
        </w:rPr>
        <w:t xml:space="preserve"> </w:t>
      </w:r>
      <w:r w:rsidRPr="00B455CB">
        <w:rPr>
          <w:rFonts w:ascii="Arial" w:hAnsi="Arial" w:cs="Arial"/>
          <w:sz w:val="24"/>
          <w:szCs w:val="24"/>
        </w:rPr>
        <w:t xml:space="preserve">and integrating </w:t>
      </w:r>
      <w:r w:rsidR="00ED5F8B" w:rsidRPr="00B455CB">
        <w:rPr>
          <w:rFonts w:ascii="Arial" w:hAnsi="Arial" w:cs="Arial"/>
          <w:sz w:val="24"/>
          <w:szCs w:val="24"/>
        </w:rPr>
        <w:t>possible gaps</w:t>
      </w:r>
      <w:r w:rsidRPr="00B455CB">
        <w:rPr>
          <w:rFonts w:ascii="Arial" w:hAnsi="Arial" w:cs="Arial"/>
          <w:sz w:val="24"/>
          <w:szCs w:val="24"/>
        </w:rPr>
        <w:t xml:space="preserve">. </w:t>
      </w:r>
    </w:p>
    <w:p w14:paraId="31882719" w14:textId="42FC0FBA" w:rsidR="00ED5F8B" w:rsidRPr="00233F52" w:rsidRDefault="00942A6D" w:rsidP="00233F52">
      <w:pPr>
        <w:spacing w:before="360" w:after="0" w:line="360" w:lineRule="auto"/>
        <w:jc w:val="both"/>
        <w:rPr>
          <w:rFonts w:ascii="Arial" w:hAnsi="Arial" w:cs="Arial"/>
          <w:i/>
          <w:sz w:val="24"/>
          <w:szCs w:val="24"/>
          <w:lang w:val="en-GB"/>
        </w:rPr>
      </w:pPr>
      <w:r w:rsidRPr="00233F52">
        <w:rPr>
          <w:rFonts w:ascii="Arial" w:hAnsi="Arial" w:cs="Arial"/>
          <w:i/>
          <w:sz w:val="24"/>
          <w:szCs w:val="24"/>
          <w:lang w:val="en-GB"/>
        </w:rPr>
        <w:t>2</w:t>
      </w:r>
      <w:r w:rsidR="00122207" w:rsidRPr="00233F52">
        <w:rPr>
          <w:rFonts w:ascii="Arial" w:hAnsi="Arial" w:cs="Arial"/>
          <w:i/>
          <w:sz w:val="24"/>
          <w:szCs w:val="24"/>
          <w:lang w:val="en-GB"/>
        </w:rPr>
        <w:t>.</w:t>
      </w:r>
      <w:r w:rsidRPr="00233F52">
        <w:rPr>
          <w:rFonts w:ascii="Arial" w:hAnsi="Arial" w:cs="Arial"/>
          <w:i/>
          <w:sz w:val="24"/>
          <w:szCs w:val="24"/>
          <w:lang w:val="en-GB"/>
        </w:rPr>
        <w:t>3</w:t>
      </w:r>
      <w:r w:rsidR="00466D05" w:rsidRPr="00233F52">
        <w:rPr>
          <w:rFonts w:ascii="Arial" w:hAnsi="Arial" w:cs="Arial"/>
          <w:i/>
          <w:sz w:val="24"/>
          <w:szCs w:val="24"/>
          <w:lang w:val="en-GB"/>
        </w:rPr>
        <w:t xml:space="preserve">. </w:t>
      </w:r>
      <w:r w:rsidR="00ED5F8B" w:rsidRPr="00233F52">
        <w:rPr>
          <w:rFonts w:ascii="Arial" w:hAnsi="Arial" w:cs="Arial"/>
          <w:i/>
          <w:sz w:val="24"/>
          <w:szCs w:val="24"/>
          <w:lang w:val="en-GB"/>
        </w:rPr>
        <w:t xml:space="preserve">Standardization of the contact modalities </w:t>
      </w:r>
    </w:p>
    <w:p w14:paraId="33AB6C13" w14:textId="154102E0" w:rsidR="002A5306" w:rsidRPr="00B455CB" w:rsidRDefault="002A5306" w:rsidP="00EB0CE6">
      <w:pPr>
        <w:spacing w:before="120" w:after="0" w:line="360" w:lineRule="auto"/>
        <w:jc w:val="both"/>
        <w:rPr>
          <w:rFonts w:ascii="Arial" w:hAnsi="Arial" w:cs="Arial"/>
          <w:sz w:val="24"/>
          <w:szCs w:val="24"/>
        </w:rPr>
      </w:pPr>
      <w:r w:rsidRPr="00B455CB">
        <w:rPr>
          <w:rFonts w:ascii="Arial" w:hAnsi="Arial" w:cs="Arial"/>
          <w:sz w:val="24"/>
          <w:szCs w:val="24"/>
        </w:rPr>
        <w:t xml:space="preserve">The following standards </w:t>
      </w:r>
      <w:r w:rsidR="00ED5F8B" w:rsidRPr="00B455CB">
        <w:rPr>
          <w:rFonts w:ascii="Arial" w:hAnsi="Arial" w:cs="Arial"/>
          <w:sz w:val="24"/>
          <w:szCs w:val="24"/>
        </w:rPr>
        <w:t>were</w:t>
      </w:r>
      <w:r w:rsidRPr="00B455CB">
        <w:rPr>
          <w:rFonts w:ascii="Arial" w:hAnsi="Arial" w:cs="Arial"/>
          <w:sz w:val="24"/>
          <w:szCs w:val="24"/>
        </w:rPr>
        <w:t xml:space="preserve"> adopted:</w:t>
      </w:r>
      <w:r w:rsidR="00001E66">
        <w:rPr>
          <w:rFonts w:ascii="Arial" w:hAnsi="Arial" w:cs="Arial"/>
          <w:sz w:val="24"/>
          <w:szCs w:val="24"/>
        </w:rPr>
        <w:t xml:space="preserve"> </w:t>
      </w:r>
      <w:r w:rsidR="00233F52">
        <w:rPr>
          <w:rFonts w:ascii="Arial" w:hAnsi="Arial" w:cs="Arial"/>
          <w:sz w:val="24"/>
          <w:szCs w:val="24"/>
        </w:rPr>
        <w:t>i)</w:t>
      </w:r>
      <w:r w:rsidRPr="00B455CB">
        <w:rPr>
          <w:rFonts w:ascii="Arial" w:hAnsi="Arial" w:cs="Arial"/>
          <w:sz w:val="24"/>
          <w:szCs w:val="24"/>
        </w:rPr>
        <w:t xml:space="preserve"> single </w:t>
      </w:r>
      <w:r w:rsidR="00A75282" w:rsidRPr="00B455CB">
        <w:rPr>
          <w:rFonts w:ascii="Arial" w:hAnsi="Arial" w:cs="Arial"/>
          <w:sz w:val="24"/>
          <w:szCs w:val="24"/>
        </w:rPr>
        <w:t>centrali</w:t>
      </w:r>
      <w:r w:rsidR="00ED5F8B" w:rsidRPr="00B455CB">
        <w:rPr>
          <w:rFonts w:ascii="Arial" w:hAnsi="Arial" w:cs="Arial"/>
          <w:sz w:val="24"/>
          <w:szCs w:val="24"/>
        </w:rPr>
        <w:t>z</w:t>
      </w:r>
      <w:r w:rsidR="00A75282" w:rsidRPr="00B455CB">
        <w:rPr>
          <w:rFonts w:ascii="Arial" w:hAnsi="Arial" w:cs="Arial"/>
          <w:sz w:val="24"/>
          <w:szCs w:val="24"/>
        </w:rPr>
        <w:t>ed access point both for the d</w:t>
      </w:r>
      <w:r w:rsidRPr="00B455CB">
        <w:rPr>
          <w:rFonts w:ascii="Arial" w:hAnsi="Arial" w:cs="Arial"/>
          <w:sz w:val="24"/>
          <w:szCs w:val="24"/>
        </w:rPr>
        <w:t xml:space="preserve">ata </w:t>
      </w:r>
      <w:r w:rsidR="00DC4126" w:rsidRPr="00B455CB">
        <w:rPr>
          <w:rFonts w:ascii="Arial" w:hAnsi="Arial" w:cs="Arial"/>
          <w:sz w:val="24"/>
          <w:szCs w:val="24"/>
        </w:rPr>
        <w:t>capturing</w:t>
      </w:r>
      <w:r w:rsidRPr="00B455CB">
        <w:rPr>
          <w:rFonts w:ascii="Arial" w:hAnsi="Arial" w:cs="Arial"/>
          <w:sz w:val="24"/>
          <w:szCs w:val="24"/>
        </w:rPr>
        <w:t xml:space="preserve"> systems (</w:t>
      </w:r>
      <w:r w:rsidR="00ED5F8B" w:rsidRPr="00B455CB">
        <w:rPr>
          <w:rFonts w:ascii="Arial" w:hAnsi="Arial" w:cs="Arial"/>
          <w:sz w:val="24"/>
          <w:szCs w:val="24"/>
        </w:rPr>
        <w:t xml:space="preserve">by means of </w:t>
      </w:r>
      <w:r w:rsidR="00A75282" w:rsidRPr="00B455CB">
        <w:rPr>
          <w:rFonts w:ascii="Arial" w:hAnsi="Arial" w:cs="Arial"/>
          <w:sz w:val="24"/>
          <w:szCs w:val="24"/>
        </w:rPr>
        <w:t>Business Statistical Portal</w:t>
      </w:r>
      <w:r w:rsidRPr="00B455CB">
        <w:rPr>
          <w:rFonts w:ascii="Arial" w:hAnsi="Arial" w:cs="Arial"/>
          <w:sz w:val="24"/>
          <w:szCs w:val="24"/>
        </w:rPr>
        <w:t>) and for the incoming contact</w:t>
      </w:r>
      <w:r w:rsidR="00A75282" w:rsidRPr="00B455CB">
        <w:rPr>
          <w:rFonts w:ascii="Arial" w:hAnsi="Arial" w:cs="Arial"/>
          <w:sz w:val="24"/>
          <w:szCs w:val="24"/>
        </w:rPr>
        <w:t>s</w:t>
      </w:r>
      <w:r w:rsidRPr="00B455CB">
        <w:rPr>
          <w:rFonts w:ascii="Arial" w:hAnsi="Arial" w:cs="Arial"/>
          <w:sz w:val="24"/>
          <w:szCs w:val="24"/>
        </w:rPr>
        <w:t xml:space="preserve"> (</w:t>
      </w:r>
      <w:r w:rsidR="00A75282" w:rsidRPr="00B455CB">
        <w:rPr>
          <w:rFonts w:ascii="Arial" w:hAnsi="Arial" w:cs="Arial"/>
          <w:sz w:val="24"/>
          <w:szCs w:val="24"/>
        </w:rPr>
        <w:t>free of charge inbound Contact Center</w:t>
      </w:r>
      <w:r w:rsidRPr="00B455CB">
        <w:rPr>
          <w:rFonts w:ascii="Arial" w:hAnsi="Arial" w:cs="Arial"/>
          <w:sz w:val="24"/>
          <w:szCs w:val="24"/>
        </w:rPr>
        <w:t>)</w:t>
      </w:r>
      <w:r w:rsidR="00A75282" w:rsidRPr="00B455CB">
        <w:rPr>
          <w:rFonts w:ascii="Arial" w:hAnsi="Arial" w:cs="Arial"/>
          <w:sz w:val="24"/>
          <w:szCs w:val="24"/>
        </w:rPr>
        <w:t xml:space="preserve"> by telephone or by email</w:t>
      </w:r>
      <w:r w:rsidR="009535A9" w:rsidRPr="00B455CB">
        <w:rPr>
          <w:rFonts w:ascii="Arial" w:hAnsi="Arial" w:cs="Arial"/>
          <w:sz w:val="24"/>
          <w:szCs w:val="24"/>
        </w:rPr>
        <w:t>;</w:t>
      </w:r>
      <w:r w:rsidR="00001E66">
        <w:rPr>
          <w:rFonts w:ascii="Arial" w:hAnsi="Arial" w:cs="Arial"/>
          <w:sz w:val="24"/>
          <w:szCs w:val="24"/>
        </w:rPr>
        <w:t xml:space="preserve"> </w:t>
      </w:r>
      <w:r w:rsidR="00233F52">
        <w:rPr>
          <w:rFonts w:ascii="Arial" w:hAnsi="Arial" w:cs="Arial"/>
          <w:sz w:val="24"/>
          <w:szCs w:val="24"/>
        </w:rPr>
        <w:t>ii)</w:t>
      </w:r>
      <w:r w:rsidRPr="00B455CB">
        <w:rPr>
          <w:rFonts w:ascii="Arial" w:hAnsi="Arial" w:cs="Arial"/>
          <w:sz w:val="24"/>
          <w:szCs w:val="24"/>
        </w:rPr>
        <w:t xml:space="preserve"> </w:t>
      </w:r>
      <w:r w:rsidR="005D2521" w:rsidRPr="00B455CB">
        <w:rPr>
          <w:rFonts w:ascii="Arial" w:hAnsi="Arial" w:cs="Arial"/>
          <w:sz w:val="24"/>
          <w:szCs w:val="24"/>
        </w:rPr>
        <w:t xml:space="preserve">system of </w:t>
      </w:r>
      <w:r w:rsidRPr="00B455CB">
        <w:rPr>
          <w:rFonts w:ascii="Arial" w:hAnsi="Arial" w:cs="Arial"/>
          <w:sz w:val="24"/>
          <w:szCs w:val="24"/>
        </w:rPr>
        <w:t>harmoni</w:t>
      </w:r>
      <w:r w:rsidR="00895326" w:rsidRPr="00B455CB">
        <w:rPr>
          <w:rFonts w:ascii="Arial" w:hAnsi="Arial" w:cs="Arial"/>
          <w:sz w:val="24"/>
          <w:szCs w:val="24"/>
        </w:rPr>
        <w:t>z</w:t>
      </w:r>
      <w:r w:rsidRPr="00B455CB">
        <w:rPr>
          <w:rFonts w:ascii="Arial" w:hAnsi="Arial" w:cs="Arial"/>
          <w:sz w:val="24"/>
          <w:szCs w:val="24"/>
        </w:rPr>
        <w:t xml:space="preserve">ed standard </w:t>
      </w:r>
      <w:r w:rsidR="00895326" w:rsidRPr="00B455CB">
        <w:rPr>
          <w:rFonts w:ascii="Arial" w:hAnsi="Arial" w:cs="Arial"/>
          <w:sz w:val="24"/>
          <w:szCs w:val="24"/>
        </w:rPr>
        <w:t xml:space="preserve">answers </w:t>
      </w:r>
      <w:r w:rsidR="00A75282" w:rsidRPr="00B455CB">
        <w:rPr>
          <w:rFonts w:ascii="Arial" w:hAnsi="Arial" w:cs="Arial"/>
          <w:sz w:val="24"/>
          <w:szCs w:val="24"/>
        </w:rPr>
        <w:t>to be used</w:t>
      </w:r>
      <w:r w:rsidR="00895326" w:rsidRPr="00B455CB">
        <w:rPr>
          <w:rFonts w:ascii="Arial" w:hAnsi="Arial" w:cs="Arial"/>
          <w:sz w:val="24"/>
          <w:szCs w:val="24"/>
        </w:rPr>
        <w:t xml:space="preserve"> in order to provide efficient and timely resolutions to requests coming from units on non-thematic and recurring thematic issues. The</w:t>
      </w:r>
      <w:r w:rsidRPr="00B455CB">
        <w:rPr>
          <w:rFonts w:ascii="Arial" w:hAnsi="Arial" w:cs="Arial"/>
          <w:sz w:val="24"/>
          <w:szCs w:val="24"/>
        </w:rPr>
        <w:t xml:space="preserve"> </w:t>
      </w:r>
      <w:r w:rsidR="005D2521" w:rsidRPr="00B455CB">
        <w:rPr>
          <w:rFonts w:ascii="Arial" w:hAnsi="Arial" w:cs="Arial"/>
          <w:sz w:val="24"/>
          <w:szCs w:val="24"/>
        </w:rPr>
        <w:t xml:space="preserve">requests </w:t>
      </w:r>
      <w:r w:rsidR="00895326" w:rsidRPr="00B455CB">
        <w:rPr>
          <w:rFonts w:ascii="Arial" w:hAnsi="Arial" w:cs="Arial"/>
          <w:sz w:val="24"/>
          <w:szCs w:val="24"/>
        </w:rPr>
        <w:t xml:space="preserve">are </w:t>
      </w:r>
      <w:r w:rsidR="00A02136" w:rsidRPr="00B455CB">
        <w:rPr>
          <w:rFonts w:ascii="Arial" w:hAnsi="Arial" w:cs="Arial"/>
          <w:sz w:val="24"/>
          <w:szCs w:val="24"/>
        </w:rPr>
        <w:t>addressed to</w:t>
      </w:r>
      <w:r w:rsidR="005D2521" w:rsidRPr="00B455CB">
        <w:rPr>
          <w:rFonts w:ascii="Arial" w:hAnsi="Arial" w:cs="Arial"/>
          <w:sz w:val="24"/>
          <w:szCs w:val="24"/>
        </w:rPr>
        <w:t xml:space="preserve"> centralized</w:t>
      </w:r>
      <w:r w:rsidRPr="00B455CB">
        <w:rPr>
          <w:rFonts w:ascii="Arial" w:hAnsi="Arial" w:cs="Arial"/>
          <w:sz w:val="24"/>
          <w:szCs w:val="24"/>
        </w:rPr>
        <w:t xml:space="preserve"> inbound </w:t>
      </w:r>
      <w:r w:rsidR="00A75282" w:rsidRPr="00B455CB">
        <w:rPr>
          <w:rFonts w:ascii="Arial" w:hAnsi="Arial" w:cs="Arial"/>
          <w:sz w:val="24"/>
          <w:szCs w:val="24"/>
        </w:rPr>
        <w:t xml:space="preserve">Contact Center </w:t>
      </w:r>
      <w:r w:rsidRPr="00B455CB">
        <w:rPr>
          <w:rFonts w:ascii="Arial" w:hAnsi="Arial" w:cs="Arial"/>
          <w:sz w:val="24"/>
          <w:szCs w:val="24"/>
        </w:rPr>
        <w:t>service</w:t>
      </w:r>
      <w:r w:rsidR="00895326" w:rsidRPr="00B455CB">
        <w:rPr>
          <w:rFonts w:ascii="Arial" w:hAnsi="Arial" w:cs="Arial"/>
          <w:sz w:val="24"/>
          <w:szCs w:val="24"/>
        </w:rPr>
        <w:t xml:space="preserve"> or directly to Istat DC offices</w:t>
      </w:r>
      <w:r w:rsidRPr="00B455CB">
        <w:rPr>
          <w:rFonts w:ascii="Arial" w:hAnsi="Arial" w:cs="Arial"/>
          <w:sz w:val="24"/>
          <w:szCs w:val="24"/>
        </w:rPr>
        <w:t>.</w:t>
      </w:r>
    </w:p>
    <w:p w14:paraId="555AF077" w14:textId="2CF8E3F5" w:rsidR="00D93B63" w:rsidRPr="000A37FC" w:rsidRDefault="00942A6D" w:rsidP="000A37FC">
      <w:pPr>
        <w:spacing w:before="360" w:after="0" w:line="360" w:lineRule="auto"/>
        <w:jc w:val="both"/>
        <w:rPr>
          <w:rFonts w:ascii="Arial" w:hAnsi="Arial" w:cs="Arial"/>
          <w:i/>
          <w:sz w:val="24"/>
          <w:szCs w:val="24"/>
          <w:lang w:val="en-GB"/>
        </w:rPr>
      </w:pPr>
      <w:r w:rsidRPr="000A37FC">
        <w:rPr>
          <w:rFonts w:ascii="Arial" w:hAnsi="Arial" w:cs="Arial"/>
          <w:i/>
          <w:sz w:val="24"/>
          <w:szCs w:val="24"/>
          <w:lang w:val="en-GB"/>
        </w:rPr>
        <w:t>2</w:t>
      </w:r>
      <w:r w:rsidR="0086563B" w:rsidRPr="000A37FC">
        <w:rPr>
          <w:rFonts w:ascii="Arial" w:hAnsi="Arial" w:cs="Arial"/>
          <w:i/>
          <w:sz w:val="24"/>
          <w:szCs w:val="24"/>
          <w:lang w:val="en-GB"/>
        </w:rPr>
        <w:t>.</w:t>
      </w:r>
      <w:r w:rsidRPr="000A37FC">
        <w:rPr>
          <w:rFonts w:ascii="Arial" w:hAnsi="Arial" w:cs="Arial"/>
          <w:i/>
          <w:sz w:val="24"/>
          <w:szCs w:val="24"/>
          <w:lang w:val="en-GB"/>
        </w:rPr>
        <w:t>4</w:t>
      </w:r>
      <w:r w:rsidR="00466D05" w:rsidRPr="000A37FC">
        <w:rPr>
          <w:rFonts w:ascii="Arial" w:hAnsi="Arial" w:cs="Arial"/>
          <w:i/>
          <w:sz w:val="24"/>
          <w:szCs w:val="24"/>
          <w:lang w:val="en-GB"/>
        </w:rPr>
        <w:t xml:space="preserve">. </w:t>
      </w:r>
      <w:r w:rsidR="00233F52">
        <w:rPr>
          <w:rFonts w:ascii="Arial" w:hAnsi="Arial" w:cs="Arial"/>
          <w:i/>
          <w:sz w:val="24"/>
          <w:szCs w:val="24"/>
          <w:lang w:val="en-GB"/>
        </w:rPr>
        <w:t>S</w:t>
      </w:r>
      <w:r w:rsidR="00A02136" w:rsidRPr="000A37FC">
        <w:rPr>
          <w:rFonts w:ascii="Arial" w:hAnsi="Arial" w:cs="Arial"/>
          <w:i/>
          <w:sz w:val="24"/>
          <w:szCs w:val="24"/>
          <w:lang w:val="en-GB"/>
        </w:rPr>
        <w:t xml:space="preserve">trict </w:t>
      </w:r>
      <w:proofErr w:type="spellStart"/>
      <w:r w:rsidR="00A02136" w:rsidRPr="000A37FC">
        <w:rPr>
          <w:rFonts w:ascii="Arial" w:hAnsi="Arial" w:cs="Arial"/>
          <w:i/>
          <w:sz w:val="24"/>
          <w:szCs w:val="24"/>
          <w:lang w:val="en-GB"/>
        </w:rPr>
        <w:t>schedulation</w:t>
      </w:r>
      <w:proofErr w:type="spellEnd"/>
      <w:r w:rsidR="00D93B63" w:rsidRPr="000A37FC">
        <w:rPr>
          <w:rFonts w:ascii="Arial" w:hAnsi="Arial" w:cs="Arial"/>
          <w:i/>
          <w:sz w:val="24"/>
          <w:szCs w:val="24"/>
          <w:lang w:val="en-GB"/>
        </w:rPr>
        <w:t xml:space="preserve"> for </w:t>
      </w:r>
      <w:r w:rsidR="004F16C2" w:rsidRPr="000A37FC">
        <w:rPr>
          <w:rFonts w:ascii="Arial" w:hAnsi="Arial" w:cs="Arial"/>
          <w:i/>
          <w:sz w:val="24"/>
          <w:szCs w:val="24"/>
          <w:lang w:val="en-GB"/>
        </w:rPr>
        <w:t xml:space="preserve">formal </w:t>
      </w:r>
      <w:proofErr w:type="spellStart"/>
      <w:r w:rsidR="004F16C2" w:rsidRPr="000A37FC">
        <w:rPr>
          <w:rFonts w:ascii="Arial" w:hAnsi="Arial" w:cs="Arial"/>
          <w:i/>
          <w:sz w:val="24"/>
          <w:szCs w:val="24"/>
          <w:lang w:val="en-GB"/>
        </w:rPr>
        <w:t>end</w:t>
      </w:r>
      <w:proofErr w:type="spellEnd"/>
      <w:r w:rsidR="004F16C2" w:rsidRPr="000A37FC">
        <w:rPr>
          <w:rFonts w:ascii="Arial" w:hAnsi="Arial" w:cs="Arial"/>
          <w:i/>
          <w:sz w:val="24"/>
          <w:szCs w:val="24"/>
          <w:lang w:val="en-GB"/>
        </w:rPr>
        <w:t xml:space="preserve"> informal </w:t>
      </w:r>
      <w:r w:rsidR="00D93B63" w:rsidRPr="000A37FC">
        <w:rPr>
          <w:rFonts w:ascii="Arial" w:hAnsi="Arial" w:cs="Arial"/>
          <w:i/>
          <w:sz w:val="24"/>
          <w:szCs w:val="24"/>
          <w:lang w:val="en-GB"/>
        </w:rPr>
        <w:t xml:space="preserve">communications </w:t>
      </w:r>
    </w:p>
    <w:p w14:paraId="4113B96C" w14:textId="39C3C5B2" w:rsidR="00F255F1" w:rsidRPr="00F255F1" w:rsidRDefault="00016BE1" w:rsidP="00016BE1">
      <w:pPr>
        <w:spacing w:before="120" w:after="0" w:line="360" w:lineRule="auto"/>
        <w:jc w:val="both"/>
        <w:rPr>
          <w:rFonts w:ascii="Arial" w:hAnsi="Arial" w:cs="Arial"/>
          <w:sz w:val="24"/>
          <w:szCs w:val="24"/>
          <w:lang w:val="en-US"/>
        </w:rPr>
      </w:pPr>
      <w:r w:rsidRPr="00B455CB">
        <w:rPr>
          <w:rFonts w:ascii="Arial" w:hAnsi="Arial" w:cs="Arial"/>
          <w:sz w:val="24"/>
          <w:szCs w:val="24"/>
          <w:lang w:val="en-US"/>
        </w:rPr>
        <w:t xml:space="preserve">The data collection </w:t>
      </w:r>
      <w:r w:rsidR="00A02136" w:rsidRPr="00B455CB">
        <w:rPr>
          <w:rFonts w:ascii="Arial" w:hAnsi="Arial" w:cs="Arial"/>
          <w:sz w:val="24"/>
          <w:szCs w:val="24"/>
          <w:lang w:val="en-US"/>
        </w:rPr>
        <w:t>implementation</w:t>
      </w:r>
      <w:r w:rsidR="004369EA" w:rsidRPr="00B455CB">
        <w:rPr>
          <w:rFonts w:ascii="Arial" w:hAnsi="Arial" w:cs="Arial"/>
          <w:sz w:val="24"/>
          <w:szCs w:val="24"/>
          <w:lang w:val="en-US"/>
        </w:rPr>
        <w:t xml:space="preserve"> </w:t>
      </w:r>
      <w:r w:rsidR="00A02136" w:rsidRPr="00B455CB">
        <w:rPr>
          <w:rFonts w:ascii="Arial" w:hAnsi="Arial" w:cs="Arial"/>
          <w:sz w:val="24"/>
          <w:szCs w:val="24"/>
          <w:lang w:val="en-US"/>
        </w:rPr>
        <w:t>requires</w:t>
      </w:r>
      <w:r w:rsidRPr="00B455CB">
        <w:rPr>
          <w:rFonts w:ascii="Arial" w:hAnsi="Arial" w:cs="Arial"/>
          <w:sz w:val="24"/>
          <w:szCs w:val="24"/>
          <w:lang w:val="en-US"/>
        </w:rPr>
        <w:t xml:space="preserve"> the definition of a</w:t>
      </w:r>
      <w:r w:rsidR="00A02136" w:rsidRPr="00B455CB">
        <w:rPr>
          <w:rFonts w:ascii="Arial" w:hAnsi="Arial" w:cs="Arial"/>
          <w:sz w:val="24"/>
          <w:szCs w:val="24"/>
          <w:lang w:val="en-US"/>
        </w:rPr>
        <w:t xml:space="preserve"> strict</w:t>
      </w:r>
      <w:r w:rsidRPr="00B455CB">
        <w:rPr>
          <w:rFonts w:ascii="Arial" w:hAnsi="Arial" w:cs="Arial"/>
          <w:sz w:val="24"/>
          <w:szCs w:val="24"/>
          <w:lang w:val="en-US"/>
        </w:rPr>
        <w:t xml:space="preserve"> timetable for the management of the formal and informal communications </w:t>
      </w:r>
      <w:r w:rsidR="00A02136" w:rsidRPr="00B455CB">
        <w:rPr>
          <w:rFonts w:ascii="Arial" w:hAnsi="Arial" w:cs="Arial"/>
          <w:sz w:val="24"/>
          <w:szCs w:val="24"/>
          <w:lang w:val="en-US"/>
        </w:rPr>
        <w:t>addressed to</w:t>
      </w:r>
      <w:r w:rsidRPr="00B455CB">
        <w:rPr>
          <w:rFonts w:ascii="Arial" w:hAnsi="Arial" w:cs="Arial"/>
          <w:sz w:val="24"/>
          <w:szCs w:val="24"/>
          <w:lang w:val="en-US"/>
        </w:rPr>
        <w:t xml:space="preserve"> the units involved in the surveys</w:t>
      </w:r>
      <w:r w:rsidR="00782981" w:rsidRPr="00B455CB">
        <w:rPr>
          <w:rFonts w:ascii="Arial" w:hAnsi="Arial" w:cs="Arial"/>
          <w:sz w:val="24"/>
          <w:szCs w:val="24"/>
          <w:lang w:val="en-US"/>
        </w:rPr>
        <w:t>.</w:t>
      </w:r>
      <w:r w:rsidRPr="00B455CB">
        <w:rPr>
          <w:rFonts w:ascii="Arial" w:hAnsi="Arial" w:cs="Arial"/>
          <w:sz w:val="24"/>
          <w:szCs w:val="24"/>
          <w:lang w:val="en-US"/>
        </w:rPr>
        <w:t xml:space="preserve"> </w:t>
      </w:r>
      <w:r w:rsidR="00782981" w:rsidRPr="00B455CB">
        <w:rPr>
          <w:rFonts w:ascii="Arial" w:hAnsi="Arial" w:cs="Arial"/>
          <w:sz w:val="24"/>
          <w:szCs w:val="24"/>
          <w:lang w:val="en-US"/>
        </w:rPr>
        <w:t>T</w:t>
      </w:r>
      <w:r w:rsidRPr="00B455CB">
        <w:rPr>
          <w:rFonts w:ascii="Arial" w:hAnsi="Arial" w:cs="Arial"/>
          <w:sz w:val="24"/>
          <w:szCs w:val="24"/>
          <w:lang w:val="en-US"/>
        </w:rPr>
        <w:t>he following time</w:t>
      </w:r>
      <w:r w:rsidR="006A1DB5" w:rsidRPr="00B455CB">
        <w:rPr>
          <w:rFonts w:ascii="Arial" w:hAnsi="Arial" w:cs="Arial"/>
          <w:sz w:val="24"/>
          <w:szCs w:val="24"/>
          <w:lang w:val="en-US"/>
        </w:rPr>
        <w:t>table</w:t>
      </w:r>
      <w:r w:rsidR="00782981" w:rsidRPr="00B455CB">
        <w:rPr>
          <w:rFonts w:ascii="Arial" w:hAnsi="Arial" w:cs="Arial"/>
          <w:sz w:val="24"/>
          <w:szCs w:val="24"/>
          <w:lang w:val="en-US"/>
        </w:rPr>
        <w:t xml:space="preserve"> has been adopted</w:t>
      </w:r>
      <w:r w:rsidRPr="00B455CB">
        <w:rPr>
          <w:rFonts w:ascii="Arial" w:hAnsi="Arial" w:cs="Arial"/>
          <w:sz w:val="24"/>
          <w:szCs w:val="24"/>
          <w:lang w:val="en-US"/>
        </w:rPr>
        <w:t xml:space="preserve">, </w:t>
      </w:r>
      <w:r w:rsidR="00DF7811" w:rsidRPr="00B455CB">
        <w:rPr>
          <w:rFonts w:ascii="Arial" w:hAnsi="Arial" w:cs="Arial"/>
          <w:sz w:val="24"/>
          <w:szCs w:val="24"/>
          <w:lang w:val="en-US"/>
        </w:rPr>
        <w:t>following</w:t>
      </w:r>
      <w:r w:rsidR="004F16C2" w:rsidRPr="00B455CB">
        <w:rPr>
          <w:rFonts w:ascii="Arial" w:hAnsi="Arial" w:cs="Arial"/>
          <w:sz w:val="24"/>
          <w:szCs w:val="24"/>
          <w:lang w:val="en-US"/>
        </w:rPr>
        <w:t xml:space="preserve"> </w:t>
      </w:r>
      <w:r w:rsidR="00A02136" w:rsidRPr="00B455CB">
        <w:rPr>
          <w:rFonts w:ascii="Arial" w:hAnsi="Arial" w:cs="Arial"/>
          <w:sz w:val="24"/>
          <w:szCs w:val="24"/>
          <w:lang w:val="en-US"/>
        </w:rPr>
        <w:t xml:space="preserve">different approaches </w:t>
      </w:r>
      <w:r w:rsidRPr="00B455CB">
        <w:rPr>
          <w:rFonts w:ascii="Arial" w:hAnsi="Arial" w:cs="Arial"/>
          <w:sz w:val="24"/>
          <w:szCs w:val="24"/>
          <w:lang w:val="en-US"/>
        </w:rPr>
        <w:t xml:space="preserve">for </w:t>
      </w:r>
      <w:r w:rsidR="004369EA" w:rsidRPr="00B455CB">
        <w:rPr>
          <w:rFonts w:ascii="Arial" w:hAnsi="Arial" w:cs="Arial"/>
          <w:sz w:val="24"/>
          <w:szCs w:val="24"/>
          <w:lang w:val="en-US"/>
        </w:rPr>
        <w:t>s</w:t>
      </w:r>
      <w:r w:rsidRPr="00B455CB">
        <w:rPr>
          <w:rFonts w:ascii="Arial" w:hAnsi="Arial" w:cs="Arial"/>
          <w:sz w:val="24"/>
          <w:szCs w:val="24"/>
          <w:lang w:val="en-US"/>
        </w:rPr>
        <w:t xml:space="preserve">tructural and </w:t>
      </w:r>
      <w:r w:rsidR="004369EA" w:rsidRPr="00B455CB">
        <w:rPr>
          <w:rFonts w:ascii="Arial" w:hAnsi="Arial" w:cs="Arial"/>
          <w:sz w:val="24"/>
          <w:szCs w:val="24"/>
          <w:lang w:val="en-US"/>
        </w:rPr>
        <w:t>short-term surveys</w:t>
      </w:r>
      <w:r w:rsidR="00EB0CE6">
        <w:rPr>
          <w:rFonts w:ascii="Arial" w:hAnsi="Arial" w:cs="Arial"/>
          <w:sz w:val="24"/>
          <w:szCs w:val="24"/>
          <w:lang w:val="en-US"/>
        </w:rPr>
        <w:t>.</w:t>
      </w:r>
    </w:p>
    <w:p w14:paraId="7F527791" w14:textId="77777777" w:rsidR="00DF7811" w:rsidRPr="00A730FA" w:rsidRDefault="00DF7811" w:rsidP="00A730FA">
      <w:pPr>
        <w:spacing w:after="0" w:line="240" w:lineRule="auto"/>
        <w:jc w:val="both"/>
        <w:rPr>
          <w:rFonts w:ascii="Arial" w:eastAsia="Arial" w:hAnsi="Arial" w:cs="Arial"/>
          <w:b/>
          <w:sz w:val="20"/>
          <w:lang w:val="en-US"/>
        </w:rPr>
      </w:pPr>
      <w:r w:rsidRPr="00A730FA">
        <w:rPr>
          <w:rFonts w:ascii="Arial" w:eastAsia="Arial" w:hAnsi="Arial" w:cs="Arial"/>
          <w:b/>
          <w:sz w:val="20"/>
          <w:lang w:val="en-US"/>
        </w:rPr>
        <w:t xml:space="preserve">Table 7. Timetable of formal and informal communications adopted by </w:t>
      </w:r>
      <w:r w:rsidR="00DD1BE6" w:rsidRPr="00A730FA">
        <w:rPr>
          <w:rFonts w:ascii="Arial" w:eastAsia="Arial" w:hAnsi="Arial" w:cs="Arial"/>
          <w:b/>
          <w:sz w:val="20"/>
          <w:lang w:val="en-US"/>
        </w:rPr>
        <w:t xml:space="preserve">structural and </w:t>
      </w:r>
      <w:r w:rsidRPr="00A730FA">
        <w:rPr>
          <w:rFonts w:ascii="Arial" w:eastAsia="Arial" w:hAnsi="Arial" w:cs="Arial"/>
          <w:b/>
          <w:sz w:val="20"/>
          <w:lang w:val="en-US"/>
        </w:rPr>
        <w:t>short-term surveys.</w:t>
      </w:r>
    </w:p>
    <w:p w14:paraId="12073ABB" w14:textId="20A0E5AD" w:rsidR="00A72A28" w:rsidRDefault="00A72A28" w:rsidP="00851E89">
      <w:pPr>
        <w:spacing w:before="120" w:after="0" w:line="360" w:lineRule="auto"/>
        <w:jc w:val="both"/>
        <w:rPr>
          <w:rFonts w:ascii="Arial" w:hAnsi="Arial" w:cs="Arial"/>
          <w:sz w:val="24"/>
          <w:szCs w:val="24"/>
          <w:lang w:val="en-US"/>
        </w:rPr>
      </w:pPr>
      <w:r w:rsidRPr="00A72A28">
        <w:rPr>
          <w:noProof/>
          <w:lang w:val="it-IT" w:eastAsia="it-IT"/>
        </w:rPr>
        <w:drawing>
          <wp:inline distT="0" distB="0" distL="0" distR="0" wp14:anchorId="7E5A918C" wp14:editId="52351D64">
            <wp:extent cx="5759450" cy="21931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93119"/>
                    </a:xfrm>
                    <a:prstGeom prst="rect">
                      <a:avLst/>
                    </a:prstGeom>
                    <a:noFill/>
                    <a:ln>
                      <a:noFill/>
                    </a:ln>
                  </pic:spPr>
                </pic:pic>
              </a:graphicData>
            </a:graphic>
          </wp:inline>
        </w:drawing>
      </w:r>
    </w:p>
    <w:p w14:paraId="3F0987FB" w14:textId="5599F356" w:rsidR="00851E89" w:rsidRPr="00B455CB" w:rsidRDefault="00851E89" w:rsidP="00851E89">
      <w:pPr>
        <w:spacing w:before="120" w:after="0" w:line="360" w:lineRule="auto"/>
        <w:jc w:val="both"/>
        <w:rPr>
          <w:rFonts w:ascii="Arial" w:hAnsi="Arial" w:cs="Arial"/>
          <w:sz w:val="24"/>
          <w:szCs w:val="24"/>
          <w:lang w:val="en-US"/>
        </w:rPr>
      </w:pPr>
      <w:r w:rsidRPr="00B455CB">
        <w:rPr>
          <w:rFonts w:ascii="Arial" w:hAnsi="Arial" w:cs="Arial"/>
          <w:sz w:val="24"/>
          <w:szCs w:val="24"/>
          <w:lang w:val="en-US"/>
        </w:rPr>
        <w:t xml:space="preserve">The </w:t>
      </w:r>
      <w:r w:rsidR="00644AAE" w:rsidRPr="00B455CB">
        <w:rPr>
          <w:rFonts w:ascii="Arial" w:hAnsi="Arial" w:cs="Arial"/>
          <w:sz w:val="24"/>
          <w:szCs w:val="24"/>
          <w:lang w:val="en-US"/>
        </w:rPr>
        <w:t>massive</w:t>
      </w:r>
      <w:r w:rsidRPr="00B455CB">
        <w:rPr>
          <w:rFonts w:ascii="Arial" w:hAnsi="Arial" w:cs="Arial"/>
          <w:sz w:val="24"/>
          <w:szCs w:val="24"/>
          <w:lang w:val="en-US"/>
        </w:rPr>
        <w:t xml:space="preserve"> submissions are </w:t>
      </w:r>
      <w:r w:rsidR="00644AAE" w:rsidRPr="00B455CB">
        <w:rPr>
          <w:rFonts w:ascii="Arial" w:hAnsi="Arial" w:cs="Arial"/>
          <w:sz w:val="24"/>
          <w:szCs w:val="24"/>
          <w:lang w:val="en-US"/>
        </w:rPr>
        <w:t>carried out</w:t>
      </w:r>
      <w:r w:rsidRPr="00B455CB">
        <w:rPr>
          <w:rFonts w:ascii="Arial" w:hAnsi="Arial" w:cs="Arial"/>
          <w:sz w:val="24"/>
          <w:szCs w:val="24"/>
          <w:lang w:val="en-US"/>
        </w:rPr>
        <w:t xml:space="preserve"> through </w:t>
      </w:r>
      <w:r w:rsidR="00644AAE" w:rsidRPr="00B455CB">
        <w:rPr>
          <w:rFonts w:ascii="Arial" w:hAnsi="Arial" w:cs="Arial"/>
          <w:sz w:val="24"/>
          <w:szCs w:val="24"/>
          <w:lang w:val="en-US"/>
        </w:rPr>
        <w:t>a specific</w:t>
      </w:r>
      <w:r w:rsidR="004F16C2" w:rsidRPr="00B455CB">
        <w:rPr>
          <w:rFonts w:ascii="Arial" w:hAnsi="Arial" w:cs="Arial"/>
          <w:sz w:val="24"/>
          <w:szCs w:val="24"/>
          <w:lang w:val="en-US"/>
        </w:rPr>
        <w:t xml:space="preserve"> software</w:t>
      </w:r>
      <w:r w:rsidR="00644AAE" w:rsidRPr="00B455CB">
        <w:rPr>
          <w:rFonts w:ascii="Arial" w:hAnsi="Arial" w:cs="Arial"/>
          <w:sz w:val="24"/>
          <w:szCs w:val="24"/>
          <w:lang w:val="en-US"/>
        </w:rPr>
        <w:t xml:space="preserve"> application (named Archiflow)</w:t>
      </w:r>
      <w:r w:rsidRPr="00B455CB">
        <w:rPr>
          <w:rFonts w:ascii="Arial" w:hAnsi="Arial" w:cs="Arial"/>
          <w:sz w:val="24"/>
          <w:szCs w:val="24"/>
          <w:lang w:val="en-US"/>
        </w:rPr>
        <w:t xml:space="preserve"> that allow</w:t>
      </w:r>
      <w:r w:rsidR="00644AAE" w:rsidRPr="00B455CB">
        <w:rPr>
          <w:rFonts w:ascii="Arial" w:hAnsi="Arial" w:cs="Arial"/>
          <w:sz w:val="24"/>
          <w:szCs w:val="24"/>
          <w:lang w:val="en-US"/>
        </w:rPr>
        <w:t>s</w:t>
      </w:r>
      <w:r w:rsidRPr="00B455CB">
        <w:rPr>
          <w:rFonts w:ascii="Arial" w:hAnsi="Arial" w:cs="Arial"/>
          <w:sz w:val="24"/>
          <w:szCs w:val="24"/>
          <w:lang w:val="en-US"/>
        </w:rPr>
        <w:t xml:space="preserve"> the creation and sending</w:t>
      </w:r>
      <w:r w:rsidR="00644AAE" w:rsidRPr="00B455CB">
        <w:rPr>
          <w:rFonts w:ascii="Arial" w:hAnsi="Arial" w:cs="Arial"/>
          <w:sz w:val="24"/>
          <w:szCs w:val="24"/>
          <w:lang w:val="en-US"/>
        </w:rPr>
        <w:t xml:space="preserve"> by certified </w:t>
      </w:r>
      <w:r w:rsidR="00A35438">
        <w:rPr>
          <w:rFonts w:ascii="Arial" w:hAnsi="Arial" w:cs="Arial"/>
          <w:sz w:val="24"/>
          <w:szCs w:val="24"/>
          <w:lang w:val="en-US"/>
        </w:rPr>
        <w:t>e</w:t>
      </w:r>
      <w:r w:rsidR="00644AAE" w:rsidRPr="00B455CB">
        <w:rPr>
          <w:rFonts w:ascii="Arial" w:hAnsi="Arial" w:cs="Arial"/>
          <w:sz w:val="24"/>
          <w:szCs w:val="24"/>
          <w:lang w:val="en-US"/>
        </w:rPr>
        <w:t>mail</w:t>
      </w:r>
      <w:r w:rsidR="004F16C2" w:rsidRPr="00B455CB">
        <w:rPr>
          <w:rFonts w:ascii="Arial" w:hAnsi="Arial" w:cs="Arial"/>
          <w:sz w:val="24"/>
          <w:szCs w:val="24"/>
          <w:lang w:val="en-US"/>
        </w:rPr>
        <w:t xml:space="preserve">, </w:t>
      </w:r>
      <w:r w:rsidR="00644AAE" w:rsidRPr="00B455CB">
        <w:rPr>
          <w:rFonts w:ascii="Arial" w:hAnsi="Arial" w:cs="Arial"/>
          <w:sz w:val="24"/>
          <w:szCs w:val="24"/>
          <w:lang w:val="en-US"/>
        </w:rPr>
        <w:t>scheduling</w:t>
      </w:r>
      <w:r w:rsidRPr="00B455CB">
        <w:rPr>
          <w:rFonts w:ascii="Arial" w:hAnsi="Arial" w:cs="Arial"/>
          <w:sz w:val="24"/>
          <w:szCs w:val="24"/>
          <w:lang w:val="en-US"/>
        </w:rPr>
        <w:t xml:space="preserve"> the start</w:t>
      </w:r>
      <w:r w:rsidR="00644AAE" w:rsidRPr="00B455CB">
        <w:rPr>
          <w:rFonts w:ascii="Arial" w:hAnsi="Arial" w:cs="Arial"/>
          <w:sz w:val="24"/>
          <w:szCs w:val="24"/>
          <w:lang w:val="en-US"/>
        </w:rPr>
        <w:t>ing time</w:t>
      </w:r>
      <w:r w:rsidR="004F16C2" w:rsidRPr="00B455CB">
        <w:rPr>
          <w:rFonts w:ascii="Arial" w:hAnsi="Arial" w:cs="Arial"/>
          <w:sz w:val="24"/>
          <w:szCs w:val="24"/>
          <w:lang w:val="en-US"/>
        </w:rPr>
        <w:t xml:space="preserve">, </w:t>
      </w:r>
      <w:r w:rsidRPr="00B455CB">
        <w:rPr>
          <w:rFonts w:ascii="Arial" w:hAnsi="Arial" w:cs="Arial"/>
          <w:sz w:val="24"/>
          <w:szCs w:val="24"/>
          <w:lang w:val="en-US"/>
        </w:rPr>
        <w:t xml:space="preserve">of dynamic </w:t>
      </w:r>
      <w:r w:rsidR="00644AAE" w:rsidRPr="00B455CB">
        <w:rPr>
          <w:rFonts w:ascii="Arial" w:hAnsi="Arial" w:cs="Arial"/>
          <w:sz w:val="24"/>
          <w:szCs w:val="24"/>
          <w:lang w:val="en-US"/>
        </w:rPr>
        <w:t xml:space="preserve">text messages; massive </w:t>
      </w:r>
      <w:r w:rsidRPr="00B455CB">
        <w:rPr>
          <w:rFonts w:ascii="Arial" w:hAnsi="Arial" w:cs="Arial"/>
          <w:sz w:val="24"/>
          <w:szCs w:val="24"/>
          <w:lang w:val="en-US"/>
        </w:rPr>
        <w:t xml:space="preserve">ordinary </w:t>
      </w:r>
      <w:r w:rsidR="00A35438">
        <w:rPr>
          <w:rFonts w:ascii="Arial" w:hAnsi="Arial" w:cs="Arial"/>
          <w:sz w:val="24"/>
          <w:szCs w:val="24"/>
          <w:lang w:val="en-US"/>
        </w:rPr>
        <w:t>e</w:t>
      </w:r>
      <w:r w:rsidR="00644AAE" w:rsidRPr="00B455CB">
        <w:rPr>
          <w:rFonts w:ascii="Arial" w:hAnsi="Arial" w:cs="Arial"/>
          <w:sz w:val="24"/>
          <w:szCs w:val="24"/>
          <w:lang w:val="en-US"/>
        </w:rPr>
        <w:t xml:space="preserve">mail dynamic text </w:t>
      </w:r>
      <w:r w:rsidR="00644AAE" w:rsidRPr="00B455CB">
        <w:rPr>
          <w:rFonts w:ascii="Arial" w:hAnsi="Arial" w:cs="Arial"/>
          <w:sz w:val="24"/>
          <w:szCs w:val="24"/>
          <w:lang w:val="en-US"/>
        </w:rPr>
        <w:lastRenderedPageBreak/>
        <w:t>messages are managed</w:t>
      </w:r>
      <w:r w:rsidRPr="00B455CB">
        <w:rPr>
          <w:rFonts w:ascii="Arial" w:hAnsi="Arial" w:cs="Arial"/>
          <w:sz w:val="24"/>
          <w:szCs w:val="24"/>
          <w:lang w:val="en-US"/>
        </w:rPr>
        <w:t xml:space="preserve"> </w:t>
      </w:r>
      <w:r w:rsidR="00644AAE" w:rsidRPr="00B455CB">
        <w:rPr>
          <w:rFonts w:ascii="Arial" w:hAnsi="Arial" w:cs="Arial"/>
          <w:sz w:val="24"/>
          <w:szCs w:val="24"/>
          <w:lang w:val="en-US"/>
        </w:rPr>
        <w:t>by means of a proprietary</w:t>
      </w:r>
      <w:r w:rsidR="00A53434" w:rsidRPr="00B455CB">
        <w:rPr>
          <w:rFonts w:ascii="Arial" w:hAnsi="Arial" w:cs="Arial"/>
          <w:sz w:val="24"/>
          <w:szCs w:val="24"/>
          <w:lang w:val="en-US"/>
        </w:rPr>
        <w:t xml:space="preserve"> </w:t>
      </w:r>
      <w:r w:rsidRPr="00B455CB">
        <w:rPr>
          <w:rFonts w:ascii="Arial" w:hAnsi="Arial" w:cs="Arial"/>
          <w:sz w:val="24"/>
          <w:szCs w:val="24"/>
          <w:lang w:val="en-US"/>
        </w:rPr>
        <w:t>Web application</w:t>
      </w:r>
      <w:r w:rsidR="00644AAE" w:rsidRPr="00B455CB">
        <w:rPr>
          <w:rFonts w:ascii="Arial" w:hAnsi="Arial" w:cs="Arial"/>
          <w:sz w:val="24"/>
          <w:szCs w:val="24"/>
          <w:lang w:val="en-US"/>
        </w:rPr>
        <w:t xml:space="preserve"> named</w:t>
      </w:r>
      <w:r w:rsidRPr="00B455CB">
        <w:rPr>
          <w:rFonts w:ascii="Arial" w:hAnsi="Arial" w:cs="Arial"/>
          <w:sz w:val="24"/>
          <w:szCs w:val="24"/>
          <w:lang w:val="en-US"/>
        </w:rPr>
        <w:t xml:space="preserve"> MMM (</w:t>
      </w:r>
      <w:r w:rsidR="00A53434" w:rsidRPr="00B455CB">
        <w:rPr>
          <w:rFonts w:ascii="Arial" w:hAnsi="Arial" w:cs="Arial"/>
          <w:sz w:val="24"/>
          <w:szCs w:val="24"/>
          <w:lang w:val="en-US"/>
        </w:rPr>
        <w:t>M</w:t>
      </w:r>
      <w:r w:rsidRPr="00B455CB">
        <w:rPr>
          <w:rFonts w:ascii="Arial" w:hAnsi="Arial" w:cs="Arial"/>
          <w:sz w:val="24"/>
          <w:szCs w:val="24"/>
          <w:lang w:val="en-US"/>
        </w:rPr>
        <w:t xml:space="preserve">ail </w:t>
      </w:r>
      <w:r w:rsidR="00A53434" w:rsidRPr="00B455CB">
        <w:rPr>
          <w:rFonts w:ascii="Arial" w:hAnsi="Arial" w:cs="Arial"/>
          <w:sz w:val="24"/>
          <w:szCs w:val="24"/>
          <w:lang w:val="en-US"/>
        </w:rPr>
        <w:t>M</w:t>
      </w:r>
      <w:r w:rsidRPr="00B455CB">
        <w:rPr>
          <w:rFonts w:ascii="Arial" w:hAnsi="Arial" w:cs="Arial"/>
          <w:sz w:val="24"/>
          <w:szCs w:val="24"/>
          <w:lang w:val="en-US"/>
        </w:rPr>
        <w:t xml:space="preserve">assive Manager). </w:t>
      </w:r>
    </w:p>
    <w:p w14:paraId="27F76B33" w14:textId="08BD9EA9" w:rsidR="00466D05" w:rsidRPr="00EB0CE6" w:rsidRDefault="00942A6D" w:rsidP="000A37FC">
      <w:pPr>
        <w:spacing w:before="360" w:after="0" w:line="360" w:lineRule="auto"/>
        <w:jc w:val="both"/>
        <w:rPr>
          <w:rFonts w:ascii="Arial" w:hAnsi="Arial" w:cs="Arial"/>
          <w:i/>
          <w:sz w:val="24"/>
          <w:szCs w:val="24"/>
          <w:lang w:val="en-GB"/>
        </w:rPr>
      </w:pPr>
      <w:r w:rsidRPr="000A37FC">
        <w:rPr>
          <w:rFonts w:ascii="Arial" w:hAnsi="Arial" w:cs="Arial"/>
          <w:i/>
          <w:sz w:val="24"/>
          <w:szCs w:val="24"/>
          <w:lang w:val="en-GB"/>
        </w:rPr>
        <w:t>2</w:t>
      </w:r>
      <w:r w:rsidR="00A53434" w:rsidRPr="000A37FC">
        <w:rPr>
          <w:rFonts w:ascii="Arial" w:hAnsi="Arial" w:cs="Arial"/>
          <w:i/>
          <w:sz w:val="24"/>
          <w:szCs w:val="24"/>
          <w:lang w:val="en-GB"/>
        </w:rPr>
        <w:t>.</w:t>
      </w:r>
      <w:r w:rsidRPr="000A37FC">
        <w:rPr>
          <w:rFonts w:ascii="Arial" w:hAnsi="Arial" w:cs="Arial"/>
          <w:i/>
          <w:sz w:val="24"/>
          <w:szCs w:val="24"/>
          <w:lang w:val="en-GB"/>
        </w:rPr>
        <w:t>5</w:t>
      </w:r>
      <w:r w:rsidR="005A1FB7" w:rsidRPr="000A37FC">
        <w:rPr>
          <w:rFonts w:ascii="Arial" w:hAnsi="Arial" w:cs="Arial"/>
          <w:i/>
          <w:sz w:val="24"/>
          <w:szCs w:val="24"/>
          <w:lang w:val="en-GB"/>
        </w:rPr>
        <w:t xml:space="preserve">. </w:t>
      </w:r>
      <w:r w:rsidR="00DC7E84" w:rsidRPr="000A37FC">
        <w:rPr>
          <w:rFonts w:ascii="Arial" w:hAnsi="Arial" w:cs="Arial"/>
          <w:i/>
          <w:sz w:val="24"/>
          <w:szCs w:val="24"/>
          <w:lang w:val="en-GB"/>
        </w:rPr>
        <w:t>Procedures and tools f</w:t>
      </w:r>
      <w:r w:rsidR="00DC7E84" w:rsidRPr="00EB0CE6">
        <w:rPr>
          <w:rFonts w:ascii="Arial" w:hAnsi="Arial" w:cs="Arial"/>
          <w:i/>
          <w:sz w:val="24"/>
          <w:szCs w:val="24"/>
          <w:lang w:val="en-GB"/>
        </w:rPr>
        <w:t xml:space="preserve">or monitoring the </w:t>
      </w:r>
      <w:r w:rsidR="000B2084" w:rsidRPr="00EB0CE6">
        <w:rPr>
          <w:rFonts w:ascii="Arial" w:hAnsi="Arial" w:cs="Arial"/>
          <w:i/>
          <w:sz w:val="24"/>
          <w:szCs w:val="24"/>
          <w:lang w:val="en-GB"/>
        </w:rPr>
        <w:t>data collection process</w:t>
      </w:r>
    </w:p>
    <w:p w14:paraId="6CB12221" w14:textId="79FFBFBA" w:rsidR="007405B1" w:rsidRPr="00B455CB" w:rsidRDefault="007405B1" w:rsidP="007405B1">
      <w:pPr>
        <w:spacing w:before="120" w:after="0" w:line="360" w:lineRule="auto"/>
        <w:jc w:val="both"/>
        <w:rPr>
          <w:rFonts w:ascii="Arial" w:hAnsi="Arial" w:cs="Arial"/>
          <w:sz w:val="24"/>
          <w:szCs w:val="24"/>
          <w:lang w:val="en-US"/>
        </w:rPr>
      </w:pPr>
      <w:r w:rsidRPr="00B455CB">
        <w:rPr>
          <w:rFonts w:ascii="Arial" w:hAnsi="Arial" w:cs="Arial"/>
          <w:sz w:val="24"/>
          <w:szCs w:val="24"/>
          <w:lang w:val="en-US"/>
        </w:rPr>
        <w:t xml:space="preserve">Automatic and generalized procedures </w:t>
      </w:r>
      <w:r w:rsidR="00931917" w:rsidRPr="00B455CB">
        <w:rPr>
          <w:rFonts w:ascii="Arial" w:hAnsi="Arial" w:cs="Arial"/>
          <w:sz w:val="24"/>
          <w:szCs w:val="24"/>
          <w:lang w:val="en-US"/>
        </w:rPr>
        <w:t>were</w:t>
      </w:r>
      <w:r w:rsidRPr="00B455CB">
        <w:rPr>
          <w:rFonts w:ascii="Arial" w:hAnsi="Arial" w:cs="Arial"/>
          <w:sz w:val="24"/>
          <w:szCs w:val="24"/>
          <w:lang w:val="en-US"/>
        </w:rPr>
        <w:t xml:space="preserve"> </w:t>
      </w:r>
      <w:r w:rsidR="00DC7E84" w:rsidRPr="00B455CB">
        <w:rPr>
          <w:rFonts w:ascii="Arial" w:hAnsi="Arial" w:cs="Arial"/>
          <w:sz w:val="24"/>
          <w:szCs w:val="24"/>
          <w:lang w:val="en-US"/>
        </w:rPr>
        <w:t xml:space="preserve">implemented </w:t>
      </w:r>
      <w:r w:rsidR="0057090C" w:rsidRPr="00B455CB">
        <w:rPr>
          <w:rFonts w:ascii="Arial" w:hAnsi="Arial" w:cs="Arial"/>
          <w:sz w:val="24"/>
          <w:szCs w:val="24"/>
          <w:lang w:val="en-US"/>
        </w:rPr>
        <w:t xml:space="preserve">in order </w:t>
      </w:r>
      <w:r w:rsidRPr="00B455CB">
        <w:rPr>
          <w:rFonts w:ascii="Arial" w:hAnsi="Arial" w:cs="Arial"/>
          <w:sz w:val="24"/>
          <w:szCs w:val="24"/>
          <w:lang w:val="en-US"/>
        </w:rPr>
        <w:t xml:space="preserve">to monitor the entire data collection </w:t>
      </w:r>
      <w:r w:rsidR="00DC7E84" w:rsidRPr="00B455CB">
        <w:rPr>
          <w:rFonts w:ascii="Arial" w:hAnsi="Arial" w:cs="Arial"/>
          <w:sz w:val="24"/>
          <w:szCs w:val="24"/>
          <w:lang w:val="en-US"/>
        </w:rPr>
        <w:t>process</w:t>
      </w:r>
      <w:r w:rsidR="0057090C" w:rsidRPr="00B455CB">
        <w:rPr>
          <w:rFonts w:ascii="Arial" w:hAnsi="Arial" w:cs="Arial"/>
          <w:sz w:val="24"/>
          <w:szCs w:val="24"/>
          <w:lang w:val="en-US"/>
        </w:rPr>
        <w:t xml:space="preserve">. The aim is </w:t>
      </w:r>
      <w:r w:rsidRPr="00B455CB">
        <w:rPr>
          <w:rFonts w:ascii="Arial" w:hAnsi="Arial" w:cs="Arial"/>
          <w:sz w:val="24"/>
          <w:szCs w:val="24"/>
          <w:lang w:val="en-US"/>
        </w:rPr>
        <w:t xml:space="preserve">implementing </w:t>
      </w:r>
      <w:r w:rsidR="0057090C" w:rsidRPr="00B455CB">
        <w:rPr>
          <w:rFonts w:ascii="Arial" w:hAnsi="Arial" w:cs="Arial"/>
          <w:sz w:val="24"/>
          <w:szCs w:val="24"/>
          <w:lang w:val="en-US"/>
        </w:rPr>
        <w:t xml:space="preserve">timely </w:t>
      </w:r>
      <w:r w:rsidRPr="00B455CB">
        <w:rPr>
          <w:rFonts w:ascii="Arial" w:hAnsi="Arial" w:cs="Arial"/>
          <w:sz w:val="24"/>
          <w:szCs w:val="24"/>
          <w:lang w:val="en-US"/>
        </w:rPr>
        <w:t xml:space="preserve">corrective actions </w:t>
      </w:r>
      <w:r w:rsidR="0057090C" w:rsidRPr="00B455CB">
        <w:rPr>
          <w:rFonts w:ascii="Arial" w:hAnsi="Arial" w:cs="Arial"/>
          <w:sz w:val="24"/>
          <w:szCs w:val="24"/>
          <w:lang w:val="en-US"/>
        </w:rPr>
        <w:t>to control</w:t>
      </w:r>
      <w:r w:rsidRPr="00B455CB">
        <w:rPr>
          <w:rFonts w:ascii="Arial" w:hAnsi="Arial" w:cs="Arial"/>
          <w:sz w:val="24"/>
          <w:szCs w:val="24"/>
          <w:lang w:val="en-US"/>
        </w:rPr>
        <w:t xml:space="preserve"> non</w:t>
      </w:r>
      <w:r w:rsidR="000B2084" w:rsidRPr="00B455CB">
        <w:rPr>
          <w:rFonts w:ascii="Arial" w:hAnsi="Arial" w:cs="Arial"/>
          <w:sz w:val="24"/>
          <w:szCs w:val="24"/>
          <w:lang w:val="en-US"/>
        </w:rPr>
        <w:t>-</w:t>
      </w:r>
      <w:r w:rsidR="0057090C" w:rsidRPr="00B455CB">
        <w:rPr>
          <w:rFonts w:ascii="Arial" w:hAnsi="Arial" w:cs="Arial"/>
          <w:sz w:val="24"/>
          <w:szCs w:val="24"/>
          <w:lang w:val="en-US"/>
        </w:rPr>
        <w:t xml:space="preserve">respondents, </w:t>
      </w:r>
      <w:r w:rsidRPr="00B455CB">
        <w:rPr>
          <w:rFonts w:ascii="Arial" w:hAnsi="Arial" w:cs="Arial"/>
          <w:sz w:val="24"/>
          <w:szCs w:val="24"/>
          <w:lang w:val="en-US"/>
        </w:rPr>
        <w:t>such as extra reminders</w:t>
      </w:r>
      <w:r w:rsidR="0057090C" w:rsidRPr="00B455CB">
        <w:rPr>
          <w:rFonts w:ascii="Arial" w:hAnsi="Arial" w:cs="Arial"/>
          <w:sz w:val="24"/>
          <w:szCs w:val="24"/>
          <w:lang w:val="en-US"/>
        </w:rPr>
        <w:t xml:space="preserve"> in addition to those already scheduled</w:t>
      </w:r>
      <w:r w:rsidRPr="00B455CB">
        <w:rPr>
          <w:rFonts w:ascii="Arial" w:hAnsi="Arial" w:cs="Arial"/>
          <w:sz w:val="24"/>
          <w:szCs w:val="24"/>
          <w:lang w:val="en-US"/>
        </w:rPr>
        <w:t xml:space="preserve"> (</w:t>
      </w:r>
      <w:r w:rsidR="0057090C" w:rsidRPr="00B455CB">
        <w:rPr>
          <w:rFonts w:ascii="Arial" w:hAnsi="Arial" w:cs="Arial"/>
          <w:sz w:val="24"/>
          <w:szCs w:val="24"/>
          <w:lang w:val="en-US"/>
        </w:rPr>
        <w:t xml:space="preserve">by </w:t>
      </w:r>
      <w:r w:rsidR="003B2E4E" w:rsidRPr="00B455CB">
        <w:rPr>
          <w:rFonts w:ascii="Arial" w:hAnsi="Arial" w:cs="Arial"/>
          <w:sz w:val="24"/>
          <w:szCs w:val="24"/>
          <w:lang w:val="en-US"/>
        </w:rPr>
        <w:t xml:space="preserve">ordinary or certified </w:t>
      </w:r>
      <w:r w:rsidRPr="00B455CB">
        <w:rPr>
          <w:rFonts w:ascii="Arial" w:hAnsi="Arial" w:cs="Arial"/>
          <w:sz w:val="24"/>
          <w:szCs w:val="24"/>
          <w:lang w:val="en-US"/>
        </w:rPr>
        <w:t xml:space="preserve">email, </w:t>
      </w:r>
      <w:r w:rsidR="00233F52">
        <w:rPr>
          <w:rFonts w:ascii="Arial" w:hAnsi="Arial" w:cs="Arial"/>
          <w:sz w:val="24"/>
          <w:szCs w:val="24"/>
          <w:lang w:val="en-US"/>
        </w:rPr>
        <w:t xml:space="preserve">or </w:t>
      </w:r>
      <w:r w:rsidRPr="00B455CB">
        <w:rPr>
          <w:rFonts w:ascii="Arial" w:hAnsi="Arial" w:cs="Arial"/>
          <w:sz w:val="24"/>
          <w:szCs w:val="24"/>
          <w:lang w:val="en-US"/>
        </w:rPr>
        <w:t>phone). These procedures allow cyclical (compar</w:t>
      </w:r>
      <w:r w:rsidR="000B2084" w:rsidRPr="00B455CB">
        <w:rPr>
          <w:rFonts w:ascii="Arial" w:hAnsi="Arial" w:cs="Arial"/>
          <w:sz w:val="24"/>
          <w:szCs w:val="24"/>
          <w:lang w:val="en-US"/>
        </w:rPr>
        <w:t xml:space="preserve">ing </w:t>
      </w:r>
      <w:r w:rsidRPr="00B455CB">
        <w:rPr>
          <w:rFonts w:ascii="Arial" w:hAnsi="Arial" w:cs="Arial"/>
          <w:sz w:val="24"/>
          <w:szCs w:val="24"/>
          <w:lang w:val="en-US"/>
        </w:rPr>
        <w:t xml:space="preserve">to the previous period of the same year) and structural </w:t>
      </w:r>
      <w:r w:rsidR="000B2084" w:rsidRPr="00B455CB">
        <w:rPr>
          <w:rFonts w:ascii="Arial" w:hAnsi="Arial" w:cs="Arial"/>
          <w:sz w:val="24"/>
          <w:szCs w:val="24"/>
          <w:lang w:val="en-US"/>
        </w:rPr>
        <w:t xml:space="preserve">comparisons </w:t>
      </w:r>
      <w:r w:rsidRPr="00B455CB">
        <w:rPr>
          <w:rFonts w:ascii="Arial" w:hAnsi="Arial" w:cs="Arial"/>
          <w:sz w:val="24"/>
          <w:szCs w:val="24"/>
          <w:lang w:val="en-US"/>
        </w:rPr>
        <w:t xml:space="preserve">(same period of the previous year) on the basis of </w:t>
      </w:r>
      <w:r w:rsidR="0057090C" w:rsidRPr="00B455CB">
        <w:rPr>
          <w:rFonts w:ascii="Arial" w:hAnsi="Arial" w:cs="Arial"/>
          <w:sz w:val="24"/>
          <w:szCs w:val="24"/>
          <w:lang w:val="en-US"/>
        </w:rPr>
        <w:t>specific</w:t>
      </w:r>
      <w:r w:rsidRPr="00B455CB">
        <w:rPr>
          <w:rFonts w:ascii="Arial" w:hAnsi="Arial" w:cs="Arial"/>
          <w:sz w:val="24"/>
          <w:szCs w:val="24"/>
          <w:lang w:val="en-US"/>
        </w:rPr>
        <w:t xml:space="preserve"> indicators (e.g. response rates). </w:t>
      </w:r>
      <w:r w:rsidR="00704DB3" w:rsidRPr="00B455CB">
        <w:rPr>
          <w:rFonts w:ascii="Arial" w:hAnsi="Arial" w:cs="Arial"/>
          <w:sz w:val="24"/>
          <w:szCs w:val="24"/>
          <w:lang w:val="en-US"/>
        </w:rPr>
        <w:t>On this regard</w:t>
      </w:r>
      <w:r w:rsidR="00D27EDB" w:rsidRPr="00B455CB">
        <w:rPr>
          <w:rFonts w:ascii="Arial" w:hAnsi="Arial" w:cs="Arial"/>
          <w:sz w:val="24"/>
          <w:szCs w:val="24"/>
          <w:lang w:val="en-US"/>
        </w:rPr>
        <w:t xml:space="preserve">, </w:t>
      </w:r>
      <w:r w:rsidRPr="00B455CB">
        <w:rPr>
          <w:rFonts w:ascii="Arial" w:hAnsi="Arial" w:cs="Arial"/>
          <w:sz w:val="24"/>
          <w:szCs w:val="24"/>
          <w:lang w:val="en-US"/>
        </w:rPr>
        <w:t xml:space="preserve">particular relevance </w:t>
      </w:r>
      <w:r w:rsidR="00704DB3" w:rsidRPr="00B455CB">
        <w:rPr>
          <w:rFonts w:ascii="Arial" w:hAnsi="Arial" w:cs="Arial"/>
          <w:sz w:val="24"/>
          <w:szCs w:val="24"/>
          <w:lang w:val="en-US"/>
        </w:rPr>
        <w:t>assume</w:t>
      </w:r>
      <w:r w:rsidRPr="00B455CB">
        <w:rPr>
          <w:rFonts w:ascii="Arial" w:hAnsi="Arial" w:cs="Arial"/>
          <w:sz w:val="24"/>
          <w:szCs w:val="24"/>
          <w:lang w:val="en-US"/>
        </w:rPr>
        <w:t xml:space="preserve"> the </w:t>
      </w:r>
      <w:r w:rsidR="00931917" w:rsidRPr="00B455CB">
        <w:rPr>
          <w:rFonts w:ascii="Arial" w:hAnsi="Arial" w:cs="Arial"/>
          <w:sz w:val="24"/>
          <w:szCs w:val="24"/>
          <w:lang w:val="en-US"/>
        </w:rPr>
        <w:t xml:space="preserve">management </w:t>
      </w:r>
      <w:r w:rsidRPr="00B455CB">
        <w:rPr>
          <w:rFonts w:ascii="Arial" w:hAnsi="Arial" w:cs="Arial"/>
          <w:sz w:val="24"/>
          <w:szCs w:val="24"/>
          <w:lang w:val="en-US"/>
        </w:rPr>
        <w:t xml:space="preserve">tools provided by the back office of the </w:t>
      </w:r>
      <w:r w:rsidR="0057090C" w:rsidRPr="00B455CB">
        <w:rPr>
          <w:rFonts w:ascii="Arial" w:hAnsi="Arial" w:cs="Arial"/>
          <w:sz w:val="24"/>
          <w:szCs w:val="24"/>
          <w:lang w:val="en-US"/>
        </w:rPr>
        <w:t>Business Statistical Portal</w:t>
      </w:r>
      <w:r w:rsidRPr="00B455CB">
        <w:rPr>
          <w:rFonts w:ascii="Arial" w:hAnsi="Arial" w:cs="Arial"/>
          <w:sz w:val="24"/>
          <w:szCs w:val="24"/>
          <w:lang w:val="en-US"/>
        </w:rPr>
        <w:t xml:space="preserve"> that allow</w:t>
      </w:r>
      <w:r w:rsidR="00A35438">
        <w:rPr>
          <w:rFonts w:ascii="Arial" w:hAnsi="Arial" w:cs="Arial"/>
          <w:sz w:val="24"/>
          <w:szCs w:val="24"/>
          <w:lang w:val="en-US"/>
        </w:rPr>
        <w:t>s</w:t>
      </w:r>
      <w:r w:rsidRPr="00B455CB">
        <w:rPr>
          <w:rFonts w:ascii="Arial" w:hAnsi="Arial" w:cs="Arial"/>
          <w:sz w:val="24"/>
          <w:szCs w:val="24"/>
          <w:lang w:val="en-US"/>
        </w:rPr>
        <w:t xml:space="preserve"> a detailed analysis of the </w:t>
      </w:r>
      <w:proofErr w:type="spellStart"/>
      <w:r w:rsidR="00233F52" w:rsidRPr="00233F52">
        <w:rPr>
          <w:rFonts w:ascii="Arial" w:hAnsi="Arial" w:cs="Arial"/>
          <w:i/>
          <w:sz w:val="24"/>
          <w:szCs w:val="24"/>
          <w:lang w:val="en-US"/>
        </w:rPr>
        <w:t>rr</w:t>
      </w:r>
      <w:proofErr w:type="spellEnd"/>
      <w:r w:rsidRPr="00B455CB">
        <w:rPr>
          <w:rFonts w:ascii="Arial" w:hAnsi="Arial" w:cs="Arial"/>
          <w:sz w:val="24"/>
          <w:szCs w:val="24"/>
          <w:lang w:val="en-US"/>
        </w:rPr>
        <w:t xml:space="preserve"> </w:t>
      </w:r>
      <w:r w:rsidR="00704DB3" w:rsidRPr="00B455CB">
        <w:rPr>
          <w:rFonts w:ascii="Arial" w:hAnsi="Arial" w:cs="Arial"/>
          <w:sz w:val="24"/>
          <w:szCs w:val="24"/>
          <w:lang w:val="en-US"/>
        </w:rPr>
        <w:t>for</w:t>
      </w:r>
      <w:r w:rsidRPr="00B455CB">
        <w:rPr>
          <w:rFonts w:ascii="Arial" w:hAnsi="Arial" w:cs="Arial"/>
          <w:sz w:val="24"/>
          <w:szCs w:val="24"/>
          <w:lang w:val="en-US"/>
        </w:rPr>
        <w:t xml:space="preserve"> territorial level, economic activity and </w:t>
      </w:r>
      <w:r w:rsidR="00D27EDB" w:rsidRPr="00B455CB">
        <w:rPr>
          <w:rFonts w:ascii="Arial" w:hAnsi="Arial" w:cs="Arial"/>
          <w:sz w:val="24"/>
          <w:szCs w:val="24"/>
          <w:lang w:val="en-US"/>
        </w:rPr>
        <w:t xml:space="preserve">for specific employees </w:t>
      </w:r>
      <w:r w:rsidR="00931917" w:rsidRPr="00B455CB">
        <w:rPr>
          <w:rFonts w:ascii="Arial" w:hAnsi="Arial" w:cs="Arial"/>
          <w:sz w:val="24"/>
          <w:szCs w:val="24"/>
          <w:lang w:val="en-US"/>
        </w:rPr>
        <w:t>classes</w:t>
      </w:r>
      <w:r w:rsidRPr="00B455CB">
        <w:rPr>
          <w:rFonts w:ascii="Arial" w:hAnsi="Arial" w:cs="Arial"/>
          <w:sz w:val="24"/>
          <w:szCs w:val="24"/>
          <w:lang w:val="en-US"/>
        </w:rPr>
        <w:t>.</w:t>
      </w:r>
    </w:p>
    <w:p w14:paraId="791D53B4" w14:textId="141CEF0D" w:rsidR="00794DD7" w:rsidRPr="00233F52" w:rsidRDefault="00942A6D" w:rsidP="00233F52">
      <w:pPr>
        <w:spacing w:before="360" w:after="0" w:line="360" w:lineRule="auto"/>
        <w:jc w:val="both"/>
        <w:rPr>
          <w:rFonts w:ascii="Arial" w:hAnsi="Arial" w:cs="Arial"/>
          <w:i/>
          <w:sz w:val="24"/>
          <w:szCs w:val="24"/>
          <w:lang w:val="en-GB"/>
        </w:rPr>
      </w:pPr>
      <w:r w:rsidRPr="00233F52">
        <w:rPr>
          <w:rFonts w:ascii="Arial" w:hAnsi="Arial" w:cs="Arial"/>
          <w:i/>
          <w:sz w:val="24"/>
          <w:szCs w:val="24"/>
          <w:lang w:val="en-GB"/>
        </w:rPr>
        <w:t>2</w:t>
      </w:r>
      <w:r w:rsidR="00794DD7" w:rsidRPr="00233F52">
        <w:rPr>
          <w:rFonts w:ascii="Arial" w:hAnsi="Arial" w:cs="Arial"/>
          <w:i/>
          <w:sz w:val="24"/>
          <w:szCs w:val="24"/>
          <w:lang w:val="en-GB"/>
        </w:rPr>
        <w:t>.</w:t>
      </w:r>
      <w:r w:rsidRPr="00233F52">
        <w:rPr>
          <w:rFonts w:ascii="Arial" w:hAnsi="Arial" w:cs="Arial"/>
          <w:i/>
          <w:sz w:val="24"/>
          <w:szCs w:val="24"/>
          <w:lang w:val="en-GB"/>
        </w:rPr>
        <w:t>6</w:t>
      </w:r>
      <w:r w:rsidR="00794DD7" w:rsidRPr="00233F52">
        <w:rPr>
          <w:rFonts w:ascii="Arial" w:hAnsi="Arial" w:cs="Arial"/>
          <w:i/>
          <w:sz w:val="24"/>
          <w:szCs w:val="24"/>
          <w:lang w:val="en-GB"/>
        </w:rPr>
        <w:t xml:space="preserve"> Data </w:t>
      </w:r>
      <w:r w:rsidR="00704DB3" w:rsidRPr="00233F52">
        <w:rPr>
          <w:rFonts w:ascii="Arial" w:hAnsi="Arial" w:cs="Arial"/>
          <w:i/>
          <w:sz w:val="24"/>
          <w:szCs w:val="24"/>
          <w:lang w:val="en-GB"/>
        </w:rPr>
        <w:t>capturing and security systems</w:t>
      </w:r>
    </w:p>
    <w:p w14:paraId="77F2DC12" w14:textId="0FA85948" w:rsidR="00794DD7" w:rsidRPr="00F70F4A" w:rsidRDefault="00794DD7" w:rsidP="00DD3254">
      <w:pPr>
        <w:spacing w:before="120" w:line="360" w:lineRule="auto"/>
        <w:jc w:val="both"/>
        <w:rPr>
          <w:rFonts w:ascii="Arial" w:hAnsi="Arial" w:cs="Arial"/>
          <w:sz w:val="24"/>
          <w:szCs w:val="24"/>
        </w:rPr>
      </w:pPr>
      <w:r w:rsidRPr="00B455CB">
        <w:rPr>
          <w:rFonts w:ascii="Arial" w:hAnsi="Arial" w:cs="Arial"/>
          <w:sz w:val="24"/>
          <w:szCs w:val="24"/>
        </w:rPr>
        <w:t xml:space="preserve">Data </w:t>
      </w:r>
      <w:r w:rsidR="00704DB3" w:rsidRPr="00B455CB">
        <w:rPr>
          <w:rFonts w:ascii="Arial" w:hAnsi="Arial" w:cs="Arial"/>
          <w:sz w:val="24"/>
          <w:szCs w:val="24"/>
        </w:rPr>
        <w:t>capturing</w:t>
      </w:r>
      <w:r w:rsidRPr="00B455CB">
        <w:rPr>
          <w:rFonts w:ascii="Arial" w:hAnsi="Arial" w:cs="Arial"/>
          <w:sz w:val="24"/>
          <w:szCs w:val="24"/>
        </w:rPr>
        <w:t xml:space="preserve"> takes place in a safe mode through generalized Web systems which allow the storage of raw data in a separate and centralized </w:t>
      </w:r>
      <w:r w:rsidR="00704DB3" w:rsidRPr="00B455CB">
        <w:rPr>
          <w:rFonts w:ascii="Arial" w:hAnsi="Arial" w:cs="Arial"/>
          <w:sz w:val="24"/>
          <w:szCs w:val="24"/>
        </w:rPr>
        <w:t xml:space="preserve">logical </w:t>
      </w:r>
      <w:r w:rsidRPr="00B455CB">
        <w:rPr>
          <w:rFonts w:ascii="Arial" w:hAnsi="Arial" w:cs="Arial"/>
          <w:sz w:val="24"/>
          <w:szCs w:val="24"/>
        </w:rPr>
        <w:t xml:space="preserve">environment </w:t>
      </w:r>
      <w:r w:rsidR="00704DB3" w:rsidRPr="00B455CB">
        <w:rPr>
          <w:rFonts w:ascii="Arial" w:hAnsi="Arial" w:cs="Arial"/>
          <w:sz w:val="24"/>
          <w:szCs w:val="24"/>
        </w:rPr>
        <w:t>that allows monitoring of all deliver</w:t>
      </w:r>
      <w:r w:rsidR="006820F8">
        <w:rPr>
          <w:rFonts w:ascii="Arial" w:hAnsi="Arial" w:cs="Arial"/>
          <w:sz w:val="24"/>
          <w:szCs w:val="24"/>
        </w:rPr>
        <w:t xml:space="preserve">ies </w:t>
      </w:r>
      <w:r w:rsidR="00704DB3" w:rsidRPr="00B455CB">
        <w:rPr>
          <w:rFonts w:ascii="Arial" w:hAnsi="Arial" w:cs="Arial"/>
          <w:sz w:val="24"/>
          <w:szCs w:val="24"/>
        </w:rPr>
        <w:t>to different recipients</w:t>
      </w:r>
      <w:r w:rsidRPr="00B455CB">
        <w:rPr>
          <w:rFonts w:ascii="Arial" w:hAnsi="Arial" w:cs="Arial"/>
          <w:sz w:val="24"/>
          <w:szCs w:val="24"/>
        </w:rPr>
        <w:t>.</w:t>
      </w:r>
      <w:r w:rsidRPr="00F70F4A">
        <w:rPr>
          <w:rFonts w:ascii="Arial" w:hAnsi="Arial" w:cs="Arial"/>
          <w:sz w:val="24"/>
          <w:szCs w:val="24"/>
        </w:rPr>
        <w:t xml:space="preserve"> </w:t>
      </w:r>
    </w:p>
    <w:p w14:paraId="2DD48CCE" w14:textId="6919FE89" w:rsidR="00794DD7" w:rsidRPr="00B455CB" w:rsidRDefault="00942A6D" w:rsidP="00233F52">
      <w:pPr>
        <w:spacing w:before="360" w:after="0" w:line="360" w:lineRule="auto"/>
        <w:jc w:val="both"/>
        <w:rPr>
          <w:rFonts w:ascii="Arial" w:hAnsi="Arial" w:cs="Arial"/>
          <w:i/>
          <w:sz w:val="24"/>
          <w:szCs w:val="24"/>
        </w:rPr>
      </w:pPr>
      <w:r>
        <w:rPr>
          <w:rFonts w:ascii="Arial" w:hAnsi="Arial" w:cs="Arial"/>
          <w:i/>
          <w:sz w:val="24"/>
          <w:szCs w:val="24"/>
        </w:rPr>
        <w:t>2</w:t>
      </w:r>
      <w:r w:rsidR="00794DD7" w:rsidRPr="00B455CB">
        <w:rPr>
          <w:rFonts w:ascii="Arial" w:hAnsi="Arial" w:cs="Arial"/>
          <w:i/>
          <w:sz w:val="24"/>
          <w:szCs w:val="24"/>
        </w:rPr>
        <w:t>.</w:t>
      </w:r>
      <w:r>
        <w:rPr>
          <w:rFonts w:ascii="Arial" w:hAnsi="Arial" w:cs="Arial"/>
          <w:i/>
          <w:sz w:val="24"/>
          <w:szCs w:val="24"/>
        </w:rPr>
        <w:t>7</w:t>
      </w:r>
      <w:r w:rsidR="00794DD7" w:rsidRPr="00B455CB">
        <w:rPr>
          <w:rFonts w:ascii="Arial" w:hAnsi="Arial" w:cs="Arial"/>
          <w:i/>
          <w:sz w:val="24"/>
          <w:szCs w:val="24"/>
        </w:rPr>
        <w:t xml:space="preserve">. </w:t>
      </w:r>
      <w:r w:rsidR="00B07B9B" w:rsidRPr="00B455CB">
        <w:rPr>
          <w:rFonts w:ascii="Arial" w:hAnsi="Arial" w:cs="Arial"/>
          <w:i/>
          <w:sz w:val="24"/>
          <w:szCs w:val="24"/>
        </w:rPr>
        <w:t xml:space="preserve">Harmonised penalties </w:t>
      </w:r>
      <w:r w:rsidR="00704DB3" w:rsidRPr="00B455CB">
        <w:rPr>
          <w:rFonts w:ascii="Arial" w:hAnsi="Arial" w:cs="Arial"/>
          <w:i/>
          <w:sz w:val="24"/>
          <w:szCs w:val="24"/>
        </w:rPr>
        <w:t xml:space="preserve">management </w:t>
      </w:r>
      <w:r w:rsidR="00B07B9B" w:rsidRPr="00B455CB">
        <w:rPr>
          <w:rFonts w:ascii="Arial" w:hAnsi="Arial" w:cs="Arial"/>
          <w:i/>
          <w:sz w:val="24"/>
          <w:szCs w:val="24"/>
        </w:rPr>
        <w:t>procedure</w:t>
      </w:r>
    </w:p>
    <w:p w14:paraId="71277023" w14:textId="77777777" w:rsidR="000A37FC" w:rsidRDefault="00794DD7" w:rsidP="00DF3962">
      <w:pPr>
        <w:spacing w:before="120" w:line="360" w:lineRule="auto"/>
        <w:jc w:val="both"/>
        <w:rPr>
          <w:rFonts w:ascii="Arial" w:hAnsi="Arial" w:cs="Arial"/>
          <w:sz w:val="24"/>
          <w:szCs w:val="24"/>
        </w:rPr>
      </w:pPr>
      <w:r w:rsidRPr="00B455CB">
        <w:rPr>
          <w:rFonts w:ascii="Arial" w:hAnsi="Arial" w:cs="Arial"/>
          <w:sz w:val="24"/>
          <w:szCs w:val="24"/>
        </w:rPr>
        <w:t xml:space="preserve">The integrated approach </w:t>
      </w:r>
      <w:r w:rsidR="00B07B9B" w:rsidRPr="00B455CB">
        <w:rPr>
          <w:rFonts w:ascii="Arial" w:hAnsi="Arial" w:cs="Arial"/>
          <w:sz w:val="24"/>
          <w:szCs w:val="24"/>
        </w:rPr>
        <w:t>to</w:t>
      </w:r>
      <w:r w:rsidRPr="00B455CB">
        <w:rPr>
          <w:rFonts w:ascii="Arial" w:hAnsi="Arial" w:cs="Arial"/>
          <w:sz w:val="24"/>
          <w:szCs w:val="24"/>
        </w:rPr>
        <w:t xml:space="preserve"> the </w:t>
      </w:r>
      <w:r w:rsidR="00B07B9B" w:rsidRPr="00B455CB">
        <w:rPr>
          <w:rFonts w:ascii="Arial" w:hAnsi="Arial" w:cs="Arial"/>
          <w:sz w:val="24"/>
          <w:szCs w:val="24"/>
        </w:rPr>
        <w:t>C</w:t>
      </w:r>
      <w:r w:rsidRPr="00B455CB">
        <w:rPr>
          <w:rFonts w:ascii="Arial" w:hAnsi="Arial" w:cs="Arial"/>
          <w:sz w:val="24"/>
          <w:szCs w:val="24"/>
        </w:rPr>
        <w:t xml:space="preserve">DC management allowed the generalization of the procedures used for the generation of the lists of </w:t>
      </w:r>
      <w:r w:rsidR="00B07B9B" w:rsidRPr="00B455CB">
        <w:rPr>
          <w:rFonts w:ascii="Arial" w:hAnsi="Arial" w:cs="Arial"/>
          <w:sz w:val="24"/>
          <w:szCs w:val="24"/>
        </w:rPr>
        <w:t>the units subject to penalties</w:t>
      </w:r>
      <w:r w:rsidRPr="00B455CB">
        <w:rPr>
          <w:rFonts w:ascii="Arial" w:hAnsi="Arial" w:cs="Arial"/>
          <w:sz w:val="24"/>
          <w:szCs w:val="24"/>
        </w:rPr>
        <w:t xml:space="preserve">. </w:t>
      </w:r>
      <w:r w:rsidR="00B07B9B" w:rsidRPr="00B455CB">
        <w:rPr>
          <w:rFonts w:ascii="Arial" w:hAnsi="Arial" w:cs="Arial"/>
          <w:sz w:val="24"/>
          <w:szCs w:val="24"/>
        </w:rPr>
        <w:t>The lists are produced at the end of the DC period, a</w:t>
      </w:r>
      <w:r w:rsidRPr="00B455CB">
        <w:rPr>
          <w:rFonts w:ascii="Arial" w:hAnsi="Arial" w:cs="Arial"/>
          <w:sz w:val="24"/>
          <w:szCs w:val="24"/>
        </w:rPr>
        <w:t xml:space="preserve">fter appropriate </w:t>
      </w:r>
      <w:r w:rsidR="00B07B9B" w:rsidRPr="00B455CB">
        <w:rPr>
          <w:rFonts w:ascii="Arial" w:hAnsi="Arial" w:cs="Arial"/>
          <w:sz w:val="24"/>
          <w:szCs w:val="24"/>
        </w:rPr>
        <w:t>check</w:t>
      </w:r>
      <w:r w:rsidRPr="00B455CB">
        <w:rPr>
          <w:rFonts w:ascii="Arial" w:hAnsi="Arial" w:cs="Arial"/>
          <w:sz w:val="24"/>
          <w:szCs w:val="24"/>
        </w:rPr>
        <w:t xml:space="preserve"> of the </w:t>
      </w:r>
      <w:r w:rsidR="00931917" w:rsidRPr="00B455CB">
        <w:rPr>
          <w:rFonts w:ascii="Arial" w:hAnsi="Arial" w:cs="Arial"/>
          <w:sz w:val="24"/>
          <w:szCs w:val="24"/>
        </w:rPr>
        <w:t xml:space="preserve">most recent </w:t>
      </w:r>
      <w:r w:rsidR="00B07B9B" w:rsidRPr="00B455CB">
        <w:rPr>
          <w:rFonts w:ascii="Arial" w:hAnsi="Arial" w:cs="Arial"/>
          <w:sz w:val="24"/>
          <w:szCs w:val="24"/>
        </w:rPr>
        <w:t>register</w:t>
      </w:r>
      <w:r w:rsidRPr="00F70F4A">
        <w:rPr>
          <w:rFonts w:ascii="Arial" w:hAnsi="Arial" w:cs="Arial"/>
          <w:sz w:val="24"/>
          <w:szCs w:val="24"/>
        </w:rPr>
        <w:t xml:space="preserve"> information</w:t>
      </w:r>
      <w:r w:rsidR="00B07B9B" w:rsidRPr="00F70F4A">
        <w:rPr>
          <w:rFonts w:ascii="Arial" w:hAnsi="Arial" w:cs="Arial"/>
          <w:sz w:val="24"/>
          <w:szCs w:val="24"/>
        </w:rPr>
        <w:t>.</w:t>
      </w:r>
      <w:r w:rsidRPr="007F22CE">
        <w:rPr>
          <w:rFonts w:ascii="Arial" w:hAnsi="Arial" w:cs="Arial"/>
          <w:sz w:val="24"/>
          <w:szCs w:val="24"/>
        </w:rPr>
        <w:t xml:space="preserve"> </w:t>
      </w:r>
    </w:p>
    <w:p w14:paraId="54D8260E" w14:textId="6D7C6992" w:rsidR="00DF3962" w:rsidRDefault="00B07B9B" w:rsidP="00DF3962">
      <w:pPr>
        <w:spacing w:before="120" w:line="360" w:lineRule="auto"/>
        <w:jc w:val="both"/>
        <w:rPr>
          <w:rFonts w:ascii="Arial" w:eastAsia="Arial" w:hAnsi="Arial" w:cs="Arial"/>
          <w:sz w:val="24"/>
          <w:lang w:val="en-US"/>
        </w:rPr>
      </w:pPr>
      <w:r w:rsidRPr="00B455CB">
        <w:rPr>
          <w:rFonts w:ascii="Arial" w:eastAsia="Arial" w:hAnsi="Arial" w:cs="Arial"/>
          <w:sz w:val="24"/>
          <w:lang w:val="en-US"/>
        </w:rPr>
        <w:t>In particular</w:t>
      </w:r>
      <w:r w:rsidR="00DF3962" w:rsidRPr="00B455CB">
        <w:rPr>
          <w:rFonts w:ascii="Arial" w:eastAsia="Arial" w:hAnsi="Arial" w:cs="Arial"/>
          <w:sz w:val="24"/>
          <w:lang w:val="en-US"/>
        </w:rPr>
        <w:t xml:space="preserve">, in the context of the short-term </w:t>
      </w:r>
      <w:r w:rsidRPr="00B455CB">
        <w:rPr>
          <w:rFonts w:ascii="Arial" w:eastAsia="Arial" w:hAnsi="Arial" w:cs="Arial"/>
          <w:sz w:val="24"/>
          <w:lang w:val="en-US"/>
        </w:rPr>
        <w:t>surveys</w:t>
      </w:r>
      <w:r w:rsidR="00DF3962" w:rsidRPr="00B455CB">
        <w:rPr>
          <w:rFonts w:ascii="Arial" w:eastAsia="Arial" w:hAnsi="Arial" w:cs="Arial"/>
          <w:sz w:val="24"/>
          <w:lang w:val="en-US"/>
        </w:rPr>
        <w:t xml:space="preserve"> an important innovation</w:t>
      </w:r>
      <w:r w:rsidRPr="00B455CB">
        <w:rPr>
          <w:rFonts w:ascii="Arial" w:eastAsia="Arial" w:hAnsi="Arial" w:cs="Arial"/>
          <w:sz w:val="24"/>
          <w:lang w:val="en-US"/>
        </w:rPr>
        <w:t xml:space="preserve"> was introduced,</w:t>
      </w:r>
      <w:r w:rsidR="00DF3962" w:rsidRPr="00B455CB">
        <w:rPr>
          <w:rFonts w:ascii="Arial" w:eastAsia="Arial" w:hAnsi="Arial" w:cs="Arial"/>
          <w:sz w:val="24"/>
          <w:lang w:val="en-US"/>
        </w:rPr>
        <w:t xml:space="preserve"> aimed at r</w:t>
      </w:r>
      <w:r w:rsidR="00A35438">
        <w:rPr>
          <w:rFonts w:ascii="Arial" w:eastAsia="Arial" w:hAnsi="Arial" w:cs="Arial"/>
          <w:sz w:val="24"/>
          <w:lang w:val="en-US"/>
        </w:rPr>
        <w:t>e</w:t>
      </w:r>
      <w:r w:rsidR="00DF3962" w:rsidRPr="00B455CB">
        <w:rPr>
          <w:rFonts w:ascii="Arial" w:eastAsia="Arial" w:hAnsi="Arial" w:cs="Arial"/>
          <w:sz w:val="24"/>
          <w:lang w:val="en-US"/>
        </w:rPr>
        <w:t xml:space="preserve">defining the procedure for the identification of units </w:t>
      </w:r>
      <w:r w:rsidRPr="00B455CB">
        <w:rPr>
          <w:rFonts w:ascii="Arial" w:hAnsi="Arial" w:cs="Arial"/>
          <w:sz w:val="24"/>
          <w:szCs w:val="24"/>
        </w:rPr>
        <w:t>subject to penalties</w:t>
      </w:r>
      <w:r w:rsidRPr="00B455CB">
        <w:rPr>
          <w:rFonts w:ascii="Arial" w:eastAsia="Arial" w:hAnsi="Arial" w:cs="Arial"/>
          <w:sz w:val="24"/>
          <w:lang w:val="en-US"/>
        </w:rPr>
        <w:t xml:space="preserve">. </w:t>
      </w:r>
      <w:r w:rsidR="00DF3962" w:rsidRPr="00B455CB">
        <w:rPr>
          <w:rFonts w:ascii="Arial" w:eastAsia="Arial" w:hAnsi="Arial" w:cs="Arial"/>
          <w:sz w:val="24"/>
          <w:lang w:val="en-US"/>
        </w:rPr>
        <w:t xml:space="preserve">The new procedure </w:t>
      </w:r>
      <w:r w:rsidRPr="00B455CB">
        <w:rPr>
          <w:rFonts w:ascii="Arial" w:eastAsia="Arial" w:hAnsi="Arial" w:cs="Arial"/>
          <w:sz w:val="24"/>
          <w:lang w:val="en-US"/>
        </w:rPr>
        <w:t>was</w:t>
      </w:r>
      <w:r w:rsidR="00DF3962" w:rsidRPr="00B455CB">
        <w:rPr>
          <w:rFonts w:ascii="Arial" w:eastAsia="Arial" w:hAnsi="Arial" w:cs="Arial"/>
          <w:sz w:val="24"/>
          <w:lang w:val="en-US"/>
        </w:rPr>
        <w:t xml:space="preserve"> implemented with the aim </w:t>
      </w:r>
      <w:r w:rsidR="00931917" w:rsidRPr="00B455CB">
        <w:rPr>
          <w:rFonts w:ascii="Arial" w:eastAsia="Arial" w:hAnsi="Arial" w:cs="Arial"/>
          <w:sz w:val="24"/>
          <w:lang w:val="en-US"/>
        </w:rPr>
        <w:t xml:space="preserve">to produce </w:t>
      </w:r>
      <w:r w:rsidR="00DF3962" w:rsidRPr="00B455CB">
        <w:rPr>
          <w:rFonts w:ascii="Arial" w:eastAsia="Arial" w:hAnsi="Arial" w:cs="Arial"/>
          <w:sz w:val="24"/>
          <w:lang w:val="en-US"/>
        </w:rPr>
        <w:t>timel</w:t>
      </w:r>
      <w:r w:rsidR="00931917" w:rsidRPr="00B455CB">
        <w:rPr>
          <w:rFonts w:ascii="Arial" w:eastAsia="Arial" w:hAnsi="Arial" w:cs="Arial"/>
          <w:sz w:val="24"/>
          <w:lang w:val="en-US"/>
        </w:rPr>
        <w:t>y</w:t>
      </w:r>
      <w:r w:rsidR="00DF3962" w:rsidRPr="00B455CB">
        <w:rPr>
          <w:rFonts w:ascii="Arial" w:eastAsia="Arial" w:hAnsi="Arial" w:cs="Arial"/>
          <w:sz w:val="24"/>
          <w:lang w:val="en-US"/>
        </w:rPr>
        <w:t xml:space="preserve"> and qualit</w:t>
      </w:r>
      <w:r w:rsidR="00931917" w:rsidRPr="00B455CB">
        <w:rPr>
          <w:rFonts w:ascii="Arial" w:eastAsia="Arial" w:hAnsi="Arial" w:cs="Arial"/>
          <w:sz w:val="24"/>
          <w:lang w:val="en-US"/>
        </w:rPr>
        <w:t>y</w:t>
      </w:r>
      <w:r w:rsidR="00DF3962" w:rsidRPr="00B455CB">
        <w:rPr>
          <w:rFonts w:ascii="Arial" w:eastAsia="Arial" w:hAnsi="Arial" w:cs="Arial"/>
          <w:sz w:val="24"/>
          <w:lang w:val="en-US"/>
        </w:rPr>
        <w:t xml:space="preserve"> </w:t>
      </w:r>
      <w:r w:rsidR="00931917" w:rsidRPr="00B455CB">
        <w:rPr>
          <w:rFonts w:ascii="Arial" w:eastAsia="Arial" w:hAnsi="Arial" w:cs="Arial"/>
          <w:sz w:val="24"/>
          <w:lang w:val="en-US"/>
        </w:rPr>
        <w:t xml:space="preserve">statistical information </w:t>
      </w:r>
      <w:r w:rsidR="00C62D02" w:rsidRPr="00B455CB">
        <w:rPr>
          <w:rFonts w:ascii="Arial" w:eastAsia="Arial" w:hAnsi="Arial" w:cs="Arial"/>
          <w:sz w:val="24"/>
          <w:lang w:val="en-US"/>
        </w:rPr>
        <w:t>while</w:t>
      </w:r>
      <w:r w:rsidR="00DF3962" w:rsidRPr="00B455CB">
        <w:rPr>
          <w:rFonts w:ascii="Arial" w:eastAsia="Arial" w:hAnsi="Arial" w:cs="Arial"/>
          <w:sz w:val="24"/>
          <w:lang w:val="en-US"/>
        </w:rPr>
        <w:t xml:space="preserve"> trying to </w:t>
      </w:r>
      <w:proofErr w:type="spellStart"/>
      <w:r w:rsidR="00DF3962" w:rsidRPr="00B455CB">
        <w:rPr>
          <w:rFonts w:ascii="Arial" w:eastAsia="Arial" w:hAnsi="Arial" w:cs="Arial"/>
          <w:sz w:val="24"/>
          <w:lang w:val="en-US"/>
        </w:rPr>
        <w:t>minimise</w:t>
      </w:r>
      <w:proofErr w:type="spellEnd"/>
      <w:r w:rsidR="00DF3962" w:rsidRPr="00B455CB">
        <w:rPr>
          <w:rFonts w:ascii="Arial" w:eastAsia="Arial" w:hAnsi="Arial" w:cs="Arial"/>
          <w:sz w:val="24"/>
          <w:lang w:val="en-US"/>
        </w:rPr>
        <w:t xml:space="preserve"> the statistical damage </w:t>
      </w:r>
      <w:r w:rsidR="00097A22" w:rsidRPr="00B455CB">
        <w:rPr>
          <w:rFonts w:ascii="Arial" w:eastAsia="Arial" w:hAnsi="Arial" w:cs="Arial"/>
          <w:sz w:val="24"/>
          <w:lang w:val="en-US"/>
        </w:rPr>
        <w:t>charged</w:t>
      </w:r>
      <w:r w:rsidR="00097A22" w:rsidRPr="00F70F4A">
        <w:rPr>
          <w:rFonts w:ascii="Arial" w:eastAsia="Arial" w:hAnsi="Arial" w:cs="Arial"/>
          <w:sz w:val="24"/>
          <w:lang w:val="en-US"/>
        </w:rPr>
        <w:t xml:space="preserve"> on</w:t>
      </w:r>
      <w:r w:rsidR="00DF3962" w:rsidRPr="00F70F4A">
        <w:rPr>
          <w:rFonts w:ascii="Arial" w:eastAsia="Arial" w:hAnsi="Arial" w:cs="Arial"/>
          <w:sz w:val="24"/>
          <w:lang w:val="en-US"/>
        </w:rPr>
        <w:t xml:space="preserve"> </w:t>
      </w:r>
      <w:proofErr w:type="spellStart"/>
      <w:r w:rsidR="00DF3962" w:rsidRPr="00F70F4A">
        <w:rPr>
          <w:rFonts w:ascii="Arial" w:eastAsia="Arial" w:hAnsi="Arial" w:cs="Arial"/>
          <w:sz w:val="24"/>
          <w:lang w:val="en-US"/>
        </w:rPr>
        <w:t>Istat</w:t>
      </w:r>
      <w:proofErr w:type="spellEnd"/>
      <w:r w:rsidR="00DF3962" w:rsidRPr="00F70F4A">
        <w:rPr>
          <w:rFonts w:ascii="Arial" w:eastAsia="Arial" w:hAnsi="Arial" w:cs="Arial"/>
          <w:sz w:val="24"/>
          <w:lang w:val="en-US"/>
        </w:rPr>
        <w:t>;</w:t>
      </w:r>
      <w:r w:rsidR="00884610">
        <w:rPr>
          <w:rFonts w:ascii="Arial" w:eastAsia="Arial" w:hAnsi="Arial" w:cs="Arial"/>
          <w:sz w:val="24"/>
          <w:lang w:val="en-US"/>
        </w:rPr>
        <w:t xml:space="preserve"> </w:t>
      </w:r>
      <w:r w:rsidR="00DF3962" w:rsidRPr="00F70F4A">
        <w:rPr>
          <w:rFonts w:ascii="Arial" w:eastAsia="Arial" w:hAnsi="Arial" w:cs="Arial"/>
          <w:sz w:val="24"/>
          <w:lang w:val="en-US"/>
        </w:rPr>
        <w:t xml:space="preserve">the statistical damage has been </w:t>
      </w:r>
      <w:r w:rsidR="00931917" w:rsidRPr="00B455CB">
        <w:rPr>
          <w:rFonts w:ascii="Arial" w:eastAsia="Arial" w:hAnsi="Arial" w:cs="Arial"/>
          <w:sz w:val="24"/>
          <w:lang w:val="en-US"/>
        </w:rPr>
        <w:t xml:space="preserve">assessed </w:t>
      </w:r>
      <w:r w:rsidR="00DF3962" w:rsidRPr="00B455CB">
        <w:rPr>
          <w:rFonts w:ascii="Arial" w:eastAsia="Arial" w:hAnsi="Arial" w:cs="Arial"/>
          <w:sz w:val="24"/>
          <w:lang w:val="en-US"/>
        </w:rPr>
        <w:t xml:space="preserve">on the basis of the </w:t>
      </w:r>
      <w:r w:rsidR="00097A22" w:rsidRPr="00B455CB">
        <w:rPr>
          <w:rFonts w:ascii="Arial" w:eastAsia="Arial" w:hAnsi="Arial" w:cs="Arial"/>
          <w:sz w:val="24"/>
          <w:lang w:val="en-US"/>
        </w:rPr>
        <w:t xml:space="preserve">response </w:t>
      </w:r>
      <w:proofErr w:type="spellStart"/>
      <w:r w:rsidR="00DF3962" w:rsidRPr="00B455CB">
        <w:rPr>
          <w:rFonts w:ascii="Arial" w:eastAsia="Arial" w:hAnsi="Arial" w:cs="Arial"/>
          <w:sz w:val="24"/>
          <w:lang w:val="en-US"/>
        </w:rPr>
        <w:t>behaviour</w:t>
      </w:r>
      <w:proofErr w:type="spellEnd"/>
      <w:r w:rsidR="00DF3962" w:rsidRPr="00B455CB">
        <w:rPr>
          <w:rFonts w:ascii="Arial" w:eastAsia="Arial" w:hAnsi="Arial" w:cs="Arial"/>
          <w:sz w:val="24"/>
          <w:lang w:val="en-US"/>
        </w:rPr>
        <w:t xml:space="preserve"> by the units</w:t>
      </w:r>
      <w:r w:rsidR="00097A22" w:rsidRPr="00B455CB">
        <w:rPr>
          <w:rFonts w:ascii="Arial" w:eastAsia="Arial" w:hAnsi="Arial" w:cs="Arial"/>
          <w:sz w:val="24"/>
          <w:lang w:val="en-US"/>
        </w:rPr>
        <w:t xml:space="preserve"> involved in the surveys</w:t>
      </w:r>
      <w:r w:rsidR="00DF3962" w:rsidRPr="00B455CB">
        <w:rPr>
          <w:rFonts w:ascii="Arial" w:eastAsia="Arial" w:hAnsi="Arial" w:cs="Arial"/>
          <w:sz w:val="24"/>
          <w:lang w:val="en-US"/>
        </w:rPr>
        <w:t xml:space="preserve"> in relation to the phases and timings</w:t>
      </w:r>
      <w:r w:rsidR="00097A22" w:rsidRPr="00B455CB">
        <w:rPr>
          <w:rFonts w:ascii="Arial" w:eastAsia="Arial" w:hAnsi="Arial" w:cs="Arial"/>
          <w:sz w:val="24"/>
          <w:lang w:val="en-US"/>
        </w:rPr>
        <w:t xml:space="preserve">, as reported in the following </w:t>
      </w:r>
      <w:r w:rsidR="00931917" w:rsidRPr="00B455CB">
        <w:rPr>
          <w:rFonts w:ascii="Arial" w:eastAsia="Arial" w:hAnsi="Arial" w:cs="Arial"/>
          <w:sz w:val="24"/>
          <w:lang w:val="en-US"/>
        </w:rPr>
        <w:t>F</w:t>
      </w:r>
      <w:r w:rsidR="00097A22" w:rsidRPr="00B455CB">
        <w:rPr>
          <w:rFonts w:ascii="Arial" w:eastAsia="Arial" w:hAnsi="Arial" w:cs="Arial"/>
          <w:sz w:val="24"/>
          <w:lang w:val="en-US"/>
        </w:rPr>
        <w:t>igure 1.</w:t>
      </w:r>
      <w:r w:rsidR="00BE734E" w:rsidRPr="00B455CB">
        <w:rPr>
          <w:rFonts w:ascii="Arial" w:eastAsia="Arial" w:hAnsi="Arial" w:cs="Arial"/>
          <w:sz w:val="24"/>
          <w:lang w:val="en-US"/>
        </w:rPr>
        <w:t xml:space="preserve"> </w:t>
      </w:r>
    </w:p>
    <w:p w14:paraId="187B8DAA" w14:textId="77777777" w:rsidR="00581A67" w:rsidRPr="00B455CB" w:rsidRDefault="00581A67" w:rsidP="00DF3962">
      <w:pPr>
        <w:spacing w:before="120" w:line="360" w:lineRule="auto"/>
        <w:jc w:val="both"/>
        <w:rPr>
          <w:rFonts w:ascii="Arial" w:eastAsia="Arial" w:hAnsi="Arial" w:cs="Arial"/>
          <w:sz w:val="24"/>
          <w:lang w:val="en-US"/>
        </w:rPr>
      </w:pPr>
    </w:p>
    <w:p w14:paraId="5367C629" w14:textId="4C4C33D0" w:rsidR="00DF3962" w:rsidRPr="00AA5C3E" w:rsidRDefault="00DF3962" w:rsidP="00DF3962">
      <w:pPr>
        <w:spacing w:before="120" w:line="360" w:lineRule="auto"/>
        <w:jc w:val="both"/>
        <w:rPr>
          <w:rFonts w:ascii="Arial" w:eastAsia="Arial" w:hAnsi="Arial" w:cs="Arial"/>
          <w:b/>
          <w:sz w:val="24"/>
        </w:rPr>
      </w:pPr>
      <w:r w:rsidRPr="00AA5C3E">
        <w:rPr>
          <w:rFonts w:ascii="Arial" w:eastAsia="Arial" w:hAnsi="Arial" w:cs="Arial"/>
          <w:b/>
          <w:sz w:val="20"/>
        </w:rPr>
        <w:lastRenderedPageBreak/>
        <w:t xml:space="preserve">Figure 1. </w:t>
      </w:r>
      <w:r w:rsidR="00097A22" w:rsidRPr="00AA5C3E">
        <w:rPr>
          <w:rFonts w:ascii="Arial" w:eastAsia="Arial" w:hAnsi="Arial" w:cs="Arial"/>
          <w:b/>
          <w:sz w:val="20"/>
        </w:rPr>
        <w:t>Penalties management criteria in short-term surveys</w:t>
      </w:r>
      <w:r w:rsidR="00CB7A00" w:rsidRPr="00AA5C3E">
        <w:rPr>
          <w:rFonts w:ascii="Arial" w:eastAsia="Arial" w:hAnsi="Arial" w:cs="Arial"/>
          <w:b/>
          <w:sz w:val="20"/>
        </w:rPr>
        <w:t xml:space="preserve"> </w:t>
      </w:r>
    </w:p>
    <w:p w14:paraId="15816A97" w14:textId="77777777" w:rsidR="00A730FA" w:rsidRDefault="00C62D02" w:rsidP="00A730FA">
      <w:pPr>
        <w:spacing w:before="120" w:line="360" w:lineRule="auto"/>
        <w:jc w:val="both"/>
        <w:rPr>
          <w:rFonts w:ascii="Arial" w:hAnsi="Arial" w:cs="Arial"/>
          <w:i/>
          <w:sz w:val="24"/>
          <w:szCs w:val="24"/>
        </w:rPr>
      </w:pPr>
      <w:r w:rsidRPr="00F70F4A">
        <w:rPr>
          <w:rFonts w:ascii="Arial" w:hAnsi="Arial" w:cs="Arial"/>
          <w:b/>
          <w:noProof/>
          <w:sz w:val="24"/>
          <w:szCs w:val="24"/>
          <w:lang w:val="it-IT" w:eastAsia="it-IT"/>
        </w:rPr>
        <w:drawing>
          <wp:inline distT="0" distB="0" distL="0" distR="0" wp14:anchorId="7515B6DF" wp14:editId="49D7FBAA">
            <wp:extent cx="5603868" cy="2499756"/>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733" cy="2519769"/>
                    </a:xfrm>
                    <a:prstGeom prst="rect">
                      <a:avLst/>
                    </a:prstGeom>
                    <a:noFill/>
                  </pic:spPr>
                </pic:pic>
              </a:graphicData>
            </a:graphic>
          </wp:inline>
        </w:drawing>
      </w:r>
    </w:p>
    <w:p w14:paraId="634DF136" w14:textId="58EAFE5F" w:rsidR="000A37FC" w:rsidRDefault="00DD1BE6" w:rsidP="00233F52">
      <w:pPr>
        <w:spacing w:before="360" w:after="0" w:line="360" w:lineRule="auto"/>
        <w:jc w:val="both"/>
        <w:rPr>
          <w:rFonts w:ascii="Arial" w:hAnsi="Arial" w:cs="Arial"/>
          <w:i/>
          <w:sz w:val="24"/>
          <w:szCs w:val="24"/>
        </w:rPr>
      </w:pPr>
      <w:r>
        <w:rPr>
          <w:rFonts w:ascii="Arial" w:hAnsi="Arial" w:cs="Arial"/>
          <w:i/>
          <w:sz w:val="24"/>
          <w:szCs w:val="24"/>
        </w:rPr>
        <w:t>2</w:t>
      </w:r>
      <w:r w:rsidRPr="00B455CB">
        <w:rPr>
          <w:rFonts w:ascii="Arial" w:hAnsi="Arial" w:cs="Arial"/>
          <w:i/>
          <w:sz w:val="24"/>
          <w:szCs w:val="24"/>
        </w:rPr>
        <w:t>.</w:t>
      </w:r>
      <w:r>
        <w:rPr>
          <w:rFonts w:ascii="Arial" w:hAnsi="Arial" w:cs="Arial"/>
          <w:i/>
          <w:sz w:val="24"/>
          <w:szCs w:val="24"/>
        </w:rPr>
        <w:t>8</w:t>
      </w:r>
      <w:r w:rsidRPr="00B455CB">
        <w:rPr>
          <w:rFonts w:ascii="Arial" w:hAnsi="Arial" w:cs="Arial"/>
          <w:i/>
          <w:sz w:val="24"/>
          <w:szCs w:val="24"/>
        </w:rPr>
        <w:t xml:space="preserve">. </w:t>
      </w:r>
      <w:r w:rsidRPr="00DD1BE6">
        <w:rPr>
          <w:rFonts w:ascii="Arial" w:hAnsi="Arial" w:cs="Arial"/>
          <w:i/>
          <w:sz w:val="24"/>
          <w:szCs w:val="24"/>
        </w:rPr>
        <w:t>Innovative tools and services supporting DC activities</w:t>
      </w:r>
      <w:r>
        <w:rPr>
          <w:rFonts w:ascii="Arial" w:hAnsi="Arial" w:cs="Arial"/>
          <w:i/>
          <w:sz w:val="24"/>
          <w:szCs w:val="24"/>
        </w:rPr>
        <w:t xml:space="preserve"> </w:t>
      </w:r>
    </w:p>
    <w:p w14:paraId="4528F9C5" w14:textId="09425F80" w:rsidR="00DD1BE6" w:rsidRPr="00EB0CE6" w:rsidRDefault="00DD1BE6" w:rsidP="00EB0CE6">
      <w:pPr>
        <w:pStyle w:val="Paragrafoelenco"/>
        <w:numPr>
          <w:ilvl w:val="2"/>
          <w:numId w:val="13"/>
        </w:numPr>
        <w:spacing w:before="360" w:after="0" w:line="360" w:lineRule="auto"/>
        <w:jc w:val="both"/>
        <w:rPr>
          <w:rFonts w:ascii="Arial" w:hAnsi="Arial" w:cs="Arial"/>
          <w:i/>
          <w:sz w:val="24"/>
          <w:szCs w:val="24"/>
          <w:lang w:val="en-US"/>
        </w:rPr>
      </w:pPr>
      <w:r w:rsidRPr="00EB0CE6">
        <w:rPr>
          <w:rFonts w:ascii="Arial" w:hAnsi="Arial" w:cs="Arial"/>
          <w:i/>
          <w:sz w:val="24"/>
          <w:szCs w:val="24"/>
          <w:lang w:val="en-US"/>
        </w:rPr>
        <w:t xml:space="preserve">The </w:t>
      </w:r>
      <w:r w:rsidR="00A35438" w:rsidRPr="00EB0CE6">
        <w:rPr>
          <w:rFonts w:ascii="Arial" w:hAnsi="Arial" w:cs="Arial"/>
          <w:i/>
          <w:sz w:val="24"/>
          <w:szCs w:val="24"/>
          <w:lang w:val="en-US"/>
        </w:rPr>
        <w:t>B</w:t>
      </w:r>
      <w:r w:rsidRPr="00EB0CE6">
        <w:rPr>
          <w:rFonts w:ascii="Arial" w:hAnsi="Arial" w:cs="Arial"/>
          <w:i/>
          <w:sz w:val="24"/>
          <w:szCs w:val="24"/>
          <w:lang w:val="en-US"/>
        </w:rPr>
        <w:t xml:space="preserve">usiness </w:t>
      </w:r>
      <w:r w:rsidR="00A35438" w:rsidRPr="00EB0CE6">
        <w:rPr>
          <w:rFonts w:ascii="Arial" w:hAnsi="Arial" w:cs="Arial"/>
          <w:i/>
          <w:sz w:val="24"/>
          <w:szCs w:val="24"/>
          <w:lang w:val="en-US"/>
        </w:rPr>
        <w:t>S</w:t>
      </w:r>
      <w:r w:rsidRPr="00EB0CE6">
        <w:rPr>
          <w:rFonts w:ascii="Arial" w:hAnsi="Arial" w:cs="Arial"/>
          <w:i/>
          <w:sz w:val="24"/>
          <w:szCs w:val="24"/>
          <w:lang w:val="en-US"/>
        </w:rPr>
        <w:t>tatistical Portal</w:t>
      </w:r>
    </w:p>
    <w:p w14:paraId="7E4031E7" w14:textId="0BDF4A14" w:rsidR="00DD1BE6" w:rsidRPr="00DD1BE6" w:rsidRDefault="00DD1BE6" w:rsidP="00EB0CE6">
      <w:pPr>
        <w:spacing w:before="120" w:after="0" w:line="360" w:lineRule="auto"/>
        <w:jc w:val="both"/>
        <w:rPr>
          <w:rFonts w:ascii="Arial" w:hAnsi="Arial" w:cs="Arial"/>
          <w:sz w:val="24"/>
          <w:szCs w:val="24"/>
          <w:lang w:val="en-US"/>
        </w:rPr>
      </w:pPr>
      <w:r w:rsidRPr="00B455CB">
        <w:rPr>
          <w:rFonts w:ascii="Arial" w:hAnsi="Arial" w:cs="Arial"/>
          <w:sz w:val="24"/>
          <w:szCs w:val="24"/>
          <w:lang w:val="en-US"/>
        </w:rPr>
        <w:t xml:space="preserve">The introduction of the </w:t>
      </w:r>
      <w:r w:rsidR="00A35438">
        <w:rPr>
          <w:rFonts w:ascii="Arial" w:hAnsi="Arial" w:cs="Arial"/>
          <w:sz w:val="24"/>
          <w:szCs w:val="24"/>
          <w:lang w:val="en-US"/>
        </w:rPr>
        <w:t>B</w:t>
      </w:r>
      <w:r w:rsidRPr="00B455CB">
        <w:rPr>
          <w:rFonts w:ascii="Arial" w:hAnsi="Arial" w:cs="Arial"/>
          <w:sz w:val="24"/>
          <w:szCs w:val="24"/>
          <w:lang w:val="en-US"/>
        </w:rPr>
        <w:t xml:space="preserve">usiness </w:t>
      </w:r>
      <w:r w:rsidR="00A35438">
        <w:rPr>
          <w:rFonts w:ascii="Arial" w:hAnsi="Arial" w:cs="Arial"/>
          <w:sz w:val="24"/>
          <w:szCs w:val="24"/>
          <w:lang w:val="en-US"/>
        </w:rPr>
        <w:t>S</w:t>
      </w:r>
      <w:r w:rsidRPr="00B455CB">
        <w:rPr>
          <w:rFonts w:ascii="Arial" w:hAnsi="Arial" w:cs="Arial"/>
          <w:sz w:val="24"/>
          <w:szCs w:val="24"/>
          <w:lang w:val="en-US"/>
        </w:rPr>
        <w:t>tatistical Portal in economic survey started in 2013 involving a reduced set of large companies (500 employees and more). In May 2018 about 350</w:t>
      </w:r>
      <w:r w:rsidR="006820F8">
        <w:rPr>
          <w:rFonts w:ascii="Arial" w:hAnsi="Arial" w:cs="Arial"/>
          <w:sz w:val="24"/>
          <w:szCs w:val="24"/>
          <w:lang w:val="en-US"/>
        </w:rPr>
        <w:t>,</w:t>
      </w:r>
      <w:r w:rsidRPr="00B455CB">
        <w:rPr>
          <w:rFonts w:ascii="Arial" w:hAnsi="Arial" w:cs="Arial"/>
          <w:sz w:val="24"/>
          <w:szCs w:val="24"/>
          <w:lang w:val="en-US"/>
        </w:rPr>
        <w:t>000 companies for about 60 surveys are currently enabled to use the Portal. The implementation of the new system in the context of the economic surveys involved a new approach in the management of economic surveys that turned from “survey-centered” to “enterprise-centered”.</w:t>
      </w:r>
      <w:r>
        <w:rPr>
          <w:rFonts w:ascii="Arial" w:hAnsi="Arial" w:cs="Arial"/>
          <w:sz w:val="24"/>
          <w:szCs w:val="24"/>
          <w:lang w:val="en-US"/>
        </w:rPr>
        <w:t xml:space="preserve"> </w:t>
      </w:r>
      <w:r w:rsidRPr="00B455CB">
        <w:rPr>
          <w:rFonts w:ascii="Arial" w:hAnsi="Arial" w:cs="Arial"/>
          <w:sz w:val="24"/>
          <w:szCs w:val="24"/>
          <w:lang w:val="en-US"/>
        </w:rPr>
        <w:t>Main objectives of the Portal can be shown as follows</w:t>
      </w:r>
      <w:r w:rsidR="00B4785A">
        <w:rPr>
          <w:rFonts w:ascii="Arial" w:hAnsi="Arial" w:cs="Arial"/>
          <w:sz w:val="24"/>
          <w:szCs w:val="24"/>
          <w:lang w:val="en-US"/>
        </w:rPr>
        <w:t>:</w:t>
      </w:r>
      <w:r w:rsidRPr="00B455CB">
        <w:rPr>
          <w:rFonts w:ascii="Arial" w:hAnsi="Arial" w:cs="Arial"/>
          <w:sz w:val="24"/>
          <w:szCs w:val="24"/>
          <w:lang w:val="en-US"/>
        </w:rPr>
        <w:t xml:space="preserve"> a) Streamline the operations required by respondents to fulfill their response obligations, with an overall reduction of the burden</w:t>
      </w:r>
      <w:r w:rsidR="00B4785A">
        <w:rPr>
          <w:rFonts w:ascii="Arial" w:hAnsi="Arial" w:cs="Arial"/>
          <w:sz w:val="24"/>
          <w:szCs w:val="24"/>
          <w:lang w:val="en-US"/>
        </w:rPr>
        <w:t>;</w:t>
      </w:r>
      <w:r w:rsidRPr="00B455CB">
        <w:rPr>
          <w:rFonts w:ascii="Arial" w:hAnsi="Arial" w:cs="Arial"/>
          <w:sz w:val="24"/>
          <w:szCs w:val="24"/>
          <w:lang w:val="en-US"/>
        </w:rPr>
        <w:t xml:space="preserve"> b) Increase both ordinary and extraordinary (e.g. news) communications on the survey events and activities</w:t>
      </w:r>
      <w:r w:rsidR="00B4785A">
        <w:rPr>
          <w:rFonts w:ascii="Arial" w:hAnsi="Arial" w:cs="Arial"/>
          <w:sz w:val="24"/>
          <w:szCs w:val="24"/>
          <w:lang w:val="en-US"/>
        </w:rPr>
        <w:t>;</w:t>
      </w:r>
      <w:r w:rsidRPr="00B455CB">
        <w:rPr>
          <w:rFonts w:ascii="Arial" w:hAnsi="Arial" w:cs="Arial"/>
          <w:sz w:val="24"/>
          <w:szCs w:val="24"/>
          <w:lang w:val="en-US"/>
        </w:rPr>
        <w:t xml:space="preserve"> c) standardize and harmonize data collection in order to increase efficiency at the system level.</w:t>
      </w:r>
    </w:p>
    <w:p w14:paraId="5002E45D" w14:textId="2B1235A2" w:rsidR="00DD1BE6" w:rsidRPr="00EB0CE6" w:rsidRDefault="00362D21" w:rsidP="00EB0CE6">
      <w:pPr>
        <w:pStyle w:val="Paragrafoelenco"/>
        <w:numPr>
          <w:ilvl w:val="2"/>
          <w:numId w:val="13"/>
        </w:numPr>
        <w:spacing w:before="360" w:after="0" w:line="360" w:lineRule="auto"/>
        <w:jc w:val="both"/>
        <w:rPr>
          <w:rFonts w:ascii="Arial" w:hAnsi="Arial" w:cs="Arial"/>
          <w:i/>
          <w:sz w:val="24"/>
          <w:szCs w:val="24"/>
          <w:lang w:val="en-US"/>
        </w:rPr>
      </w:pPr>
      <w:proofErr w:type="spellStart"/>
      <w:r w:rsidRPr="00EB0CE6">
        <w:rPr>
          <w:rFonts w:ascii="Arial" w:hAnsi="Arial" w:cs="Arial"/>
          <w:i/>
          <w:sz w:val="24"/>
          <w:szCs w:val="24"/>
          <w:lang w:val="en-US"/>
        </w:rPr>
        <w:t>Centralised</w:t>
      </w:r>
      <w:proofErr w:type="spellEnd"/>
      <w:r w:rsidRPr="00EB0CE6">
        <w:rPr>
          <w:rFonts w:ascii="Arial" w:hAnsi="Arial" w:cs="Arial"/>
          <w:i/>
          <w:sz w:val="24"/>
          <w:szCs w:val="24"/>
          <w:lang w:val="en-US"/>
        </w:rPr>
        <w:t xml:space="preserve"> inbound and outbound Contact center services</w:t>
      </w:r>
    </w:p>
    <w:p w14:paraId="69EAEBAC" w14:textId="4D0BD80D" w:rsidR="00A730FA" w:rsidRDefault="00DD1BE6" w:rsidP="00EB0CE6">
      <w:pPr>
        <w:spacing w:before="120" w:after="0" w:line="360" w:lineRule="auto"/>
        <w:jc w:val="both"/>
        <w:rPr>
          <w:rFonts w:ascii="Arial" w:hAnsi="Arial" w:cs="Arial"/>
          <w:sz w:val="24"/>
          <w:szCs w:val="24"/>
          <w:lang w:val="en-US"/>
        </w:rPr>
      </w:pPr>
      <w:r w:rsidRPr="00A730FA">
        <w:rPr>
          <w:rFonts w:ascii="Arial" w:hAnsi="Arial" w:cs="Arial"/>
          <w:sz w:val="24"/>
          <w:szCs w:val="24"/>
          <w:lang w:val="en-US"/>
        </w:rPr>
        <w:t>The new organization of Division for data collection implementation from direct surveys (DCI) also implies more specialization of managing the contacts with</w:t>
      </w:r>
      <w:r w:rsidRPr="00B455CB">
        <w:rPr>
          <w:rFonts w:ascii="Arial" w:hAnsi="Arial" w:cs="Arial"/>
          <w:sz w:val="24"/>
          <w:szCs w:val="24"/>
          <w:lang w:val="en-US"/>
        </w:rPr>
        <w:t xml:space="preserve"> respondents. In particular, the outsourcing of the activity is entrusted to a specialized company in Contact Center (CC) services</w:t>
      </w:r>
      <w:r w:rsidR="008C3D25">
        <w:rPr>
          <w:rFonts w:ascii="Arial" w:hAnsi="Arial" w:cs="Arial"/>
          <w:sz w:val="24"/>
          <w:szCs w:val="24"/>
          <w:lang w:val="en-US"/>
        </w:rPr>
        <w:t>.</w:t>
      </w:r>
      <w:r w:rsidRPr="00B455CB">
        <w:rPr>
          <w:rFonts w:ascii="Arial" w:hAnsi="Arial" w:cs="Arial"/>
          <w:sz w:val="24"/>
          <w:szCs w:val="24"/>
          <w:lang w:val="en-US"/>
        </w:rPr>
        <w:t xml:space="preserve"> The aim is pursuing progressive centralization of the support and assistance services addressed to the units involved in the surveys </w:t>
      </w:r>
      <w:r w:rsidRPr="00B455CB">
        <w:rPr>
          <w:rFonts w:ascii="Arial" w:hAnsi="Arial" w:cs="Arial"/>
          <w:sz w:val="24"/>
          <w:szCs w:val="24"/>
          <w:lang w:val="en-US"/>
        </w:rPr>
        <w:lastRenderedPageBreak/>
        <w:t xml:space="preserve">(inbound) and of telephone alert and reminders addressed to non-respondent units (outbound). The unique and coordinated management of the service guarantees strong standardization not only within each specific thematic sector but also among sectors, due to the increased transfer of the best practices from one sector to the other. </w:t>
      </w:r>
    </w:p>
    <w:p w14:paraId="33022CBE" w14:textId="746002B1" w:rsidR="00566619" w:rsidRPr="0018686D" w:rsidRDefault="000555BB" w:rsidP="00A730FA">
      <w:pPr>
        <w:spacing w:before="360" w:after="0" w:line="360" w:lineRule="auto"/>
        <w:jc w:val="both"/>
        <w:rPr>
          <w:rFonts w:ascii="Arial" w:hAnsi="Arial" w:cs="Arial"/>
          <w:b/>
          <w:sz w:val="24"/>
          <w:szCs w:val="24"/>
          <w:lang w:val="en-GB"/>
        </w:rPr>
      </w:pPr>
      <w:r w:rsidRPr="0018686D">
        <w:rPr>
          <w:rFonts w:ascii="Arial" w:hAnsi="Arial" w:cs="Arial"/>
          <w:b/>
          <w:sz w:val="24"/>
          <w:szCs w:val="24"/>
          <w:lang w:val="en-GB"/>
        </w:rPr>
        <w:t>3</w:t>
      </w:r>
      <w:r w:rsidR="001E7156" w:rsidRPr="0018686D">
        <w:rPr>
          <w:rFonts w:ascii="Arial" w:hAnsi="Arial" w:cs="Arial"/>
          <w:b/>
          <w:sz w:val="24"/>
          <w:szCs w:val="24"/>
          <w:lang w:val="en-GB"/>
        </w:rPr>
        <w:t>.</w:t>
      </w:r>
      <w:r w:rsidR="001E7156" w:rsidRPr="0018686D">
        <w:rPr>
          <w:rFonts w:ascii="Arial" w:hAnsi="Arial" w:cs="Arial"/>
          <w:b/>
          <w:sz w:val="24"/>
          <w:szCs w:val="24"/>
          <w:lang w:val="en-GB"/>
        </w:rPr>
        <w:tab/>
        <w:t>Conclusions and future developments</w:t>
      </w:r>
    </w:p>
    <w:p w14:paraId="4A167E84" w14:textId="08E44F53" w:rsidR="001E7156" w:rsidRPr="00B455CB" w:rsidRDefault="001E7156" w:rsidP="0018686D">
      <w:pPr>
        <w:spacing w:before="120" w:after="0" w:line="360" w:lineRule="auto"/>
        <w:jc w:val="both"/>
        <w:rPr>
          <w:rFonts w:ascii="Arial" w:hAnsi="Arial" w:cs="Arial"/>
          <w:sz w:val="24"/>
          <w:szCs w:val="24"/>
          <w:lang w:val="en-US"/>
        </w:rPr>
      </w:pPr>
      <w:r w:rsidRPr="00B455CB">
        <w:rPr>
          <w:rFonts w:ascii="Arial" w:hAnsi="Arial" w:cs="Arial"/>
          <w:sz w:val="24"/>
          <w:szCs w:val="24"/>
          <w:lang w:val="en-US"/>
        </w:rPr>
        <w:t xml:space="preserve">The introduction of the new organizational model launched by </w:t>
      </w:r>
      <w:proofErr w:type="spellStart"/>
      <w:r w:rsidRPr="00B455CB">
        <w:rPr>
          <w:rFonts w:ascii="Arial" w:hAnsi="Arial" w:cs="Arial"/>
          <w:sz w:val="24"/>
          <w:szCs w:val="24"/>
          <w:lang w:val="en-US"/>
        </w:rPr>
        <w:t>Istat</w:t>
      </w:r>
      <w:proofErr w:type="spellEnd"/>
      <w:r w:rsidRPr="00B455CB">
        <w:rPr>
          <w:rFonts w:ascii="Arial" w:hAnsi="Arial" w:cs="Arial"/>
          <w:sz w:val="24"/>
          <w:szCs w:val="24"/>
          <w:lang w:val="en-US"/>
        </w:rPr>
        <w:t xml:space="preserve"> in 2016, which provides a specialized approach to the management of cross-cutting services and the creation of a new Department exclusively dedicated to the Data Collection has produced important results in terms of increasing response rates of economic </w:t>
      </w:r>
      <w:r w:rsidR="00566619" w:rsidRPr="00B455CB">
        <w:rPr>
          <w:rFonts w:ascii="Arial" w:hAnsi="Arial" w:cs="Arial"/>
          <w:sz w:val="24"/>
          <w:szCs w:val="24"/>
          <w:lang w:val="en-US"/>
        </w:rPr>
        <w:t>business surveys</w:t>
      </w:r>
      <w:r w:rsidRPr="00B455CB">
        <w:rPr>
          <w:rFonts w:ascii="Arial" w:hAnsi="Arial" w:cs="Arial"/>
          <w:sz w:val="24"/>
          <w:szCs w:val="24"/>
          <w:lang w:val="en-US"/>
        </w:rPr>
        <w:t>, both structural and short-term.</w:t>
      </w:r>
      <w:r w:rsidR="00566619" w:rsidRPr="00B455CB">
        <w:rPr>
          <w:rFonts w:ascii="Arial" w:hAnsi="Arial" w:cs="Arial"/>
          <w:sz w:val="24"/>
          <w:szCs w:val="24"/>
          <w:lang w:val="en-US"/>
        </w:rPr>
        <w:t xml:space="preserve"> </w:t>
      </w:r>
      <w:r w:rsidRPr="00B455CB">
        <w:rPr>
          <w:rFonts w:ascii="Arial" w:hAnsi="Arial" w:cs="Arial"/>
          <w:sz w:val="24"/>
          <w:szCs w:val="24"/>
          <w:lang w:val="en-US"/>
        </w:rPr>
        <w:t xml:space="preserve">The increases are also associated </w:t>
      </w:r>
      <w:r w:rsidR="00EB0CE6">
        <w:rPr>
          <w:rFonts w:ascii="Arial" w:hAnsi="Arial" w:cs="Arial"/>
          <w:sz w:val="24"/>
          <w:szCs w:val="24"/>
          <w:lang w:val="en-US"/>
        </w:rPr>
        <w:t xml:space="preserve">to </w:t>
      </w:r>
      <w:r w:rsidRPr="00B455CB">
        <w:rPr>
          <w:rFonts w:ascii="Arial" w:hAnsi="Arial" w:cs="Arial"/>
          <w:sz w:val="24"/>
          <w:szCs w:val="24"/>
          <w:lang w:val="en-US"/>
        </w:rPr>
        <w:t>significant reductions in the data collection period</w:t>
      </w:r>
      <w:r w:rsidR="00566619" w:rsidRPr="00B455CB">
        <w:rPr>
          <w:rFonts w:ascii="Arial" w:hAnsi="Arial" w:cs="Arial"/>
          <w:sz w:val="24"/>
          <w:szCs w:val="24"/>
          <w:lang w:val="en-US"/>
        </w:rPr>
        <w:t>s</w:t>
      </w:r>
      <w:r w:rsidRPr="00B455CB">
        <w:rPr>
          <w:rFonts w:ascii="Arial" w:hAnsi="Arial" w:cs="Arial"/>
          <w:sz w:val="24"/>
          <w:szCs w:val="24"/>
          <w:lang w:val="en-US"/>
        </w:rPr>
        <w:t>,</w:t>
      </w:r>
      <w:r w:rsidR="00EB0CE6">
        <w:rPr>
          <w:rFonts w:ascii="Arial" w:hAnsi="Arial" w:cs="Arial"/>
          <w:sz w:val="24"/>
          <w:szCs w:val="24"/>
          <w:lang w:val="en-US"/>
        </w:rPr>
        <w:t xml:space="preserve"> </w:t>
      </w:r>
      <w:r w:rsidRPr="00B455CB">
        <w:rPr>
          <w:rFonts w:ascii="Arial" w:hAnsi="Arial" w:cs="Arial"/>
          <w:sz w:val="24"/>
          <w:szCs w:val="24"/>
          <w:lang w:val="en-US"/>
        </w:rPr>
        <w:t>especially in structural economic surveys.</w:t>
      </w:r>
      <w:r w:rsidR="00566619" w:rsidRPr="00B455CB">
        <w:rPr>
          <w:rFonts w:ascii="Arial" w:hAnsi="Arial" w:cs="Arial"/>
          <w:sz w:val="24"/>
          <w:szCs w:val="24"/>
          <w:lang w:val="en-US"/>
        </w:rPr>
        <w:t xml:space="preserve"> </w:t>
      </w:r>
      <w:r w:rsidRPr="00B455CB">
        <w:rPr>
          <w:rFonts w:ascii="Arial" w:hAnsi="Arial" w:cs="Arial"/>
          <w:sz w:val="24"/>
          <w:szCs w:val="24"/>
          <w:lang w:val="en-US"/>
        </w:rPr>
        <w:t xml:space="preserve">The results are independent of the platforms used for </w:t>
      </w:r>
      <w:r w:rsidR="00566619" w:rsidRPr="00B455CB">
        <w:rPr>
          <w:rFonts w:ascii="Arial" w:hAnsi="Arial" w:cs="Arial"/>
          <w:sz w:val="24"/>
          <w:szCs w:val="24"/>
          <w:lang w:val="en-US"/>
        </w:rPr>
        <w:t xml:space="preserve">web </w:t>
      </w:r>
      <w:r w:rsidRPr="00B455CB">
        <w:rPr>
          <w:rFonts w:ascii="Arial" w:hAnsi="Arial" w:cs="Arial"/>
          <w:sz w:val="24"/>
          <w:szCs w:val="24"/>
          <w:lang w:val="en-US"/>
        </w:rPr>
        <w:t xml:space="preserve">data </w:t>
      </w:r>
      <w:r w:rsidR="00566619" w:rsidRPr="00B455CB">
        <w:rPr>
          <w:rFonts w:ascii="Arial" w:hAnsi="Arial" w:cs="Arial"/>
          <w:sz w:val="24"/>
          <w:szCs w:val="24"/>
          <w:lang w:val="en-US"/>
        </w:rPr>
        <w:t>capturing</w:t>
      </w:r>
      <w:r w:rsidRPr="00B455CB">
        <w:rPr>
          <w:rFonts w:ascii="Arial" w:hAnsi="Arial" w:cs="Arial"/>
          <w:sz w:val="24"/>
          <w:szCs w:val="24"/>
          <w:lang w:val="en-US"/>
        </w:rPr>
        <w:t xml:space="preserve"> and are extended to all types of surveys.</w:t>
      </w:r>
      <w:r w:rsidR="00566619" w:rsidRPr="00B455CB">
        <w:rPr>
          <w:rFonts w:ascii="Arial" w:hAnsi="Arial" w:cs="Arial"/>
          <w:sz w:val="24"/>
          <w:szCs w:val="24"/>
          <w:lang w:val="en-US"/>
        </w:rPr>
        <w:t xml:space="preserve"> </w:t>
      </w:r>
      <w:r w:rsidRPr="00B455CB">
        <w:rPr>
          <w:rFonts w:ascii="Arial" w:hAnsi="Arial" w:cs="Arial"/>
          <w:sz w:val="24"/>
          <w:szCs w:val="24"/>
          <w:lang w:val="en-US"/>
        </w:rPr>
        <w:t>Among the factors that most explain these increases should be considered the standardization of data collection processes that led to significant increases in efficiency.</w:t>
      </w:r>
      <w:r w:rsidR="00566619" w:rsidRPr="00B455CB">
        <w:rPr>
          <w:rFonts w:ascii="Arial" w:hAnsi="Arial" w:cs="Arial"/>
          <w:sz w:val="24"/>
          <w:szCs w:val="24"/>
          <w:lang w:val="en-US"/>
        </w:rPr>
        <w:t xml:space="preserve"> </w:t>
      </w:r>
      <w:r w:rsidRPr="00B455CB">
        <w:rPr>
          <w:rFonts w:ascii="Arial" w:hAnsi="Arial" w:cs="Arial"/>
          <w:sz w:val="24"/>
          <w:szCs w:val="24"/>
          <w:lang w:val="en-US"/>
        </w:rPr>
        <w:t>These efficiency gains can free up resources to be used in process and product innovation activities, in the quality of the outputs and to respond to new needs for statistical information expressed by users.</w:t>
      </w:r>
      <w:r w:rsidR="00950401">
        <w:rPr>
          <w:rFonts w:ascii="Arial" w:hAnsi="Arial" w:cs="Arial"/>
          <w:sz w:val="24"/>
          <w:szCs w:val="24"/>
          <w:lang w:val="en-US"/>
        </w:rPr>
        <w:t xml:space="preserve"> </w:t>
      </w:r>
      <w:r w:rsidRPr="00B455CB">
        <w:rPr>
          <w:rFonts w:ascii="Arial" w:hAnsi="Arial" w:cs="Arial"/>
          <w:sz w:val="24"/>
          <w:szCs w:val="24"/>
          <w:lang w:val="en-US"/>
        </w:rPr>
        <w:t xml:space="preserve">Even in the presence of </w:t>
      </w:r>
      <w:r w:rsidR="00514FDB" w:rsidRPr="00B455CB">
        <w:rPr>
          <w:rFonts w:ascii="Arial" w:hAnsi="Arial" w:cs="Arial"/>
          <w:sz w:val="24"/>
          <w:szCs w:val="24"/>
          <w:lang w:val="en-US"/>
        </w:rPr>
        <w:t xml:space="preserve">the above mentioned </w:t>
      </w:r>
      <w:r w:rsidRPr="00B455CB">
        <w:rPr>
          <w:rFonts w:ascii="Arial" w:hAnsi="Arial" w:cs="Arial"/>
          <w:sz w:val="24"/>
          <w:szCs w:val="24"/>
          <w:lang w:val="en-US"/>
        </w:rPr>
        <w:t>undoubted results</w:t>
      </w:r>
      <w:r w:rsidR="000A37FC">
        <w:rPr>
          <w:rFonts w:ascii="Arial" w:hAnsi="Arial" w:cs="Arial"/>
          <w:sz w:val="24"/>
          <w:szCs w:val="24"/>
          <w:lang w:val="en-US"/>
        </w:rPr>
        <w:t>,</w:t>
      </w:r>
      <w:r w:rsidRPr="00B455CB">
        <w:rPr>
          <w:rFonts w:ascii="Arial" w:hAnsi="Arial" w:cs="Arial"/>
          <w:sz w:val="24"/>
          <w:szCs w:val="24"/>
          <w:lang w:val="en-US"/>
        </w:rPr>
        <w:t xml:space="preserve"> the new organization of the processes has also shown some critical issues that can be resolved in the medium term:</w:t>
      </w:r>
      <w:r w:rsidR="00950401">
        <w:rPr>
          <w:rFonts w:ascii="Arial" w:hAnsi="Arial" w:cs="Arial"/>
          <w:sz w:val="24"/>
          <w:szCs w:val="24"/>
          <w:lang w:val="en-US"/>
        </w:rPr>
        <w:t xml:space="preserve"> </w:t>
      </w:r>
      <w:proofErr w:type="spellStart"/>
      <w:r w:rsidR="000A37FC">
        <w:rPr>
          <w:rFonts w:ascii="Arial" w:hAnsi="Arial" w:cs="Arial"/>
          <w:sz w:val="24"/>
          <w:szCs w:val="24"/>
          <w:lang w:val="en-US"/>
        </w:rPr>
        <w:t>i</w:t>
      </w:r>
      <w:proofErr w:type="spellEnd"/>
      <w:r w:rsidR="000A37FC">
        <w:rPr>
          <w:rFonts w:ascii="Arial" w:hAnsi="Arial" w:cs="Arial"/>
          <w:sz w:val="24"/>
          <w:szCs w:val="24"/>
          <w:lang w:val="en-US"/>
        </w:rPr>
        <w:t>)</w:t>
      </w:r>
      <w:r w:rsidRPr="00B455CB">
        <w:rPr>
          <w:rFonts w:ascii="Arial" w:hAnsi="Arial" w:cs="Arial"/>
          <w:sz w:val="24"/>
          <w:szCs w:val="24"/>
          <w:lang w:val="en-US"/>
        </w:rPr>
        <w:t xml:space="preserve"> resistance to change and increase in the conflict between transversal and production structures, mainly deriving from the "subtraction" of some activities that were traditionally managed </w:t>
      </w:r>
      <w:r w:rsidR="00950401">
        <w:rPr>
          <w:rFonts w:ascii="Arial" w:hAnsi="Arial" w:cs="Arial"/>
          <w:sz w:val="24"/>
          <w:szCs w:val="24"/>
          <w:lang w:val="en-US"/>
        </w:rPr>
        <w:t xml:space="preserve">within the production processes: </w:t>
      </w:r>
      <w:r w:rsidR="000A37FC">
        <w:rPr>
          <w:rFonts w:ascii="Arial" w:hAnsi="Arial" w:cs="Arial"/>
          <w:sz w:val="24"/>
          <w:szCs w:val="24"/>
          <w:lang w:val="en-US"/>
        </w:rPr>
        <w:t xml:space="preserve">ii) </w:t>
      </w:r>
      <w:r w:rsidR="00514FDB" w:rsidRPr="00B455CB">
        <w:rPr>
          <w:rFonts w:ascii="Arial" w:hAnsi="Arial" w:cs="Arial"/>
          <w:sz w:val="24"/>
          <w:szCs w:val="24"/>
          <w:lang w:val="en-US"/>
        </w:rPr>
        <w:t>stron</w:t>
      </w:r>
      <w:r w:rsidR="00950401">
        <w:rPr>
          <w:rFonts w:ascii="Arial" w:hAnsi="Arial" w:cs="Arial"/>
          <w:sz w:val="24"/>
          <w:szCs w:val="24"/>
          <w:lang w:val="en-US"/>
        </w:rPr>
        <w:t xml:space="preserve">g fragmentation of DC processes; </w:t>
      </w:r>
      <w:r w:rsidR="000A37FC">
        <w:rPr>
          <w:rFonts w:ascii="Arial" w:hAnsi="Arial" w:cs="Arial"/>
          <w:sz w:val="24"/>
          <w:szCs w:val="24"/>
          <w:lang w:val="en-US"/>
        </w:rPr>
        <w:t>iii)</w:t>
      </w:r>
      <w:r w:rsidR="00950401">
        <w:rPr>
          <w:rFonts w:ascii="Arial" w:hAnsi="Arial" w:cs="Arial"/>
          <w:sz w:val="24"/>
          <w:szCs w:val="24"/>
          <w:lang w:val="en-US"/>
        </w:rPr>
        <w:t xml:space="preserve"> </w:t>
      </w:r>
      <w:r w:rsidRPr="00F70F4A">
        <w:rPr>
          <w:rFonts w:ascii="Arial" w:hAnsi="Arial" w:cs="Arial"/>
          <w:sz w:val="24"/>
          <w:szCs w:val="24"/>
          <w:lang w:val="en-US"/>
        </w:rPr>
        <w:t>permanence of overlaps and doubts about "who does what" in the transversal structures an</w:t>
      </w:r>
      <w:r w:rsidR="000B6DDD" w:rsidRPr="00F70F4A">
        <w:rPr>
          <w:rFonts w:ascii="Arial" w:hAnsi="Arial" w:cs="Arial"/>
          <w:sz w:val="24"/>
          <w:szCs w:val="24"/>
          <w:lang w:val="en-US"/>
        </w:rPr>
        <w:t>d in particular Data collection</w:t>
      </w:r>
      <w:r w:rsidR="000B6DDD" w:rsidRPr="007F22CE">
        <w:rPr>
          <w:rFonts w:ascii="Arial" w:hAnsi="Arial" w:cs="Arial"/>
          <w:sz w:val="24"/>
          <w:szCs w:val="24"/>
          <w:lang w:val="en-US"/>
        </w:rPr>
        <w:t>.</w:t>
      </w:r>
      <w:r w:rsidR="00A730FA">
        <w:rPr>
          <w:rFonts w:ascii="Arial" w:hAnsi="Arial" w:cs="Arial"/>
          <w:sz w:val="24"/>
          <w:szCs w:val="24"/>
          <w:lang w:val="en-US"/>
        </w:rPr>
        <w:t xml:space="preserve"> </w:t>
      </w:r>
      <w:r w:rsidRPr="00F70F4A">
        <w:rPr>
          <w:rFonts w:ascii="Arial" w:hAnsi="Arial" w:cs="Arial"/>
          <w:sz w:val="24"/>
          <w:szCs w:val="24"/>
          <w:lang w:val="en-US"/>
        </w:rPr>
        <w:t>The main challenges for the future concern the methods</w:t>
      </w:r>
      <w:r w:rsidR="000B6DDD" w:rsidRPr="00F70F4A">
        <w:rPr>
          <w:rFonts w:ascii="Arial" w:hAnsi="Arial" w:cs="Arial"/>
          <w:sz w:val="24"/>
          <w:szCs w:val="24"/>
          <w:lang w:val="en-US"/>
        </w:rPr>
        <w:t xml:space="preserve"> and the solutions</w:t>
      </w:r>
      <w:r w:rsidRPr="007F22CE">
        <w:rPr>
          <w:rFonts w:ascii="Arial" w:hAnsi="Arial" w:cs="Arial"/>
          <w:sz w:val="24"/>
          <w:szCs w:val="24"/>
          <w:lang w:val="en-US"/>
        </w:rPr>
        <w:t xml:space="preserve"> to be ado</w:t>
      </w:r>
      <w:r w:rsidRPr="006727D1">
        <w:rPr>
          <w:rFonts w:ascii="Arial" w:hAnsi="Arial" w:cs="Arial"/>
          <w:sz w:val="24"/>
          <w:szCs w:val="24"/>
          <w:lang w:val="en-US"/>
        </w:rPr>
        <w:t>pted to consolidate the transition process towards the new model:</w:t>
      </w:r>
      <w:r w:rsidR="009719F1">
        <w:rPr>
          <w:rFonts w:ascii="Arial" w:hAnsi="Arial" w:cs="Arial"/>
          <w:sz w:val="24"/>
          <w:szCs w:val="24"/>
          <w:lang w:val="en-US"/>
        </w:rPr>
        <w:t xml:space="preserve"> </w:t>
      </w:r>
      <w:proofErr w:type="spellStart"/>
      <w:r w:rsidR="000A37FC">
        <w:rPr>
          <w:rFonts w:ascii="Arial" w:hAnsi="Arial" w:cs="Arial"/>
          <w:sz w:val="24"/>
          <w:szCs w:val="24"/>
          <w:lang w:val="en-US"/>
        </w:rPr>
        <w:t>i</w:t>
      </w:r>
      <w:proofErr w:type="spellEnd"/>
      <w:r w:rsidR="000A37FC">
        <w:rPr>
          <w:rFonts w:ascii="Arial" w:hAnsi="Arial" w:cs="Arial"/>
          <w:sz w:val="24"/>
          <w:szCs w:val="24"/>
          <w:lang w:val="en-US"/>
        </w:rPr>
        <w:t xml:space="preserve">) </w:t>
      </w:r>
      <w:r w:rsidR="009719F1">
        <w:rPr>
          <w:rFonts w:ascii="Arial" w:hAnsi="Arial" w:cs="Arial"/>
          <w:sz w:val="24"/>
          <w:szCs w:val="24"/>
          <w:lang w:val="en-US"/>
        </w:rPr>
        <w:t xml:space="preserve"> </w:t>
      </w:r>
      <w:r w:rsidR="000A37FC">
        <w:rPr>
          <w:rFonts w:ascii="Arial" w:hAnsi="Arial" w:cs="Arial"/>
          <w:sz w:val="24"/>
          <w:szCs w:val="24"/>
          <w:lang w:val="en-US"/>
        </w:rPr>
        <w:t>d</w:t>
      </w:r>
      <w:r w:rsidRPr="00B455CB">
        <w:rPr>
          <w:rFonts w:ascii="Arial" w:hAnsi="Arial" w:cs="Arial"/>
          <w:sz w:val="24"/>
          <w:szCs w:val="24"/>
          <w:lang w:val="en-US"/>
        </w:rPr>
        <w:t xml:space="preserve">evelopment of integrated and generalized platforms for data </w:t>
      </w:r>
      <w:r w:rsidR="00950401">
        <w:rPr>
          <w:rFonts w:ascii="Arial" w:hAnsi="Arial" w:cs="Arial"/>
          <w:sz w:val="24"/>
          <w:szCs w:val="24"/>
          <w:lang w:val="en-US"/>
        </w:rPr>
        <w:t>capturing</w:t>
      </w:r>
      <w:r w:rsidRPr="00B455CB">
        <w:rPr>
          <w:rFonts w:ascii="Arial" w:hAnsi="Arial" w:cs="Arial"/>
          <w:sz w:val="24"/>
          <w:szCs w:val="24"/>
          <w:lang w:val="en-US"/>
        </w:rPr>
        <w:t xml:space="preserve"> from units belonging to different sectors</w:t>
      </w:r>
      <w:r w:rsidR="000B6DDD" w:rsidRPr="00B455CB">
        <w:rPr>
          <w:rFonts w:ascii="Arial" w:hAnsi="Arial" w:cs="Arial"/>
          <w:sz w:val="24"/>
          <w:szCs w:val="24"/>
          <w:lang w:val="en-US"/>
        </w:rPr>
        <w:t>;</w:t>
      </w:r>
      <w:r w:rsidR="009719F1">
        <w:rPr>
          <w:rFonts w:ascii="Arial" w:hAnsi="Arial" w:cs="Arial"/>
          <w:sz w:val="24"/>
          <w:szCs w:val="24"/>
          <w:lang w:val="en-US"/>
        </w:rPr>
        <w:t xml:space="preserve"> </w:t>
      </w:r>
      <w:r w:rsidR="000A37FC">
        <w:rPr>
          <w:rFonts w:ascii="Arial" w:hAnsi="Arial" w:cs="Arial"/>
          <w:sz w:val="24"/>
          <w:szCs w:val="24"/>
          <w:lang w:val="en-US"/>
        </w:rPr>
        <w:t>ii)</w:t>
      </w:r>
      <w:r w:rsidR="009719F1">
        <w:rPr>
          <w:rFonts w:ascii="Arial" w:hAnsi="Arial" w:cs="Arial"/>
          <w:sz w:val="24"/>
          <w:szCs w:val="24"/>
          <w:lang w:val="en-US"/>
        </w:rPr>
        <w:t xml:space="preserve"> </w:t>
      </w:r>
      <w:r w:rsidR="000A37FC">
        <w:rPr>
          <w:rFonts w:ascii="Arial" w:hAnsi="Arial" w:cs="Arial"/>
          <w:sz w:val="24"/>
          <w:szCs w:val="24"/>
          <w:lang w:val="en-US"/>
        </w:rPr>
        <w:t>d</w:t>
      </w:r>
      <w:r w:rsidRPr="00B455CB">
        <w:rPr>
          <w:rFonts w:ascii="Arial" w:hAnsi="Arial" w:cs="Arial"/>
          <w:sz w:val="24"/>
          <w:szCs w:val="24"/>
          <w:lang w:val="en-US"/>
        </w:rPr>
        <w:t>esign and implementation of a unique generalized system of integrated management of surveys</w:t>
      </w:r>
      <w:r w:rsidR="000B6DDD" w:rsidRPr="00B455CB">
        <w:rPr>
          <w:rFonts w:ascii="Arial" w:hAnsi="Arial" w:cs="Arial"/>
          <w:sz w:val="24"/>
          <w:szCs w:val="24"/>
          <w:lang w:val="en-US"/>
        </w:rPr>
        <w:t>;</w:t>
      </w:r>
      <w:r w:rsidR="009719F1">
        <w:rPr>
          <w:rFonts w:ascii="Arial" w:hAnsi="Arial" w:cs="Arial"/>
          <w:sz w:val="24"/>
          <w:szCs w:val="24"/>
          <w:lang w:val="en-US"/>
        </w:rPr>
        <w:t xml:space="preserve"> </w:t>
      </w:r>
      <w:r w:rsidR="000A37FC">
        <w:rPr>
          <w:rFonts w:ascii="Arial" w:hAnsi="Arial" w:cs="Arial"/>
          <w:sz w:val="24"/>
          <w:szCs w:val="24"/>
          <w:lang w:val="en-US"/>
        </w:rPr>
        <w:t>iii)</w:t>
      </w:r>
      <w:r w:rsidR="009719F1">
        <w:rPr>
          <w:rFonts w:ascii="Arial" w:hAnsi="Arial" w:cs="Arial"/>
          <w:sz w:val="24"/>
          <w:szCs w:val="24"/>
          <w:lang w:val="en-US"/>
        </w:rPr>
        <w:t xml:space="preserve"> </w:t>
      </w:r>
      <w:r w:rsidR="000A37FC">
        <w:rPr>
          <w:rFonts w:ascii="Arial" w:hAnsi="Arial" w:cs="Arial"/>
          <w:sz w:val="24"/>
          <w:szCs w:val="24"/>
          <w:lang w:val="en-US"/>
        </w:rPr>
        <w:t>g</w:t>
      </w:r>
      <w:r w:rsidRPr="00B455CB">
        <w:rPr>
          <w:rFonts w:ascii="Arial" w:hAnsi="Arial" w:cs="Arial"/>
          <w:sz w:val="24"/>
          <w:szCs w:val="24"/>
          <w:lang w:val="en-US"/>
        </w:rPr>
        <w:t>reater integration between inbound and outbound contact center services</w:t>
      </w:r>
      <w:r w:rsidR="000B6DDD" w:rsidRPr="00B455CB">
        <w:rPr>
          <w:rFonts w:ascii="Arial" w:hAnsi="Arial" w:cs="Arial"/>
          <w:sz w:val="24"/>
          <w:szCs w:val="24"/>
          <w:lang w:val="en-US"/>
        </w:rPr>
        <w:t>;</w:t>
      </w:r>
      <w:r w:rsidR="009719F1">
        <w:rPr>
          <w:rFonts w:ascii="Arial" w:hAnsi="Arial" w:cs="Arial"/>
          <w:sz w:val="24"/>
          <w:szCs w:val="24"/>
          <w:lang w:val="en-US"/>
        </w:rPr>
        <w:t xml:space="preserve"> </w:t>
      </w:r>
      <w:r w:rsidR="000A37FC">
        <w:rPr>
          <w:rFonts w:ascii="Arial" w:hAnsi="Arial" w:cs="Arial"/>
          <w:sz w:val="24"/>
          <w:szCs w:val="24"/>
          <w:lang w:val="en-US"/>
        </w:rPr>
        <w:t>iv)</w:t>
      </w:r>
      <w:r w:rsidR="009719F1">
        <w:rPr>
          <w:rFonts w:ascii="Arial" w:hAnsi="Arial" w:cs="Arial"/>
          <w:sz w:val="24"/>
          <w:szCs w:val="24"/>
          <w:lang w:val="en-US"/>
        </w:rPr>
        <w:t xml:space="preserve"> </w:t>
      </w:r>
      <w:r w:rsidR="000A37FC">
        <w:rPr>
          <w:rFonts w:ascii="Arial" w:hAnsi="Arial" w:cs="Arial"/>
          <w:sz w:val="24"/>
          <w:szCs w:val="24"/>
          <w:lang w:val="en-US"/>
        </w:rPr>
        <w:t>d</w:t>
      </w:r>
      <w:r w:rsidR="006718FC" w:rsidRPr="00F70F4A">
        <w:rPr>
          <w:rFonts w:ascii="Arial" w:hAnsi="Arial" w:cs="Arial"/>
          <w:sz w:val="24"/>
          <w:szCs w:val="24"/>
          <w:lang w:val="en-US"/>
        </w:rPr>
        <w:t xml:space="preserve">evelopment of acquisition Portals to increase the efficiency of data collection processes from </w:t>
      </w:r>
      <w:r w:rsidR="000B6DDD" w:rsidRPr="00B455CB">
        <w:rPr>
          <w:rFonts w:ascii="Arial" w:hAnsi="Arial" w:cs="Arial"/>
          <w:sz w:val="24"/>
          <w:szCs w:val="24"/>
          <w:lang w:val="en-US"/>
        </w:rPr>
        <w:t>sur</w:t>
      </w:r>
      <w:r w:rsidR="006718FC" w:rsidRPr="00B455CB">
        <w:rPr>
          <w:rFonts w:ascii="Arial" w:hAnsi="Arial" w:cs="Arial"/>
          <w:sz w:val="24"/>
          <w:szCs w:val="24"/>
          <w:lang w:val="en-US"/>
        </w:rPr>
        <w:t>vey units</w:t>
      </w:r>
      <w:r w:rsidR="009719F1">
        <w:rPr>
          <w:rFonts w:ascii="Arial" w:hAnsi="Arial" w:cs="Arial"/>
          <w:sz w:val="24"/>
          <w:szCs w:val="24"/>
          <w:lang w:val="en-US"/>
        </w:rPr>
        <w:t xml:space="preserve"> belonging to different sectors; </w:t>
      </w:r>
      <w:r w:rsidR="000A37FC">
        <w:rPr>
          <w:rFonts w:ascii="Arial" w:hAnsi="Arial" w:cs="Arial"/>
          <w:sz w:val="24"/>
          <w:szCs w:val="24"/>
          <w:lang w:val="en-US"/>
        </w:rPr>
        <w:t>v)</w:t>
      </w:r>
      <w:r w:rsidR="009719F1">
        <w:rPr>
          <w:rFonts w:ascii="Arial" w:hAnsi="Arial" w:cs="Arial"/>
          <w:sz w:val="24"/>
          <w:szCs w:val="24"/>
          <w:lang w:val="en-US"/>
        </w:rPr>
        <w:t xml:space="preserve"> </w:t>
      </w:r>
      <w:r w:rsidR="000A37FC">
        <w:rPr>
          <w:rFonts w:ascii="Arial" w:hAnsi="Arial" w:cs="Arial"/>
          <w:sz w:val="24"/>
          <w:szCs w:val="24"/>
          <w:lang w:val="en-US"/>
        </w:rPr>
        <w:t>i</w:t>
      </w:r>
      <w:r w:rsidR="006718FC" w:rsidRPr="00B455CB">
        <w:rPr>
          <w:rFonts w:ascii="Arial" w:hAnsi="Arial" w:cs="Arial"/>
          <w:sz w:val="24"/>
          <w:szCs w:val="24"/>
          <w:lang w:val="en-US"/>
        </w:rPr>
        <w:t>dentify solutions</w:t>
      </w:r>
      <w:r w:rsidR="00950401">
        <w:rPr>
          <w:rFonts w:ascii="Arial" w:hAnsi="Arial" w:cs="Arial"/>
          <w:sz w:val="24"/>
          <w:szCs w:val="24"/>
          <w:lang w:val="en-US"/>
        </w:rPr>
        <w:t xml:space="preserve"> to be applied</w:t>
      </w:r>
      <w:r w:rsidR="006718FC" w:rsidRPr="00B455CB">
        <w:rPr>
          <w:rFonts w:ascii="Arial" w:hAnsi="Arial" w:cs="Arial"/>
          <w:sz w:val="24"/>
          <w:szCs w:val="24"/>
          <w:lang w:val="en-US"/>
        </w:rPr>
        <w:t xml:space="preserve"> at an organizational level </w:t>
      </w:r>
      <w:r w:rsidR="00950401">
        <w:rPr>
          <w:rFonts w:ascii="Arial" w:hAnsi="Arial" w:cs="Arial"/>
          <w:sz w:val="24"/>
          <w:szCs w:val="24"/>
          <w:lang w:val="en-US"/>
        </w:rPr>
        <w:t>in order to</w:t>
      </w:r>
      <w:r w:rsidR="006718FC" w:rsidRPr="00B455CB">
        <w:rPr>
          <w:rFonts w:ascii="Arial" w:hAnsi="Arial" w:cs="Arial"/>
          <w:sz w:val="24"/>
          <w:szCs w:val="24"/>
          <w:lang w:val="en-US"/>
        </w:rPr>
        <w:t xml:space="preserve"> reduce the </w:t>
      </w:r>
      <w:r w:rsidR="000A37FC" w:rsidRPr="00B455CB">
        <w:rPr>
          <w:rFonts w:ascii="Arial" w:hAnsi="Arial" w:cs="Arial"/>
          <w:sz w:val="24"/>
          <w:szCs w:val="24"/>
          <w:lang w:val="en-US"/>
        </w:rPr>
        <w:t xml:space="preserve">processes </w:t>
      </w:r>
      <w:r w:rsidR="006718FC" w:rsidRPr="00B455CB">
        <w:rPr>
          <w:rFonts w:ascii="Arial" w:hAnsi="Arial" w:cs="Arial"/>
          <w:sz w:val="24"/>
          <w:szCs w:val="24"/>
          <w:lang w:val="en-US"/>
        </w:rPr>
        <w:lastRenderedPageBreak/>
        <w:t xml:space="preserve">fragmentation, while respecting the principle of specialization and standardization of the activities </w:t>
      </w:r>
      <w:r w:rsidR="00950401">
        <w:rPr>
          <w:rFonts w:ascii="Arial" w:hAnsi="Arial" w:cs="Arial"/>
          <w:sz w:val="24"/>
          <w:szCs w:val="24"/>
          <w:lang w:val="en-US"/>
        </w:rPr>
        <w:t>involved</w:t>
      </w:r>
      <w:r w:rsidR="006718FC" w:rsidRPr="00B455CB">
        <w:rPr>
          <w:rFonts w:ascii="Arial" w:hAnsi="Arial" w:cs="Arial"/>
          <w:sz w:val="24"/>
          <w:szCs w:val="24"/>
          <w:lang w:val="en-US"/>
        </w:rPr>
        <w:t>.</w:t>
      </w:r>
    </w:p>
    <w:p w14:paraId="6564D9EC" w14:textId="38444C9B" w:rsidR="001E7156" w:rsidRPr="00B455CB" w:rsidRDefault="000A37FC" w:rsidP="001E7156">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1E7156" w:rsidRPr="00B455CB">
        <w:rPr>
          <w:rFonts w:ascii="Arial" w:hAnsi="Arial" w:cs="Arial"/>
          <w:b/>
          <w:sz w:val="24"/>
          <w:szCs w:val="24"/>
          <w:lang w:val="en-GB"/>
        </w:rPr>
        <w:t>. References</w:t>
      </w:r>
    </w:p>
    <w:p w14:paraId="1D08B37E" w14:textId="71DAAE14" w:rsidR="00871BA9" w:rsidRPr="00294581" w:rsidRDefault="00871BA9" w:rsidP="00294581">
      <w:pPr>
        <w:spacing w:line="360" w:lineRule="auto"/>
        <w:jc w:val="both"/>
        <w:rPr>
          <w:rFonts w:ascii="Arial" w:hAnsi="Arial" w:cs="Arial"/>
          <w:sz w:val="24"/>
          <w:szCs w:val="24"/>
          <w:lang w:val="en-GB"/>
        </w:rPr>
      </w:pPr>
      <w:r w:rsidRPr="00294581">
        <w:rPr>
          <w:rFonts w:ascii="Arial" w:hAnsi="Arial" w:cs="Arial"/>
          <w:sz w:val="24"/>
          <w:szCs w:val="24"/>
          <w:lang w:val="en-GB"/>
        </w:rPr>
        <w:t xml:space="preserve">Fazio N.R, </w:t>
      </w:r>
      <w:proofErr w:type="spellStart"/>
      <w:r w:rsidRPr="00294581">
        <w:rPr>
          <w:rFonts w:ascii="Arial" w:hAnsi="Arial" w:cs="Arial"/>
          <w:sz w:val="24"/>
          <w:szCs w:val="24"/>
          <w:lang w:val="en-GB"/>
        </w:rPr>
        <w:t>Murgia</w:t>
      </w:r>
      <w:proofErr w:type="spellEnd"/>
      <w:r w:rsidRPr="00294581">
        <w:rPr>
          <w:rFonts w:ascii="Arial" w:hAnsi="Arial" w:cs="Arial"/>
          <w:sz w:val="24"/>
          <w:szCs w:val="24"/>
          <w:lang w:val="en-GB"/>
        </w:rPr>
        <w:t xml:space="preserve"> M., </w:t>
      </w:r>
      <w:proofErr w:type="spellStart"/>
      <w:r w:rsidRPr="00294581">
        <w:rPr>
          <w:rFonts w:ascii="Arial" w:hAnsi="Arial" w:cs="Arial"/>
          <w:sz w:val="24"/>
          <w:szCs w:val="24"/>
          <w:lang w:val="en-GB"/>
        </w:rPr>
        <w:t>Nunnari</w:t>
      </w:r>
      <w:proofErr w:type="spellEnd"/>
      <w:r w:rsidRPr="00294581">
        <w:rPr>
          <w:rFonts w:ascii="Arial" w:hAnsi="Arial" w:cs="Arial"/>
          <w:sz w:val="24"/>
          <w:szCs w:val="24"/>
          <w:lang w:val="en-GB"/>
        </w:rPr>
        <w:t xml:space="preserve"> A. (2013), The business statistical portal: a new way of organizing and managing data collection processes for business surveys in </w:t>
      </w:r>
      <w:proofErr w:type="spellStart"/>
      <w:r w:rsidRPr="00294581">
        <w:rPr>
          <w:rFonts w:ascii="Arial" w:hAnsi="Arial" w:cs="Arial"/>
          <w:sz w:val="24"/>
          <w:szCs w:val="24"/>
          <w:lang w:val="en-GB"/>
        </w:rPr>
        <w:t>Istat</w:t>
      </w:r>
      <w:proofErr w:type="spellEnd"/>
      <w:r w:rsidRPr="00294581">
        <w:rPr>
          <w:rFonts w:ascii="Arial" w:hAnsi="Arial" w:cs="Arial"/>
          <w:sz w:val="24"/>
          <w:szCs w:val="24"/>
          <w:lang w:val="en-GB"/>
        </w:rPr>
        <w:t xml:space="preserve">, Conference of </w:t>
      </w:r>
      <w:proofErr w:type="spellStart"/>
      <w:r w:rsidRPr="00294581">
        <w:rPr>
          <w:rFonts w:ascii="Arial" w:hAnsi="Arial" w:cs="Arial"/>
          <w:sz w:val="24"/>
          <w:szCs w:val="24"/>
          <w:lang w:val="en-GB"/>
        </w:rPr>
        <w:t>european</w:t>
      </w:r>
      <w:proofErr w:type="spellEnd"/>
      <w:r w:rsidRPr="00294581">
        <w:rPr>
          <w:rFonts w:ascii="Arial" w:hAnsi="Arial" w:cs="Arial"/>
          <w:sz w:val="24"/>
          <w:szCs w:val="24"/>
          <w:lang w:val="en-GB"/>
        </w:rPr>
        <w:t xml:space="preserve"> statisticians.</w:t>
      </w:r>
    </w:p>
    <w:p w14:paraId="686F8CEA" w14:textId="6A6414E9" w:rsidR="000A37FC" w:rsidRPr="00294581" w:rsidRDefault="00222253" w:rsidP="00294581">
      <w:pPr>
        <w:spacing w:line="360" w:lineRule="auto"/>
        <w:jc w:val="both"/>
        <w:rPr>
          <w:rFonts w:ascii="Arial" w:hAnsi="Arial" w:cs="Arial"/>
          <w:sz w:val="24"/>
          <w:szCs w:val="24"/>
          <w:lang w:val="en-GB"/>
        </w:rPr>
      </w:pPr>
      <w:r w:rsidRPr="00294581">
        <w:rPr>
          <w:rFonts w:ascii="Arial" w:hAnsi="Arial" w:cs="Arial"/>
          <w:sz w:val="24"/>
          <w:szCs w:val="24"/>
          <w:lang w:val="en-GB"/>
        </w:rPr>
        <w:t xml:space="preserve">Istat (2017), </w:t>
      </w:r>
      <w:proofErr w:type="spellStart"/>
      <w:r w:rsidRPr="00294581">
        <w:rPr>
          <w:rFonts w:ascii="Arial" w:hAnsi="Arial" w:cs="Arial"/>
          <w:sz w:val="24"/>
          <w:szCs w:val="24"/>
          <w:lang w:val="en-GB"/>
        </w:rPr>
        <w:t>Mapping</w:t>
      </w:r>
      <w:proofErr w:type="spellEnd"/>
      <w:r w:rsidRPr="00294581">
        <w:rPr>
          <w:rFonts w:ascii="Arial" w:hAnsi="Arial" w:cs="Arial"/>
          <w:sz w:val="24"/>
          <w:szCs w:val="24"/>
          <w:lang w:val="en-GB"/>
        </w:rPr>
        <w:t xml:space="preserve"> delle attività della DCRD nell’ambito dello schema concettuale di riferimento internazionale GSBPM. </w:t>
      </w:r>
      <w:proofErr w:type="spellStart"/>
      <w:r w:rsidRPr="00294581">
        <w:rPr>
          <w:rFonts w:ascii="Arial" w:hAnsi="Arial" w:cs="Arial"/>
          <w:sz w:val="24"/>
          <w:szCs w:val="24"/>
          <w:lang w:val="en-GB"/>
        </w:rPr>
        <w:t>Delibera</w:t>
      </w:r>
      <w:proofErr w:type="spellEnd"/>
      <w:r w:rsidRPr="00294581">
        <w:rPr>
          <w:rFonts w:ascii="Arial" w:hAnsi="Arial" w:cs="Arial"/>
          <w:sz w:val="24"/>
          <w:szCs w:val="24"/>
          <w:lang w:val="en-GB"/>
        </w:rPr>
        <w:t xml:space="preserve"> D16 49 DIRM2017</w:t>
      </w:r>
      <w:r w:rsidR="000A37FC" w:rsidRPr="00294581">
        <w:rPr>
          <w:rFonts w:ascii="Arial" w:hAnsi="Arial" w:cs="Arial"/>
          <w:sz w:val="24"/>
          <w:szCs w:val="24"/>
          <w:lang w:val="en-GB"/>
        </w:rPr>
        <w:t>.</w:t>
      </w:r>
    </w:p>
    <w:p w14:paraId="31E5BDEF" w14:textId="5365DD41" w:rsidR="00222253" w:rsidRPr="00222253" w:rsidRDefault="00222253" w:rsidP="00294581">
      <w:pPr>
        <w:spacing w:line="360" w:lineRule="auto"/>
        <w:jc w:val="both"/>
        <w:rPr>
          <w:rFonts w:ascii="Arial" w:hAnsi="Arial" w:cs="Arial"/>
          <w:sz w:val="24"/>
          <w:szCs w:val="24"/>
          <w:lang w:val="en-GB"/>
        </w:rPr>
      </w:pPr>
      <w:proofErr w:type="spellStart"/>
      <w:r w:rsidRPr="00222253">
        <w:rPr>
          <w:rFonts w:ascii="Arial" w:hAnsi="Arial" w:cs="Arial"/>
          <w:sz w:val="24"/>
          <w:szCs w:val="24"/>
          <w:lang w:val="en-GB"/>
        </w:rPr>
        <w:t>Lise</w:t>
      </w:r>
      <w:proofErr w:type="spellEnd"/>
      <w:r w:rsidRPr="00222253">
        <w:rPr>
          <w:rFonts w:ascii="Arial" w:hAnsi="Arial" w:cs="Arial"/>
          <w:sz w:val="24"/>
          <w:szCs w:val="24"/>
          <w:lang w:val="en-GB"/>
        </w:rPr>
        <w:t xml:space="preserve"> </w:t>
      </w:r>
      <w:proofErr w:type="spellStart"/>
      <w:r w:rsidRPr="00222253">
        <w:rPr>
          <w:rFonts w:ascii="Arial" w:hAnsi="Arial" w:cs="Arial"/>
          <w:sz w:val="24"/>
          <w:szCs w:val="24"/>
          <w:lang w:val="en-GB"/>
        </w:rPr>
        <w:t>Rivais</w:t>
      </w:r>
      <w:proofErr w:type="spellEnd"/>
      <w:r w:rsidRPr="00222253">
        <w:rPr>
          <w:rFonts w:ascii="Arial" w:hAnsi="Arial" w:cs="Arial"/>
          <w:sz w:val="24"/>
          <w:szCs w:val="24"/>
          <w:lang w:val="en-GB"/>
        </w:rPr>
        <w:t xml:space="preserve">, Marc St-Denis, Susan </w:t>
      </w:r>
      <w:proofErr w:type="spellStart"/>
      <w:r w:rsidRPr="00222253">
        <w:rPr>
          <w:rFonts w:ascii="Arial" w:hAnsi="Arial" w:cs="Arial"/>
          <w:sz w:val="24"/>
          <w:szCs w:val="24"/>
          <w:lang w:val="en-GB"/>
        </w:rPr>
        <w:t>Lensen</w:t>
      </w:r>
      <w:proofErr w:type="spellEnd"/>
      <w:r w:rsidRPr="00222253">
        <w:rPr>
          <w:rFonts w:ascii="Arial" w:hAnsi="Arial" w:cs="Arial"/>
          <w:sz w:val="24"/>
          <w:szCs w:val="24"/>
          <w:lang w:val="en-GB"/>
        </w:rPr>
        <w:t xml:space="preserve"> (2013), Centralising data collection at Statistics Canada. Seminar on Statistical data collection. </w:t>
      </w:r>
      <w:proofErr w:type="spellStart"/>
      <w:r w:rsidRPr="00222253">
        <w:rPr>
          <w:rFonts w:ascii="Arial" w:hAnsi="Arial" w:cs="Arial"/>
          <w:sz w:val="24"/>
          <w:szCs w:val="24"/>
          <w:lang w:val="en-GB"/>
        </w:rPr>
        <w:t>Unece</w:t>
      </w:r>
      <w:proofErr w:type="spellEnd"/>
      <w:r w:rsidRPr="00222253">
        <w:rPr>
          <w:rFonts w:ascii="Arial" w:hAnsi="Arial" w:cs="Arial"/>
          <w:sz w:val="24"/>
          <w:szCs w:val="24"/>
          <w:lang w:val="en-GB"/>
        </w:rPr>
        <w:t xml:space="preserve"> - Conference of </w:t>
      </w:r>
      <w:proofErr w:type="spellStart"/>
      <w:r w:rsidRPr="00222253">
        <w:rPr>
          <w:rFonts w:ascii="Arial" w:hAnsi="Arial" w:cs="Arial"/>
          <w:sz w:val="24"/>
          <w:szCs w:val="24"/>
          <w:lang w:val="en-GB"/>
        </w:rPr>
        <w:t>european</w:t>
      </w:r>
      <w:proofErr w:type="spellEnd"/>
      <w:r w:rsidRPr="00222253">
        <w:rPr>
          <w:rFonts w:ascii="Arial" w:hAnsi="Arial" w:cs="Arial"/>
          <w:sz w:val="24"/>
          <w:szCs w:val="24"/>
          <w:lang w:val="en-GB"/>
        </w:rPr>
        <w:t xml:space="preserve"> statisticians. </w:t>
      </w:r>
      <w:bookmarkStart w:id="0" w:name="_GoBack"/>
      <w:bookmarkEnd w:id="0"/>
    </w:p>
    <w:p w14:paraId="55B45AA1" w14:textId="77777777" w:rsidR="00222253" w:rsidRPr="00222253" w:rsidRDefault="00222253" w:rsidP="00222253">
      <w:pPr>
        <w:spacing w:line="360" w:lineRule="auto"/>
        <w:jc w:val="both"/>
        <w:rPr>
          <w:rFonts w:ascii="Arial" w:hAnsi="Arial" w:cs="Arial"/>
          <w:sz w:val="24"/>
          <w:szCs w:val="24"/>
          <w:lang w:val="en-GB"/>
        </w:rPr>
      </w:pPr>
      <w:proofErr w:type="spellStart"/>
      <w:r w:rsidRPr="00222253">
        <w:rPr>
          <w:rFonts w:ascii="Arial" w:hAnsi="Arial" w:cs="Arial"/>
          <w:sz w:val="24"/>
          <w:szCs w:val="24"/>
          <w:lang w:val="en-GB"/>
        </w:rPr>
        <w:t>Saraiva</w:t>
      </w:r>
      <w:proofErr w:type="spellEnd"/>
      <w:r w:rsidRPr="00222253">
        <w:rPr>
          <w:rFonts w:ascii="Arial" w:hAnsi="Arial" w:cs="Arial"/>
          <w:sz w:val="24"/>
          <w:szCs w:val="24"/>
          <w:lang w:val="en-GB"/>
        </w:rPr>
        <w:t xml:space="preserve"> dos Santos P. and Moreira A. (2013). Creating a data collection department: statistics </w:t>
      </w:r>
      <w:proofErr w:type="spellStart"/>
      <w:r w:rsidRPr="00222253">
        <w:rPr>
          <w:rFonts w:ascii="Arial" w:hAnsi="Arial" w:cs="Arial"/>
          <w:sz w:val="24"/>
          <w:szCs w:val="24"/>
          <w:lang w:val="en-GB"/>
        </w:rPr>
        <w:t>portugal's</w:t>
      </w:r>
      <w:proofErr w:type="spellEnd"/>
      <w:r w:rsidRPr="00222253">
        <w:rPr>
          <w:rFonts w:ascii="Arial" w:hAnsi="Arial" w:cs="Arial"/>
          <w:sz w:val="24"/>
          <w:szCs w:val="24"/>
          <w:lang w:val="en-GB"/>
        </w:rPr>
        <w:t xml:space="preserve"> experience. Seminar on Statistical data collection. </w:t>
      </w:r>
      <w:proofErr w:type="spellStart"/>
      <w:r w:rsidRPr="00222253">
        <w:rPr>
          <w:rFonts w:ascii="Arial" w:hAnsi="Arial" w:cs="Arial"/>
          <w:sz w:val="24"/>
          <w:szCs w:val="24"/>
          <w:lang w:val="en-GB"/>
        </w:rPr>
        <w:t>Unece</w:t>
      </w:r>
      <w:proofErr w:type="spellEnd"/>
      <w:r w:rsidRPr="00222253">
        <w:rPr>
          <w:rFonts w:ascii="Arial" w:hAnsi="Arial" w:cs="Arial"/>
          <w:sz w:val="24"/>
          <w:szCs w:val="24"/>
          <w:lang w:val="en-GB"/>
        </w:rPr>
        <w:t xml:space="preserve"> - Conference of </w:t>
      </w:r>
      <w:proofErr w:type="spellStart"/>
      <w:r w:rsidRPr="00222253">
        <w:rPr>
          <w:rFonts w:ascii="Arial" w:hAnsi="Arial" w:cs="Arial"/>
          <w:sz w:val="24"/>
          <w:szCs w:val="24"/>
          <w:lang w:val="en-GB"/>
        </w:rPr>
        <w:t>european</w:t>
      </w:r>
      <w:proofErr w:type="spellEnd"/>
      <w:r w:rsidRPr="00222253">
        <w:rPr>
          <w:rFonts w:ascii="Arial" w:hAnsi="Arial" w:cs="Arial"/>
          <w:sz w:val="24"/>
          <w:szCs w:val="24"/>
          <w:lang w:val="en-GB"/>
        </w:rPr>
        <w:t xml:space="preserve"> statisticians.</w:t>
      </w:r>
    </w:p>
    <w:p w14:paraId="0305C668" w14:textId="77777777" w:rsidR="00222253" w:rsidRPr="00222253" w:rsidRDefault="00222253" w:rsidP="00222253">
      <w:pPr>
        <w:spacing w:line="360" w:lineRule="auto"/>
        <w:jc w:val="both"/>
        <w:rPr>
          <w:rFonts w:ascii="Arial" w:hAnsi="Arial" w:cs="Arial"/>
          <w:sz w:val="24"/>
          <w:szCs w:val="24"/>
          <w:lang w:val="en-GB"/>
        </w:rPr>
      </w:pPr>
      <w:proofErr w:type="spellStart"/>
      <w:r w:rsidRPr="00222253">
        <w:rPr>
          <w:rFonts w:ascii="Arial" w:hAnsi="Arial" w:cs="Arial"/>
          <w:sz w:val="24"/>
          <w:szCs w:val="24"/>
          <w:lang w:val="en-GB"/>
        </w:rPr>
        <w:t>Signore</w:t>
      </w:r>
      <w:proofErr w:type="spellEnd"/>
      <w:r w:rsidRPr="00222253">
        <w:rPr>
          <w:rFonts w:ascii="Arial" w:hAnsi="Arial" w:cs="Arial"/>
          <w:sz w:val="24"/>
          <w:szCs w:val="24"/>
          <w:lang w:val="en-GB"/>
        </w:rPr>
        <w:t xml:space="preserve"> M. (2017) GSBPM and other international standards </w:t>
      </w:r>
      <w:proofErr w:type="spellStart"/>
      <w:r w:rsidRPr="00222253">
        <w:rPr>
          <w:rFonts w:ascii="Arial" w:hAnsi="Arial" w:cs="Arial"/>
          <w:sz w:val="24"/>
          <w:szCs w:val="24"/>
          <w:lang w:val="en-GB"/>
        </w:rPr>
        <w:t>MedStat</w:t>
      </w:r>
      <w:proofErr w:type="spellEnd"/>
      <w:r w:rsidRPr="00222253">
        <w:rPr>
          <w:rFonts w:ascii="Arial" w:hAnsi="Arial" w:cs="Arial"/>
          <w:sz w:val="24"/>
          <w:szCs w:val="24"/>
          <w:lang w:val="en-GB"/>
        </w:rPr>
        <w:t xml:space="preserve"> training on GSBPM, </w:t>
      </w:r>
      <w:proofErr w:type="spellStart"/>
      <w:r w:rsidRPr="00222253">
        <w:rPr>
          <w:rFonts w:ascii="Arial" w:hAnsi="Arial" w:cs="Arial"/>
          <w:sz w:val="24"/>
          <w:szCs w:val="24"/>
          <w:lang w:val="en-GB"/>
        </w:rPr>
        <w:t>Istat</w:t>
      </w:r>
      <w:proofErr w:type="spellEnd"/>
      <w:r w:rsidRPr="00222253">
        <w:rPr>
          <w:rFonts w:ascii="Arial" w:hAnsi="Arial" w:cs="Arial"/>
          <w:sz w:val="24"/>
          <w:szCs w:val="24"/>
          <w:lang w:val="en-GB"/>
        </w:rPr>
        <w:t xml:space="preserve"> - Rome (2017-07). Available at https://statswiki.unece.org/display/GSBPM/GSBPM+Training+Materials</w:t>
      </w:r>
    </w:p>
    <w:p w14:paraId="0F99372F" w14:textId="77777777" w:rsidR="00222253" w:rsidRPr="00222253" w:rsidRDefault="00222253" w:rsidP="00222253">
      <w:pPr>
        <w:spacing w:line="360" w:lineRule="auto"/>
        <w:jc w:val="both"/>
        <w:rPr>
          <w:rFonts w:ascii="Arial" w:hAnsi="Arial" w:cs="Arial"/>
          <w:sz w:val="24"/>
          <w:szCs w:val="24"/>
          <w:lang w:val="en-GB"/>
        </w:rPr>
      </w:pPr>
      <w:proofErr w:type="spellStart"/>
      <w:r w:rsidRPr="00222253">
        <w:rPr>
          <w:rFonts w:ascii="Arial" w:hAnsi="Arial" w:cs="Arial"/>
          <w:sz w:val="24"/>
          <w:szCs w:val="24"/>
          <w:lang w:val="en-GB"/>
        </w:rPr>
        <w:t>Signore</w:t>
      </w:r>
      <w:proofErr w:type="spellEnd"/>
      <w:r w:rsidRPr="00222253">
        <w:rPr>
          <w:rFonts w:ascii="Arial" w:hAnsi="Arial" w:cs="Arial"/>
          <w:sz w:val="24"/>
          <w:szCs w:val="24"/>
          <w:lang w:val="en-GB"/>
        </w:rPr>
        <w:t xml:space="preserve"> M. (2017) GSBPM how to use and implement </w:t>
      </w:r>
      <w:proofErr w:type="spellStart"/>
      <w:r w:rsidRPr="00222253">
        <w:rPr>
          <w:rFonts w:ascii="Arial" w:hAnsi="Arial" w:cs="Arial"/>
          <w:sz w:val="24"/>
          <w:szCs w:val="24"/>
          <w:lang w:val="en-GB"/>
        </w:rPr>
        <w:t>MedStat</w:t>
      </w:r>
      <w:proofErr w:type="spellEnd"/>
      <w:r w:rsidRPr="00222253">
        <w:rPr>
          <w:rFonts w:ascii="Arial" w:hAnsi="Arial" w:cs="Arial"/>
          <w:sz w:val="24"/>
          <w:szCs w:val="24"/>
          <w:lang w:val="en-GB"/>
        </w:rPr>
        <w:t xml:space="preserve"> training on GSBPM, </w:t>
      </w:r>
      <w:proofErr w:type="spellStart"/>
      <w:r w:rsidRPr="00222253">
        <w:rPr>
          <w:rFonts w:ascii="Arial" w:hAnsi="Arial" w:cs="Arial"/>
          <w:sz w:val="24"/>
          <w:szCs w:val="24"/>
          <w:lang w:val="en-GB"/>
        </w:rPr>
        <w:t>Istat</w:t>
      </w:r>
      <w:proofErr w:type="spellEnd"/>
      <w:r w:rsidRPr="00222253">
        <w:rPr>
          <w:rFonts w:ascii="Arial" w:hAnsi="Arial" w:cs="Arial"/>
          <w:sz w:val="24"/>
          <w:szCs w:val="24"/>
          <w:lang w:val="en-GB"/>
        </w:rPr>
        <w:t xml:space="preserve"> - Rome (2017-07). Available at https://statswiki.unece.org/display/GSBPM/GSBPM+Training+Materials</w:t>
      </w:r>
    </w:p>
    <w:p w14:paraId="1C48BA7C" w14:textId="29C9BB53" w:rsidR="00A730FA" w:rsidRDefault="00222253" w:rsidP="00222253">
      <w:pPr>
        <w:spacing w:line="360" w:lineRule="auto"/>
        <w:jc w:val="both"/>
        <w:rPr>
          <w:rFonts w:ascii="Arial" w:hAnsi="Arial" w:cs="Arial"/>
          <w:sz w:val="24"/>
          <w:szCs w:val="24"/>
          <w:lang w:val="en-GB"/>
        </w:rPr>
      </w:pPr>
      <w:proofErr w:type="spellStart"/>
      <w:r w:rsidRPr="00222253">
        <w:rPr>
          <w:rFonts w:ascii="Arial" w:hAnsi="Arial" w:cs="Arial"/>
          <w:sz w:val="24"/>
          <w:szCs w:val="24"/>
          <w:lang w:val="en-GB"/>
        </w:rPr>
        <w:t>Marske</w:t>
      </w:r>
      <w:proofErr w:type="spellEnd"/>
      <w:r w:rsidRPr="00222253">
        <w:rPr>
          <w:rFonts w:ascii="Arial" w:hAnsi="Arial" w:cs="Arial"/>
          <w:sz w:val="24"/>
          <w:szCs w:val="24"/>
          <w:lang w:val="en-GB"/>
        </w:rPr>
        <w:t xml:space="preserve"> R. And </w:t>
      </w:r>
      <w:proofErr w:type="spellStart"/>
      <w:r w:rsidRPr="00222253">
        <w:rPr>
          <w:rFonts w:ascii="Arial" w:hAnsi="Arial" w:cs="Arial"/>
          <w:sz w:val="24"/>
          <w:szCs w:val="24"/>
          <w:lang w:val="en-GB"/>
        </w:rPr>
        <w:t>Stempowski</w:t>
      </w:r>
      <w:proofErr w:type="spellEnd"/>
      <w:r w:rsidRPr="00222253">
        <w:rPr>
          <w:rFonts w:ascii="Arial" w:hAnsi="Arial" w:cs="Arial"/>
          <w:sz w:val="24"/>
          <w:szCs w:val="24"/>
          <w:lang w:val="en-GB"/>
        </w:rPr>
        <w:t xml:space="preserve"> D. M. (2009), Company-Centric Communication Approaches for Business Survey Response Management, Statistics Canada Symposium 2008: Data Collection: Challenges, Achievements and New Directions. Available at </w:t>
      </w:r>
      <w:hyperlink r:id="rId11" w:history="1">
        <w:r w:rsidR="000A37FC" w:rsidRPr="00134CDC">
          <w:rPr>
            <w:rStyle w:val="Collegamentoipertestuale"/>
            <w:rFonts w:ascii="Arial" w:hAnsi="Arial" w:cs="Arial"/>
            <w:sz w:val="24"/>
            <w:szCs w:val="24"/>
            <w:lang w:val="en-GB"/>
          </w:rPr>
          <w:t>https://www150.statcan.gc.ca/n1/en/pub/11-522-x/2008000/article/10983-eng.pdf?st=0-IwAKvz</w:t>
        </w:r>
      </w:hyperlink>
    </w:p>
    <w:p w14:paraId="3B241D91" w14:textId="77777777" w:rsidR="000A37FC" w:rsidRPr="000A37FC" w:rsidRDefault="000A37FC" w:rsidP="000A37FC">
      <w:pPr>
        <w:spacing w:line="360" w:lineRule="auto"/>
        <w:jc w:val="both"/>
        <w:rPr>
          <w:rFonts w:ascii="Arial" w:hAnsi="Arial" w:cs="Arial"/>
          <w:sz w:val="24"/>
          <w:szCs w:val="24"/>
          <w:lang w:val="en-GB"/>
        </w:rPr>
      </w:pPr>
      <w:proofErr w:type="spellStart"/>
      <w:r w:rsidRPr="000A37FC">
        <w:rPr>
          <w:rFonts w:ascii="Arial" w:hAnsi="Arial" w:cs="Arial"/>
          <w:sz w:val="24"/>
          <w:szCs w:val="24"/>
          <w:lang w:val="en-GB"/>
        </w:rPr>
        <w:t>Unece</w:t>
      </w:r>
      <w:proofErr w:type="spellEnd"/>
      <w:r w:rsidRPr="000A37FC">
        <w:rPr>
          <w:rFonts w:ascii="Arial" w:hAnsi="Arial" w:cs="Arial"/>
          <w:sz w:val="24"/>
          <w:szCs w:val="24"/>
          <w:lang w:val="en-GB"/>
        </w:rPr>
        <w:t xml:space="preserve"> Statistics wiki. Generic Statistical Business Process Model – GSBPM. http://www1.unece.org/stat/platform/display/metis/The+Generic+Statistical+Business+Process+Model </w:t>
      </w:r>
    </w:p>
    <w:p w14:paraId="51DF7834" w14:textId="77777777" w:rsidR="000A37FC" w:rsidRPr="00EC5F5A" w:rsidRDefault="000A37FC" w:rsidP="00222253">
      <w:pPr>
        <w:spacing w:line="360" w:lineRule="auto"/>
        <w:jc w:val="both"/>
        <w:rPr>
          <w:rFonts w:ascii="Arial" w:hAnsi="Arial" w:cs="Arial"/>
          <w:sz w:val="24"/>
          <w:szCs w:val="24"/>
          <w:lang w:val="en-GB"/>
        </w:rPr>
      </w:pPr>
    </w:p>
    <w:sectPr w:rsidR="000A37FC" w:rsidRPr="00EC5F5A" w:rsidSect="00131E27">
      <w:headerReference w:type="even" r:id="rId12"/>
      <w:headerReference w:type="default" r:id="rId13"/>
      <w:footerReference w:type="default" r:id="rId14"/>
      <w:headerReference w:type="first" r:id="rId15"/>
      <w:pgSz w:w="11906" w:h="16838" w:code="9"/>
      <w:pgMar w:top="1418" w:right="1418" w:bottom="1418" w:left="1418" w:header="397" w:footer="352"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E9259" w14:textId="77777777" w:rsidR="009535A9" w:rsidRDefault="009535A9" w:rsidP="00E82B25">
      <w:pPr>
        <w:spacing w:after="0" w:line="240" w:lineRule="auto"/>
      </w:pPr>
      <w:r>
        <w:separator/>
      </w:r>
    </w:p>
  </w:endnote>
  <w:endnote w:type="continuationSeparator" w:id="0">
    <w:p w14:paraId="7047F9FD" w14:textId="77777777" w:rsidR="009535A9" w:rsidRDefault="009535A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OQOT O+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87956"/>
      <w:docPartObj>
        <w:docPartGallery w:val="Page Numbers (Bottom of Page)"/>
        <w:docPartUnique/>
      </w:docPartObj>
    </w:sdtPr>
    <w:sdtEndPr/>
    <w:sdtContent>
      <w:p w14:paraId="24183277" w14:textId="00ABCC2B" w:rsidR="00976C17" w:rsidRDefault="00976C17">
        <w:pPr>
          <w:pStyle w:val="Pidipagina"/>
          <w:jc w:val="right"/>
        </w:pPr>
        <w:r>
          <w:fldChar w:fldCharType="begin"/>
        </w:r>
        <w:r>
          <w:instrText>PAGE   \* MERGEFORMAT</w:instrText>
        </w:r>
        <w:r>
          <w:fldChar w:fldCharType="separate"/>
        </w:r>
        <w:r w:rsidR="00294581" w:rsidRPr="00294581">
          <w:rPr>
            <w:noProof/>
            <w:lang w:val="it-IT"/>
          </w:rPr>
          <w:t>11</w:t>
        </w:r>
        <w:r>
          <w:fldChar w:fldCharType="end"/>
        </w:r>
      </w:p>
    </w:sdtContent>
  </w:sdt>
  <w:p w14:paraId="09847F06" w14:textId="77777777" w:rsidR="00976C17" w:rsidRDefault="00976C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8A84" w14:textId="77777777" w:rsidR="009535A9" w:rsidRDefault="009535A9" w:rsidP="00E82B25">
      <w:pPr>
        <w:spacing w:after="0" w:line="240" w:lineRule="auto"/>
      </w:pPr>
      <w:r>
        <w:separator/>
      </w:r>
    </w:p>
  </w:footnote>
  <w:footnote w:type="continuationSeparator" w:id="0">
    <w:p w14:paraId="27F4E2B4" w14:textId="77777777" w:rsidR="009535A9" w:rsidRDefault="009535A9" w:rsidP="00E82B25">
      <w:pPr>
        <w:spacing w:after="0" w:line="240" w:lineRule="auto"/>
      </w:pPr>
      <w:r>
        <w:continuationSeparator/>
      </w:r>
    </w:p>
  </w:footnote>
  <w:footnote w:id="1">
    <w:p w14:paraId="6DDFADE5" w14:textId="3F5622FE" w:rsidR="00763096" w:rsidRPr="00763096" w:rsidRDefault="00763096" w:rsidP="009F4D69">
      <w:pPr>
        <w:pStyle w:val="Testonotaapidipagina"/>
        <w:jc w:val="both"/>
      </w:pPr>
      <w:r>
        <w:rPr>
          <w:rStyle w:val="Rimandonotaapidipagina"/>
        </w:rPr>
        <w:footnoteRef/>
      </w:r>
      <w:r>
        <w:t xml:space="preserve"> </w:t>
      </w:r>
      <w:r w:rsidR="009F4D69" w:rsidRPr="009F4D69">
        <w:rPr>
          <w:rFonts w:ascii="Arial" w:hAnsi="Arial" w:cs="Arial"/>
          <w:color w:val="000000"/>
        </w:rPr>
        <w:t>Contributors: G. Bellini p</w:t>
      </w:r>
      <w:r w:rsidRPr="009F4D69">
        <w:rPr>
          <w:rFonts w:ascii="Arial" w:hAnsi="Arial" w:cs="Arial"/>
          <w:color w:val="000000"/>
        </w:rPr>
        <w:t xml:space="preserve">aragraphs </w:t>
      </w:r>
      <w:r w:rsidR="009F4D69" w:rsidRPr="009F4D69">
        <w:rPr>
          <w:rFonts w:ascii="Arial" w:hAnsi="Arial" w:cs="Arial"/>
          <w:color w:val="000000"/>
        </w:rPr>
        <w:t>1.1, 2.4, 2.5, 2.6,2.8.2; F. Monetti paragraphs 1.2, 2.1, 2.2, 2.3, 2.7;  P. Papa paragraphs 1 (introduction), 2.8.1, 3.</w:t>
      </w:r>
    </w:p>
  </w:footnote>
  <w:footnote w:id="2">
    <w:p w14:paraId="2D299DB8" w14:textId="6C62AE71" w:rsidR="00F255F1" w:rsidRPr="00D409CB" w:rsidRDefault="00F255F1" w:rsidP="009F4D69">
      <w:pPr>
        <w:pStyle w:val="Testonotaapidipagina"/>
        <w:jc w:val="both"/>
      </w:pPr>
      <w:r>
        <w:rPr>
          <w:rStyle w:val="Rimandonotaapidipagina"/>
        </w:rPr>
        <w:footnoteRef/>
      </w:r>
      <w:r>
        <w:t xml:space="preserve"> </w:t>
      </w:r>
      <w:r w:rsidRPr="00E83152">
        <w:rPr>
          <w:rFonts w:ascii="Arial" w:hAnsi="Arial" w:cs="Arial"/>
          <w:color w:val="000000"/>
        </w:rPr>
        <w:t xml:space="preserve">In this </w:t>
      </w:r>
      <w:r w:rsidR="00A35438">
        <w:rPr>
          <w:rFonts w:ascii="Arial" w:hAnsi="Arial" w:cs="Arial"/>
          <w:color w:val="000000"/>
        </w:rPr>
        <w:t>document</w:t>
      </w:r>
      <w:r w:rsidR="00A35438" w:rsidRPr="00E83152">
        <w:rPr>
          <w:rFonts w:ascii="Arial" w:hAnsi="Arial" w:cs="Arial"/>
          <w:color w:val="000000"/>
        </w:rPr>
        <w:t xml:space="preserve"> </w:t>
      </w:r>
      <w:r w:rsidRPr="00E83152">
        <w:rPr>
          <w:rFonts w:ascii="Arial" w:hAnsi="Arial" w:cs="Arial"/>
          <w:i/>
          <w:color w:val="000000"/>
        </w:rPr>
        <w:t>rr</w:t>
      </w:r>
      <w:r w:rsidRPr="00E83152">
        <w:rPr>
          <w:rFonts w:ascii="Arial" w:hAnsi="Arial" w:cs="Arial"/>
          <w:color w:val="000000"/>
        </w:rPr>
        <w:t xml:space="preserve"> are calculated at the end of the data collection phase but before activating the procedures for integrating the missed responses, which may vary from survey to survey, and before making any </w:t>
      </w:r>
      <w:r>
        <w:rPr>
          <w:rFonts w:ascii="Arial" w:hAnsi="Arial" w:cs="Arial"/>
          <w:color w:val="000000"/>
        </w:rPr>
        <w:t>integration</w:t>
      </w:r>
      <w:r w:rsidRPr="00E83152">
        <w:rPr>
          <w:rFonts w:ascii="Arial" w:hAnsi="Arial" w:cs="Arial"/>
          <w:color w:val="000000"/>
        </w:rPr>
        <w:t xml:space="preserve"> with data from administrative sources.</w:t>
      </w:r>
    </w:p>
  </w:footnote>
  <w:footnote w:id="3">
    <w:p w14:paraId="7FE7531F" w14:textId="067C034E" w:rsidR="009535A9" w:rsidRPr="001509A9" w:rsidRDefault="009535A9" w:rsidP="00F255F1">
      <w:pPr>
        <w:jc w:val="both"/>
      </w:pPr>
      <w:r>
        <w:rPr>
          <w:rStyle w:val="Rimandonotaapidipagina"/>
        </w:rPr>
        <w:footnoteRef/>
      </w:r>
      <w:r>
        <w:t xml:space="preserve"> </w:t>
      </w:r>
      <w:r>
        <w:rPr>
          <w:rFonts w:ascii="Arial" w:hAnsi="Arial" w:cs="Arial"/>
          <w:color w:val="000000"/>
          <w:sz w:val="20"/>
          <w:szCs w:val="20"/>
        </w:rPr>
        <w:t xml:space="preserve">Community innovation survey (CIS), Statistics by product (Prodcom), Small and medium enterprise survey -SME (including </w:t>
      </w:r>
      <w:r w:rsidRPr="005C2393">
        <w:rPr>
          <w:rFonts w:ascii="Arial" w:hAnsi="Arial" w:cs="Arial"/>
          <w:color w:val="000000"/>
          <w:sz w:val="20"/>
          <w:szCs w:val="20"/>
        </w:rPr>
        <w:t>professional and artistic activities) (SBS), Survey on information and communication technology in enterprises (ICT), Survey on enterprise accounting system (SBS), Survey on Research and Development in enterprises (R&amp;D), Updating of the statistical register of economic units ASIA - Local units, Survey on the activities of foreign controlled enterprises resident in Italy (Inward Fats), Survey on abroad foreign affiliates activities controlled by Italy (Outward Fats)</w:t>
      </w:r>
      <w:r>
        <w:rPr>
          <w:rFonts w:ascii="Arial" w:hAnsi="Arial" w:cs="Arial"/>
          <w:color w:val="000000"/>
          <w:sz w:val="20"/>
          <w:szCs w:val="20"/>
        </w:rPr>
        <w:t>.</w:t>
      </w:r>
    </w:p>
  </w:footnote>
  <w:footnote w:id="4">
    <w:p w14:paraId="77F48185" w14:textId="49862064" w:rsidR="009535A9" w:rsidRPr="00654A88" w:rsidRDefault="009535A9" w:rsidP="00BE734E">
      <w:pPr>
        <w:pStyle w:val="Testonotaapidipagina"/>
        <w:jc w:val="both"/>
        <w:rPr>
          <w:rFonts w:ascii="Arial" w:hAnsi="Arial" w:cs="Arial"/>
          <w:lang w:val="en-US"/>
        </w:rPr>
      </w:pPr>
      <w:r w:rsidRPr="00654A88">
        <w:rPr>
          <w:rStyle w:val="Rimandonotaapidipagina"/>
          <w:rFonts w:ascii="Arial" w:hAnsi="Arial" w:cs="Arial"/>
        </w:rPr>
        <w:footnoteRef/>
      </w:r>
      <w:r w:rsidRPr="00654A88">
        <w:rPr>
          <w:rFonts w:ascii="Arial" w:hAnsi="Arial" w:cs="Arial"/>
        </w:rPr>
        <w:t xml:space="preserve"> </w:t>
      </w:r>
      <w:r w:rsidR="007723A4" w:rsidRPr="00654A88">
        <w:rPr>
          <w:rFonts w:ascii="Arial" w:hAnsi="Arial" w:cs="Arial"/>
        </w:rPr>
        <w:t>D</w:t>
      </w:r>
      <w:r w:rsidRPr="00654A88">
        <w:rPr>
          <w:rFonts w:ascii="Arial" w:hAnsi="Arial" w:cs="Arial"/>
        </w:rPr>
        <w:t xml:space="preserve">ata used to calculate the response rates in </w:t>
      </w:r>
      <w:r w:rsidR="007723A4" w:rsidRPr="00654A88">
        <w:rPr>
          <w:rFonts w:ascii="Arial" w:hAnsi="Arial" w:cs="Arial"/>
          <w:color w:val="000000" w:themeColor="text1"/>
        </w:rPr>
        <w:t>T</w:t>
      </w:r>
      <w:r w:rsidRPr="00654A88">
        <w:rPr>
          <w:rFonts w:ascii="Arial" w:hAnsi="Arial" w:cs="Arial"/>
          <w:color w:val="000000" w:themeColor="text1"/>
        </w:rPr>
        <w:t xml:space="preserve">ables 4 and 5 may </w:t>
      </w:r>
      <w:r w:rsidRPr="00654A88">
        <w:rPr>
          <w:rFonts w:ascii="Arial" w:hAnsi="Arial" w:cs="Arial"/>
        </w:rPr>
        <w:t xml:space="preserve">not coincide with those used for calculating the indicators transmitted to Eurostat and published at national level; due to the fact that even if there is a monthly deadline for sending the data, the enterprises can still provide the information throughout the month also referred to previous periods, in this case the data are used for the review of indicators. For example, the response rates calculated for the IPI survey near the </w:t>
      </w:r>
      <w:r w:rsidR="007723A4" w:rsidRPr="00654A88">
        <w:rPr>
          <w:rFonts w:ascii="Arial" w:hAnsi="Arial" w:cs="Arial"/>
        </w:rPr>
        <w:t>Press Release</w:t>
      </w:r>
      <w:r w:rsidRPr="00654A88">
        <w:rPr>
          <w:rFonts w:ascii="Arial" w:hAnsi="Arial" w:cs="Arial"/>
        </w:rPr>
        <w:t xml:space="preserve"> at national level for January 2016 and January 2018 is respectively equal to 67% and 81% with a positive variation of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9D0F" w14:textId="77777777" w:rsidR="009535A9" w:rsidRDefault="00294581">
    <w:pPr>
      <w:pStyle w:val="Intestazione"/>
    </w:pPr>
    <w:r>
      <w:rPr>
        <w:noProof/>
        <w:lang w:eastAsia="pl-PL"/>
      </w:rPr>
      <w:pict w14:anchorId="72CD0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C71A" w14:textId="77777777" w:rsidR="009535A9" w:rsidRDefault="00294581">
    <w:pPr>
      <w:pStyle w:val="Intestazione"/>
    </w:pPr>
    <w:r>
      <w:rPr>
        <w:noProof/>
        <w:lang w:eastAsia="pl-PL"/>
      </w:rPr>
      <w:pict w14:anchorId="3E23A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37.1pt;margin-top:-59.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8719" w14:textId="77777777" w:rsidR="009535A9" w:rsidRDefault="00294581">
    <w:pPr>
      <w:pStyle w:val="Intestazione"/>
    </w:pPr>
    <w:r>
      <w:rPr>
        <w:noProof/>
        <w:lang w:eastAsia="pl-PL"/>
      </w:rPr>
      <w:pict w14:anchorId="79F75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E3E"/>
    <w:multiLevelType w:val="hybridMultilevel"/>
    <w:tmpl w:val="79F40848"/>
    <w:lvl w:ilvl="0" w:tplc="04100001">
      <w:start w:val="25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FC4034"/>
    <w:multiLevelType w:val="hybridMultilevel"/>
    <w:tmpl w:val="94DE7E3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F332AD"/>
    <w:multiLevelType w:val="hybridMultilevel"/>
    <w:tmpl w:val="B9F8D044"/>
    <w:lvl w:ilvl="0" w:tplc="04100001">
      <w:start w:val="25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8265A3"/>
    <w:multiLevelType w:val="hybridMultilevel"/>
    <w:tmpl w:val="D07C9FC4"/>
    <w:lvl w:ilvl="0" w:tplc="46D4996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007994"/>
    <w:multiLevelType w:val="hybridMultilevel"/>
    <w:tmpl w:val="8E96B044"/>
    <w:lvl w:ilvl="0" w:tplc="04100001">
      <w:start w:val="25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87A52"/>
    <w:multiLevelType w:val="hybridMultilevel"/>
    <w:tmpl w:val="62BAD2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A768FD"/>
    <w:multiLevelType w:val="hybridMultilevel"/>
    <w:tmpl w:val="9A3EB23C"/>
    <w:lvl w:ilvl="0" w:tplc="46D4996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3E38BE"/>
    <w:multiLevelType w:val="hybridMultilevel"/>
    <w:tmpl w:val="FE9E8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964F1"/>
    <w:multiLevelType w:val="hybridMultilevel"/>
    <w:tmpl w:val="8D406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162F92"/>
    <w:multiLevelType w:val="hybridMultilevel"/>
    <w:tmpl w:val="7E12D5A2"/>
    <w:lvl w:ilvl="0" w:tplc="D01C7A26">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0" w15:restartNumberingAfterBreak="0">
    <w:nsid w:val="4C466326"/>
    <w:multiLevelType w:val="hybridMultilevel"/>
    <w:tmpl w:val="F84E7A3E"/>
    <w:lvl w:ilvl="0" w:tplc="3EA83C60">
      <w:start w:val="1"/>
      <w:numFmt w:val="bullet"/>
      <w:lvlText w:val=""/>
      <w:lvlJc w:val="left"/>
      <w:pPr>
        <w:tabs>
          <w:tab w:val="num" w:pos="720"/>
        </w:tabs>
        <w:ind w:left="720" w:hanging="360"/>
      </w:pPr>
      <w:rPr>
        <w:rFonts w:ascii="Wingdings" w:hAnsi="Wingdings" w:hint="default"/>
      </w:rPr>
    </w:lvl>
    <w:lvl w:ilvl="1" w:tplc="AC166A1C">
      <w:start w:val="1"/>
      <w:numFmt w:val="bullet"/>
      <w:lvlText w:val=""/>
      <w:lvlJc w:val="left"/>
      <w:pPr>
        <w:tabs>
          <w:tab w:val="num" w:pos="1440"/>
        </w:tabs>
        <w:ind w:left="1440" w:hanging="360"/>
      </w:pPr>
      <w:rPr>
        <w:rFonts w:ascii="Wingdings" w:hAnsi="Wingdings" w:hint="default"/>
      </w:rPr>
    </w:lvl>
    <w:lvl w:ilvl="2" w:tplc="444EC890" w:tentative="1">
      <w:start w:val="1"/>
      <w:numFmt w:val="bullet"/>
      <w:lvlText w:val=""/>
      <w:lvlJc w:val="left"/>
      <w:pPr>
        <w:tabs>
          <w:tab w:val="num" w:pos="2160"/>
        </w:tabs>
        <w:ind w:left="2160" w:hanging="360"/>
      </w:pPr>
      <w:rPr>
        <w:rFonts w:ascii="Wingdings" w:hAnsi="Wingdings" w:hint="default"/>
      </w:rPr>
    </w:lvl>
    <w:lvl w:ilvl="3" w:tplc="BBB0D698" w:tentative="1">
      <w:start w:val="1"/>
      <w:numFmt w:val="bullet"/>
      <w:lvlText w:val=""/>
      <w:lvlJc w:val="left"/>
      <w:pPr>
        <w:tabs>
          <w:tab w:val="num" w:pos="2880"/>
        </w:tabs>
        <w:ind w:left="2880" w:hanging="360"/>
      </w:pPr>
      <w:rPr>
        <w:rFonts w:ascii="Wingdings" w:hAnsi="Wingdings" w:hint="default"/>
      </w:rPr>
    </w:lvl>
    <w:lvl w:ilvl="4" w:tplc="14EE75A4" w:tentative="1">
      <w:start w:val="1"/>
      <w:numFmt w:val="bullet"/>
      <w:lvlText w:val=""/>
      <w:lvlJc w:val="left"/>
      <w:pPr>
        <w:tabs>
          <w:tab w:val="num" w:pos="3600"/>
        </w:tabs>
        <w:ind w:left="3600" w:hanging="360"/>
      </w:pPr>
      <w:rPr>
        <w:rFonts w:ascii="Wingdings" w:hAnsi="Wingdings" w:hint="default"/>
      </w:rPr>
    </w:lvl>
    <w:lvl w:ilvl="5" w:tplc="8DA473FE" w:tentative="1">
      <w:start w:val="1"/>
      <w:numFmt w:val="bullet"/>
      <w:lvlText w:val=""/>
      <w:lvlJc w:val="left"/>
      <w:pPr>
        <w:tabs>
          <w:tab w:val="num" w:pos="4320"/>
        </w:tabs>
        <w:ind w:left="4320" w:hanging="360"/>
      </w:pPr>
      <w:rPr>
        <w:rFonts w:ascii="Wingdings" w:hAnsi="Wingdings" w:hint="default"/>
      </w:rPr>
    </w:lvl>
    <w:lvl w:ilvl="6" w:tplc="54F2312A" w:tentative="1">
      <w:start w:val="1"/>
      <w:numFmt w:val="bullet"/>
      <w:lvlText w:val=""/>
      <w:lvlJc w:val="left"/>
      <w:pPr>
        <w:tabs>
          <w:tab w:val="num" w:pos="5040"/>
        </w:tabs>
        <w:ind w:left="5040" w:hanging="360"/>
      </w:pPr>
      <w:rPr>
        <w:rFonts w:ascii="Wingdings" w:hAnsi="Wingdings" w:hint="default"/>
      </w:rPr>
    </w:lvl>
    <w:lvl w:ilvl="7" w:tplc="87707BE6" w:tentative="1">
      <w:start w:val="1"/>
      <w:numFmt w:val="bullet"/>
      <w:lvlText w:val=""/>
      <w:lvlJc w:val="left"/>
      <w:pPr>
        <w:tabs>
          <w:tab w:val="num" w:pos="5760"/>
        </w:tabs>
        <w:ind w:left="5760" w:hanging="360"/>
      </w:pPr>
      <w:rPr>
        <w:rFonts w:ascii="Wingdings" w:hAnsi="Wingdings" w:hint="default"/>
      </w:rPr>
    </w:lvl>
    <w:lvl w:ilvl="8" w:tplc="99F4C3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616B5"/>
    <w:multiLevelType w:val="hybridMultilevel"/>
    <w:tmpl w:val="898AF998"/>
    <w:lvl w:ilvl="0" w:tplc="CEDEAC46">
      <w:start w:val="1"/>
      <w:numFmt w:val="bullet"/>
      <w:lvlText w:val=""/>
      <w:lvlJc w:val="left"/>
      <w:pPr>
        <w:tabs>
          <w:tab w:val="num" w:pos="720"/>
        </w:tabs>
        <w:ind w:left="720" w:hanging="360"/>
      </w:pPr>
      <w:rPr>
        <w:rFonts w:ascii="Wingdings" w:hAnsi="Wingdings" w:hint="default"/>
      </w:rPr>
    </w:lvl>
    <w:lvl w:ilvl="1" w:tplc="925EBE24">
      <w:start w:val="1"/>
      <w:numFmt w:val="bullet"/>
      <w:lvlText w:val=""/>
      <w:lvlJc w:val="left"/>
      <w:pPr>
        <w:tabs>
          <w:tab w:val="num" w:pos="1440"/>
        </w:tabs>
        <w:ind w:left="1440" w:hanging="360"/>
      </w:pPr>
      <w:rPr>
        <w:rFonts w:ascii="Wingdings" w:hAnsi="Wingdings" w:hint="default"/>
      </w:rPr>
    </w:lvl>
    <w:lvl w:ilvl="2" w:tplc="0784C482" w:tentative="1">
      <w:start w:val="1"/>
      <w:numFmt w:val="bullet"/>
      <w:lvlText w:val=""/>
      <w:lvlJc w:val="left"/>
      <w:pPr>
        <w:tabs>
          <w:tab w:val="num" w:pos="2160"/>
        </w:tabs>
        <w:ind w:left="2160" w:hanging="360"/>
      </w:pPr>
      <w:rPr>
        <w:rFonts w:ascii="Wingdings" w:hAnsi="Wingdings" w:hint="default"/>
      </w:rPr>
    </w:lvl>
    <w:lvl w:ilvl="3" w:tplc="2598AEF8" w:tentative="1">
      <w:start w:val="1"/>
      <w:numFmt w:val="bullet"/>
      <w:lvlText w:val=""/>
      <w:lvlJc w:val="left"/>
      <w:pPr>
        <w:tabs>
          <w:tab w:val="num" w:pos="2880"/>
        </w:tabs>
        <w:ind w:left="2880" w:hanging="360"/>
      </w:pPr>
      <w:rPr>
        <w:rFonts w:ascii="Wingdings" w:hAnsi="Wingdings" w:hint="default"/>
      </w:rPr>
    </w:lvl>
    <w:lvl w:ilvl="4" w:tplc="F5C8843E" w:tentative="1">
      <w:start w:val="1"/>
      <w:numFmt w:val="bullet"/>
      <w:lvlText w:val=""/>
      <w:lvlJc w:val="left"/>
      <w:pPr>
        <w:tabs>
          <w:tab w:val="num" w:pos="3600"/>
        </w:tabs>
        <w:ind w:left="3600" w:hanging="360"/>
      </w:pPr>
      <w:rPr>
        <w:rFonts w:ascii="Wingdings" w:hAnsi="Wingdings" w:hint="default"/>
      </w:rPr>
    </w:lvl>
    <w:lvl w:ilvl="5" w:tplc="C3FE6384" w:tentative="1">
      <w:start w:val="1"/>
      <w:numFmt w:val="bullet"/>
      <w:lvlText w:val=""/>
      <w:lvlJc w:val="left"/>
      <w:pPr>
        <w:tabs>
          <w:tab w:val="num" w:pos="4320"/>
        </w:tabs>
        <w:ind w:left="4320" w:hanging="360"/>
      </w:pPr>
      <w:rPr>
        <w:rFonts w:ascii="Wingdings" w:hAnsi="Wingdings" w:hint="default"/>
      </w:rPr>
    </w:lvl>
    <w:lvl w:ilvl="6" w:tplc="4D2AB56A" w:tentative="1">
      <w:start w:val="1"/>
      <w:numFmt w:val="bullet"/>
      <w:lvlText w:val=""/>
      <w:lvlJc w:val="left"/>
      <w:pPr>
        <w:tabs>
          <w:tab w:val="num" w:pos="5040"/>
        </w:tabs>
        <w:ind w:left="5040" w:hanging="360"/>
      </w:pPr>
      <w:rPr>
        <w:rFonts w:ascii="Wingdings" w:hAnsi="Wingdings" w:hint="default"/>
      </w:rPr>
    </w:lvl>
    <w:lvl w:ilvl="7" w:tplc="13DAE55E" w:tentative="1">
      <w:start w:val="1"/>
      <w:numFmt w:val="bullet"/>
      <w:lvlText w:val=""/>
      <w:lvlJc w:val="left"/>
      <w:pPr>
        <w:tabs>
          <w:tab w:val="num" w:pos="5760"/>
        </w:tabs>
        <w:ind w:left="5760" w:hanging="360"/>
      </w:pPr>
      <w:rPr>
        <w:rFonts w:ascii="Wingdings" w:hAnsi="Wingdings" w:hint="default"/>
      </w:rPr>
    </w:lvl>
    <w:lvl w:ilvl="8" w:tplc="FCE0E8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559C4"/>
    <w:multiLevelType w:val="multilevel"/>
    <w:tmpl w:val="0870283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5"/>
  </w:num>
  <w:num w:numId="4">
    <w:abstractNumId w:val="4"/>
  </w:num>
  <w:num w:numId="5">
    <w:abstractNumId w:val="2"/>
  </w:num>
  <w:num w:numId="6">
    <w:abstractNumId w:val="0"/>
  </w:num>
  <w:num w:numId="7">
    <w:abstractNumId w:val="8"/>
  </w:num>
  <w:num w:numId="8">
    <w:abstractNumId w:val="9"/>
  </w:num>
  <w:num w:numId="9">
    <w:abstractNumId w:val="6"/>
  </w:num>
  <w:num w:numId="10">
    <w:abstractNumId w:val="7"/>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proofState w:spelling="clean"/>
  <w:defaultTabStop w:val="709"/>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191E"/>
    <w:rsid w:val="00001E66"/>
    <w:rsid w:val="000037C7"/>
    <w:rsid w:val="00004762"/>
    <w:rsid w:val="00004B88"/>
    <w:rsid w:val="0000583D"/>
    <w:rsid w:val="00006205"/>
    <w:rsid w:val="000063D7"/>
    <w:rsid w:val="0000799F"/>
    <w:rsid w:val="000119BE"/>
    <w:rsid w:val="00014883"/>
    <w:rsid w:val="00016BE1"/>
    <w:rsid w:val="00021D14"/>
    <w:rsid w:val="000241EC"/>
    <w:rsid w:val="00026B6A"/>
    <w:rsid w:val="00026CD3"/>
    <w:rsid w:val="00030432"/>
    <w:rsid w:val="000307B1"/>
    <w:rsid w:val="00031A60"/>
    <w:rsid w:val="00032C6C"/>
    <w:rsid w:val="000362A1"/>
    <w:rsid w:val="00037571"/>
    <w:rsid w:val="00047C24"/>
    <w:rsid w:val="00053C71"/>
    <w:rsid w:val="00053F3E"/>
    <w:rsid w:val="000555BB"/>
    <w:rsid w:val="00062022"/>
    <w:rsid w:val="00070925"/>
    <w:rsid w:val="00070BAF"/>
    <w:rsid w:val="00070C8C"/>
    <w:rsid w:val="00070DFE"/>
    <w:rsid w:val="00075DB2"/>
    <w:rsid w:val="0007704A"/>
    <w:rsid w:val="00080519"/>
    <w:rsid w:val="00084DC3"/>
    <w:rsid w:val="000869B9"/>
    <w:rsid w:val="000902CA"/>
    <w:rsid w:val="00091036"/>
    <w:rsid w:val="00092396"/>
    <w:rsid w:val="0009398F"/>
    <w:rsid w:val="000957CC"/>
    <w:rsid w:val="00096A14"/>
    <w:rsid w:val="00097A22"/>
    <w:rsid w:val="000A2220"/>
    <w:rsid w:val="000A37FC"/>
    <w:rsid w:val="000B1EBA"/>
    <w:rsid w:val="000B2084"/>
    <w:rsid w:val="000B47B6"/>
    <w:rsid w:val="000B6C7F"/>
    <w:rsid w:val="000B6DDD"/>
    <w:rsid w:val="000C111A"/>
    <w:rsid w:val="000C6472"/>
    <w:rsid w:val="000D2C52"/>
    <w:rsid w:val="000D705A"/>
    <w:rsid w:val="000E297B"/>
    <w:rsid w:val="000F337F"/>
    <w:rsid w:val="00105460"/>
    <w:rsid w:val="00106BAE"/>
    <w:rsid w:val="001177B8"/>
    <w:rsid w:val="00117DD7"/>
    <w:rsid w:val="00122207"/>
    <w:rsid w:val="00123A73"/>
    <w:rsid w:val="00125F92"/>
    <w:rsid w:val="00131E27"/>
    <w:rsid w:val="00133E07"/>
    <w:rsid w:val="00136D7F"/>
    <w:rsid w:val="00137AF0"/>
    <w:rsid w:val="0014271A"/>
    <w:rsid w:val="00142A8D"/>
    <w:rsid w:val="00143B1B"/>
    <w:rsid w:val="001509A9"/>
    <w:rsid w:val="00157DAD"/>
    <w:rsid w:val="00160406"/>
    <w:rsid w:val="00166FEF"/>
    <w:rsid w:val="0016743D"/>
    <w:rsid w:val="00182357"/>
    <w:rsid w:val="0018686D"/>
    <w:rsid w:val="00194CC7"/>
    <w:rsid w:val="001A1965"/>
    <w:rsid w:val="001A6D95"/>
    <w:rsid w:val="001B1B6C"/>
    <w:rsid w:val="001B6350"/>
    <w:rsid w:val="001C2783"/>
    <w:rsid w:val="001C3D64"/>
    <w:rsid w:val="001C74ED"/>
    <w:rsid w:val="001D01AD"/>
    <w:rsid w:val="001D0D9F"/>
    <w:rsid w:val="001E3D7B"/>
    <w:rsid w:val="001E43DC"/>
    <w:rsid w:val="001E4E4D"/>
    <w:rsid w:val="001E7156"/>
    <w:rsid w:val="001F164E"/>
    <w:rsid w:val="001F4456"/>
    <w:rsid w:val="00203588"/>
    <w:rsid w:val="00204C55"/>
    <w:rsid w:val="002074E6"/>
    <w:rsid w:val="00212C5D"/>
    <w:rsid w:val="002133EA"/>
    <w:rsid w:val="00221F17"/>
    <w:rsid w:val="00222253"/>
    <w:rsid w:val="00233F52"/>
    <w:rsid w:val="00234927"/>
    <w:rsid w:val="0023623C"/>
    <w:rsid w:val="002405C3"/>
    <w:rsid w:val="0024074C"/>
    <w:rsid w:val="00241225"/>
    <w:rsid w:val="00241891"/>
    <w:rsid w:val="00242620"/>
    <w:rsid w:val="0024339B"/>
    <w:rsid w:val="00250A65"/>
    <w:rsid w:val="00261528"/>
    <w:rsid w:val="00264E94"/>
    <w:rsid w:val="00273457"/>
    <w:rsid w:val="00275FFA"/>
    <w:rsid w:val="002767FC"/>
    <w:rsid w:val="0028150C"/>
    <w:rsid w:val="00282A50"/>
    <w:rsid w:val="00282B53"/>
    <w:rsid w:val="00283717"/>
    <w:rsid w:val="002843AF"/>
    <w:rsid w:val="00293580"/>
    <w:rsid w:val="00294581"/>
    <w:rsid w:val="002947A9"/>
    <w:rsid w:val="0029580C"/>
    <w:rsid w:val="00297C3F"/>
    <w:rsid w:val="002A1055"/>
    <w:rsid w:val="002A3A6D"/>
    <w:rsid w:val="002A5306"/>
    <w:rsid w:val="002B4E5A"/>
    <w:rsid w:val="002B6D33"/>
    <w:rsid w:val="002B790E"/>
    <w:rsid w:val="002C137D"/>
    <w:rsid w:val="002C2121"/>
    <w:rsid w:val="002C53EF"/>
    <w:rsid w:val="002D0AC4"/>
    <w:rsid w:val="002E25CC"/>
    <w:rsid w:val="002F1336"/>
    <w:rsid w:val="002F776F"/>
    <w:rsid w:val="00300588"/>
    <w:rsid w:val="003012F6"/>
    <w:rsid w:val="00302A40"/>
    <w:rsid w:val="0030786D"/>
    <w:rsid w:val="00321C21"/>
    <w:rsid w:val="003319A6"/>
    <w:rsid w:val="00331D54"/>
    <w:rsid w:val="003331FC"/>
    <w:rsid w:val="00336E21"/>
    <w:rsid w:val="00340C3B"/>
    <w:rsid w:val="00344EA5"/>
    <w:rsid w:val="0035694D"/>
    <w:rsid w:val="00362815"/>
    <w:rsid w:val="00362D21"/>
    <w:rsid w:val="003654C8"/>
    <w:rsid w:val="003717A4"/>
    <w:rsid w:val="00375596"/>
    <w:rsid w:val="00383137"/>
    <w:rsid w:val="00383DBF"/>
    <w:rsid w:val="00387827"/>
    <w:rsid w:val="003A0C6F"/>
    <w:rsid w:val="003A1D16"/>
    <w:rsid w:val="003A663F"/>
    <w:rsid w:val="003B0A9E"/>
    <w:rsid w:val="003B2E4E"/>
    <w:rsid w:val="003B3263"/>
    <w:rsid w:val="003B33B7"/>
    <w:rsid w:val="003B7E17"/>
    <w:rsid w:val="003C01CF"/>
    <w:rsid w:val="003C1D17"/>
    <w:rsid w:val="003C65D8"/>
    <w:rsid w:val="003D2862"/>
    <w:rsid w:val="003E5CD8"/>
    <w:rsid w:val="003F5FE6"/>
    <w:rsid w:val="003F79A8"/>
    <w:rsid w:val="0040130F"/>
    <w:rsid w:val="00401E39"/>
    <w:rsid w:val="00405418"/>
    <w:rsid w:val="004056F2"/>
    <w:rsid w:val="00414B8A"/>
    <w:rsid w:val="004150F5"/>
    <w:rsid w:val="004267DC"/>
    <w:rsid w:val="004338A6"/>
    <w:rsid w:val="004369EA"/>
    <w:rsid w:val="0044622A"/>
    <w:rsid w:val="0044715A"/>
    <w:rsid w:val="004577B0"/>
    <w:rsid w:val="0046220E"/>
    <w:rsid w:val="0046662C"/>
    <w:rsid w:val="00466D05"/>
    <w:rsid w:val="0046700A"/>
    <w:rsid w:val="0047154E"/>
    <w:rsid w:val="004732A5"/>
    <w:rsid w:val="004740F1"/>
    <w:rsid w:val="00474761"/>
    <w:rsid w:val="004757BB"/>
    <w:rsid w:val="00481BA4"/>
    <w:rsid w:val="00481BCF"/>
    <w:rsid w:val="00486FE6"/>
    <w:rsid w:val="0048726D"/>
    <w:rsid w:val="0048747D"/>
    <w:rsid w:val="00491B79"/>
    <w:rsid w:val="00493026"/>
    <w:rsid w:val="00493556"/>
    <w:rsid w:val="004A12A7"/>
    <w:rsid w:val="004A1A99"/>
    <w:rsid w:val="004A5D55"/>
    <w:rsid w:val="004B39C1"/>
    <w:rsid w:val="004B436C"/>
    <w:rsid w:val="004B6729"/>
    <w:rsid w:val="004C0355"/>
    <w:rsid w:val="004C3AC2"/>
    <w:rsid w:val="004C5048"/>
    <w:rsid w:val="004C5989"/>
    <w:rsid w:val="004D3B3D"/>
    <w:rsid w:val="004D6399"/>
    <w:rsid w:val="004E0EC0"/>
    <w:rsid w:val="004E5BC1"/>
    <w:rsid w:val="004F04B4"/>
    <w:rsid w:val="004F0E36"/>
    <w:rsid w:val="004F16C2"/>
    <w:rsid w:val="004F24E5"/>
    <w:rsid w:val="004F3CD2"/>
    <w:rsid w:val="005006F9"/>
    <w:rsid w:val="005032E1"/>
    <w:rsid w:val="005039C3"/>
    <w:rsid w:val="00505984"/>
    <w:rsid w:val="005078FE"/>
    <w:rsid w:val="00514E1D"/>
    <w:rsid w:val="00514FDB"/>
    <w:rsid w:val="00520BC6"/>
    <w:rsid w:val="00521371"/>
    <w:rsid w:val="005215E8"/>
    <w:rsid w:val="0052480F"/>
    <w:rsid w:val="00525F0F"/>
    <w:rsid w:val="00530FD6"/>
    <w:rsid w:val="00534874"/>
    <w:rsid w:val="005353B9"/>
    <w:rsid w:val="00540492"/>
    <w:rsid w:val="00540AF7"/>
    <w:rsid w:val="00543B41"/>
    <w:rsid w:val="00545B69"/>
    <w:rsid w:val="005471C6"/>
    <w:rsid w:val="0055190A"/>
    <w:rsid w:val="005524D0"/>
    <w:rsid w:val="005524F8"/>
    <w:rsid w:val="00553BEA"/>
    <w:rsid w:val="005555B7"/>
    <w:rsid w:val="00566619"/>
    <w:rsid w:val="0057090C"/>
    <w:rsid w:val="00571CC4"/>
    <w:rsid w:val="00572E98"/>
    <w:rsid w:val="005812C5"/>
    <w:rsid w:val="00581A67"/>
    <w:rsid w:val="00581EBF"/>
    <w:rsid w:val="00582669"/>
    <w:rsid w:val="0059059A"/>
    <w:rsid w:val="00592129"/>
    <w:rsid w:val="005940D2"/>
    <w:rsid w:val="00596047"/>
    <w:rsid w:val="005A1F57"/>
    <w:rsid w:val="005A1FB7"/>
    <w:rsid w:val="005A4B3F"/>
    <w:rsid w:val="005B2B23"/>
    <w:rsid w:val="005B6971"/>
    <w:rsid w:val="005C2BBC"/>
    <w:rsid w:val="005C321A"/>
    <w:rsid w:val="005D2521"/>
    <w:rsid w:val="005E181A"/>
    <w:rsid w:val="005F0D06"/>
    <w:rsid w:val="005F17F9"/>
    <w:rsid w:val="005F1D77"/>
    <w:rsid w:val="005F5712"/>
    <w:rsid w:val="005F6A7D"/>
    <w:rsid w:val="00601208"/>
    <w:rsid w:val="006052BF"/>
    <w:rsid w:val="00611773"/>
    <w:rsid w:val="006151D2"/>
    <w:rsid w:val="006168B4"/>
    <w:rsid w:val="00621180"/>
    <w:rsid w:val="0062223A"/>
    <w:rsid w:val="00623317"/>
    <w:rsid w:val="00623A54"/>
    <w:rsid w:val="00626F74"/>
    <w:rsid w:val="00630A06"/>
    <w:rsid w:val="00641B6F"/>
    <w:rsid w:val="006425EC"/>
    <w:rsid w:val="00644AAE"/>
    <w:rsid w:val="006469F5"/>
    <w:rsid w:val="00650165"/>
    <w:rsid w:val="00650715"/>
    <w:rsid w:val="00653D6C"/>
    <w:rsid w:val="00654A88"/>
    <w:rsid w:val="006569FB"/>
    <w:rsid w:val="00661968"/>
    <w:rsid w:val="00666321"/>
    <w:rsid w:val="00667788"/>
    <w:rsid w:val="006708E9"/>
    <w:rsid w:val="006718FC"/>
    <w:rsid w:val="006727D1"/>
    <w:rsid w:val="00673D3C"/>
    <w:rsid w:val="00674683"/>
    <w:rsid w:val="00674AC2"/>
    <w:rsid w:val="006820F8"/>
    <w:rsid w:val="0068397E"/>
    <w:rsid w:val="0069009D"/>
    <w:rsid w:val="00697934"/>
    <w:rsid w:val="006A1DB5"/>
    <w:rsid w:val="006A28E9"/>
    <w:rsid w:val="006A4A2D"/>
    <w:rsid w:val="006A4F28"/>
    <w:rsid w:val="006B38C0"/>
    <w:rsid w:val="006B4584"/>
    <w:rsid w:val="006B5A4A"/>
    <w:rsid w:val="006B5D0E"/>
    <w:rsid w:val="006C02DF"/>
    <w:rsid w:val="006C0A7C"/>
    <w:rsid w:val="006C13F5"/>
    <w:rsid w:val="006C399D"/>
    <w:rsid w:val="006C5879"/>
    <w:rsid w:val="006C69AC"/>
    <w:rsid w:val="006D036A"/>
    <w:rsid w:val="006D2D81"/>
    <w:rsid w:val="006E1944"/>
    <w:rsid w:val="006E1ADC"/>
    <w:rsid w:val="006E1B47"/>
    <w:rsid w:val="006E3B56"/>
    <w:rsid w:val="006E6B34"/>
    <w:rsid w:val="006E7162"/>
    <w:rsid w:val="006F3091"/>
    <w:rsid w:val="006F6439"/>
    <w:rsid w:val="006F6C7E"/>
    <w:rsid w:val="006F7B00"/>
    <w:rsid w:val="00700DCA"/>
    <w:rsid w:val="00702192"/>
    <w:rsid w:val="00702FE8"/>
    <w:rsid w:val="00704352"/>
    <w:rsid w:val="00704DB3"/>
    <w:rsid w:val="00706935"/>
    <w:rsid w:val="0072406A"/>
    <w:rsid w:val="007405B1"/>
    <w:rsid w:val="007435AF"/>
    <w:rsid w:val="007464CE"/>
    <w:rsid w:val="00751404"/>
    <w:rsid w:val="00754393"/>
    <w:rsid w:val="0075782B"/>
    <w:rsid w:val="00763096"/>
    <w:rsid w:val="00763696"/>
    <w:rsid w:val="007723A4"/>
    <w:rsid w:val="007730C4"/>
    <w:rsid w:val="00776C97"/>
    <w:rsid w:val="00782981"/>
    <w:rsid w:val="00782E0C"/>
    <w:rsid w:val="00783FDA"/>
    <w:rsid w:val="007852EA"/>
    <w:rsid w:val="007854BE"/>
    <w:rsid w:val="00787688"/>
    <w:rsid w:val="00794AF7"/>
    <w:rsid w:val="00794DD7"/>
    <w:rsid w:val="007A027D"/>
    <w:rsid w:val="007A3416"/>
    <w:rsid w:val="007A37DD"/>
    <w:rsid w:val="007B56DA"/>
    <w:rsid w:val="007C6BC3"/>
    <w:rsid w:val="007D05B4"/>
    <w:rsid w:val="007D104E"/>
    <w:rsid w:val="007D2BA7"/>
    <w:rsid w:val="007D4AF0"/>
    <w:rsid w:val="007D6270"/>
    <w:rsid w:val="007D6BB5"/>
    <w:rsid w:val="007D6D81"/>
    <w:rsid w:val="007E46E7"/>
    <w:rsid w:val="007E6D8C"/>
    <w:rsid w:val="007E7E02"/>
    <w:rsid w:val="007F22CE"/>
    <w:rsid w:val="007F44BA"/>
    <w:rsid w:val="007F4613"/>
    <w:rsid w:val="007F4855"/>
    <w:rsid w:val="00803085"/>
    <w:rsid w:val="008076A2"/>
    <w:rsid w:val="0082373C"/>
    <w:rsid w:val="0082375B"/>
    <w:rsid w:val="00831C41"/>
    <w:rsid w:val="00835382"/>
    <w:rsid w:val="008427E9"/>
    <w:rsid w:val="00843A66"/>
    <w:rsid w:val="00851A41"/>
    <w:rsid w:val="00851E89"/>
    <w:rsid w:val="0086563B"/>
    <w:rsid w:val="00867B2C"/>
    <w:rsid w:val="00871BA9"/>
    <w:rsid w:val="00872179"/>
    <w:rsid w:val="00872E73"/>
    <w:rsid w:val="00873330"/>
    <w:rsid w:val="00881C7D"/>
    <w:rsid w:val="00881DDD"/>
    <w:rsid w:val="00883326"/>
    <w:rsid w:val="00884610"/>
    <w:rsid w:val="0089424E"/>
    <w:rsid w:val="0089496B"/>
    <w:rsid w:val="00895326"/>
    <w:rsid w:val="00895658"/>
    <w:rsid w:val="008A0136"/>
    <w:rsid w:val="008A43E4"/>
    <w:rsid w:val="008A4A15"/>
    <w:rsid w:val="008A4EC6"/>
    <w:rsid w:val="008A71D2"/>
    <w:rsid w:val="008A782D"/>
    <w:rsid w:val="008A7B01"/>
    <w:rsid w:val="008B0935"/>
    <w:rsid w:val="008B1953"/>
    <w:rsid w:val="008B5AD9"/>
    <w:rsid w:val="008C1A5C"/>
    <w:rsid w:val="008C3D25"/>
    <w:rsid w:val="008C5892"/>
    <w:rsid w:val="008D031A"/>
    <w:rsid w:val="008D56E1"/>
    <w:rsid w:val="008D6094"/>
    <w:rsid w:val="008D64BA"/>
    <w:rsid w:val="008E41DC"/>
    <w:rsid w:val="008F069A"/>
    <w:rsid w:val="008F4CC5"/>
    <w:rsid w:val="00902A7F"/>
    <w:rsid w:val="00902A8C"/>
    <w:rsid w:val="00903C1E"/>
    <w:rsid w:val="0091017C"/>
    <w:rsid w:val="00921521"/>
    <w:rsid w:val="009231F9"/>
    <w:rsid w:val="009237CD"/>
    <w:rsid w:val="0092443A"/>
    <w:rsid w:val="00931917"/>
    <w:rsid w:val="0093380B"/>
    <w:rsid w:val="00935F2C"/>
    <w:rsid w:val="009378F5"/>
    <w:rsid w:val="00942A6D"/>
    <w:rsid w:val="00944746"/>
    <w:rsid w:val="00950401"/>
    <w:rsid w:val="009528DD"/>
    <w:rsid w:val="009535A9"/>
    <w:rsid w:val="00960591"/>
    <w:rsid w:val="0096747C"/>
    <w:rsid w:val="009719F1"/>
    <w:rsid w:val="00973102"/>
    <w:rsid w:val="00973B8D"/>
    <w:rsid w:val="00976C17"/>
    <w:rsid w:val="009811E7"/>
    <w:rsid w:val="00981BAA"/>
    <w:rsid w:val="0098377F"/>
    <w:rsid w:val="009846E1"/>
    <w:rsid w:val="0099080D"/>
    <w:rsid w:val="009925C3"/>
    <w:rsid w:val="009936E9"/>
    <w:rsid w:val="00994ECE"/>
    <w:rsid w:val="009959BF"/>
    <w:rsid w:val="0099662A"/>
    <w:rsid w:val="00996FDA"/>
    <w:rsid w:val="00997AC4"/>
    <w:rsid w:val="009A57B2"/>
    <w:rsid w:val="009B40A1"/>
    <w:rsid w:val="009C1565"/>
    <w:rsid w:val="009C1B90"/>
    <w:rsid w:val="009C3C34"/>
    <w:rsid w:val="009C599B"/>
    <w:rsid w:val="009C6B6A"/>
    <w:rsid w:val="009D4201"/>
    <w:rsid w:val="009D7033"/>
    <w:rsid w:val="009D7677"/>
    <w:rsid w:val="009F4D69"/>
    <w:rsid w:val="00A0164B"/>
    <w:rsid w:val="00A02136"/>
    <w:rsid w:val="00A03611"/>
    <w:rsid w:val="00A04A1F"/>
    <w:rsid w:val="00A05629"/>
    <w:rsid w:val="00A10322"/>
    <w:rsid w:val="00A11489"/>
    <w:rsid w:val="00A20F23"/>
    <w:rsid w:val="00A2301D"/>
    <w:rsid w:val="00A23816"/>
    <w:rsid w:val="00A328E9"/>
    <w:rsid w:val="00A35438"/>
    <w:rsid w:val="00A37C96"/>
    <w:rsid w:val="00A41E14"/>
    <w:rsid w:val="00A42F3F"/>
    <w:rsid w:val="00A446E4"/>
    <w:rsid w:val="00A454B6"/>
    <w:rsid w:val="00A50874"/>
    <w:rsid w:val="00A529BB"/>
    <w:rsid w:val="00A531F2"/>
    <w:rsid w:val="00A53434"/>
    <w:rsid w:val="00A6013E"/>
    <w:rsid w:val="00A64293"/>
    <w:rsid w:val="00A64BB1"/>
    <w:rsid w:val="00A70164"/>
    <w:rsid w:val="00A72A28"/>
    <w:rsid w:val="00A730FA"/>
    <w:rsid w:val="00A74CF5"/>
    <w:rsid w:val="00A75282"/>
    <w:rsid w:val="00A77ADB"/>
    <w:rsid w:val="00A84BAF"/>
    <w:rsid w:val="00A86808"/>
    <w:rsid w:val="00A87676"/>
    <w:rsid w:val="00A87BF5"/>
    <w:rsid w:val="00A926DE"/>
    <w:rsid w:val="00A96E56"/>
    <w:rsid w:val="00AA33AA"/>
    <w:rsid w:val="00AA5C3E"/>
    <w:rsid w:val="00AB44B2"/>
    <w:rsid w:val="00AD06B2"/>
    <w:rsid w:val="00AD1423"/>
    <w:rsid w:val="00AD15F8"/>
    <w:rsid w:val="00AD2345"/>
    <w:rsid w:val="00AD2465"/>
    <w:rsid w:val="00AD4A5C"/>
    <w:rsid w:val="00AD4AEE"/>
    <w:rsid w:val="00AD6BEA"/>
    <w:rsid w:val="00AE3D89"/>
    <w:rsid w:val="00AE48D7"/>
    <w:rsid w:val="00AF3C74"/>
    <w:rsid w:val="00AF3E61"/>
    <w:rsid w:val="00AF5725"/>
    <w:rsid w:val="00AF6D1D"/>
    <w:rsid w:val="00B0190F"/>
    <w:rsid w:val="00B07B9B"/>
    <w:rsid w:val="00B1176A"/>
    <w:rsid w:val="00B3147A"/>
    <w:rsid w:val="00B32D9C"/>
    <w:rsid w:val="00B33217"/>
    <w:rsid w:val="00B339DF"/>
    <w:rsid w:val="00B35F59"/>
    <w:rsid w:val="00B41B28"/>
    <w:rsid w:val="00B455CB"/>
    <w:rsid w:val="00B46836"/>
    <w:rsid w:val="00B47197"/>
    <w:rsid w:val="00B4785A"/>
    <w:rsid w:val="00B47C04"/>
    <w:rsid w:val="00B610D7"/>
    <w:rsid w:val="00B65803"/>
    <w:rsid w:val="00B71B0E"/>
    <w:rsid w:val="00B72169"/>
    <w:rsid w:val="00B74218"/>
    <w:rsid w:val="00B77895"/>
    <w:rsid w:val="00B77A7F"/>
    <w:rsid w:val="00B86FC7"/>
    <w:rsid w:val="00B8728F"/>
    <w:rsid w:val="00B912C3"/>
    <w:rsid w:val="00B9407D"/>
    <w:rsid w:val="00B97415"/>
    <w:rsid w:val="00BA2A7D"/>
    <w:rsid w:val="00BB19AC"/>
    <w:rsid w:val="00BC13AE"/>
    <w:rsid w:val="00BC15E2"/>
    <w:rsid w:val="00BC2396"/>
    <w:rsid w:val="00BC26CE"/>
    <w:rsid w:val="00BD4309"/>
    <w:rsid w:val="00BD525C"/>
    <w:rsid w:val="00BE151A"/>
    <w:rsid w:val="00BE734E"/>
    <w:rsid w:val="00BF62E2"/>
    <w:rsid w:val="00BF6CA0"/>
    <w:rsid w:val="00BF6DBC"/>
    <w:rsid w:val="00C16E8E"/>
    <w:rsid w:val="00C22E20"/>
    <w:rsid w:val="00C261EA"/>
    <w:rsid w:val="00C264D3"/>
    <w:rsid w:val="00C273A2"/>
    <w:rsid w:val="00C338B7"/>
    <w:rsid w:val="00C33D74"/>
    <w:rsid w:val="00C40213"/>
    <w:rsid w:val="00C407BD"/>
    <w:rsid w:val="00C4363D"/>
    <w:rsid w:val="00C444A7"/>
    <w:rsid w:val="00C45F51"/>
    <w:rsid w:val="00C47661"/>
    <w:rsid w:val="00C52692"/>
    <w:rsid w:val="00C55909"/>
    <w:rsid w:val="00C5770C"/>
    <w:rsid w:val="00C577BE"/>
    <w:rsid w:val="00C62D02"/>
    <w:rsid w:val="00C65A28"/>
    <w:rsid w:val="00C66EBF"/>
    <w:rsid w:val="00C70EE3"/>
    <w:rsid w:val="00C726EA"/>
    <w:rsid w:val="00C74A1D"/>
    <w:rsid w:val="00C81520"/>
    <w:rsid w:val="00C83F68"/>
    <w:rsid w:val="00C84D2E"/>
    <w:rsid w:val="00C87E34"/>
    <w:rsid w:val="00C90029"/>
    <w:rsid w:val="00C97AFA"/>
    <w:rsid w:val="00CA047F"/>
    <w:rsid w:val="00CA5484"/>
    <w:rsid w:val="00CA7A14"/>
    <w:rsid w:val="00CB0F1D"/>
    <w:rsid w:val="00CB0F6B"/>
    <w:rsid w:val="00CB1176"/>
    <w:rsid w:val="00CB2B44"/>
    <w:rsid w:val="00CB33DD"/>
    <w:rsid w:val="00CB4074"/>
    <w:rsid w:val="00CB7A00"/>
    <w:rsid w:val="00CC08A5"/>
    <w:rsid w:val="00CC150C"/>
    <w:rsid w:val="00CC1C1D"/>
    <w:rsid w:val="00CD7B68"/>
    <w:rsid w:val="00CE624E"/>
    <w:rsid w:val="00CE791F"/>
    <w:rsid w:val="00CF33AD"/>
    <w:rsid w:val="00CF656A"/>
    <w:rsid w:val="00D010ED"/>
    <w:rsid w:val="00D0258C"/>
    <w:rsid w:val="00D0270E"/>
    <w:rsid w:val="00D069AB"/>
    <w:rsid w:val="00D069BE"/>
    <w:rsid w:val="00D20550"/>
    <w:rsid w:val="00D23853"/>
    <w:rsid w:val="00D27EDB"/>
    <w:rsid w:val="00D3638C"/>
    <w:rsid w:val="00D409CB"/>
    <w:rsid w:val="00D411D8"/>
    <w:rsid w:val="00D4730A"/>
    <w:rsid w:val="00D52194"/>
    <w:rsid w:val="00D536EA"/>
    <w:rsid w:val="00D54CDF"/>
    <w:rsid w:val="00D54F2E"/>
    <w:rsid w:val="00D63E75"/>
    <w:rsid w:val="00D6404C"/>
    <w:rsid w:val="00D64A0C"/>
    <w:rsid w:val="00D65C24"/>
    <w:rsid w:val="00D67148"/>
    <w:rsid w:val="00D74930"/>
    <w:rsid w:val="00D75E86"/>
    <w:rsid w:val="00D915DA"/>
    <w:rsid w:val="00D93B63"/>
    <w:rsid w:val="00D9524B"/>
    <w:rsid w:val="00DA1EE5"/>
    <w:rsid w:val="00DA362F"/>
    <w:rsid w:val="00DA5B2C"/>
    <w:rsid w:val="00DA6655"/>
    <w:rsid w:val="00DA709C"/>
    <w:rsid w:val="00DA74F6"/>
    <w:rsid w:val="00DB2DB0"/>
    <w:rsid w:val="00DB41AF"/>
    <w:rsid w:val="00DB4263"/>
    <w:rsid w:val="00DC0D94"/>
    <w:rsid w:val="00DC2C7B"/>
    <w:rsid w:val="00DC4126"/>
    <w:rsid w:val="00DC5033"/>
    <w:rsid w:val="00DC5521"/>
    <w:rsid w:val="00DC7E84"/>
    <w:rsid w:val="00DD1BE6"/>
    <w:rsid w:val="00DD3254"/>
    <w:rsid w:val="00DD4526"/>
    <w:rsid w:val="00DD4977"/>
    <w:rsid w:val="00DE01B4"/>
    <w:rsid w:val="00DE236D"/>
    <w:rsid w:val="00DE6A0D"/>
    <w:rsid w:val="00DF27A8"/>
    <w:rsid w:val="00DF3962"/>
    <w:rsid w:val="00DF46DF"/>
    <w:rsid w:val="00DF58DA"/>
    <w:rsid w:val="00DF6779"/>
    <w:rsid w:val="00DF7811"/>
    <w:rsid w:val="00E00586"/>
    <w:rsid w:val="00E04084"/>
    <w:rsid w:val="00E06362"/>
    <w:rsid w:val="00E06441"/>
    <w:rsid w:val="00E11530"/>
    <w:rsid w:val="00E138F8"/>
    <w:rsid w:val="00E213BA"/>
    <w:rsid w:val="00E256CC"/>
    <w:rsid w:val="00E261EB"/>
    <w:rsid w:val="00E304B0"/>
    <w:rsid w:val="00E4583C"/>
    <w:rsid w:val="00E530EA"/>
    <w:rsid w:val="00E7131D"/>
    <w:rsid w:val="00E71BEE"/>
    <w:rsid w:val="00E7228E"/>
    <w:rsid w:val="00E759B7"/>
    <w:rsid w:val="00E82B25"/>
    <w:rsid w:val="00E83152"/>
    <w:rsid w:val="00E840CC"/>
    <w:rsid w:val="00E92831"/>
    <w:rsid w:val="00E9313B"/>
    <w:rsid w:val="00EB0CE6"/>
    <w:rsid w:val="00EB55DD"/>
    <w:rsid w:val="00EB7A63"/>
    <w:rsid w:val="00EC5F5A"/>
    <w:rsid w:val="00ED5F8B"/>
    <w:rsid w:val="00EE1BD5"/>
    <w:rsid w:val="00EE2631"/>
    <w:rsid w:val="00EE4A70"/>
    <w:rsid w:val="00EF3FA7"/>
    <w:rsid w:val="00EF7E9D"/>
    <w:rsid w:val="00F017C5"/>
    <w:rsid w:val="00F025E9"/>
    <w:rsid w:val="00F11190"/>
    <w:rsid w:val="00F113FD"/>
    <w:rsid w:val="00F255F1"/>
    <w:rsid w:val="00F26AFC"/>
    <w:rsid w:val="00F27191"/>
    <w:rsid w:val="00F30C27"/>
    <w:rsid w:val="00F444CA"/>
    <w:rsid w:val="00F51570"/>
    <w:rsid w:val="00F54B81"/>
    <w:rsid w:val="00F616A6"/>
    <w:rsid w:val="00F62757"/>
    <w:rsid w:val="00F642AE"/>
    <w:rsid w:val="00F642E3"/>
    <w:rsid w:val="00F70F4A"/>
    <w:rsid w:val="00F73766"/>
    <w:rsid w:val="00F74EA2"/>
    <w:rsid w:val="00F75B25"/>
    <w:rsid w:val="00F946F7"/>
    <w:rsid w:val="00F94866"/>
    <w:rsid w:val="00F97EA9"/>
    <w:rsid w:val="00FA57E2"/>
    <w:rsid w:val="00FA723C"/>
    <w:rsid w:val="00FB165E"/>
    <w:rsid w:val="00FB4E7C"/>
    <w:rsid w:val="00FC2097"/>
    <w:rsid w:val="00FC2EDF"/>
    <w:rsid w:val="00FC7CCA"/>
    <w:rsid w:val="00FD20E4"/>
    <w:rsid w:val="00FD7069"/>
    <w:rsid w:val="00FE369C"/>
    <w:rsid w:val="00FE4C62"/>
    <w:rsid w:val="00FE6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69DFC3F"/>
  <w15:docId w15:val="{94303098-ED8A-40FB-8A14-F7A3C20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261528"/>
    <w:pPr>
      <w:ind w:left="720"/>
      <w:contextualSpacing/>
    </w:pPr>
  </w:style>
  <w:style w:type="paragraph" w:styleId="NormaleWeb">
    <w:name w:val="Normal (Web)"/>
    <w:basedOn w:val="Normale"/>
    <w:uiPriority w:val="99"/>
    <w:unhideWhenUsed/>
    <w:rsid w:val="008E41D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706935"/>
    <w:pPr>
      <w:autoSpaceDE w:val="0"/>
      <w:autoSpaceDN w:val="0"/>
      <w:adjustRightInd w:val="0"/>
      <w:spacing w:after="0" w:line="240" w:lineRule="auto"/>
    </w:pPr>
    <w:rPr>
      <w:rFonts w:ascii="Calibri" w:hAnsi="Calibri" w:cs="Calibri"/>
      <w:color w:val="000000"/>
      <w:sz w:val="24"/>
      <w:szCs w:val="24"/>
      <w:lang w:val="it-IT"/>
    </w:rPr>
  </w:style>
  <w:style w:type="paragraph" w:customStyle="1" w:styleId="Pa0">
    <w:name w:val="Pa0"/>
    <w:basedOn w:val="Default"/>
    <w:next w:val="Default"/>
    <w:uiPriority w:val="99"/>
    <w:rsid w:val="0029580C"/>
    <w:pPr>
      <w:spacing w:line="241" w:lineRule="atLeast"/>
    </w:pPr>
    <w:rPr>
      <w:rFonts w:ascii="JOQOT O+ DIN" w:hAnsi="JOQOT O+ DIN" w:cstheme="minorBidi"/>
      <w:color w:val="auto"/>
    </w:rPr>
  </w:style>
  <w:style w:type="character" w:customStyle="1" w:styleId="A0">
    <w:name w:val="A0"/>
    <w:uiPriority w:val="99"/>
    <w:rsid w:val="0029580C"/>
    <w:rPr>
      <w:rFonts w:cs="JOQOT O+ DIN"/>
      <w:color w:val="000000"/>
      <w:sz w:val="20"/>
      <w:szCs w:val="20"/>
    </w:rPr>
  </w:style>
  <w:style w:type="paragraph" w:styleId="PreformattatoHTML">
    <w:name w:val="HTML Preformatted"/>
    <w:basedOn w:val="Normale"/>
    <w:link w:val="PreformattatoHTMLCarattere"/>
    <w:uiPriority w:val="99"/>
    <w:unhideWhenUsed/>
    <w:rsid w:val="0016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166FEF"/>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397">
      <w:bodyDiv w:val="1"/>
      <w:marLeft w:val="0"/>
      <w:marRight w:val="0"/>
      <w:marTop w:val="0"/>
      <w:marBottom w:val="0"/>
      <w:divBdr>
        <w:top w:val="none" w:sz="0" w:space="0" w:color="auto"/>
        <w:left w:val="none" w:sz="0" w:space="0" w:color="auto"/>
        <w:bottom w:val="none" w:sz="0" w:space="0" w:color="auto"/>
        <w:right w:val="none" w:sz="0" w:space="0" w:color="auto"/>
      </w:divBdr>
    </w:div>
    <w:div w:id="91123960">
      <w:bodyDiv w:val="1"/>
      <w:marLeft w:val="0"/>
      <w:marRight w:val="0"/>
      <w:marTop w:val="0"/>
      <w:marBottom w:val="0"/>
      <w:divBdr>
        <w:top w:val="none" w:sz="0" w:space="0" w:color="auto"/>
        <w:left w:val="none" w:sz="0" w:space="0" w:color="auto"/>
        <w:bottom w:val="none" w:sz="0" w:space="0" w:color="auto"/>
        <w:right w:val="none" w:sz="0" w:space="0" w:color="auto"/>
      </w:divBdr>
    </w:div>
    <w:div w:id="152835835">
      <w:bodyDiv w:val="1"/>
      <w:marLeft w:val="0"/>
      <w:marRight w:val="0"/>
      <w:marTop w:val="0"/>
      <w:marBottom w:val="0"/>
      <w:divBdr>
        <w:top w:val="none" w:sz="0" w:space="0" w:color="auto"/>
        <w:left w:val="none" w:sz="0" w:space="0" w:color="auto"/>
        <w:bottom w:val="none" w:sz="0" w:space="0" w:color="auto"/>
        <w:right w:val="none" w:sz="0" w:space="0" w:color="auto"/>
      </w:divBdr>
    </w:div>
    <w:div w:id="196160850">
      <w:bodyDiv w:val="1"/>
      <w:marLeft w:val="0"/>
      <w:marRight w:val="0"/>
      <w:marTop w:val="0"/>
      <w:marBottom w:val="0"/>
      <w:divBdr>
        <w:top w:val="none" w:sz="0" w:space="0" w:color="auto"/>
        <w:left w:val="none" w:sz="0" w:space="0" w:color="auto"/>
        <w:bottom w:val="none" w:sz="0" w:space="0" w:color="auto"/>
        <w:right w:val="none" w:sz="0" w:space="0" w:color="auto"/>
      </w:divBdr>
    </w:div>
    <w:div w:id="354814815">
      <w:bodyDiv w:val="1"/>
      <w:marLeft w:val="0"/>
      <w:marRight w:val="0"/>
      <w:marTop w:val="0"/>
      <w:marBottom w:val="0"/>
      <w:divBdr>
        <w:top w:val="none" w:sz="0" w:space="0" w:color="auto"/>
        <w:left w:val="none" w:sz="0" w:space="0" w:color="auto"/>
        <w:bottom w:val="none" w:sz="0" w:space="0" w:color="auto"/>
        <w:right w:val="none" w:sz="0" w:space="0" w:color="auto"/>
      </w:divBdr>
      <w:divsChild>
        <w:div w:id="958799442">
          <w:marLeft w:val="446"/>
          <w:marRight w:val="0"/>
          <w:marTop w:val="240"/>
          <w:marBottom w:val="0"/>
          <w:divBdr>
            <w:top w:val="none" w:sz="0" w:space="0" w:color="auto"/>
            <w:left w:val="none" w:sz="0" w:space="0" w:color="auto"/>
            <w:bottom w:val="none" w:sz="0" w:space="0" w:color="auto"/>
            <w:right w:val="none" w:sz="0" w:space="0" w:color="auto"/>
          </w:divBdr>
        </w:div>
        <w:div w:id="1686397821">
          <w:marLeft w:val="446"/>
          <w:marRight w:val="0"/>
          <w:marTop w:val="240"/>
          <w:marBottom w:val="0"/>
          <w:divBdr>
            <w:top w:val="none" w:sz="0" w:space="0" w:color="auto"/>
            <w:left w:val="none" w:sz="0" w:space="0" w:color="auto"/>
            <w:bottom w:val="none" w:sz="0" w:space="0" w:color="auto"/>
            <w:right w:val="none" w:sz="0" w:space="0" w:color="auto"/>
          </w:divBdr>
        </w:div>
        <w:div w:id="1079475066">
          <w:marLeft w:val="446"/>
          <w:marRight w:val="0"/>
          <w:marTop w:val="240"/>
          <w:marBottom w:val="0"/>
          <w:divBdr>
            <w:top w:val="none" w:sz="0" w:space="0" w:color="auto"/>
            <w:left w:val="none" w:sz="0" w:space="0" w:color="auto"/>
            <w:bottom w:val="none" w:sz="0" w:space="0" w:color="auto"/>
            <w:right w:val="none" w:sz="0" w:space="0" w:color="auto"/>
          </w:divBdr>
        </w:div>
        <w:div w:id="492255274">
          <w:marLeft w:val="446"/>
          <w:marRight w:val="0"/>
          <w:marTop w:val="240"/>
          <w:marBottom w:val="0"/>
          <w:divBdr>
            <w:top w:val="none" w:sz="0" w:space="0" w:color="auto"/>
            <w:left w:val="none" w:sz="0" w:space="0" w:color="auto"/>
            <w:bottom w:val="none" w:sz="0" w:space="0" w:color="auto"/>
            <w:right w:val="none" w:sz="0" w:space="0" w:color="auto"/>
          </w:divBdr>
        </w:div>
        <w:div w:id="1479419016">
          <w:marLeft w:val="446"/>
          <w:marRight w:val="0"/>
          <w:marTop w:val="240"/>
          <w:marBottom w:val="0"/>
          <w:divBdr>
            <w:top w:val="none" w:sz="0" w:space="0" w:color="auto"/>
            <w:left w:val="none" w:sz="0" w:space="0" w:color="auto"/>
            <w:bottom w:val="none" w:sz="0" w:space="0" w:color="auto"/>
            <w:right w:val="none" w:sz="0" w:space="0" w:color="auto"/>
          </w:divBdr>
        </w:div>
      </w:divsChild>
    </w:div>
    <w:div w:id="362562871">
      <w:bodyDiv w:val="1"/>
      <w:marLeft w:val="0"/>
      <w:marRight w:val="0"/>
      <w:marTop w:val="0"/>
      <w:marBottom w:val="0"/>
      <w:divBdr>
        <w:top w:val="none" w:sz="0" w:space="0" w:color="auto"/>
        <w:left w:val="none" w:sz="0" w:space="0" w:color="auto"/>
        <w:bottom w:val="none" w:sz="0" w:space="0" w:color="auto"/>
        <w:right w:val="none" w:sz="0" w:space="0" w:color="auto"/>
      </w:divBdr>
    </w:div>
    <w:div w:id="436566507">
      <w:bodyDiv w:val="1"/>
      <w:marLeft w:val="0"/>
      <w:marRight w:val="0"/>
      <w:marTop w:val="0"/>
      <w:marBottom w:val="0"/>
      <w:divBdr>
        <w:top w:val="none" w:sz="0" w:space="0" w:color="auto"/>
        <w:left w:val="none" w:sz="0" w:space="0" w:color="auto"/>
        <w:bottom w:val="none" w:sz="0" w:space="0" w:color="auto"/>
        <w:right w:val="none" w:sz="0" w:space="0" w:color="auto"/>
      </w:divBdr>
    </w:div>
    <w:div w:id="453213636">
      <w:bodyDiv w:val="1"/>
      <w:marLeft w:val="0"/>
      <w:marRight w:val="0"/>
      <w:marTop w:val="0"/>
      <w:marBottom w:val="0"/>
      <w:divBdr>
        <w:top w:val="none" w:sz="0" w:space="0" w:color="auto"/>
        <w:left w:val="none" w:sz="0" w:space="0" w:color="auto"/>
        <w:bottom w:val="none" w:sz="0" w:space="0" w:color="auto"/>
        <w:right w:val="none" w:sz="0" w:space="0" w:color="auto"/>
      </w:divBdr>
    </w:div>
    <w:div w:id="603878767">
      <w:bodyDiv w:val="1"/>
      <w:marLeft w:val="0"/>
      <w:marRight w:val="0"/>
      <w:marTop w:val="0"/>
      <w:marBottom w:val="0"/>
      <w:divBdr>
        <w:top w:val="none" w:sz="0" w:space="0" w:color="auto"/>
        <w:left w:val="none" w:sz="0" w:space="0" w:color="auto"/>
        <w:bottom w:val="none" w:sz="0" w:space="0" w:color="auto"/>
        <w:right w:val="none" w:sz="0" w:space="0" w:color="auto"/>
      </w:divBdr>
    </w:div>
    <w:div w:id="651447637">
      <w:bodyDiv w:val="1"/>
      <w:marLeft w:val="0"/>
      <w:marRight w:val="0"/>
      <w:marTop w:val="0"/>
      <w:marBottom w:val="0"/>
      <w:divBdr>
        <w:top w:val="none" w:sz="0" w:space="0" w:color="auto"/>
        <w:left w:val="none" w:sz="0" w:space="0" w:color="auto"/>
        <w:bottom w:val="none" w:sz="0" w:space="0" w:color="auto"/>
        <w:right w:val="none" w:sz="0" w:space="0" w:color="auto"/>
      </w:divBdr>
      <w:divsChild>
        <w:div w:id="1885479307">
          <w:marLeft w:val="446"/>
          <w:marRight w:val="0"/>
          <w:marTop w:val="240"/>
          <w:marBottom w:val="0"/>
          <w:divBdr>
            <w:top w:val="none" w:sz="0" w:space="0" w:color="auto"/>
            <w:left w:val="none" w:sz="0" w:space="0" w:color="auto"/>
            <w:bottom w:val="none" w:sz="0" w:space="0" w:color="auto"/>
            <w:right w:val="none" w:sz="0" w:space="0" w:color="auto"/>
          </w:divBdr>
        </w:div>
        <w:div w:id="2096439691">
          <w:marLeft w:val="446"/>
          <w:marRight w:val="0"/>
          <w:marTop w:val="240"/>
          <w:marBottom w:val="0"/>
          <w:divBdr>
            <w:top w:val="none" w:sz="0" w:space="0" w:color="auto"/>
            <w:left w:val="none" w:sz="0" w:space="0" w:color="auto"/>
            <w:bottom w:val="none" w:sz="0" w:space="0" w:color="auto"/>
            <w:right w:val="none" w:sz="0" w:space="0" w:color="auto"/>
          </w:divBdr>
        </w:div>
        <w:div w:id="722754697">
          <w:marLeft w:val="446"/>
          <w:marRight w:val="0"/>
          <w:marTop w:val="240"/>
          <w:marBottom w:val="0"/>
          <w:divBdr>
            <w:top w:val="none" w:sz="0" w:space="0" w:color="auto"/>
            <w:left w:val="none" w:sz="0" w:space="0" w:color="auto"/>
            <w:bottom w:val="none" w:sz="0" w:space="0" w:color="auto"/>
            <w:right w:val="none" w:sz="0" w:space="0" w:color="auto"/>
          </w:divBdr>
        </w:div>
        <w:div w:id="1811750850">
          <w:marLeft w:val="446"/>
          <w:marRight w:val="0"/>
          <w:marTop w:val="240"/>
          <w:marBottom w:val="0"/>
          <w:divBdr>
            <w:top w:val="none" w:sz="0" w:space="0" w:color="auto"/>
            <w:left w:val="none" w:sz="0" w:space="0" w:color="auto"/>
            <w:bottom w:val="none" w:sz="0" w:space="0" w:color="auto"/>
            <w:right w:val="none" w:sz="0" w:space="0" w:color="auto"/>
          </w:divBdr>
        </w:div>
        <w:div w:id="1115950883">
          <w:marLeft w:val="446"/>
          <w:marRight w:val="0"/>
          <w:marTop w:val="240"/>
          <w:marBottom w:val="0"/>
          <w:divBdr>
            <w:top w:val="none" w:sz="0" w:space="0" w:color="auto"/>
            <w:left w:val="none" w:sz="0" w:space="0" w:color="auto"/>
            <w:bottom w:val="none" w:sz="0" w:space="0" w:color="auto"/>
            <w:right w:val="none" w:sz="0" w:space="0" w:color="auto"/>
          </w:divBdr>
        </w:div>
        <w:div w:id="1311208697">
          <w:marLeft w:val="446"/>
          <w:marRight w:val="0"/>
          <w:marTop w:val="240"/>
          <w:marBottom w:val="0"/>
          <w:divBdr>
            <w:top w:val="none" w:sz="0" w:space="0" w:color="auto"/>
            <w:left w:val="none" w:sz="0" w:space="0" w:color="auto"/>
            <w:bottom w:val="none" w:sz="0" w:space="0" w:color="auto"/>
            <w:right w:val="none" w:sz="0" w:space="0" w:color="auto"/>
          </w:divBdr>
        </w:div>
      </w:divsChild>
    </w:div>
    <w:div w:id="81114459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37240886">
      <w:bodyDiv w:val="1"/>
      <w:marLeft w:val="0"/>
      <w:marRight w:val="0"/>
      <w:marTop w:val="0"/>
      <w:marBottom w:val="0"/>
      <w:divBdr>
        <w:top w:val="none" w:sz="0" w:space="0" w:color="auto"/>
        <w:left w:val="none" w:sz="0" w:space="0" w:color="auto"/>
        <w:bottom w:val="none" w:sz="0" w:space="0" w:color="auto"/>
        <w:right w:val="none" w:sz="0" w:space="0" w:color="auto"/>
      </w:divBdr>
    </w:div>
    <w:div w:id="1059329903">
      <w:bodyDiv w:val="1"/>
      <w:marLeft w:val="0"/>
      <w:marRight w:val="0"/>
      <w:marTop w:val="0"/>
      <w:marBottom w:val="0"/>
      <w:divBdr>
        <w:top w:val="none" w:sz="0" w:space="0" w:color="auto"/>
        <w:left w:val="none" w:sz="0" w:space="0" w:color="auto"/>
        <w:bottom w:val="none" w:sz="0" w:space="0" w:color="auto"/>
        <w:right w:val="none" w:sz="0" w:space="0" w:color="auto"/>
      </w:divBdr>
    </w:div>
    <w:div w:id="1061249325">
      <w:bodyDiv w:val="1"/>
      <w:marLeft w:val="0"/>
      <w:marRight w:val="0"/>
      <w:marTop w:val="0"/>
      <w:marBottom w:val="0"/>
      <w:divBdr>
        <w:top w:val="none" w:sz="0" w:space="0" w:color="auto"/>
        <w:left w:val="none" w:sz="0" w:space="0" w:color="auto"/>
        <w:bottom w:val="none" w:sz="0" w:space="0" w:color="auto"/>
        <w:right w:val="none" w:sz="0" w:space="0" w:color="auto"/>
      </w:divBdr>
    </w:div>
    <w:div w:id="1113673746">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07532091">
      <w:bodyDiv w:val="1"/>
      <w:marLeft w:val="0"/>
      <w:marRight w:val="0"/>
      <w:marTop w:val="0"/>
      <w:marBottom w:val="0"/>
      <w:divBdr>
        <w:top w:val="none" w:sz="0" w:space="0" w:color="auto"/>
        <w:left w:val="none" w:sz="0" w:space="0" w:color="auto"/>
        <w:bottom w:val="none" w:sz="0" w:space="0" w:color="auto"/>
        <w:right w:val="none" w:sz="0" w:space="0" w:color="auto"/>
      </w:divBdr>
    </w:div>
    <w:div w:id="1439328940">
      <w:bodyDiv w:val="1"/>
      <w:marLeft w:val="0"/>
      <w:marRight w:val="0"/>
      <w:marTop w:val="0"/>
      <w:marBottom w:val="0"/>
      <w:divBdr>
        <w:top w:val="none" w:sz="0" w:space="0" w:color="auto"/>
        <w:left w:val="none" w:sz="0" w:space="0" w:color="auto"/>
        <w:bottom w:val="none" w:sz="0" w:space="0" w:color="auto"/>
        <w:right w:val="none" w:sz="0" w:space="0" w:color="auto"/>
      </w:divBdr>
    </w:div>
    <w:div w:id="1493326701">
      <w:bodyDiv w:val="1"/>
      <w:marLeft w:val="0"/>
      <w:marRight w:val="0"/>
      <w:marTop w:val="0"/>
      <w:marBottom w:val="0"/>
      <w:divBdr>
        <w:top w:val="none" w:sz="0" w:space="0" w:color="auto"/>
        <w:left w:val="none" w:sz="0" w:space="0" w:color="auto"/>
        <w:bottom w:val="none" w:sz="0" w:space="0" w:color="auto"/>
        <w:right w:val="none" w:sz="0" w:space="0" w:color="auto"/>
      </w:divBdr>
    </w:div>
    <w:div w:id="1507554535">
      <w:bodyDiv w:val="1"/>
      <w:marLeft w:val="0"/>
      <w:marRight w:val="0"/>
      <w:marTop w:val="0"/>
      <w:marBottom w:val="0"/>
      <w:divBdr>
        <w:top w:val="none" w:sz="0" w:space="0" w:color="auto"/>
        <w:left w:val="none" w:sz="0" w:space="0" w:color="auto"/>
        <w:bottom w:val="none" w:sz="0" w:space="0" w:color="auto"/>
        <w:right w:val="none" w:sz="0" w:space="0" w:color="auto"/>
      </w:divBdr>
    </w:div>
    <w:div w:id="1762796684">
      <w:bodyDiv w:val="1"/>
      <w:marLeft w:val="0"/>
      <w:marRight w:val="0"/>
      <w:marTop w:val="0"/>
      <w:marBottom w:val="0"/>
      <w:divBdr>
        <w:top w:val="none" w:sz="0" w:space="0" w:color="auto"/>
        <w:left w:val="none" w:sz="0" w:space="0" w:color="auto"/>
        <w:bottom w:val="none" w:sz="0" w:space="0" w:color="auto"/>
        <w:right w:val="none" w:sz="0" w:space="0" w:color="auto"/>
      </w:divBdr>
    </w:div>
    <w:div w:id="1832912608">
      <w:bodyDiv w:val="1"/>
      <w:marLeft w:val="0"/>
      <w:marRight w:val="0"/>
      <w:marTop w:val="0"/>
      <w:marBottom w:val="0"/>
      <w:divBdr>
        <w:top w:val="none" w:sz="0" w:space="0" w:color="auto"/>
        <w:left w:val="none" w:sz="0" w:space="0" w:color="auto"/>
        <w:bottom w:val="none" w:sz="0" w:space="0" w:color="auto"/>
        <w:right w:val="none" w:sz="0" w:space="0" w:color="auto"/>
      </w:divBdr>
    </w:div>
    <w:div w:id="200569460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netti@istat.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0.statcan.gc.ca/n1/en/pub/11-522-x/2008000/article/10983-eng.pdf?st=0-IwAKv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EB08-1CB7-482D-B806-E5E083EC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3419</Words>
  <Characters>19493</Characters>
  <Application>Microsoft Office Word</Application>
  <DocSecurity>0</DocSecurity>
  <Lines>162</Lines>
  <Paragraphs>45</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Giampaola Bellini</dc:creator>
  <cp:lastModifiedBy>Pasquale Papa</cp:lastModifiedBy>
  <cp:revision>7</cp:revision>
  <cp:lastPrinted>2018-06-05T09:09:00Z</cp:lastPrinted>
  <dcterms:created xsi:type="dcterms:W3CDTF">2018-06-17T21:37:00Z</dcterms:created>
  <dcterms:modified xsi:type="dcterms:W3CDTF">2018-06-19T13:37:00Z</dcterms:modified>
</cp:coreProperties>
</file>