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575B10" w:rsidP="00D0270E">
      <w:pPr>
        <w:spacing w:before="480" w:after="480" w:line="360" w:lineRule="auto"/>
        <w:jc w:val="center"/>
        <w:rPr>
          <w:rFonts w:ascii="Arial" w:hAnsi="Arial" w:cs="Arial"/>
          <w:b/>
          <w:sz w:val="48"/>
          <w:szCs w:val="48"/>
          <w:lang w:val="en-GB"/>
        </w:rPr>
      </w:pPr>
      <w:r w:rsidRPr="00575B10">
        <w:rPr>
          <w:rFonts w:ascii="Arial" w:hAnsi="Arial" w:cs="Arial"/>
          <w:b/>
          <w:sz w:val="48"/>
          <w:szCs w:val="48"/>
          <w:lang w:val="en-GB"/>
        </w:rPr>
        <w:t>ESS-cooperation on Employment Flash Estimates</w:t>
      </w:r>
    </w:p>
    <w:p w:rsidR="00545DFF" w:rsidRDefault="0098645A" w:rsidP="00545DFF">
      <w:pPr>
        <w:spacing w:after="0" w:line="360" w:lineRule="auto"/>
        <w:jc w:val="both"/>
        <w:rPr>
          <w:rFonts w:ascii="Arial" w:hAnsi="Arial" w:cs="Arial"/>
          <w:sz w:val="24"/>
          <w:szCs w:val="24"/>
          <w:lang w:val="en-GB"/>
        </w:rPr>
      </w:pPr>
      <w:r w:rsidRPr="0098645A">
        <w:rPr>
          <w:rFonts w:ascii="Arial" w:hAnsi="Arial" w:cs="Arial"/>
          <w:sz w:val="24"/>
          <w:szCs w:val="24"/>
          <w:lang w:val="en-GB"/>
        </w:rPr>
        <w:t xml:space="preserve">Veronique </w:t>
      </w:r>
      <w:proofErr w:type="spellStart"/>
      <w:r w:rsidRPr="0098645A">
        <w:rPr>
          <w:rFonts w:ascii="Arial" w:hAnsi="Arial" w:cs="Arial"/>
          <w:sz w:val="24"/>
          <w:szCs w:val="24"/>
          <w:lang w:val="en-GB"/>
        </w:rPr>
        <w:t>Deneuville</w:t>
      </w:r>
      <w:proofErr w:type="spellEnd"/>
      <w:r w:rsidRPr="0098645A">
        <w:rPr>
          <w:rFonts w:ascii="Arial" w:hAnsi="Arial" w:cs="Arial"/>
          <w:sz w:val="24"/>
          <w:szCs w:val="24"/>
          <w:lang w:val="en-GB"/>
        </w:rPr>
        <w:t xml:space="preserve">, Christine </w:t>
      </w:r>
      <w:proofErr w:type="spellStart"/>
      <w:r w:rsidRPr="0098645A">
        <w:rPr>
          <w:rFonts w:ascii="Arial" w:hAnsi="Arial" w:cs="Arial"/>
          <w:sz w:val="24"/>
          <w:szCs w:val="24"/>
          <w:lang w:val="en-GB"/>
        </w:rPr>
        <w:t>Gerstberger</w:t>
      </w:r>
      <w:proofErr w:type="spellEnd"/>
      <w:r w:rsidRPr="0098645A">
        <w:rPr>
          <w:rFonts w:ascii="Arial" w:hAnsi="Arial" w:cs="Arial"/>
          <w:sz w:val="24"/>
          <w:szCs w:val="24"/>
          <w:lang w:val="en-GB"/>
        </w:rPr>
        <w:t xml:space="preserve">, Jenny </w:t>
      </w:r>
      <w:proofErr w:type="spellStart"/>
      <w:r w:rsidRPr="0098645A">
        <w:rPr>
          <w:rFonts w:ascii="Arial" w:hAnsi="Arial" w:cs="Arial"/>
          <w:sz w:val="24"/>
          <w:szCs w:val="24"/>
          <w:lang w:val="en-GB"/>
        </w:rPr>
        <w:t>Runesson</w:t>
      </w:r>
      <w:proofErr w:type="spellEnd"/>
      <w:r w:rsidRPr="0098645A">
        <w:rPr>
          <w:rFonts w:ascii="Arial" w:hAnsi="Arial" w:cs="Arial"/>
          <w:sz w:val="24"/>
          <w:szCs w:val="24"/>
          <w:lang w:val="en-GB"/>
        </w:rPr>
        <w:t xml:space="preserve">, Hans </w:t>
      </w:r>
      <w:proofErr w:type="spellStart"/>
      <w:r w:rsidRPr="0098645A">
        <w:rPr>
          <w:rFonts w:ascii="Arial" w:hAnsi="Arial" w:cs="Arial"/>
          <w:sz w:val="24"/>
          <w:szCs w:val="24"/>
          <w:lang w:val="en-GB"/>
        </w:rPr>
        <w:t>Wouters</w:t>
      </w:r>
      <w:proofErr w:type="spellEnd"/>
      <w:r w:rsidRPr="0098645A">
        <w:rPr>
          <w:rFonts w:ascii="Arial" w:hAnsi="Arial" w:cs="Arial"/>
          <w:sz w:val="24"/>
          <w:szCs w:val="24"/>
          <w:lang w:val="en-GB"/>
        </w:rPr>
        <w:t xml:space="preserve"> (European Commission, DG Eurostat / Directorate C National Accounts Prices and Key Indicators)</w:t>
      </w:r>
    </w:p>
    <w:p w:rsidR="00545DFF" w:rsidRDefault="00CB49DB" w:rsidP="00545DFF">
      <w:pPr>
        <w:spacing w:after="0" w:line="360" w:lineRule="auto"/>
        <w:jc w:val="both"/>
        <w:rPr>
          <w:rFonts w:ascii="Arial" w:hAnsi="Arial" w:cs="Arial"/>
          <w:sz w:val="24"/>
          <w:szCs w:val="24"/>
          <w:lang w:val="en-GB"/>
        </w:rPr>
      </w:pPr>
      <w:hyperlink r:id="rId9" w:history="1">
        <w:r w:rsidR="00A33B72" w:rsidRPr="00594FD4">
          <w:rPr>
            <w:rStyle w:val="Hyperlink"/>
            <w:rFonts w:ascii="Arial" w:hAnsi="Arial" w:cs="Arial"/>
            <w:sz w:val="24"/>
            <w:szCs w:val="24"/>
            <w:lang w:val="en-GB"/>
          </w:rPr>
          <w:t>Veronique.DENEUVILLE@ec.europa.eu</w:t>
        </w:r>
      </w:hyperlink>
    </w:p>
    <w:p w:rsidR="00545DFF" w:rsidRPr="00D869D8" w:rsidRDefault="00CB49DB" w:rsidP="00545DFF">
      <w:pPr>
        <w:spacing w:after="0" w:line="360" w:lineRule="auto"/>
        <w:jc w:val="both"/>
        <w:rPr>
          <w:rFonts w:ascii="Arial" w:hAnsi="Arial" w:cs="Arial"/>
          <w:sz w:val="24"/>
          <w:szCs w:val="24"/>
          <w:lang w:val="en-GB"/>
        </w:rPr>
      </w:pPr>
      <w:hyperlink r:id="rId10" w:history="1">
        <w:r w:rsidR="00A33B72" w:rsidRPr="00D869D8">
          <w:rPr>
            <w:rStyle w:val="Hyperlink"/>
            <w:rFonts w:ascii="Arial" w:hAnsi="Arial" w:cs="Arial"/>
            <w:sz w:val="24"/>
            <w:szCs w:val="24"/>
            <w:lang w:val="en-GB"/>
          </w:rPr>
          <w:t>Christine.GERSTBERGER@ec.europa.eu</w:t>
        </w:r>
      </w:hyperlink>
    </w:p>
    <w:p w:rsidR="00A33B72" w:rsidRPr="00D869D8" w:rsidRDefault="00CB49DB" w:rsidP="00545DFF">
      <w:pPr>
        <w:spacing w:after="0" w:line="360" w:lineRule="auto"/>
        <w:jc w:val="both"/>
        <w:rPr>
          <w:rFonts w:ascii="Arial" w:hAnsi="Arial" w:cs="Arial"/>
          <w:sz w:val="24"/>
          <w:szCs w:val="24"/>
          <w:lang w:val="en-GB"/>
        </w:rPr>
      </w:pPr>
      <w:hyperlink r:id="rId11" w:history="1">
        <w:r w:rsidR="00A33B72" w:rsidRPr="00D869D8">
          <w:rPr>
            <w:rStyle w:val="Hyperlink"/>
            <w:rFonts w:ascii="Arial" w:hAnsi="Arial" w:cs="Arial"/>
            <w:sz w:val="24"/>
            <w:szCs w:val="24"/>
            <w:lang w:val="en-GB"/>
          </w:rPr>
          <w:t>Jenny.RUNESSON@ec.europa.eu</w:t>
        </w:r>
      </w:hyperlink>
    </w:p>
    <w:p w:rsidR="000D705A" w:rsidRPr="00D869D8" w:rsidRDefault="000D705A" w:rsidP="00C726EA">
      <w:pPr>
        <w:spacing w:after="0" w:line="360" w:lineRule="auto"/>
        <w:jc w:val="both"/>
        <w:rPr>
          <w:rFonts w:ascii="Arial" w:hAnsi="Arial" w:cs="Arial"/>
          <w:sz w:val="24"/>
          <w:szCs w:val="24"/>
          <w:lang w:val="en-GB"/>
        </w:rPr>
      </w:pP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BB5D12" w:rsidP="00C726EA">
      <w:pPr>
        <w:spacing w:after="0" w:line="240" w:lineRule="auto"/>
        <w:jc w:val="both"/>
        <w:rPr>
          <w:rFonts w:ascii="Arial" w:hAnsi="Arial" w:cs="Arial"/>
          <w:i/>
          <w:sz w:val="20"/>
          <w:szCs w:val="20"/>
          <w:lang w:val="en-GB"/>
        </w:rPr>
      </w:pPr>
      <w:r w:rsidRPr="00BB5D12">
        <w:rPr>
          <w:rFonts w:ascii="Arial" w:hAnsi="Arial" w:cs="Arial"/>
          <w:i/>
          <w:sz w:val="20"/>
          <w:szCs w:val="20"/>
          <w:lang w:val="en-GB"/>
        </w:rPr>
        <w:t xml:space="preserve">Following the successful introduction of EU and euro area GDP flash estimates after t+30 days in April 2016, Eurostat and national statistical institutes (NSIs) are cooperating on a new project: the estimation of EU and euro area employment flash estimates in national accounts, which could be published at t+45 or t+30 days. A task force has been set up in 2017 to work on test estimates and quality criteria to decide on the feasibility of such estimates. The task force allows NSIs to share their experience on the use of available source data as well as estimation techniques. These </w:t>
      </w:r>
      <w:r w:rsidR="00961C28">
        <w:rPr>
          <w:rFonts w:ascii="Arial" w:hAnsi="Arial" w:cs="Arial"/>
          <w:i/>
          <w:sz w:val="20"/>
          <w:szCs w:val="20"/>
          <w:lang w:val="en-GB"/>
        </w:rPr>
        <w:t>are</w:t>
      </w:r>
      <w:r w:rsidRPr="00BB5D12">
        <w:rPr>
          <w:rFonts w:ascii="Arial" w:hAnsi="Arial" w:cs="Arial"/>
          <w:i/>
          <w:sz w:val="20"/>
          <w:szCs w:val="20"/>
          <w:lang w:val="en-GB"/>
        </w:rPr>
        <w:t xml:space="preserve"> documented in a manual to provide methodological guidance to NSIs and information to users. While the estimation of European aggregates is obtained as a weighted average of countries' growth rates, econometric techniques </w:t>
      </w:r>
      <w:r w:rsidR="00961C28">
        <w:rPr>
          <w:rFonts w:ascii="Arial" w:hAnsi="Arial" w:cs="Arial"/>
          <w:i/>
          <w:sz w:val="20"/>
          <w:szCs w:val="20"/>
          <w:lang w:val="en-GB"/>
        </w:rPr>
        <w:t>were</w:t>
      </w:r>
      <w:r w:rsidRPr="00BB5D12">
        <w:rPr>
          <w:rFonts w:ascii="Arial" w:hAnsi="Arial" w:cs="Arial"/>
          <w:i/>
          <w:sz w:val="20"/>
          <w:szCs w:val="20"/>
          <w:lang w:val="en-GB"/>
        </w:rPr>
        <w:t xml:space="preserve"> explored to complement for missing country data and/or to address a </w:t>
      </w:r>
      <w:proofErr w:type="gramStart"/>
      <w:r w:rsidRPr="00BB5D12">
        <w:rPr>
          <w:rFonts w:ascii="Arial" w:hAnsi="Arial" w:cs="Arial"/>
          <w:i/>
          <w:sz w:val="20"/>
          <w:szCs w:val="20"/>
          <w:lang w:val="en-GB"/>
        </w:rPr>
        <w:t>systematic bias in the estimates reflecting countries' revisions.</w:t>
      </w:r>
      <w:proofErr w:type="gramEnd"/>
      <w:r w:rsidRPr="00BB5D12">
        <w:rPr>
          <w:rFonts w:ascii="Arial" w:hAnsi="Arial" w:cs="Arial"/>
          <w:i/>
          <w:sz w:val="20"/>
          <w:szCs w:val="20"/>
          <w:lang w:val="en-GB"/>
        </w:rPr>
        <w:t xml:space="preserve"> Following the first test estimates, country coverage and results look promising for a t+45 flash estimate. Estimates at t+30 are more challenging, since countries generally need to use modelling techniques to estimate missing data for the last month. </w:t>
      </w:r>
      <w:r w:rsidR="00961C28" w:rsidRPr="00961C28">
        <w:rPr>
          <w:rFonts w:ascii="Arial" w:hAnsi="Arial" w:cs="Arial"/>
          <w:i/>
          <w:sz w:val="20"/>
          <w:szCs w:val="20"/>
          <w:lang w:val="en-GB"/>
        </w:rPr>
        <w:t>B</w:t>
      </w:r>
      <w:r w:rsidRPr="00961C28">
        <w:rPr>
          <w:rFonts w:ascii="Arial" w:hAnsi="Arial" w:cs="Arial"/>
          <w:i/>
          <w:sz w:val="20"/>
          <w:szCs w:val="20"/>
          <w:lang w:val="en-GB"/>
        </w:rPr>
        <w:t>ased on live estimates and back estimates and on quality criteria combining minimum country coverage and reliability of the estimate</w:t>
      </w:r>
      <w:r w:rsidR="00961C28" w:rsidRPr="00961C28">
        <w:rPr>
          <w:rFonts w:ascii="Arial" w:hAnsi="Arial" w:cs="Arial"/>
          <w:i/>
          <w:sz w:val="20"/>
          <w:szCs w:val="20"/>
          <w:lang w:val="en-GB"/>
        </w:rPr>
        <w:t xml:space="preserve">, the task force recommends </w:t>
      </w:r>
      <w:r w:rsidR="0089375F" w:rsidRPr="00961C28">
        <w:rPr>
          <w:rFonts w:ascii="Arial" w:hAnsi="Arial" w:cs="Arial"/>
          <w:i/>
          <w:sz w:val="20"/>
          <w:szCs w:val="20"/>
          <w:lang w:val="en-GB"/>
        </w:rPr>
        <w:t>starting</w:t>
      </w:r>
      <w:r w:rsidR="00961C28" w:rsidRPr="00961C28">
        <w:rPr>
          <w:rFonts w:ascii="Arial" w:hAnsi="Arial" w:cs="Arial"/>
          <w:i/>
          <w:sz w:val="20"/>
          <w:szCs w:val="20"/>
          <w:lang w:val="en-GB"/>
        </w:rPr>
        <w:t xml:space="preserve"> official publication</w:t>
      </w:r>
      <w:r w:rsidR="0089375F">
        <w:rPr>
          <w:rFonts w:ascii="Arial" w:hAnsi="Arial" w:cs="Arial"/>
          <w:i/>
          <w:sz w:val="20"/>
          <w:szCs w:val="20"/>
          <w:lang w:val="en-GB"/>
        </w:rPr>
        <w:t xml:space="preserve">. </w:t>
      </w:r>
      <w:r w:rsidR="00961C28">
        <w:rPr>
          <w:rFonts w:ascii="Arial" w:hAnsi="Arial" w:cs="Arial"/>
          <w:i/>
          <w:sz w:val="20"/>
          <w:szCs w:val="20"/>
          <w:lang w:val="en-GB"/>
        </w:rPr>
        <w:t>T</w:t>
      </w:r>
      <w:r w:rsidRPr="00BB5D12">
        <w:rPr>
          <w:rFonts w:ascii="Arial" w:hAnsi="Arial" w:cs="Arial"/>
          <w:i/>
          <w:sz w:val="20"/>
          <w:szCs w:val="20"/>
          <w:lang w:val="en-GB"/>
        </w:rPr>
        <w:t xml:space="preserve">he work of the </w:t>
      </w:r>
      <w:r w:rsidR="00961C28">
        <w:rPr>
          <w:rFonts w:ascii="Arial" w:hAnsi="Arial" w:cs="Arial"/>
          <w:i/>
          <w:sz w:val="20"/>
          <w:szCs w:val="20"/>
          <w:lang w:val="en-GB"/>
        </w:rPr>
        <w:t>t</w:t>
      </w:r>
      <w:r w:rsidRPr="00BB5D12">
        <w:rPr>
          <w:rFonts w:ascii="Arial" w:hAnsi="Arial" w:cs="Arial"/>
          <w:i/>
          <w:sz w:val="20"/>
          <w:szCs w:val="20"/>
          <w:lang w:val="en-GB"/>
        </w:rPr>
        <w:t xml:space="preserve">ask </w:t>
      </w:r>
      <w:r w:rsidR="00961C28">
        <w:rPr>
          <w:rFonts w:ascii="Arial" w:hAnsi="Arial" w:cs="Arial"/>
          <w:i/>
          <w:sz w:val="20"/>
          <w:szCs w:val="20"/>
          <w:lang w:val="en-GB"/>
        </w:rPr>
        <w:t>f</w:t>
      </w:r>
      <w:r w:rsidRPr="00BB5D12">
        <w:rPr>
          <w:rFonts w:ascii="Arial" w:hAnsi="Arial" w:cs="Arial"/>
          <w:i/>
          <w:sz w:val="20"/>
          <w:szCs w:val="20"/>
          <w:lang w:val="en-GB"/>
        </w:rPr>
        <w:t>orce is an appreciated opportunity to share experience between NSIs and a good example of cooperation within the ESS to improve the availability of high quality statistics for users.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B5D12">
        <w:rPr>
          <w:rFonts w:ascii="Arial" w:hAnsi="Arial" w:cs="Arial"/>
          <w:sz w:val="20"/>
          <w:szCs w:val="20"/>
          <w:lang w:val="en-GB"/>
        </w:rPr>
        <w:t>Employment early estimates</w:t>
      </w:r>
      <w:r w:rsidR="000F597C">
        <w:rPr>
          <w:rFonts w:ascii="Arial" w:hAnsi="Arial" w:cs="Arial"/>
          <w:sz w:val="20"/>
          <w:szCs w:val="20"/>
          <w:lang w:val="en-GB"/>
        </w:rPr>
        <w:t xml:space="preserve">, </w:t>
      </w:r>
      <w:r w:rsidR="001A3235">
        <w:rPr>
          <w:rFonts w:ascii="Arial" w:hAnsi="Arial" w:cs="Arial"/>
          <w:sz w:val="20"/>
          <w:szCs w:val="20"/>
          <w:lang w:val="en-GB"/>
        </w:rPr>
        <w:t xml:space="preserve">Task force, </w:t>
      </w:r>
      <w:r w:rsidR="000F597C">
        <w:rPr>
          <w:rFonts w:ascii="Arial" w:hAnsi="Arial" w:cs="Arial"/>
          <w:sz w:val="20"/>
          <w:szCs w:val="20"/>
          <w:lang w:val="en-GB"/>
        </w:rPr>
        <w:t>EU and euro area aggregates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A3235">
        <w:rPr>
          <w:rFonts w:ascii="Arial" w:hAnsi="Arial" w:cs="Arial"/>
          <w:b/>
          <w:sz w:val="24"/>
          <w:szCs w:val="24"/>
          <w:lang w:val="en-GB"/>
        </w:rPr>
        <w:t>Background</w:t>
      </w:r>
    </w:p>
    <w:p w:rsidR="00A70029" w:rsidRDefault="00A70029" w:rsidP="003A1D16">
      <w:pPr>
        <w:spacing w:before="120" w:after="0" w:line="360" w:lineRule="auto"/>
        <w:jc w:val="both"/>
        <w:rPr>
          <w:rFonts w:ascii="Arial" w:hAnsi="Arial" w:cs="Arial"/>
          <w:sz w:val="24"/>
          <w:szCs w:val="24"/>
          <w:lang w:val="en-GB"/>
        </w:rPr>
      </w:pPr>
      <w:r w:rsidRPr="00A70029">
        <w:rPr>
          <w:rFonts w:ascii="Arial" w:hAnsi="Arial" w:cs="Arial"/>
          <w:sz w:val="24"/>
          <w:szCs w:val="24"/>
          <w:lang w:val="en-GB"/>
        </w:rPr>
        <w:t>The first t+75 employment news release was published on 14 March 2007. In 2018</w:t>
      </w:r>
      <w:r w:rsidR="00A33701">
        <w:rPr>
          <w:rFonts w:ascii="Arial" w:hAnsi="Arial" w:cs="Arial"/>
          <w:sz w:val="24"/>
          <w:szCs w:val="24"/>
          <w:lang w:val="en-GB"/>
        </w:rPr>
        <w:t>,</w:t>
      </w:r>
      <w:r w:rsidRPr="00A70029">
        <w:rPr>
          <w:rFonts w:ascii="Arial" w:hAnsi="Arial" w:cs="Arial"/>
          <w:sz w:val="24"/>
          <w:szCs w:val="24"/>
          <w:lang w:val="en-GB"/>
        </w:rPr>
        <w:t xml:space="preserve"> Eurostat’s quarterly employment estimates for the euro area and the EU in the framework of national accounts is still estimated at 75 days after the quarter-end.</w:t>
      </w:r>
    </w:p>
    <w:p w:rsidR="00D869D8" w:rsidRDefault="00D869D8" w:rsidP="003A1D16">
      <w:pPr>
        <w:spacing w:before="120" w:after="0" w:line="360" w:lineRule="auto"/>
        <w:jc w:val="both"/>
        <w:rPr>
          <w:rFonts w:ascii="Arial" w:hAnsi="Arial" w:cs="Arial"/>
          <w:sz w:val="24"/>
          <w:szCs w:val="24"/>
          <w:lang w:val="en-GB"/>
        </w:rPr>
      </w:pPr>
      <w:r w:rsidRPr="00D869D8">
        <w:rPr>
          <w:rFonts w:ascii="Arial" w:hAnsi="Arial" w:cs="Arial"/>
          <w:sz w:val="24"/>
          <w:szCs w:val="24"/>
          <w:lang w:val="en-GB"/>
        </w:rPr>
        <w:lastRenderedPageBreak/>
        <w:t xml:space="preserve">As acknowledged in the 2015 </w:t>
      </w:r>
      <w:r w:rsidR="000F597C" w:rsidRPr="000F597C">
        <w:rPr>
          <w:rFonts w:ascii="Arial" w:hAnsi="Arial" w:cs="Arial"/>
          <w:sz w:val="24"/>
          <w:szCs w:val="24"/>
          <w:lang w:val="en-GB"/>
        </w:rPr>
        <w:t>Economic and Financial Committee</w:t>
      </w:r>
      <w:r w:rsidR="000F597C">
        <w:rPr>
          <w:rFonts w:ascii="Arial" w:hAnsi="Arial" w:cs="Arial"/>
          <w:sz w:val="24"/>
          <w:szCs w:val="24"/>
          <w:lang w:val="en-GB"/>
        </w:rPr>
        <w:t>'s</w:t>
      </w:r>
      <w:r w:rsidRPr="00D869D8">
        <w:rPr>
          <w:rFonts w:ascii="Arial" w:hAnsi="Arial" w:cs="Arial"/>
          <w:sz w:val="24"/>
          <w:szCs w:val="24"/>
          <w:lang w:val="en-GB"/>
        </w:rPr>
        <w:t xml:space="preserve"> status report on information requirements in EMU</w:t>
      </w:r>
      <w:r w:rsidR="000F597C">
        <w:rPr>
          <w:rStyle w:val="FootnoteReference"/>
          <w:rFonts w:ascii="Arial" w:hAnsi="Arial" w:cs="Arial"/>
          <w:sz w:val="24"/>
          <w:szCs w:val="24"/>
          <w:lang w:val="en-GB"/>
        </w:rPr>
        <w:footnoteReference w:id="1"/>
      </w:r>
      <w:r w:rsidRPr="00D869D8">
        <w:rPr>
          <w:rFonts w:ascii="Arial" w:hAnsi="Arial" w:cs="Arial"/>
          <w:sz w:val="24"/>
          <w:szCs w:val="24"/>
          <w:lang w:val="en-GB"/>
        </w:rPr>
        <w:t xml:space="preserve"> ‘the national accounts based employment indicator still remains well behind the target for timeliness’. For that reason and based on the fact that users request more timely information, Eurostat, supported by a task force, has been investigating whether producing a</w:t>
      </w:r>
      <w:r w:rsidR="000F597C">
        <w:rPr>
          <w:rFonts w:ascii="Arial" w:hAnsi="Arial" w:cs="Arial"/>
          <w:sz w:val="24"/>
          <w:szCs w:val="24"/>
          <w:lang w:val="en-GB"/>
        </w:rPr>
        <w:t>n</w:t>
      </w:r>
      <w:r w:rsidRPr="00D869D8">
        <w:rPr>
          <w:rFonts w:ascii="Arial" w:hAnsi="Arial" w:cs="Arial"/>
          <w:sz w:val="24"/>
          <w:szCs w:val="24"/>
          <w:lang w:val="en-GB"/>
        </w:rPr>
        <w:t xml:space="preserve"> euro area and EU employment flash estimate at 30 or 45 days after the quarter-end would be feasible</w:t>
      </w:r>
      <w:r>
        <w:rPr>
          <w:rFonts w:ascii="Arial" w:hAnsi="Arial" w:cs="Arial"/>
          <w:sz w:val="24"/>
          <w:szCs w:val="24"/>
          <w:lang w:val="en-GB"/>
        </w:rPr>
        <w:t>.</w:t>
      </w:r>
    </w:p>
    <w:p w:rsidR="0089375F" w:rsidRDefault="0089375F" w:rsidP="003A1D16">
      <w:pPr>
        <w:spacing w:before="120" w:after="0" w:line="360" w:lineRule="auto"/>
        <w:jc w:val="both"/>
        <w:rPr>
          <w:rFonts w:ascii="Arial" w:hAnsi="Arial" w:cs="Arial"/>
          <w:sz w:val="24"/>
          <w:szCs w:val="24"/>
          <w:lang w:val="en-GB"/>
        </w:rPr>
      </w:pPr>
      <w:r>
        <w:rPr>
          <w:rFonts w:ascii="Arial" w:hAnsi="Arial" w:cs="Arial"/>
          <w:sz w:val="24"/>
          <w:szCs w:val="24"/>
          <w:lang w:val="en-GB"/>
        </w:rPr>
        <w:t>The s</w:t>
      </w:r>
      <w:r w:rsidRPr="0089375F">
        <w:rPr>
          <w:rFonts w:ascii="Arial" w:hAnsi="Arial" w:cs="Arial"/>
          <w:sz w:val="24"/>
          <w:szCs w:val="24"/>
          <w:lang w:val="en-GB"/>
        </w:rPr>
        <w:t>uccessful previous introduc</w:t>
      </w:r>
      <w:r>
        <w:rPr>
          <w:rFonts w:ascii="Arial" w:hAnsi="Arial" w:cs="Arial"/>
          <w:sz w:val="24"/>
          <w:szCs w:val="24"/>
          <w:lang w:val="en-GB"/>
        </w:rPr>
        <w:t>tion of the</w:t>
      </w:r>
      <w:r w:rsidRPr="0089375F">
        <w:rPr>
          <w:rFonts w:ascii="Arial" w:hAnsi="Arial" w:cs="Arial"/>
          <w:sz w:val="24"/>
          <w:szCs w:val="24"/>
          <w:lang w:val="en-GB"/>
        </w:rPr>
        <w:t xml:space="preserve"> t+30 GDP flash estimates in 2016Q1</w:t>
      </w:r>
      <w:r>
        <w:rPr>
          <w:rFonts w:ascii="Arial" w:hAnsi="Arial" w:cs="Arial"/>
          <w:sz w:val="24"/>
          <w:szCs w:val="24"/>
          <w:lang w:val="en-GB"/>
        </w:rPr>
        <w:t xml:space="preserve"> was an encouraging experience for this new project.</w:t>
      </w:r>
    </w:p>
    <w:p w:rsidR="00441FD3" w:rsidRPr="00441FD3" w:rsidRDefault="00441FD3" w:rsidP="00441FD3">
      <w:pPr>
        <w:spacing w:before="120" w:after="0" w:line="360" w:lineRule="auto"/>
        <w:jc w:val="both"/>
        <w:rPr>
          <w:rFonts w:ascii="Arial" w:hAnsi="Arial" w:cs="Arial"/>
          <w:sz w:val="24"/>
          <w:szCs w:val="24"/>
          <w:lang w:val="en-GB"/>
        </w:rPr>
      </w:pPr>
      <w:r w:rsidRPr="00441FD3">
        <w:rPr>
          <w:rFonts w:ascii="Arial" w:hAnsi="Arial" w:cs="Arial"/>
          <w:sz w:val="24"/>
          <w:szCs w:val="24"/>
          <w:lang w:val="en-GB"/>
        </w:rPr>
        <w:t>The first step was to get a more comprehensive picture on what employment data were already available at 45 days after the quarter-end (or earlier). For that purpose Eurostat launched the questionnaire on the availability of ‘quarterly employment data within 45 days after the quarter-end’.</w:t>
      </w:r>
    </w:p>
    <w:p w:rsidR="001A3235" w:rsidRDefault="00441FD3" w:rsidP="00441FD3">
      <w:pPr>
        <w:spacing w:before="120" w:after="0" w:line="360" w:lineRule="auto"/>
        <w:jc w:val="both"/>
        <w:rPr>
          <w:rFonts w:ascii="Arial" w:hAnsi="Arial" w:cs="Arial"/>
          <w:sz w:val="24"/>
          <w:szCs w:val="24"/>
          <w:lang w:val="en-GB"/>
        </w:rPr>
      </w:pPr>
      <w:r w:rsidRPr="00441FD3">
        <w:rPr>
          <w:rFonts w:ascii="Arial" w:hAnsi="Arial" w:cs="Arial"/>
          <w:sz w:val="24"/>
          <w:szCs w:val="24"/>
          <w:lang w:val="en-GB"/>
        </w:rPr>
        <w:t xml:space="preserve">Considering the questionnaire results and the possible consequences for additional resources, it was decided – after consultation of the National Statistical Institutes – to focus the feasibility study on the variable </w:t>
      </w:r>
      <w:r w:rsidRPr="00441FD3">
        <w:rPr>
          <w:rFonts w:ascii="Arial" w:hAnsi="Arial" w:cs="Arial"/>
          <w:b/>
          <w:sz w:val="24"/>
          <w:szCs w:val="24"/>
          <w:lang w:val="en-GB"/>
        </w:rPr>
        <w:t>total employment in persons</w:t>
      </w:r>
      <w:r w:rsidRPr="00441FD3">
        <w:rPr>
          <w:rFonts w:ascii="Arial" w:hAnsi="Arial" w:cs="Arial"/>
          <w:sz w:val="24"/>
          <w:szCs w:val="24"/>
          <w:lang w:val="en-GB"/>
        </w:rPr>
        <w:t>, without any breakdowns.</w:t>
      </w:r>
    </w:p>
    <w:p w:rsidR="00441FD3" w:rsidRDefault="00441FD3" w:rsidP="003A1D16">
      <w:pPr>
        <w:spacing w:before="120" w:after="0" w:line="360" w:lineRule="auto"/>
        <w:jc w:val="both"/>
        <w:rPr>
          <w:rFonts w:ascii="Arial" w:hAnsi="Arial" w:cs="Arial"/>
          <w:sz w:val="24"/>
          <w:szCs w:val="24"/>
          <w:lang w:val="en-GB"/>
        </w:rPr>
      </w:pPr>
    </w:p>
    <w:p w:rsidR="001A3235" w:rsidRPr="0028150C" w:rsidRDefault="001A3235" w:rsidP="001A3235">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Pr>
          <w:rFonts w:ascii="Arial" w:hAnsi="Arial" w:cs="Arial"/>
          <w:b/>
          <w:sz w:val="24"/>
          <w:szCs w:val="24"/>
          <w:lang w:val="en-GB"/>
        </w:rPr>
        <w:t>A task force</w:t>
      </w:r>
      <w:r w:rsidR="000D7F1E">
        <w:rPr>
          <w:rFonts w:ascii="Arial" w:hAnsi="Arial" w:cs="Arial"/>
          <w:b/>
          <w:sz w:val="24"/>
          <w:szCs w:val="24"/>
          <w:lang w:val="en-GB"/>
        </w:rPr>
        <w:t xml:space="preserve"> </w:t>
      </w:r>
      <w:r w:rsidR="00441FD3">
        <w:rPr>
          <w:rFonts w:ascii="Arial" w:hAnsi="Arial" w:cs="Arial"/>
          <w:b/>
          <w:sz w:val="24"/>
          <w:szCs w:val="24"/>
          <w:lang w:val="en-GB"/>
        </w:rPr>
        <w:t>to carry out the feasibility study</w:t>
      </w:r>
    </w:p>
    <w:p w:rsidR="001A3235" w:rsidRDefault="001A3235"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November 2016, the National Accounts Working Group established a task force </w:t>
      </w:r>
      <w:r w:rsidR="00441FD3">
        <w:rPr>
          <w:rFonts w:ascii="Arial" w:hAnsi="Arial" w:cs="Arial"/>
          <w:sz w:val="24"/>
          <w:szCs w:val="24"/>
          <w:lang w:val="en-GB"/>
        </w:rPr>
        <w:t>with the following mandate:</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r w:rsidRPr="000D7F1E">
        <w:rPr>
          <w:rFonts w:ascii="Arial" w:hAnsi="Arial" w:cs="Arial"/>
          <w:sz w:val="24"/>
          <w:szCs w:val="24"/>
          <w:lang w:val="en-GB"/>
        </w:rPr>
        <w:t>exchange of knowledge between Member States and Eurostat on estimation methods and estimation practices regarding employment flash estimates;</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r w:rsidRPr="000D7F1E">
        <w:rPr>
          <w:rFonts w:ascii="Arial" w:hAnsi="Arial" w:cs="Arial"/>
          <w:sz w:val="24"/>
          <w:szCs w:val="24"/>
          <w:lang w:val="en-GB"/>
        </w:rPr>
        <w:t>preparation of real-time and retrospective national test estimates;</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r w:rsidRPr="000D7F1E">
        <w:rPr>
          <w:rFonts w:ascii="Arial" w:hAnsi="Arial" w:cs="Arial"/>
          <w:sz w:val="24"/>
          <w:szCs w:val="24"/>
          <w:lang w:val="en-GB"/>
        </w:rPr>
        <w:t>preparation of a methodology for producing euro area and EU employment flash estimates;</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r w:rsidRPr="000D7F1E">
        <w:rPr>
          <w:rFonts w:ascii="Arial" w:hAnsi="Arial" w:cs="Arial"/>
          <w:sz w:val="24"/>
          <w:szCs w:val="24"/>
          <w:lang w:val="en-GB"/>
        </w:rPr>
        <w:t>preparation of real-time and retrospective test estimates for the euro area and the EU;</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r w:rsidRPr="000D7F1E">
        <w:rPr>
          <w:rFonts w:ascii="Arial" w:hAnsi="Arial" w:cs="Arial"/>
          <w:sz w:val="24"/>
          <w:szCs w:val="24"/>
          <w:lang w:val="en-GB"/>
        </w:rPr>
        <w:t>preparation of quality criteria to assess the test estimates for the euro area and the EU;</w:t>
      </w:r>
    </w:p>
    <w:p w:rsidR="000D7F1E" w:rsidRPr="000D7F1E" w:rsidRDefault="000D7F1E" w:rsidP="000D7F1E">
      <w:pPr>
        <w:pStyle w:val="ListParagraph"/>
        <w:numPr>
          <w:ilvl w:val="0"/>
          <w:numId w:val="3"/>
        </w:numPr>
        <w:spacing w:before="120" w:after="0" w:line="360" w:lineRule="auto"/>
        <w:jc w:val="both"/>
        <w:rPr>
          <w:rFonts w:ascii="Arial" w:hAnsi="Arial" w:cs="Arial"/>
          <w:sz w:val="24"/>
          <w:szCs w:val="24"/>
          <w:lang w:val="en-GB"/>
        </w:rPr>
      </w:pPr>
      <w:proofErr w:type="gramStart"/>
      <w:r w:rsidRPr="000D7F1E">
        <w:rPr>
          <w:rFonts w:ascii="Arial" w:hAnsi="Arial" w:cs="Arial"/>
          <w:sz w:val="24"/>
          <w:szCs w:val="24"/>
          <w:lang w:val="en-GB"/>
        </w:rPr>
        <w:lastRenderedPageBreak/>
        <w:t>preparation</w:t>
      </w:r>
      <w:proofErr w:type="gramEnd"/>
      <w:r w:rsidRPr="000D7F1E">
        <w:rPr>
          <w:rFonts w:ascii="Arial" w:hAnsi="Arial" w:cs="Arial"/>
          <w:sz w:val="24"/>
          <w:szCs w:val="24"/>
          <w:lang w:val="en-GB"/>
        </w:rPr>
        <w:t xml:space="preserve"> and assessment of the results of the feasibility study in an evaluation report.</w:t>
      </w:r>
    </w:p>
    <w:p w:rsidR="000D7F1E" w:rsidRDefault="000D7F1E" w:rsidP="000D7F1E">
      <w:pPr>
        <w:spacing w:before="120" w:after="0" w:line="360" w:lineRule="auto"/>
        <w:jc w:val="both"/>
        <w:rPr>
          <w:rFonts w:ascii="Arial" w:hAnsi="Arial" w:cs="Arial"/>
          <w:sz w:val="24"/>
          <w:szCs w:val="24"/>
          <w:lang w:val="en-GB"/>
        </w:rPr>
      </w:pPr>
      <w:r w:rsidRPr="000D7F1E">
        <w:rPr>
          <w:rFonts w:ascii="Arial" w:hAnsi="Arial" w:cs="Arial"/>
          <w:b/>
          <w:sz w:val="24"/>
          <w:szCs w:val="24"/>
          <w:lang w:val="en-GB"/>
        </w:rPr>
        <w:t>13 Member States</w:t>
      </w:r>
      <w:r w:rsidRPr="00D869D8">
        <w:rPr>
          <w:rFonts w:ascii="Arial" w:hAnsi="Arial" w:cs="Arial"/>
          <w:sz w:val="24"/>
          <w:szCs w:val="24"/>
          <w:lang w:val="en-GB"/>
        </w:rPr>
        <w:t xml:space="preserve"> </w:t>
      </w:r>
      <w:r>
        <w:rPr>
          <w:rFonts w:ascii="Arial" w:hAnsi="Arial" w:cs="Arial"/>
          <w:sz w:val="24"/>
          <w:szCs w:val="24"/>
          <w:lang w:val="en-GB"/>
        </w:rPr>
        <w:t>participate</w:t>
      </w:r>
      <w:r w:rsidRPr="00D869D8">
        <w:rPr>
          <w:rFonts w:ascii="Arial" w:hAnsi="Arial" w:cs="Arial"/>
          <w:sz w:val="24"/>
          <w:szCs w:val="24"/>
          <w:lang w:val="en-GB"/>
        </w:rPr>
        <w:t xml:space="preserve"> in this task force: Austria, Belgium, Croatia, Czech Republic, Denmark, France, Germany, Hungary, Italy, Lithuania, Slovakia, Spain and United Kingdom. In addition, </w:t>
      </w:r>
      <w:r w:rsidRPr="000D7F1E">
        <w:rPr>
          <w:rFonts w:ascii="Arial" w:hAnsi="Arial" w:cs="Arial"/>
          <w:b/>
          <w:sz w:val="24"/>
          <w:szCs w:val="24"/>
          <w:lang w:val="en-GB"/>
        </w:rPr>
        <w:t>eight more countries</w:t>
      </w:r>
      <w:r w:rsidRPr="00D869D8">
        <w:rPr>
          <w:rFonts w:ascii="Arial" w:hAnsi="Arial" w:cs="Arial"/>
          <w:sz w:val="24"/>
          <w:szCs w:val="24"/>
          <w:lang w:val="en-GB"/>
        </w:rPr>
        <w:t xml:space="preserve"> contributed to part of the work by providing test estimates: Bulgaria, Estonia, Luxembourg, Netherlands, Poland, Portugal, Slovenia and Finland.</w:t>
      </w:r>
    </w:p>
    <w:p w:rsidR="00441FD3" w:rsidRDefault="00441FD3" w:rsidP="00441FD3">
      <w:pPr>
        <w:spacing w:before="120" w:after="0" w:line="360" w:lineRule="auto"/>
        <w:jc w:val="both"/>
        <w:rPr>
          <w:rFonts w:ascii="Arial" w:hAnsi="Arial" w:cs="Arial"/>
          <w:sz w:val="24"/>
          <w:szCs w:val="24"/>
          <w:lang w:val="en-GB"/>
        </w:rPr>
      </w:pPr>
      <w:r>
        <w:rPr>
          <w:rFonts w:ascii="Arial" w:hAnsi="Arial" w:cs="Arial"/>
          <w:sz w:val="24"/>
          <w:szCs w:val="24"/>
          <w:lang w:val="en-GB"/>
        </w:rPr>
        <w:t>Three meetings were held from March 2017 to March 2018 and enable Member States to share their experience on the use of available source data as well as estimation methodologies.</w:t>
      </w:r>
    </w:p>
    <w:p w:rsidR="001A3235" w:rsidRDefault="001A3235" w:rsidP="003A1D16">
      <w:pPr>
        <w:spacing w:before="120" w:after="0" w:line="360" w:lineRule="auto"/>
        <w:jc w:val="both"/>
        <w:rPr>
          <w:rFonts w:ascii="Arial" w:hAnsi="Arial" w:cs="Arial"/>
          <w:sz w:val="24"/>
          <w:szCs w:val="24"/>
          <w:lang w:val="en-GB"/>
        </w:rPr>
      </w:pPr>
    </w:p>
    <w:p w:rsidR="001A3235" w:rsidRPr="0028150C" w:rsidRDefault="001A3235" w:rsidP="001A3235">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sidR="00441FD3">
        <w:rPr>
          <w:rFonts w:ascii="Arial" w:hAnsi="Arial" w:cs="Arial"/>
          <w:b/>
          <w:sz w:val="24"/>
          <w:szCs w:val="24"/>
          <w:lang w:val="en-GB"/>
        </w:rPr>
        <w:t>O</w:t>
      </w:r>
      <w:r w:rsidR="00495AF0">
        <w:rPr>
          <w:rFonts w:ascii="Arial" w:hAnsi="Arial" w:cs="Arial"/>
          <w:b/>
          <w:sz w:val="24"/>
          <w:szCs w:val="24"/>
          <w:lang w:val="en-GB"/>
        </w:rPr>
        <w:t>utputs</w:t>
      </w:r>
      <w:r w:rsidR="00441FD3">
        <w:rPr>
          <w:rFonts w:ascii="Arial" w:hAnsi="Arial" w:cs="Arial"/>
          <w:b/>
          <w:sz w:val="24"/>
          <w:szCs w:val="24"/>
          <w:lang w:val="en-GB"/>
        </w:rPr>
        <w:t xml:space="preserve"> of the task force</w:t>
      </w:r>
    </w:p>
    <w:p w:rsidR="00D869D8" w:rsidRDefault="00495AF0" w:rsidP="00495AF0">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2</w:t>
      </w:r>
      <w:r w:rsidR="00CF3EE1">
        <w:rPr>
          <w:rFonts w:ascii="Arial" w:hAnsi="Arial" w:cs="Arial"/>
          <w:sz w:val="24"/>
          <w:szCs w:val="24"/>
          <w:lang w:val="en-GB"/>
        </w:rPr>
        <w:t>1</w:t>
      </w:r>
      <w:r>
        <w:rPr>
          <w:rFonts w:ascii="Arial" w:hAnsi="Arial" w:cs="Arial"/>
          <w:sz w:val="24"/>
          <w:szCs w:val="24"/>
          <w:lang w:val="en-GB"/>
        </w:rPr>
        <w:t xml:space="preserve"> Member States provided with t+45 estimates from 2015Q1 to 2017Q4 (back estimates for 2015 and 2016)</w:t>
      </w:r>
    </w:p>
    <w:p w:rsidR="00495AF0" w:rsidRDefault="00A463CC" w:rsidP="00495AF0">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Around</w:t>
      </w:r>
      <w:r w:rsidR="00495AF0">
        <w:rPr>
          <w:rFonts w:ascii="Arial" w:hAnsi="Arial" w:cs="Arial"/>
          <w:sz w:val="24"/>
          <w:szCs w:val="24"/>
          <w:lang w:val="en-GB"/>
        </w:rPr>
        <w:t xml:space="preserve"> 10 Member States provided with t+30 estimates from 2015Q1 to 2017Q4</w:t>
      </w:r>
    </w:p>
    <w:p w:rsidR="000B44C7" w:rsidRDefault="00CB26E7" w:rsidP="00495AF0">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A</w:t>
      </w:r>
      <w:r w:rsidR="000B44C7">
        <w:rPr>
          <w:rFonts w:ascii="Arial" w:hAnsi="Arial" w:cs="Arial"/>
          <w:sz w:val="24"/>
          <w:szCs w:val="24"/>
          <w:lang w:val="en-GB"/>
        </w:rPr>
        <w:t xml:space="preserve"> compilation methodology for European aggregates including quality acceptance criteria was </w:t>
      </w:r>
      <w:r>
        <w:rPr>
          <w:rFonts w:ascii="Arial" w:hAnsi="Arial" w:cs="Arial"/>
          <w:sz w:val="24"/>
          <w:szCs w:val="24"/>
          <w:lang w:val="en-GB"/>
        </w:rPr>
        <w:t xml:space="preserve">defined and </w:t>
      </w:r>
      <w:r w:rsidR="000B44C7">
        <w:rPr>
          <w:rFonts w:ascii="Arial" w:hAnsi="Arial" w:cs="Arial"/>
          <w:sz w:val="24"/>
          <w:szCs w:val="24"/>
          <w:lang w:val="en-GB"/>
        </w:rPr>
        <w:t>agreed</w:t>
      </w:r>
    </w:p>
    <w:p w:rsidR="000B44C7" w:rsidRDefault="000B44C7" w:rsidP="00495AF0">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Discussion and exchanges on national methodologies during the meetings</w:t>
      </w:r>
    </w:p>
    <w:p w:rsidR="000B44C7" w:rsidRPr="000B44C7" w:rsidRDefault="000B44C7" w:rsidP="00495AF0">
      <w:pPr>
        <w:pStyle w:val="ListParagraph"/>
        <w:numPr>
          <w:ilvl w:val="0"/>
          <w:numId w:val="4"/>
        </w:numPr>
        <w:spacing w:before="120" w:after="0" w:line="360" w:lineRule="auto"/>
        <w:jc w:val="both"/>
        <w:rPr>
          <w:rFonts w:ascii="Arial" w:hAnsi="Arial" w:cs="Arial"/>
          <w:sz w:val="24"/>
          <w:szCs w:val="24"/>
          <w:lang w:val="en-GB"/>
        </w:rPr>
      </w:pPr>
      <w:r w:rsidRPr="000B44C7">
        <w:rPr>
          <w:rFonts w:ascii="Arial" w:hAnsi="Arial" w:cs="Arial"/>
          <w:sz w:val="24"/>
          <w:szCs w:val="24"/>
          <w:lang w:val="en-GB"/>
        </w:rPr>
        <w:t xml:space="preserve">A guidance document for national estimation techniques </w:t>
      </w:r>
      <w:r w:rsidR="0089375F">
        <w:rPr>
          <w:rFonts w:ascii="Arial" w:hAnsi="Arial" w:cs="Arial"/>
          <w:sz w:val="24"/>
          <w:szCs w:val="24"/>
          <w:lang w:val="en-GB"/>
        </w:rPr>
        <w:t xml:space="preserve">coordinated </w:t>
      </w:r>
      <w:r w:rsidRPr="000B44C7">
        <w:rPr>
          <w:rFonts w:ascii="Arial" w:hAnsi="Arial" w:cs="Arial"/>
          <w:sz w:val="24"/>
          <w:szCs w:val="24"/>
          <w:lang w:val="en-GB"/>
        </w:rPr>
        <w:t>by Germany and Austria</w:t>
      </w:r>
    </w:p>
    <w:p w:rsidR="00495AF0" w:rsidRDefault="00CF3EE1" w:rsidP="00495AF0">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Around</w:t>
      </w:r>
      <w:r w:rsidR="009A797B">
        <w:rPr>
          <w:rFonts w:ascii="Arial" w:hAnsi="Arial" w:cs="Arial"/>
          <w:sz w:val="24"/>
          <w:szCs w:val="24"/>
          <w:lang w:val="en-GB"/>
        </w:rPr>
        <w:t xml:space="preserve"> 1</w:t>
      </w:r>
      <w:r>
        <w:rPr>
          <w:rFonts w:ascii="Arial" w:hAnsi="Arial" w:cs="Arial"/>
          <w:sz w:val="24"/>
          <w:szCs w:val="24"/>
          <w:lang w:val="en-GB"/>
        </w:rPr>
        <w:t>0</w:t>
      </w:r>
      <w:r w:rsidR="00495AF0">
        <w:rPr>
          <w:rFonts w:ascii="Arial" w:hAnsi="Arial" w:cs="Arial"/>
          <w:sz w:val="24"/>
          <w:szCs w:val="24"/>
          <w:lang w:val="en-GB"/>
        </w:rPr>
        <w:t xml:space="preserve"> Member States </w:t>
      </w:r>
      <w:r w:rsidR="005E5F49">
        <w:rPr>
          <w:rFonts w:ascii="Arial" w:hAnsi="Arial" w:cs="Arial"/>
          <w:sz w:val="24"/>
          <w:szCs w:val="24"/>
          <w:lang w:val="en-GB"/>
        </w:rPr>
        <w:t xml:space="preserve">have so far </w:t>
      </w:r>
      <w:r w:rsidR="009902A3">
        <w:rPr>
          <w:rFonts w:ascii="Arial" w:hAnsi="Arial" w:cs="Arial"/>
          <w:sz w:val="24"/>
          <w:szCs w:val="24"/>
          <w:lang w:val="en-GB"/>
        </w:rPr>
        <w:t>produced a description of</w:t>
      </w:r>
      <w:r w:rsidR="00495AF0">
        <w:rPr>
          <w:rFonts w:ascii="Arial" w:hAnsi="Arial" w:cs="Arial"/>
          <w:sz w:val="24"/>
          <w:szCs w:val="24"/>
          <w:lang w:val="en-GB"/>
        </w:rPr>
        <w:t xml:space="preserve"> their methodology </w:t>
      </w:r>
      <w:r w:rsidR="009902A3">
        <w:rPr>
          <w:rFonts w:ascii="Arial" w:hAnsi="Arial" w:cs="Arial"/>
          <w:sz w:val="24"/>
          <w:szCs w:val="24"/>
          <w:lang w:val="en-GB"/>
        </w:rPr>
        <w:t>on</w:t>
      </w:r>
      <w:r w:rsidR="00495AF0">
        <w:rPr>
          <w:rFonts w:ascii="Arial" w:hAnsi="Arial" w:cs="Arial"/>
          <w:sz w:val="24"/>
          <w:szCs w:val="24"/>
          <w:lang w:val="en-GB"/>
        </w:rPr>
        <w:t xml:space="preserve"> employment estimates</w:t>
      </w:r>
      <w:r w:rsidR="009902A3">
        <w:rPr>
          <w:rFonts w:ascii="Arial" w:hAnsi="Arial" w:cs="Arial"/>
          <w:sz w:val="24"/>
          <w:szCs w:val="24"/>
          <w:lang w:val="en-GB"/>
        </w:rPr>
        <w:t>: source, variables, estimation process, modelling, results, publication, revisions…</w:t>
      </w:r>
      <w:r w:rsidR="000B44C7">
        <w:rPr>
          <w:rFonts w:ascii="Arial" w:hAnsi="Arial" w:cs="Arial"/>
          <w:sz w:val="24"/>
          <w:szCs w:val="24"/>
          <w:lang w:val="en-GB"/>
        </w:rPr>
        <w:t xml:space="preserve">(annex </w:t>
      </w:r>
      <w:r w:rsidR="00190F59">
        <w:rPr>
          <w:rFonts w:ascii="Arial" w:hAnsi="Arial" w:cs="Arial"/>
          <w:sz w:val="24"/>
          <w:szCs w:val="24"/>
          <w:lang w:val="en-GB"/>
        </w:rPr>
        <w:t>of</w:t>
      </w:r>
      <w:r w:rsidR="000B44C7">
        <w:rPr>
          <w:rFonts w:ascii="Arial" w:hAnsi="Arial" w:cs="Arial"/>
          <w:sz w:val="24"/>
          <w:szCs w:val="24"/>
          <w:lang w:val="en-GB"/>
        </w:rPr>
        <w:t xml:space="preserve"> the guidance document)</w:t>
      </w:r>
    </w:p>
    <w:p w:rsidR="00A463CC" w:rsidRPr="00A463CC" w:rsidRDefault="00A463CC" w:rsidP="00A463CC">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A methodological document on European employment aggregates by Eurostat</w:t>
      </w:r>
    </w:p>
    <w:p w:rsidR="001A3235" w:rsidRPr="00A463CC" w:rsidRDefault="001A3235" w:rsidP="003A1D16">
      <w:pPr>
        <w:spacing w:before="120" w:after="0" w:line="360" w:lineRule="auto"/>
        <w:jc w:val="both"/>
        <w:rPr>
          <w:rFonts w:ascii="Arial" w:hAnsi="Arial" w:cs="Arial"/>
          <w:sz w:val="24"/>
          <w:szCs w:val="24"/>
          <w:lang w:val="en-GB"/>
        </w:rPr>
      </w:pPr>
    </w:p>
    <w:p w:rsidR="00D0258C" w:rsidRPr="0028150C" w:rsidRDefault="000B44C7"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D0258C" w:rsidRPr="0028150C">
        <w:rPr>
          <w:rFonts w:ascii="Arial" w:hAnsi="Arial" w:cs="Arial"/>
          <w:b/>
          <w:sz w:val="24"/>
          <w:szCs w:val="24"/>
          <w:lang w:val="en-GB"/>
        </w:rPr>
        <w:t xml:space="preserve">. </w:t>
      </w:r>
      <w:r>
        <w:rPr>
          <w:rFonts w:ascii="Arial" w:hAnsi="Arial" w:cs="Arial"/>
          <w:b/>
          <w:sz w:val="24"/>
          <w:szCs w:val="24"/>
          <w:lang w:val="en-GB"/>
        </w:rPr>
        <w:t>Description of the c</w:t>
      </w:r>
      <w:r w:rsidR="00A70029">
        <w:rPr>
          <w:rFonts w:ascii="Arial" w:hAnsi="Arial" w:cs="Arial"/>
          <w:b/>
          <w:sz w:val="24"/>
          <w:szCs w:val="24"/>
          <w:lang w:val="en-GB"/>
        </w:rPr>
        <w:t>ompilation methodology</w:t>
      </w:r>
      <w:r>
        <w:rPr>
          <w:rFonts w:ascii="Arial" w:hAnsi="Arial" w:cs="Arial"/>
          <w:b/>
          <w:sz w:val="24"/>
          <w:szCs w:val="24"/>
          <w:lang w:val="en-GB"/>
        </w:rPr>
        <w:t xml:space="preserve"> for European aggregates</w:t>
      </w:r>
    </w:p>
    <w:p w:rsidR="00E46B50" w:rsidRPr="00E46B50" w:rsidRDefault="00E46B50" w:rsidP="00E46B50">
      <w:pPr>
        <w:spacing w:before="120" w:after="0" w:line="360" w:lineRule="auto"/>
        <w:jc w:val="both"/>
        <w:rPr>
          <w:rFonts w:ascii="Arial" w:hAnsi="Arial" w:cs="Arial"/>
          <w:sz w:val="24"/>
          <w:szCs w:val="24"/>
          <w:lang w:val="en-GB"/>
        </w:rPr>
      </w:pPr>
      <w:r w:rsidRPr="00E46B50">
        <w:rPr>
          <w:rFonts w:ascii="Arial" w:hAnsi="Arial" w:cs="Arial"/>
          <w:sz w:val="24"/>
          <w:szCs w:val="24"/>
          <w:lang w:val="en-GB"/>
        </w:rPr>
        <w:t xml:space="preserve">The methodology and compilation process that is described below is valid for both the employment estimation at 30 and 45 days after the quarter-end. The compilation </w:t>
      </w:r>
      <w:r w:rsidRPr="00E46B50">
        <w:rPr>
          <w:rFonts w:ascii="Arial" w:hAnsi="Arial" w:cs="Arial"/>
          <w:sz w:val="24"/>
          <w:szCs w:val="24"/>
          <w:lang w:val="en-GB"/>
        </w:rPr>
        <w:lastRenderedPageBreak/>
        <w:t>process for producing the employment flash estimates for the euro area and the EU can be described in four steps:</w:t>
      </w:r>
    </w:p>
    <w:p w:rsidR="00740151" w:rsidRDefault="00E46B50" w:rsidP="00E46B50">
      <w:pPr>
        <w:spacing w:before="120" w:after="0" w:line="360" w:lineRule="auto"/>
        <w:jc w:val="both"/>
        <w:rPr>
          <w:rFonts w:ascii="Arial" w:hAnsi="Arial" w:cs="Arial"/>
          <w:sz w:val="24"/>
          <w:szCs w:val="24"/>
          <w:lang w:val="en-GB"/>
        </w:rPr>
      </w:pPr>
      <w:r w:rsidRPr="00E46B50">
        <w:rPr>
          <w:rFonts w:ascii="Arial" w:hAnsi="Arial" w:cs="Arial"/>
          <w:sz w:val="24"/>
          <w:szCs w:val="24"/>
          <w:lang w:val="en-GB"/>
        </w:rPr>
        <w:t>1.</w:t>
      </w:r>
      <w:r w:rsidRPr="00E46B50">
        <w:rPr>
          <w:rFonts w:ascii="Arial" w:hAnsi="Arial" w:cs="Arial"/>
          <w:sz w:val="24"/>
          <w:szCs w:val="24"/>
          <w:lang w:val="en-GB"/>
        </w:rPr>
        <w:tab/>
        <w:t>A group of Member States send their quarter-on-quarter seasonally and calendar-adjusted employment growth estimates and their year-on-year unadjusted employment growth rates at least one working day before the agreed publication day (in the testing stage: mock publication date) to Eurostat. This group includes Member States that already publish their estimates nationally and Member States that send confidential estimates to Eurostat.</w:t>
      </w:r>
      <w:r w:rsidR="00456A1E">
        <w:rPr>
          <w:rFonts w:ascii="Arial" w:hAnsi="Arial" w:cs="Arial"/>
          <w:sz w:val="24"/>
          <w:szCs w:val="24"/>
          <w:lang w:val="en-GB"/>
        </w:rPr>
        <w:t xml:space="preserve"> </w:t>
      </w:r>
    </w:p>
    <w:p w:rsidR="00E46B50" w:rsidRPr="00E46B50" w:rsidRDefault="00456A1E" w:rsidP="00E46B50">
      <w:pPr>
        <w:spacing w:before="120" w:after="0" w:line="360" w:lineRule="auto"/>
        <w:jc w:val="both"/>
        <w:rPr>
          <w:rFonts w:ascii="Arial" w:hAnsi="Arial" w:cs="Arial"/>
          <w:sz w:val="24"/>
          <w:szCs w:val="24"/>
          <w:lang w:val="en-GB"/>
        </w:rPr>
      </w:pPr>
      <w:r>
        <w:rPr>
          <w:rFonts w:ascii="Arial" w:hAnsi="Arial" w:cs="Arial"/>
          <w:sz w:val="24"/>
          <w:szCs w:val="24"/>
          <w:lang w:val="en-GB"/>
        </w:rPr>
        <w:t xml:space="preserve">Regarding the t+45 test estimates, from 14 to 21 Member States sent their data depending the quarter. Regarding the t+30 test estimates, </w:t>
      </w:r>
      <w:r w:rsidR="00740151">
        <w:rPr>
          <w:rFonts w:ascii="Arial" w:hAnsi="Arial" w:cs="Arial"/>
          <w:sz w:val="24"/>
          <w:szCs w:val="24"/>
          <w:lang w:val="en-GB"/>
        </w:rPr>
        <w:t>these numbers are far below (</w:t>
      </w:r>
      <w:r>
        <w:rPr>
          <w:rFonts w:ascii="Arial" w:hAnsi="Arial" w:cs="Arial"/>
          <w:sz w:val="24"/>
          <w:szCs w:val="24"/>
          <w:lang w:val="en-GB"/>
        </w:rPr>
        <w:t>7 to 10 Member States</w:t>
      </w:r>
      <w:r w:rsidR="00740151">
        <w:rPr>
          <w:rFonts w:ascii="Arial" w:hAnsi="Arial" w:cs="Arial"/>
          <w:sz w:val="24"/>
          <w:szCs w:val="24"/>
          <w:lang w:val="en-GB"/>
        </w:rPr>
        <w:t>)</w:t>
      </w:r>
      <w:r>
        <w:rPr>
          <w:rFonts w:ascii="Arial" w:hAnsi="Arial" w:cs="Arial"/>
          <w:sz w:val="24"/>
          <w:szCs w:val="24"/>
          <w:lang w:val="en-GB"/>
        </w:rPr>
        <w:t>.</w:t>
      </w:r>
    </w:p>
    <w:p w:rsidR="00E46B50" w:rsidRPr="00E46B50" w:rsidRDefault="00E46B50" w:rsidP="00E46B50">
      <w:pPr>
        <w:spacing w:before="120" w:after="0" w:line="360" w:lineRule="auto"/>
        <w:jc w:val="both"/>
        <w:rPr>
          <w:rFonts w:ascii="Arial" w:hAnsi="Arial" w:cs="Arial"/>
          <w:sz w:val="24"/>
          <w:szCs w:val="24"/>
          <w:lang w:val="en-GB"/>
        </w:rPr>
      </w:pPr>
      <w:r w:rsidRPr="00E46B50">
        <w:rPr>
          <w:rFonts w:ascii="Arial" w:hAnsi="Arial" w:cs="Arial"/>
          <w:sz w:val="24"/>
          <w:szCs w:val="24"/>
          <w:lang w:val="en-GB"/>
        </w:rPr>
        <w:t>2.</w:t>
      </w:r>
      <w:r w:rsidRPr="00E46B50">
        <w:rPr>
          <w:rFonts w:ascii="Arial" w:hAnsi="Arial" w:cs="Arial"/>
          <w:sz w:val="24"/>
          <w:szCs w:val="24"/>
          <w:lang w:val="en-GB"/>
        </w:rPr>
        <w:tab/>
        <w:t>Optional: preparation of estimates for missing countries. This step is elaborated below.</w:t>
      </w:r>
    </w:p>
    <w:p w:rsidR="00E46B50" w:rsidRPr="00E46B50" w:rsidRDefault="00E46B50" w:rsidP="00E46B50">
      <w:pPr>
        <w:spacing w:before="120" w:after="0" w:line="360" w:lineRule="auto"/>
        <w:jc w:val="both"/>
        <w:rPr>
          <w:rFonts w:ascii="Arial" w:hAnsi="Arial" w:cs="Arial"/>
          <w:sz w:val="24"/>
          <w:szCs w:val="24"/>
          <w:lang w:val="en-GB"/>
        </w:rPr>
      </w:pPr>
      <w:r w:rsidRPr="00E46B50">
        <w:rPr>
          <w:rFonts w:ascii="Arial" w:hAnsi="Arial" w:cs="Arial"/>
          <w:sz w:val="24"/>
          <w:szCs w:val="24"/>
          <w:lang w:val="en-GB"/>
        </w:rPr>
        <w:t>3.</w:t>
      </w:r>
      <w:r w:rsidRPr="00E46B50">
        <w:rPr>
          <w:rFonts w:ascii="Arial" w:hAnsi="Arial" w:cs="Arial"/>
          <w:sz w:val="24"/>
          <w:szCs w:val="24"/>
          <w:lang w:val="en-GB"/>
        </w:rPr>
        <w:tab/>
        <w:t>Eurostat aggregates the countries’ quarter-on-quarter and year-on-year growth rates using the weights of their respective annual data for total employment in persons to produce aggregate growth rates for the euro area and the EU. For this purpose annual data of year y-2 are used for the first and the second quarter, and annual data of year t-1 for the third and the fourth quarter.</w:t>
      </w:r>
    </w:p>
    <w:p w:rsidR="00E46B50" w:rsidRDefault="00E46B50" w:rsidP="00E46B50">
      <w:pPr>
        <w:spacing w:before="120" w:after="0" w:line="360" w:lineRule="auto"/>
        <w:jc w:val="both"/>
        <w:rPr>
          <w:rFonts w:ascii="Arial" w:hAnsi="Arial" w:cs="Arial"/>
          <w:sz w:val="24"/>
          <w:szCs w:val="24"/>
          <w:lang w:val="en-GB"/>
        </w:rPr>
      </w:pPr>
      <w:r w:rsidRPr="00E46B50">
        <w:rPr>
          <w:rFonts w:ascii="Arial" w:hAnsi="Arial" w:cs="Arial"/>
          <w:sz w:val="24"/>
          <w:szCs w:val="24"/>
          <w:lang w:val="en-GB"/>
        </w:rPr>
        <w:t>4.</w:t>
      </w:r>
      <w:r w:rsidRPr="00E46B50">
        <w:rPr>
          <w:rFonts w:ascii="Arial" w:hAnsi="Arial" w:cs="Arial"/>
          <w:sz w:val="24"/>
          <w:szCs w:val="24"/>
          <w:lang w:val="en-GB"/>
        </w:rPr>
        <w:tab/>
        <w:t>The resulting growth rates for the euro area and the EU are used to calculate the corresponding level data. Euro area and EU growth rates can be published in a news release; growth rates and level data can be disseminated in the Eurostat data base. If Member States publish their employment flash estimates nationally, these data can also be made available in the Eurostat data base.</w:t>
      </w:r>
    </w:p>
    <w:p w:rsidR="00E46B50" w:rsidRDefault="00E46B50" w:rsidP="003A1D16">
      <w:pPr>
        <w:spacing w:before="120" w:after="0" w:line="360" w:lineRule="auto"/>
        <w:jc w:val="both"/>
        <w:rPr>
          <w:rFonts w:ascii="Arial" w:hAnsi="Arial" w:cs="Arial"/>
          <w:sz w:val="24"/>
          <w:szCs w:val="24"/>
          <w:lang w:val="en-GB"/>
        </w:rPr>
      </w:pPr>
    </w:p>
    <w:p w:rsidR="00E46B50" w:rsidRDefault="00E46B50" w:rsidP="003A1D16">
      <w:pPr>
        <w:spacing w:before="120" w:after="0" w:line="360" w:lineRule="auto"/>
        <w:jc w:val="both"/>
        <w:rPr>
          <w:rFonts w:ascii="Arial" w:hAnsi="Arial" w:cs="Arial"/>
          <w:sz w:val="24"/>
          <w:szCs w:val="24"/>
          <w:lang w:val="en-GB"/>
        </w:rPr>
      </w:pPr>
      <w:r>
        <w:rPr>
          <w:rFonts w:ascii="Arial" w:hAnsi="Arial" w:cs="Arial"/>
          <w:sz w:val="24"/>
          <w:szCs w:val="24"/>
          <w:lang w:val="en-GB"/>
        </w:rPr>
        <w:t>Three methods were investigated to estimate missing countries:</w:t>
      </w:r>
    </w:p>
    <w:p w:rsidR="00E46B50" w:rsidRPr="000F597C" w:rsidRDefault="00E46B50" w:rsidP="000F597C">
      <w:pPr>
        <w:pStyle w:val="ListParagraph"/>
        <w:numPr>
          <w:ilvl w:val="0"/>
          <w:numId w:val="2"/>
        </w:numPr>
        <w:spacing w:before="120" w:after="0" w:line="360" w:lineRule="auto"/>
        <w:jc w:val="both"/>
        <w:rPr>
          <w:rFonts w:ascii="Arial" w:hAnsi="Arial" w:cs="Arial"/>
          <w:sz w:val="24"/>
          <w:szCs w:val="24"/>
          <w:lang w:val="en-GB"/>
        </w:rPr>
      </w:pPr>
      <w:r w:rsidRPr="000F597C">
        <w:rPr>
          <w:rFonts w:ascii="Arial" w:hAnsi="Arial" w:cs="Arial"/>
          <w:sz w:val="24"/>
          <w:szCs w:val="24"/>
          <w:lang w:val="en-GB"/>
        </w:rPr>
        <w:t>1</w:t>
      </w:r>
      <w:r w:rsidR="000F597C" w:rsidRPr="000F597C">
        <w:rPr>
          <w:rFonts w:ascii="Arial" w:hAnsi="Arial" w:cs="Arial"/>
          <w:sz w:val="24"/>
          <w:szCs w:val="24"/>
          <w:vertAlign w:val="superscript"/>
          <w:lang w:val="en-GB"/>
        </w:rPr>
        <w:t>st</w:t>
      </w:r>
      <w:r w:rsidR="000F597C" w:rsidRPr="000F597C">
        <w:rPr>
          <w:rFonts w:ascii="Arial" w:hAnsi="Arial" w:cs="Arial"/>
          <w:sz w:val="24"/>
          <w:szCs w:val="24"/>
          <w:lang w:val="en-GB"/>
        </w:rPr>
        <w:t xml:space="preserve"> method:</w:t>
      </w:r>
      <w:r w:rsidRPr="000F597C">
        <w:rPr>
          <w:rFonts w:ascii="Arial" w:hAnsi="Arial" w:cs="Arial"/>
          <w:sz w:val="24"/>
          <w:szCs w:val="24"/>
          <w:lang w:val="en-GB"/>
        </w:rPr>
        <w:t xml:space="preserve"> All missing countries are estimated by the average of the non-missing countries</w:t>
      </w:r>
    </w:p>
    <w:p w:rsidR="00E46B50" w:rsidRPr="000F597C" w:rsidRDefault="00E46B50" w:rsidP="000F597C">
      <w:pPr>
        <w:pStyle w:val="ListParagraph"/>
        <w:numPr>
          <w:ilvl w:val="0"/>
          <w:numId w:val="2"/>
        </w:numPr>
        <w:spacing w:before="120" w:after="0" w:line="360" w:lineRule="auto"/>
        <w:jc w:val="both"/>
        <w:rPr>
          <w:rFonts w:ascii="Arial" w:hAnsi="Arial" w:cs="Arial"/>
          <w:sz w:val="24"/>
          <w:szCs w:val="24"/>
          <w:lang w:val="en-GB"/>
        </w:rPr>
      </w:pPr>
      <w:r w:rsidRPr="000F597C">
        <w:rPr>
          <w:rFonts w:ascii="Arial" w:hAnsi="Arial" w:cs="Arial"/>
          <w:sz w:val="24"/>
          <w:szCs w:val="24"/>
          <w:lang w:val="en-GB"/>
        </w:rPr>
        <w:t>2</w:t>
      </w:r>
      <w:r w:rsidR="000F597C" w:rsidRPr="000F597C">
        <w:rPr>
          <w:rFonts w:ascii="Arial" w:hAnsi="Arial" w:cs="Arial"/>
          <w:sz w:val="24"/>
          <w:szCs w:val="24"/>
          <w:vertAlign w:val="superscript"/>
          <w:lang w:val="en-GB"/>
        </w:rPr>
        <w:t>nd</w:t>
      </w:r>
      <w:r w:rsidR="000F597C">
        <w:rPr>
          <w:rFonts w:ascii="Arial" w:hAnsi="Arial" w:cs="Arial"/>
          <w:sz w:val="24"/>
          <w:szCs w:val="24"/>
          <w:lang w:val="en-GB"/>
        </w:rPr>
        <w:t xml:space="preserve"> method:</w:t>
      </w:r>
      <w:r w:rsidRPr="000F597C">
        <w:rPr>
          <w:rFonts w:ascii="Arial" w:hAnsi="Arial" w:cs="Arial"/>
          <w:sz w:val="24"/>
          <w:szCs w:val="24"/>
          <w:lang w:val="en-GB"/>
        </w:rPr>
        <w:t xml:space="preserve"> If a large country is missing, it is estimated by modelling if the model is sufficiently reliable</w:t>
      </w:r>
    </w:p>
    <w:p w:rsidR="00E46B50" w:rsidRPr="00CB26E7" w:rsidRDefault="00E46B50" w:rsidP="003A1D16">
      <w:pPr>
        <w:pStyle w:val="ListParagraph"/>
        <w:numPr>
          <w:ilvl w:val="0"/>
          <w:numId w:val="2"/>
        </w:numPr>
        <w:spacing w:before="120" w:after="0" w:line="360" w:lineRule="auto"/>
        <w:jc w:val="both"/>
        <w:rPr>
          <w:rFonts w:ascii="Arial" w:hAnsi="Arial" w:cs="Arial"/>
          <w:sz w:val="24"/>
          <w:szCs w:val="24"/>
          <w:lang w:val="en-GB"/>
        </w:rPr>
      </w:pPr>
      <w:r w:rsidRPr="00CB26E7">
        <w:rPr>
          <w:rFonts w:ascii="Arial" w:hAnsi="Arial" w:cs="Arial"/>
          <w:sz w:val="24"/>
          <w:szCs w:val="24"/>
          <w:lang w:val="en-GB"/>
        </w:rPr>
        <w:t>3</w:t>
      </w:r>
      <w:r w:rsidR="000F597C" w:rsidRPr="00CB26E7">
        <w:rPr>
          <w:rFonts w:ascii="Arial" w:hAnsi="Arial" w:cs="Arial"/>
          <w:sz w:val="24"/>
          <w:szCs w:val="24"/>
          <w:vertAlign w:val="superscript"/>
          <w:lang w:val="en-GB"/>
        </w:rPr>
        <w:t>rd</w:t>
      </w:r>
      <w:r w:rsidR="000F597C" w:rsidRPr="00CB26E7">
        <w:rPr>
          <w:rFonts w:ascii="Arial" w:hAnsi="Arial" w:cs="Arial"/>
          <w:sz w:val="24"/>
          <w:szCs w:val="24"/>
          <w:lang w:val="en-GB"/>
        </w:rPr>
        <w:t xml:space="preserve"> method:</w:t>
      </w:r>
      <w:r w:rsidRPr="00CB26E7">
        <w:rPr>
          <w:rFonts w:ascii="Arial" w:hAnsi="Arial" w:cs="Arial"/>
          <w:sz w:val="24"/>
          <w:szCs w:val="24"/>
          <w:lang w:val="en-GB"/>
        </w:rPr>
        <w:t xml:space="preserve"> Large countries are estimated by modelling and the others by making use of available Labour Force Survey (LFS) as a proxy. This latter </w:t>
      </w:r>
      <w:r w:rsidRPr="00CB26E7">
        <w:rPr>
          <w:rFonts w:ascii="Arial" w:hAnsi="Arial" w:cs="Arial"/>
          <w:sz w:val="24"/>
          <w:szCs w:val="24"/>
          <w:lang w:val="en-GB"/>
        </w:rPr>
        <w:lastRenderedPageBreak/>
        <w:t xml:space="preserve">source is </w:t>
      </w:r>
      <w:r w:rsidR="000F597C" w:rsidRPr="00CB26E7">
        <w:rPr>
          <w:rFonts w:ascii="Arial" w:hAnsi="Arial" w:cs="Arial"/>
          <w:sz w:val="24"/>
          <w:szCs w:val="24"/>
          <w:lang w:val="en-GB"/>
        </w:rPr>
        <w:t xml:space="preserve">only </w:t>
      </w:r>
      <w:r w:rsidRPr="00CB26E7">
        <w:rPr>
          <w:rFonts w:ascii="Arial" w:hAnsi="Arial" w:cs="Arial"/>
          <w:sz w:val="24"/>
          <w:szCs w:val="24"/>
          <w:lang w:val="en-GB"/>
        </w:rPr>
        <w:t xml:space="preserve">possible if data are available at t+30 / t+45 (for around 10 </w:t>
      </w:r>
      <w:r w:rsidR="00740151" w:rsidRPr="00CB26E7">
        <w:rPr>
          <w:rFonts w:ascii="Arial" w:hAnsi="Arial" w:cs="Arial"/>
          <w:sz w:val="24"/>
          <w:szCs w:val="24"/>
          <w:lang w:val="en-GB"/>
        </w:rPr>
        <w:t>countries)</w:t>
      </w:r>
    </w:p>
    <w:p w:rsidR="00580620" w:rsidRDefault="00601D0B" w:rsidP="003A1D16">
      <w:pPr>
        <w:spacing w:before="120" w:after="0" w:line="360" w:lineRule="auto"/>
        <w:jc w:val="both"/>
        <w:rPr>
          <w:rFonts w:ascii="Arial" w:hAnsi="Arial" w:cs="Arial"/>
          <w:sz w:val="24"/>
          <w:szCs w:val="24"/>
          <w:lang w:val="en-GB"/>
        </w:rPr>
      </w:pPr>
      <w:r w:rsidRPr="00601D0B">
        <w:rPr>
          <w:rFonts w:ascii="Arial" w:hAnsi="Arial" w:cs="Arial"/>
          <w:sz w:val="24"/>
          <w:szCs w:val="24"/>
          <w:lang w:val="en-GB"/>
        </w:rPr>
        <w:t>Test estimates for the euro area and the EU were produced for 12 quarters: 2015Q1-2017Q4. Of these, the data for 2015-2016 quarters are produced on a retrospective basis and the 2017 quarters are real-time estimations. Euro area and EU test estimates were produced for the seasonally and calendar adjusted quarter-on-quarter growth rates of the variable employment in persons, as well as for the unadjusted year-on-year growth rates.</w:t>
      </w:r>
    </w:p>
    <w:p w:rsidR="00E46B50" w:rsidRDefault="00580620" w:rsidP="003A1D16">
      <w:pPr>
        <w:spacing w:before="120" w:after="0" w:line="360" w:lineRule="auto"/>
        <w:jc w:val="both"/>
        <w:rPr>
          <w:rFonts w:ascii="Arial" w:hAnsi="Arial" w:cs="Arial"/>
          <w:sz w:val="24"/>
          <w:szCs w:val="24"/>
          <w:lang w:val="en-GB"/>
        </w:rPr>
      </w:pPr>
      <w:r w:rsidRPr="00580620">
        <w:rPr>
          <w:rFonts w:ascii="Arial" w:hAnsi="Arial" w:cs="Arial"/>
          <w:sz w:val="24"/>
          <w:szCs w:val="24"/>
          <w:lang w:val="en-GB"/>
        </w:rPr>
        <w:t>The test estimates were produced both at 30 days and at 45 days after the end of the reference quarter.</w:t>
      </w:r>
    </w:p>
    <w:p w:rsidR="006B63F1" w:rsidRDefault="006B63F1" w:rsidP="003A1D16">
      <w:pPr>
        <w:spacing w:before="120" w:after="0" w:line="360" w:lineRule="auto"/>
        <w:jc w:val="both"/>
        <w:rPr>
          <w:rFonts w:ascii="Arial" w:hAnsi="Arial" w:cs="Arial"/>
          <w:sz w:val="24"/>
          <w:szCs w:val="24"/>
          <w:lang w:val="en-GB"/>
        </w:rPr>
      </w:pPr>
      <w:bookmarkStart w:id="0" w:name="_GoBack"/>
      <w:bookmarkEnd w:id="0"/>
    </w:p>
    <w:p w:rsidR="00CB49DB" w:rsidRPr="00DD4977" w:rsidRDefault="00CB49DB" w:rsidP="003A1D16">
      <w:pPr>
        <w:spacing w:before="120" w:after="0" w:line="360" w:lineRule="auto"/>
        <w:jc w:val="both"/>
        <w:rPr>
          <w:rFonts w:ascii="Arial" w:hAnsi="Arial" w:cs="Arial"/>
          <w:sz w:val="24"/>
          <w:szCs w:val="24"/>
          <w:lang w:val="en-GB"/>
        </w:rPr>
      </w:pPr>
    </w:p>
    <w:p w:rsidR="00CB2B44" w:rsidRPr="00EC5F5A" w:rsidRDefault="00CB26E7"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CB2B44" w:rsidRPr="00EC5F5A">
        <w:rPr>
          <w:rFonts w:ascii="Arial" w:hAnsi="Arial" w:cs="Arial"/>
          <w:b/>
          <w:sz w:val="24"/>
          <w:szCs w:val="24"/>
          <w:lang w:val="en-GB"/>
        </w:rPr>
        <w:t xml:space="preserve">. </w:t>
      </w:r>
      <w:r w:rsidR="00A70029">
        <w:rPr>
          <w:rFonts w:ascii="Arial" w:hAnsi="Arial" w:cs="Arial"/>
          <w:b/>
          <w:sz w:val="24"/>
          <w:szCs w:val="24"/>
          <w:lang w:val="en-GB"/>
        </w:rPr>
        <w:t>Quality acceptance criteria</w:t>
      </w:r>
    </w:p>
    <w:p w:rsidR="00A70029" w:rsidRDefault="00C13F29" w:rsidP="004740F1">
      <w:pPr>
        <w:spacing w:before="120" w:after="0" w:line="360" w:lineRule="auto"/>
        <w:jc w:val="both"/>
        <w:rPr>
          <w:rFonts w:ascii="Arial" w:hAnsi="Arial" w:cs="Arial"/>
          <w:sz w:val="24"/>
          <w:szCs w:val="24"/>
          <w:lang w:val="en-GB"/>
        </w:rPr>
      </w:pPr>
      <w:r w:rsidRPr="00C13F29">
        <w:rPr>
          <w:rFonts w:ascii="Arial" w:hAnsi="Arial" w:cs="Arial"/>
          <w:sz w:val="24"/>
          <w:szCs w:val="24"/>
          <w:lang w:val="en-GB"/>
        </w:rPr>
        <w:t>In order to assess whether the compiled European aggregates at 45 days after the end of the reference quarter are of an acceptable quality, it was necessary to set criteria that the results of the test estimates would need to fulfil.</w:t>
      </w:r>
    </w:p>
    <w:p w:rsidR="00C13F29" w:rsidRDefault="00C13F29"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set of criteria combines the criteria used for the GDP t+30 and comparison of the first regular </w:t>
      </w:r>
      <w:r w:rsidRPr="00C13F29">
        <w:rPr>
          <w:rFonts w:ascii="Arial" w:hAnsi="Arial" w:cs="Arial"/>
          <w:sz w:val="24"/>
          <w:szCs w:val="24"/>
          <w:lang w:val="en-GB"/>
        </w:rPr>
        <w:t>quarterly estimate at 75 days after the quarter-end with the next regular transmission at t+165 days.</w:t>
      </w:r>
    </w:p>
    <w:p w:rsidR="00CB49DB" w:rsidRDefault="00CB49DB" w:rsidP="004740F1">
      <w:pPr>
        <w:spacing w:before="120" w:after="0" w:line="360" w:lineRule="auto"/>
        <w:jc w:val="both"/>
        <w:rPr>
          <w:rFonts w:ascii="Arial" w:hAnsi="Arial" w:cs="Arial"/>
          <w:sz w:val="24"/>
          <w:szCs w:val="24"/>
          <w:lang w:val="en-GB"/>
        </w:rPr>
      </w:pPr>
    </w:p>
    <w:p w:rsidR="00C13F29" w:rsidRPr="00EC5F5A" w:rsidRDefault="00CB26E7" w:rsidP="00C13F29">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C13F29" w:rsidRPr="00EC5F5A">
        <w:rPr>
          <w:rFonts w:ascii="Arial" w:hAnsi="Arial" w:cs="Arial"/>
          <w:i/>
          <w:sz w:val="24"/>
          <w:szCs w:val="24"/>
          <w:lang w:val="en-GB"/>
        </w:rPr>
        <w:t xml:space="preserve">.1. </w:t>
      </w:r>
      <w:r w:rsidR="00C13F29" w:rsidRPr="00C13F29">
        <w:rPr>
          <w:rFonts w:ascii="Arial" w:hAnsi="Arial" w:cs="Arial"/>
          <w:i/>
          <w:sz w:val="24"/>
          <w:szCs w:val="24"/>
          <w:lang w:val="en-GB"/>
        </w:rPr>
        <w:t>Limited average revision</w:t>
      </w:r>
    </w:p>
    <w:p w:rsidR="00C13F29" w:rsidRDefault="006B63F1" w:rsidP="00C13F29">
      <w:pPr>
        <w:spacing w:before="120" w:after="0" w:line="360" w:lineRule="auto"/>
        <w:jc w:val="both"/>
        <w:rPr>
          <w:rFonts w:ascii="Arial" w:hAnsi="Arial" w:cs="Arial"/>
          <w:sz w:val="24"/>
          <w:szCs w:val="24"/>
          <w:lang w:val="en-GB"/>
        </w:rPr>
      </w:pPr>
      <w:r w:rsidRPr="006B63F1">
        <w:rPr>
          <w:rFonts w:ascii="Arial" w:hAnsi="Arial" w:cs="Arial"/>
          <w:sz w:val="24"/>
          <w:szCs w:val="24"/>
          <w:lang w:val="en-GB"/>
        </w:rPr>
        <w:t xml:space="preserve">The employment flash estimate should be an unbiased estimate of the t+75 estimate of employment in persons, with an </w:t>
      </w:r>
      <w:r w:rsidRPr="00647292">
        <w:rPr>
          <w:rFonts w:ascii="Arial" w:hAnsi="Arial" w:cs="Arial"/>
          <w:sz w:val="24"/>
          <w:szCs w:val="24"/>
          <w:lang w:val="en-GB"/>
        </w:rPr>
        <w:t xml:space="preserve">average revision </w:t>
      </w:r>
      <w:r w:rsidRPr="006B63F1">
        <w:rPr>
          <w:rFonts w:ascii="Arial" w:hAnsi="Arial" w:cs="Arial"/>
          <w:sz w:val="24"/>
          <w:szCs w:val="24"/>
          <w:u w:val="single"/>
          <w:lang w:val="en-GB"/>
        </w:rPr>
        <w:t>between -0.05 and +0.05</w:t>
      </w:r>
      <w:r w:rsidRPr="006B63F1">
        <w:rPr>
          <w:rFonts w:ascii="Arial" w:hAnsi="Arial" w:cs="Arial"/>
          <w:sz w:val="24"/>
          <w:szCs w:val="24"/>
          <w:lang w:val="en-GB"/>
        </w:rPr>
        <w:t xml:space="preserve"> percentage points.</w:t>
      </w:r>
    </w:p>
    <w:p w:rsidR="00C13F29" w:rsidRPr="00EC5F5A" w:rsidRDefault="00CB26E7" w:rsidP="00C13F29">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C13F29" w:rsidRPr="00EC5F5A">
        <w:rPr>
          <w:rFonts w:ascii="Arial" w:hAnsi="Arial" w:cs="Arial"/>
          <w:i/>
          <w:sz w:val="24"/>
          <w:szCs w:val="24"/>
          <w:lang w:val="en-GB"/>
        </w:rPr>
        <w:t>.</w:t>
      </w:r>
      <w:r w:rsidR="00C13F29">
        <w:rPr>
          <w:rFonts w:ascii="Arial" w:hAnsi="Arial" w:cs="Arial"/>
          <w:i/>
          <w:sz w:val="24"/>
          <w:szCs w:val="24"/>
          <w:lang w:val="en-GB"/>
        </w:rPr>
        <w:t>2</w:t>
      </w:r>
      <w:r w:rsidR="00C13F29" w:rsidRPr="00EC5F5A">
        <w:rPr>
          <w:rFonts w:ascii="Arial" w:hAnsi="Arial" w:cs="Arial"/>
          <w:i/>
          <w:sz w:val="24"/>
          <w:szCs w:val="24"/>
          <w:lang w:val="en-GB"/>
        </w:rPr>
        <w:t xml:space="preserve">. </w:t>
      </w:r>
      <w:r w:rsidR="00C13F29" w:rsidRPr="00C13F29">
        <w:rPr>
          <w:rFonts w:ascii="Arial" w:hAnsi="Arial" w:cs="Arial"/>
          <w:i/>
          <w:sz w:val="24"/>
          <w:szCs w:val="24"/>
          <w:lang w:val="en-GB"/>
        </w:rPr>
        <w:t>Limited average absolute revision</w:t>
      </w:r>
    </w:p>
    <w:p w:rsidR="007A1DDA" w:rsidRDefault="006B63F1" w:rsidP="004740F1">
      <w:pPr>
        <w:spacing w:before="120" w:after="0" w:line="360" w:lineRule="auto"/>
        <w:jc w:val="both"/>
        <w:rPr>
          <w:rFonts w:ascii="Arial" w:hAnsi="Arial" w:cs="Arial"/>
          <w:sz w:val="24"/>
          <w:szCs w:val="24"/>
          <w:lang w:val="en-GB"/>
        </w:rPr>
      </w:pPr>
      <w:r w:rsidRPr="006B63F1">
        <w:rPr>
          <w:rFonts w:ascii="Arial" w:hAnsi="Arial" w:cs="Arial"/>
          <w:sz w:val="24"/>
          <w:szCs w:val="24"/>
          <w:lang w:val="en-GB"/>
        </w:rPr>
        <w:t xml:space="preserve">The average absolute revision made to the t+45 estimates of the quarterly euro area and EU employment growth rates should be </w:t>
      </w:r>
      <w:r w:rsidRPr="006B63F1">
        <w:rPr>
          <w:rFonts w:ascii="Arial" w:hAnsi="Arial" w:cs="Arial"/>
          <w:sz w:val="24"/>
          <w:szCs w:val="24"/>
          <w:u w:val="single"/>
          <w:lang w:val="en-GB"/>
        </w:rPr>
        <w:t>less than or equal to 0.10</w:t>
      </w:r>
      <w:r w:rsidRPr="006B63F1">
        <w:rPr>
          <w:rFonts w:ascii="Arial" w:hAnsi="Arial" w:cs="Arial"/>
          <w:sz w:val="24"/>
          <w:szCs w:val="24"/>
          <w:lang w:val="en-GB"/>
        </w:rPr>
        <w:t xml:space="preserve"> percentage points when the regular t+75 employment estimate is published</w:t>
      </w:r>
      <w:r>
        <w:rPr>
          <w:rFonts w:ascii="Arial" w:hAnsi="Arial" w:cs="Arial"/>
          <w:sz w:val="24"/>
          <w:szCs w:val="24"/>
          <w:lang w:val="en-GB"/>
        </w:rPr>
        <w:t>.</w:t>
      </w:r>
    </w:p>
    <w:p w:rsidR="00C13F29" w:rsidRPr="00EC5F5A" w:rsidRDefault="00CB26E7" w:rsidP="00C13F29">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5</w:t>
      </w:r>
      <w:r w:rsidR="00C13F29" w:rsidRPr="00EC5F5A">
        <w:rPr>
          <w:rFonts w:ascii="Arial" w:hAnsi="Arial" w:cs="Arial"/>
          <w:i/>
          <w:sz w:val="24"/>
          <w:szCs w:val="24"/>
          <w:lang w:val="en-GB"/>
        </w:rPr>
        <w:t>.</w:t>
      </w:r>
      <w:r w:rsidR="00C13F29">
        <w:rPr>
          <w:rFonts w:ascii="Arial" w:hAnsi="Arial" w:cs="Arial"/>
          <w:i/>
          <w:sz w:val="24"/>
          <w:szCs w:val="24"/>
          <w:lang w:val="en-GB"/>
        </w:rPr>
        <w:t>3</w:t>
      </w:r>
      <w:r w:rsidR="00C13F29" w:rsidRPr="00EC5F5A">
        <w:rPr>
          <w:rFonts w:ascii="Arial" w:hAnsi="Arial" w:cs="Arial"/>
          <w:i/>
          <w:sz w:val="24"/>
          <w:szCs w:val="24"/>
          <w:lang w:val="en-GB"/>
        </w:rPr>
        <w:t xml:space="preserve">. </w:t>
      </w:r>
      <w:r w:rsidR="00C13F29" w:rsidRPr="00C13F29">
        <w:rPr>
          <w:rFonts w:ascii="Arial" w:hAnsi="Arial" w:cs="Arial"/>
          <w:i/>
          <w:sz w:val="24"/>
          <w:szCs w:val="24"/>
          <w:lang w:val="en-GB"/>
        </w:rPr>
        <w:t>Sufficient coverage</w:t>
      </w:r>
    </w:p>
    <w:p w:rsidR="00C13F29" w:rsidRDefault="006B63F1" w:rsidP="004740F1">
      <w:pPr>
        <w:spacing w:before="120" w:after="0" w:line="360" w:lineRule="auto"/>
        <w:jc w:val="both"/>
        <w:rPr>
          <w:rFonts w:ascii="Arial" w:hAnsi="Arial" w:cs="Arial"/>
          <w:sz w:val="24"/>
          <w:szCs w:val="24"/>
          <w:lang w:val="en-GB"/>
        </w:rPr>
      </w:pPr>
      <w:r w:rsidRPr="006B63F1">
        <w:rPr>
          <w:rFonts w:ascii="Arial" w:hAnsi="Arial" w:cs="Arial"/>
          <w:sz w:val="24"/>
          <w:szCs w:val="24"/>
          <w:lang w:val="en-GB"/>
        </w:rPr>
        <w:t xml:space="preserve">The four most recent test quarters should fulfil the criterion that the input of Member States' national estimation of employment in persons </w:t>
      </w:r>
      <w:r w:rsidRPr="00647292">
        <w:rPr>
          <w:rFonts w:ascii="Arial" w:hAnsi="Arial" w:cs="Arial"/>
          <w:sz w:val="24"/>
          <w:szCs w:val="24"/>
          <w:lang w:val="en-GB"/>
        </w:rPr>
        <w:t>covers</w:t>
      </w:r>
      <w:r w:rsidRPr="006B63F1">
        <w:rPr>
          <w:rFonts w:ascii="Arial" w:hAnsi="Arial" w:cs="Arial"/>
          <w:sz w:val="24"/>
          <w:szCs w:val="24"/>
          <w:u w:val="single"/>
          <w:lang w:val="en-GB"/>
        </w:rPr>
        <w:t xml:space="preserve"> at least 75%</w:t>
      </w:r>
      <w:r w:rsidRPr="006B63F1">
        <w:rPr>
          <w:rFonts w:ascii="Arial" w:hAnsi="Arial" w:cs="Arial"/>
          <w:sz w:val="24"/>
          <w:szCs w:val="24"/>
          <w:lang w:val="en-GB"/>
        </w:rPr>
        <w:t xml:space="preserve"> of the euro area and EU totals</w:t>
      </w:r>
      <w:r>
        <w:rPr>
          <w:rFonts w:ascii="Arial" w:hAnsi="Arial" w:cs="Arial"/>
          <w:sz w:val="24"/>
          <w:szCs w:val="24"/>
          <w:lang w:val="en-GB"/>
        </w:rPr>
        <w:t>.</w:t>
      </w:r>
    </w:p>
    <w:p w:rsidR="00C13F29" w:rsidRPr="00EC5F5A" w:rsidRDefault="00896AFF" w:rsidP="00C13F29">
      <w:pPr>
        <w:spacing w:before="360" w:after="0" w:line="360" w:lineRule="auto"/>
        <w:jc w:val="both"/>
        <w:rPr>
          <w:rFonts w:ascii="Arial" w:hAnsi="Arial" w:cs="Arial"/>
          <w:i/>
          <w:sz w:val="24"/>
          <w:szCs w:val="24"/>
          <w:lang w:val="en-GB"/>
        </w:rPr>
      </w:pPr>
      <w:r>
        <w:rPr>
          <w:rFonts w:ascii="Arial" w:hAnsi="Arial" w:cs="Arial"/>
          <w:i/>
          <w:sz w:val="24"/>
          <w:szCs w:val="24"/>
          <w:lang w:val="en-GB"/>
        </w:rPr>
        <w:t>5</w:t>
      </w:r>
      <w:r w:rsidR="00C13F29" w:rsidRPr="00EC5F5A">
        <w:rPr>
          <w:rFonts w:ascii="Arial" w:hAnsi="Arial" w:cs="Arial"/>
          <w:i/>
          <w:sz w:val="24"/>
          <w:szCs w:val="24"/>
          <w:lang w:val="en-GB"/>
        </w:rPr>
        <w:t>.</w:t>
      </w:r>
      <w:r w:rsidR="00C13F29">
        <w:rPr>
          <w:rFonts w:ascii="Arial" w:hAnsi="Arial" w:cs="Arial"/>
          <w:i/>
          <w:sz w:val="24"/>
          <w:szCs w:val="24"/>
          <w:lang w:val="en-GB"/>
        </w:rPr>
        <w:t>4</w:t>
      </w:r>
      <w:r w:rsidR="00C13F29" w:rsidRPr="00EC5F5A">
        <w:rPr>
          <w:rFonts w:ascii="Arial" w:hAnsi="Arial" w:cs="Arial"/>
          <w:i/>
          <w:sz w:val="24"/>
          <w:szCs w:val="24"/>
          <w:lang w:val="en-GB"/>
        </w:rPr>
        <w:t xml:space="preserve">. </w:t>
      </w:r>
      <w:r w:rsidR="00C13F29" w:rsidRPr="00C13F29">
        <w:rPr>
          <w:rFonts w:ascii="Arial" w:hAnsi="Arial" w:cs="Arial"/>
          <w:i/>
          <w:sz w:val="24"/>
          <w:szCs w:val="24"/>
          <w:lang w:val="en-GB"/>
        </w:rPr>
        <w:t>Availability communication plan</w:t>
      </w:r>
    </w:p>
    <w:p w:rsidR="00C13F29" w:rsidRDefault="00647292" w:rsidP="004740F1">
      <w:pPr>
        <w:spacing w:before="120" w:after="0" w:line="360" w:lineRule="auto"/>
        <w:jc w:val="both"/>
        <w:rPr>
          <w:rFonts w:ascii="Arial" w:hAnsi="Arial" w:cs="Arial"/>
          <w:sz w:val="24"/>
          <w:szCs w:val="24"/>
          <w:lang w:val="en-GB"/>
        </w:rPr>
      </w:pPr>
      <w:r>
        <w:rPr>
          <w:rFonts w:ascii="Arial" w:hAnsi="Arial" w:cs="Arial"/>
          <w:sz w:val="24"/>
          <w:szCs w:val="24"/>
          <w:lang w:val="en-GB"/>
        </w:rPr>
        <w:t>A</w:t>
      </w:r>
      <w:r w:rsidRPr="00647292">
        <w:rPr>
          <w:rFonts w:ascii="Arial" w:hAnsi="Arial" w:cs="Arial"/>
          <w:sz w:val="24"/>
          <w:szCs w:val="24"/>
          <w:lang w:val="en-GB"/>
        </w:rPr>
        <w:t xml:space="preserve"> communication plan (and related documents) must be available well before the start of the official release of the euro area and EU employment estimates</w:t>
      </w:r>
      <w:r>
        <w:rPr>
          <w:rFonts w:ascii="Arial" w:hAnsi="Arial" w:cs="Arial"/>
          <w:sz w:val="24"/>
          <w:szCs w:val="24"/>
          <w:lang w:val="en-GB"/>
        </w:rPr>
        <w:t>. It should include the following actions:</w:t>
      </w:r>
    </w:p>
    <w:p w:rsidR="00647292" w:rsidRPr="00647292" w:rsidRDefault="00647292" w:rsidP="00647292">
      <w:pPr>
        <w:spacing w:before="120" w:after="0" w:line="360" w:lineRule="auto"/>
        <w:jc w:val="both"/>
        <w:rPr>
          <w:rFonts w:ascii="Arial" w:hAnsi="Arial" w:cs="Arial"/>
          <w:sz w:val="24"/>
          <w:szCs w:val="24"/>
          <w:lang w:val="en-GB"/>
        </w:rPr>
      </w:pPr>
      <w:r w:rsidRPr="00647292">
        <w:rPr>
          <w:rFonts w:ascii="Arial" w:hAnsi="Arial" w:cs="Arial"/>
          <w:sz w:val="24"/>
          <w:szCs w:val="24"/>
          <w:lang w:val="en-GB"/>
        </w:rPr>
        <w:tab/>
        <w:t xml:space="preserve">Announcement of the launch of the new employment flash estimations in the employment news release preceding the introduction </w:t>
      </w:r>
      <w:r>
        <w:rPr>
          <w:rFonts w:ascii="Arial" w:hAnsi="Arial" w:cs="Arial"/>
          <w:sz w:val="24"/>
          <w:szCs w:val="24"/>
          <w:lang w:val="en-GB"/>
        </w:rPr>
        <w:t>of the employment flash release</w:t>
      </w:r>
    </w:p>
    <w:p w:rsidR="00647292" w:rsidRDefault="00647292" w:rsidP="00647292">
      <w:pPr>
        <w:spacing w:before="120" w:after="0" w:line="360" w:lineRule="auto"/>
        <w:jc w:val="both"/>
        <w:rPr>
          <w:rFonts w:ascii="Arial" w:hAnsi="Arial" w:cs="Arial"/>
          <w:sz w:val="24"/>
          <w:szCs w:val="24"/>
          <w:lang w:val="en-GB"/>
        </w:rPr>
      </w:pPr>
      <w:r w:rsidRPr="00647292">
        <w:rPr>
          <w:rFonts w:ascii="Arial" w:hAnsi="Arial" w:cs="Arial"/>
          <w:sz w:val="24"/>
          <w:szCs w:val="24"/>
          <w:lang w:val="en-GB"/>
        </w:rPr>
        <w:tab/>
        <w:t>Informing the main users about the introduction of the national accounts employment flash releas</w:t>
      </w:r>
      <w:r>
        <w:rPr>
          <w:rFonts w:ascii="Arial" w:hAnsi="Arial" w:cs="Arial"/>
          <w:sz w:val="24"/>
          <w:szCs w:val="24"/>
          <w:lang w:val="en-GB"/>
        </w:rPr>
        <w:t>e via the Eurostat press office</w:t>
      </w:r>
    </w:p>
    <w:p w:rsidR="00647292" w:rsidRDefault="00647292" w:rsidP="00647292">
      <w:pPr>
        <w:spacing w:before="120" w:after="0" w:line="360" w:lineRule="auto"/>
        <w:jc w:val="both"/>
        <w:rPr>
          <w:rFonts w:ascii="Arial" w:hAnsi="Arial" w:cs="Arial"/>
          <w:sz w:val="24"/>
          <w:szCs w:val="24"/>
          <w:lang w:val="en-GB"/>
        </w:rPr>
      </w:pPr>
      <w:r w:rsidRPr="00647292">
        <w:rPr>
          <w:rFonts w:ascii="Arial" w:hAnsi="Arial" w:cs="Arial"/>
          <w:sz w:val="24"/>
          <w:szCs w:val="24"/>
          <w:lang w:val="en-GB"/>
        </w:rPr>
        <w:tab/>
      </w:r>
      <w:r>
        <w:rPr>
          <w:rFonts w:ascii="Arial" w:hAnsi="Arial" w:cs="Arial"/>
          <w:sz w:val="24"/>
          <w:szCs w:val="24"/>
          <w:lang w:val="en-GB"/>
        </w:rPr>
        <w:t>Publication of all methodological documents and an article on Eurostat website</w:t>
      </w:r>
    </w:p>
    <w:p w:rsidR="00647292" w:rsidRDefault="00647292" w:rsidP="00647292">
      <w:pPr>
        <w:spacing w:before="120" w:after="0" w:line="360" w:lineRule="auto"/>
        <w:jc w:val="both"/>
        <w:rPr>
          <w:rFonts w:ascii="Arial" w:hAnsi="Arial" w:cs="Arial"/>
          <w:sz w:val="24"/>
          <w:szCs w:val="24"/>
          <w:lang w:val="en-GB"/>
        </w:rPr>
      </w:pPr>
      <w:r w:rsidRPr="00647292">
        <w:rPr>
          <w:rFonts w:ascii="Arial" w:hAnsi="Arial" w:cs="Arial"/>
          <w:sz w:val="24"/>
          <w:szCs w:val="24"/>
          <w:lang w:val="en-GB"/>
        </w:rPr>
        <w:tab/>
      </w:r>
      <w:r>
        <w:rPr>
          <w:rFonts w:ascii="Arial" w:hAnsi="Arial" w:cs="Arial"/>
          <w:sz w:val="24"/>
          <w:szCs w:val="24"/>
          <w:lang w:val="en-GB"/>
        </w:rPr>
        <w:t xml:space="preserve">Validation of the schedule for </w:t>
      </w:r>
      <w:r w:rsidRPr="00647292">
        <w:rPr>
          <w:rFonts w:ascii="Arial" w:hAnsi="Arial" w:cs="Arial"/>
          <w:sz w:val="24"/>
          <w:szCs w:val="24"/>
          <w:lang w:val="en-GB"/>
        </w:rPr>
        <w:t>transmission and release dates</w:t>
      </w:r>
    </w:p>
    <w:p w:rsidR="00A70029" w:rsidRPr="00EC5F5A" w:rsidRDefault="00896AFF" w:rsidP="00896AFF">
      <w:pPr>
        <w:spacing w:before="120" w:after="0" w:line="360" w:lineRule="auto"/>
        <w:jc w:val="both"/>
        <w:rPr>
          <w:rFonts w:ascii="Arial" w:hAnsi="Arial" w:cs="Arial"/>
          <w:b/>
          <w:sz w:val="24"/>
          <w:szCs w:val="24"/>
          <w:lang w:val="en-GB"/>
        </w:rPr>
      </w:pPr>
      <w:r>
        <w:rPr>
          <w:rFonts w:ascii="Arial" w:hAnsi="Arial" w:cs="Arial"/>
          <w:sz w:val="24"/>
          <w:szCs w:val="24"/>
          <w:lang w:val="en-GB"/>
        </w:rPr>
        <w:br w:type="column"/>
      </w:r>
      <w:r>
        <w:rPr>
          <w:rFonts w:ascii="Arial" w:hAnsi="Arial" w:cs="Arial"/>
          <w:b/>
          <w:sz w:val="24"/>
          <w:szCs w:val="24"/>
          <w:lang w:val="en-GB"/>
        </w:rPr>
        <w:lastRenderedPageBreak/>
        <w:t>6</w:t>
      </w:r>
      <w:r w:rsidR="00A70029" w:rsidRPr="00EC5F5A">
        <w:rPr>
          <w:rFonts w:ascii="Arial" w:hAnsi="Arial" w:cs="Arial"/>
          <w:b/>
          <w:sz w:val="24"/>
          <w:szCs w:val="24"/>
          <w:lang w:val="en-GB"/>
        </w:rPr>
        <w:t xml:space="preserve">. </w:t>
      </w:r>
      <w:r w:rsidR="00A70029" w:rsidRPr="00A70029">
        <w:rPr>
          <w:rFonts w:ascii="Arial" w:hAnsi="Arial" w:cs="Arial"/>
          <w:b/>
          <w:sz w:val="24"/>
          <w:szCs w:val="24"/>
          <w:lang w:val="en-GB"/>
        </w:rPr>
        <w:t>R</w:t>
      </w:r>
      <w:r w:rsidR="00A70029">
        <w:rPr>
          <w:rFonts w:ascii="Arial" w:hAnsi="Arial" w:cs="Arial"/>
          <w:b/>
          <w:sz w:val="24"/>
          <w:szCs w:val="24"/>
          <w:lang w:val="en-GB"/>
        </w:rPr>
        <w:t>esults of test estimates and assessment against quality acceptance criteria</w:t>
      </w:r>
    </w:p>
    <w:p w:rsidR="00647292" w:rsidRDefault="0017498A" w:rsidP="00647292">
      <w:pPr>
        <w:spacing w:before="120" w:after="0" w:line="360" w:lineRule="auto"/>
        <w:jc w:val="both"/>
        <w:rPr>
          <w:rFonts w:ascii="Arial" w:hAnsi="Arial" w:cs="Arial"/>
          <w:sz w:val="24"/>
          <w:szCs w:val="24"/>
          <w:lang w:val="en-GB"/>
        </w:rPr>
      </w:pPr>
      <w:r w:rsidRPr="0017498A">
        <w:rPr>
          <w:rFonts w:ascii="Arial" w:hAnsi="Arial" w:cs="Arial"/>
          <w:sz w:val="24"/>
          <w:szCs w:val="24"/>
          <w:lang w:val="en-GB"/>
        </w:rPr>
        <w:t xml:space="preserve">Table </w:t>
      </w:r>
      <w:r>
        <w:rPr>
          <w:rFonts w:ascii="Arial" w:hAnsi="Arial" w:cs="Arial"/>
          <w:sz w:val="24"/>
          <w:szCs w:val="24"/>
          <w:lang w:val="en-GB"/>
        </w:rPr>
        <w:t>1</w:t>
      </w:r>
      <w:r w:rsidRPr="0017498A">
        <w:rPr>
          <w:rFonts w:ascii="Arial" w:hAnsi="Arial" w:cs="Arial"/>
          <w:sz w:val="24"/>
          <w:szCs w:val="24"/>
          <w:lang w:val="en-GB"/>
        </w:rPr>
        <w:t xml:space="preserve"> shows the key results of the three t+45 quarter-on-quarter estimations for the euro area and the EU and their assessment against the predefined quality acceptance criteria.</w:t>
      </w:r>
    </w:p>
    <w:p w:rsidR="0017498A" w:rsidRPr="00EC5F5A" w:rsidRDefault="0017498A" w:rsidP="0017498A">
      <w:pPr>
        <w:pStyle w:val="Caption"/>
        <w:keepNext/>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190F59">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sidRPr="0017498A">
        <w:rPr>
          <w:rFonts w:ascii="Arial" w:hAnsi="Arial" w:cs="Arial"/>
          <w:b/>
          <w:i w:val="0"/>
          <w:color w:val="auto"/>
          <w:sz w:val="20"/>
          <w:szCs w:val="20"/>
          <w:lang w:val="en-GB"/>
        </w:rPr>
        <w:t>Assessment of t+45 employment test estimates for EU and EA against quality acceptance criteria</w:t>
      </w:r>
      <w:r>
        <w:rPr>
          <w:rFonts w:ascii="Arial" w:hAnsi="Arial" w:cs="Arial"/>
          <w:b/>
          <w:i w:val="0"/>
          <w:color w:val="auto"/>
          <w:sz w:val="20"/>
          <w:szCs w:val="20"/>
          <w:lang w:val="en-GB"/>
        </w:rPr>
        <w:t xml:space="preserve"> </w:t>
      </w:r>
      <w:r w:rsidRPr="0017498A">
        <w:rPr>
          <w:rFonts w:ascii="Arial" w:hAnsi="Arial" w:cs="Arial"/>
          <w:b/>
          <w:i w:val="0"/>
          <w:color w:val="auto"/>
          <w:sz w:val="20"/>
          <w:szCs w:val="20"/>
          <w:lang w:val="en-GB"/>
        </w:rPr>
        <w:t>(Revisions to growth rates, percentage points; coverage of national employment data as percentage of euro area and EU total employment)</w:t>
      </w:r>
    </w:p>
    <w:tbl>
      <w:tblPr>
        <w:tblStyle w:val="TableGrid"/>
        <w:tblW w:w="9893" w:type="dxa"/>
        <w:tblLayout w:type="fixed"/>
        <w:tblLook w:val="04A0" w:firstRow="1" w:lastRow="0" w:firstColumn="1" w:lastColumn="0" w:noHBand="0" w:noVBand="1"/>
      </w:tblPr>
      <w:tblGrid>
        <w:gridCol w:w="2518"/>
        <w:gridCol w:w="992"/>
        <w:gridCol w:w="1077"/>
        <w:gridCol w:w="949"/>
        <w:gridCol w:w="1376"/>
        <w:gridCol w:w="997"/>
        <w:gridCol w:w="992"/>
        <w:gridCol w:w="992"/>
      </w:tblGrid>
      <w:tr w:rsidR="00CF6F5E" w:rsidRPr="004D205A" w:rsidTr="00CF6F5E">
        <w:trPr>
          <w:cantSplit/>
        </w:trPr>
        <w:tc>
          <w:tcPr>
            <w:tcW w:w="2518" w:type="dxa"/>
          </w:tcPr>
          <w:p w:rsidR="00CF6F5E" w:rsidRPr="00100323" w:rsidRDefault="00CF6F5E" w:rsidP="00B2268F">
            <w:pPr>
              <w:rPr>
                <w:lang w:val="en-GB"/>
              </w:rPr>
            </w:pPr>
          </w:p>
        </w:tc>
        <w:tc>
          <w:tcPr>
            <w:tcW w:w="3018" w:type="dxa"/>
            <w:gridSpan w:val="3"/>
          </w:tcPr>
          <w:p w:rsidR="00CF6F5E" w:rsidRPr="00CF6F5E" w:rsidRDefault="00CF6F5E" w:rsidP="00CF6F5E">
            <w:pPr>
              <w:jc w:val="center"/>
              <w:rPr>
                <w:b/>
                <w:lang w:val="en-GB"/>
              </w:rPr>
            </w:pPr>
            <w:r w:rsidRPr="00CF6F5E">
              <w:rPr>
                <w:b/>
                <w:lang w:val="en-GB"/>
              </w:rPr>
              <w:t>Euro area, revisions at t+75 days</w:t>
            </w:r>
          </w:p>
        </w:tc>
        <w:tc>
          <w:tcPr>
            <w:tcW w:w="1376" w:type="dxa"/>
          </w:tcPr>
          <w:p w:rsidR="00CF6F5E" w:rsidRPr="00CF6F5E" w:rsidRDefault="00CF6F5E" w:rsidP="00B2268F">
            <w:pPr>
              <w:rPr>
                <w:b/>
              </w:rPr>
            </w:pPr>
            <w:proofErr w:type="spellStart"/>
            <w:r w:rsidRPr="00CF6F5E">
              <w:rPr>
                <w:b/>
              </w:rPr>
              <w:t>Quality</w:t>
            </w:r>
            <w:proofErr w:type="spellEnd"/>
            <w:r w:rsidRPr="00CF6F5E">
              <w:rPr>
                <w:b/>
              </w:rPr>
              <w:t xml:space="preserve"> </w:t>
            </w:r>
            <w:proofErr w:type="spellStart"/>
            <w:r w:rsidRPr="00CF6F5E">
              <w:rPr>
                <w:b/>
              </w:rPr>
              <w:t>acceptance</w:t>
            </w:r>
            <w:proofErr w:type="spellEnd"/>
            <w:r w:rsidRPr="00CF6F5E">
              <w:rPr>
                <w:b/>
              </w:rPr>
              <w:t xml:space="preserve"> </w:t>
            </w:r>
            <w:proofErr w:type="spellStart"/>
            <w:r w:rsidRPr="00CF6F5E">
              <w:rPr>
                <w:b/>
              </w:rPr>
              <w:t>criteria</w:t>
            </w:r>
            <w:proofErr w:type="spellEnd"/>
          </w:p>
        </w:tc>
        <w:tc>
          <w:tcPr>
            <w:tcW w:w="2981" w:type="dxa"/>
            <w:gridSpan w:val="3"/>
          </w:tcPr>
          <w:p w:rsidR="00CF6F5E" w:rsidRPr="00CF6F5E" w:rsidRDefault="00CF6F5E" w:rsidP="00CF6F5E">
            <w:pPr>
              <w:jc w:val="center"/>
              <w:rPr>
                <w:b/>
                <w:lang w:val="fr-BE"/>
              </w:rPr>
            </w:pPr>
            <w:r w:rsidRPr="00CF6F5E">
              <w:rPr>
                <w:b/>
                <w:lang w:val="fr-BE"/>
              </w:rPr>
              <w:t xml:space="preserve">EU, </w:t>
            </w:r>
            <w:proofErr w:type="spellStart"/>
            <w:r w:rsidRPr="00CF6F5E">
              <w:rPr>
                <w:b/>
                <w:lang w:val="fr-BE"/>
              </w:rPr>
              <w:t>revisions</w:t>
            </w:r>
            <w:proofErr w:type="spellEnd"/>
            <w:r w:rsidRPr="00CF6F5E">
              <w:rPr>
                <w:b/>
                <w:lang w:val="fr-BE"/>
              </w:rPr>
              <w:t xml:space="preserve"> at t+75 </w:t>
            </w:r>
            <w:proofErr w:type="spellStart"/>
            <w:r w:rsidRPr="00CF6F5E">
              <w:rPr>
                <w:b/>
                <w:lang w:val="fr-BE"/>
              </w:rPr>
              <w:t>days</w:t>
            </w:r>
            <w:proofErr w:type="spellEnd"/>
          </w:p>
        </w:tc>
      </w:tr>
      <w:tr w:rsidR="00CF6F5E" w:rsidRPr="00EC5F5A" w:rsidTr="00CF6F5E">
        <w:trPr>
          <w:cantSplit/>
        </w:trPr>
        <w:tc>
          <w:tcPr>
            <w:tcW w:w="2518" w:type="dxa"/>
          </w:tcPr>
          <w:p w:rsidR="00CF6F5E" w:rsidRPr="00CF6F5E" w:rsidRDefault="00CF6F5E" w:rsidP="00B2268F">
            <w:pPr>
              <w:rPr>
                <w:lang w:val="fr-BE"/>
              </w:rPr>
            </w:pPr>
          </w:p>
        </w:tc>
        <w:tc>
          <w:tcPr>
            <w:tcW w:w="992" w:type="dxa"/>
          </w:tcPr>
          <w:p w:rsidR="00CF6F5E" w:rsidRPr="00CF6F5E" w:rsidRDefault="00CF6F5E" w:rsidP="00CF6F5E">
            <w:pPr>
              <w:jc w:val="right"/>
              <w:rPr>
                <w:b/>
              </w:rPr>
            </w:pPr>
            <w:r w:rsidRPr="00CF6F5E">
              <w:rPr>
                <w:b/>
              </w:rPr>
              <w:t>T+45 trans-</w:t>
            </w:r>
            <w:proofErr w:type="spellStart"/>
            <w:r w:rsidRPr="00CF6F5E">
              <w:rPr>
                <w:b/>
              </w:rPr>
              <w:t>mission</w:t>
            </w:r>
            <w:proofErr w:type="spellEnd"/>
          </w:p>
        </w:tc>
        <w:tc>
          <w:tcPr>
            <w:tcW w:w="1077" w:type="dxa"/>
          </w:tcPr>
          <w:p w:rsidR="00CF6F5E" w:rsidRPr="00CF6F5E" w:rsidRDefault="00CF6F5E" w:rsidP="00CF6F5E">
            <w:pPr>
              <w:jc w:val="right"/>
              <w:rPr>
                <w:b/>
              </w:rPr>
            </w:pPr>
            <w:r w:rsidRPr="00CF6F5E">
              <w:rPr>
                <w:b/>
              </w:rPr>
              <w:t xml:space="preserve">T+45 trans. + </w:t>
            </w:r>
            <w:proofErr w:type="gramStart"/>
            <w:r w:rsidRPr="00CF6F5E">
              <w:rPr>
                <w:b/>
              </w:rPr>
              <w:t>model</w:t>
            </w:r>
            <w:proofErr w:type="gramEnd"/>
          </w:p>
        </w:tc>
        <w:tc>
          <w:tcPr>
            <w:tcW w:w="949" w:type="dxa"/>
          </w:tcPr>
          <w:p w:rsidR="00CF6F5E" w:rsidRPr="00CF6F5E" w:rsidRDefault="00CF6F5E" w:rsidP="00CF6F5E">
            <w:pPr>
              <w:jc w:val="right"/>
              <w:rPr>
                <w:b/>
              </w:rPr>
            </w:pPr>
            <w:r w:rsidRPr="00CF6F5E">
              <w:rPr>
                <w:b/>
              </w:rPr>
              <w:t xml:space="preserve">T+45 trans. + </w:t>
            </w:r>
            <w:proofErr w:type="gramStart"/>
            <w:r w:rsidRPr="00CF6F5E">
              <w:rPr>
                <w:b/>
              </w:rPr>
              <w:t>model</w:t>
            </w:r>
            <w:proofErr w:type="gramEnd"/>
            <w:r w:rsidRPr="00CF6F5E">
              <w:rPr>
                <w:b/>
              </w:rPr>
              <w:t xml:space="preserve"> + LFS</w:t>
            </w:r>
          </w:p>
        </w:tc>
        <w:tc>
          <w:tcPr>
            <w:tcW w:w="1376" w:type="dxa"/>
          </w:tcPr>
          <w:p w:rsidR="00CF6F5E" w:rsidRPr="009C582A" w:rsidRDefault="00CF6F5E" w:rsidP="00CF6F5E">
            <w:pPr>
              <w:jc w:val="right"/>
            </w:pPr>
          </w:p>
        </w:tc>
        <w:tc>
          <w:tcPr>
            <w:tcW w:w="997" w:type="dxa"/>
          </w:tcPr>
          <w:p w:rsidR="00CF6F5E" w:rsidRPr="00CF6F5E" w:rsidRDefault="00CF6F5E" w:rsidP="00CF6F5E">
            <w:pPr>
              <w:jc w:val="right"/>
              <w:rPr>
                <w:b/>
              </w:rPr>
            </w:pPr>
            <w:r w:rsidRPr="00CF6F5E">
              <w:rPr>
                <w:b/>
              </w:rPr>
              <w:t>T+45 trans-</w:t>
            </w:r>
            <w:proofErr w:type="spellStart"/>
            <w:r w:rsidRPr="00CF6F5E">
              <w:rPr>
                <w:b/>
              </w:rPr>
              <w:t>mission</w:t>
            </w:r>
            <w:proofErr w:type="spellEnd"/>
          </w:p>
        </w:tc>
        <w:tc>
          <w:tcPr>
            <w:tcW w:w="992" w:type="dxa"/>
          </w:tcPr>
          <w:p w:rsidR="00CF6F5E" w:rsidRPr="00CF6F5E" w:rsidRDefault="00CF6F5E" w:rsidP="00CF6F5E">
            <w:pPr>
              <w:jc w:val="right"/>
              <w:rPr>
                <w:b/>
              </w:rPr>
            </w:pPr>
            <w:r w:rsidRPr="00CF6F5E">
              <w:rPr>
                <w:b/>
              </w:rPr>
              <w:t xml:space="preserve">T+45 trans. + </w:t>
            </w:r>
            <w:proofErr w:type="gramStart"/>
            <w:r w:rsidRPr="00CF6F5E">
              <w:rPr>
                <w:b/>
              </w:rPr>
              <w:t>model</w:t>
            </w:r>
            <w:proofErr w:type="gramEnd"/>
          </w:p>
        </w:tc>
        <w:tc>
          <w:tcPr>
            <w:tcW w:w="992" w:type="dxa"/>
          </w:tcPr>
          <w:p w:rsidR="00CF6F5E" w:rsidRPr="00CF6F5E" w:rsidRDefault="00CF6F5E" w:rsidP="00CF6F5E">
            <w:pPr>
              <w:jc w:val="right"/>
              <w:rPr>
                <w:b/>
              </w:rPr>
            </w:pPr>
            <w:r w:rsidRPr="00CF6F5E">
              <w:rPr>
                <w:b/>
              </w:rPr>
              <w:t xml:space="preserve">T+45 trans. + </w:t>
            </w:r>
            <w:proofErr w:type="gramStart"/>
            <w:r w:rsidRPr="00CF6F5E">
              <w:rPr>
                <w:b/>
              </w:rPr>
              <w:t>model</w:t>
            </w:r>
            <w:proofErr w:type="gramEnd"/>
            <w:r w:rsidRPr="00CF6F5E">
              <w:rPr>
                <w:b/>
              </w:rPr>
              <w:t xml:space="preserve"> + LFS</w:t>
            </w:r>
          </w:p>
        </w:tc>
      </w:tr>
      <w:tr w:rsidR="00CF6F5E" w:rsidRPr="00EC5F5A" w:rsidTr="00CF6F5E">
        <w:trPr>
          <w:cantSplit/>
        </w:trPr>
        <w:tc>
          <w:tcPr>
            <w:tcW w:w="2518" w:type="dxa"/>
          </w:tcPr>
          <w:p w:rsidR="00CF6F5E" w:rsidRPr="00CF6F5E" w:rsidRDefault="00CF6F5E" w:rsidP="00B2268F">
            <w:pPr>
              <w:rPr>
                <w:b/>
              </w:rPr>
            </w:pPr>
            <w:r w:rsidRPr="00CF6F5E">
              <w:rPr>
                <w:b/>
              </w:rPr>
              <w:t>2015Q1</w:t>
            </w:r>
          </w:p>
        </w:tc>
        <w:tc>
          <w:tcPr>
            <w:tcW w:w="992" w:type="dxa"/>
          </w:tcPr>
          <w:p w:rsidR="00CF6F5E" w:rsidRPr="009C582A" w:rsidRDefault="00CF6F5E" w:rsidP="00CF6F5E">
            <w:pPr>
              <w:jc w:val="right"/>
            </w:pPr>
            <w:r w:rsidRPr="009C582A">
              <w:t xml:space="preserve">-0.1 </w:t>
            </w:r>
          </w:p>
        </w:tc>
        <w:tc>
          <w:tcPr>
            <w:tcW w:w="1077" w:type="dxa"/>
          </w:tcPr>
          <w:p w:rsidR="00CF6F5E" w:rsidRPr="009C582A" w:rsidRDefault="00CF6F5E" w:rsidP="00CF6F5E">
            <w:pPr>
              <w:jc w:val="right"/>
            </w:pPr>
            <w:r w:rsidRPr="009C582A">
              <w:t xml:space="preserve">-0.1 </w:t>
            </w:r>
          </w:p>
        </w:tc>
        <w:tc>
          <w:tcPr>
            <w:tcW w:w="949" w:type="dxa"/>
          </w:tcPr>
          <w:p w:rsidR="00CF6F5E" w:rsidRPr="009C582A" w:rsidRDefault="00CF6F5E" w:rsidP="00CF6F5E">
            <w:pPr>
              <w:jc w:val="right"/>
            </w:pPr>
            <w:r w:rsidRPr="009C582A">
              <w:t xml:space="preserve">-0.1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2015Q2</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2015Q3</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r>
      <w:tr w:rsidR="00CF6F5E" w:rsidRPr="00EC5F5A" w:rsidTr="00CF6F5E">
        <w:trPr>
          <w:cantSplit/>
        </w:trPr>
        <w:tc>
          <w:tcPr>
            <w:tcW w:w="2518" w:type="dxa"/>
          </w:tcPr>
          <w:p w:rsidR="00CF6F5E" w:rsidRPr="00CF6F5E" w:rsidRDefault="00CF6F5E" w:rsidP="00B2268F">
            <w:pPr>
              <w:rPr>
                <w:b/>
              </w:rPr>
            </w:pPr>
            <w:r w:rsidRPr="00CF6F5E">
              <w:rPr>
                <w:b/>
              </w:rPr>
              <w:t>2015Q4</w:t>
            </w:r>
          </w:p>
        </w:tc>
        <w:tc>
          <w:tcPr>
            <w:tcW w:w="992" w:type="dxa"/>
          </w:tcPr>
          <w:p w:rsidR="00CF6F5E" w:rsidRPr="009C582A" w:rsidRDefault="00CF6F5E" w:rsidP="00CF6F5E">
            <w:pPr>
              <w:jc w:val="right"/>
            </w:pPr>
            <w:r w:rsidRPr="009C582A">
              <w:t xml:space="preserve">-0.1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-0.4 </w:t>
            </w:r>
          </w:p>
        </w:tc>
        <w:tc>
          <w:tcPr>
            <w:tcW w:w="992" w:type="dxa"/>
          </w:tcPr>
          <w:p w:rsidR="00CF6F5E" w:rsidRPr="009C582A" w:rsidRDefault="00CF6F5E" w:rsidP="00CF6F5E">
            <w:pPr>
              <w:jc w:val="right"/>
            </w:pPr>
            <w:r w:rsidRPr="009C582A">
              <w:t xml:space="preserve">-0.3 </w:t>
            </w:r>
          </w:p>
        </w:tc>
        <w:tc>
          <w:tcPr>
            <w:tcW w:w="992" w:type="dxa"/>
          </w:tcPr>
          <w:p w:rsidR="00CF6F5E" w:rsidRPr="009C582A" w:rsidRDefault="00CF6F5E" w:rsidP="00CF6F5E">
            <w:pPr>
              <w:jc w:val="right"/>
            </w:pPr>
            <w:r w:rsidRPr="009C582A">
              <w:t xml:space="preserve">-0.3 </w:t>
            </w:r>
          </w:p>
        </w:tc>
      </w:tr>
      <w:tr w:rsidR="00CF6F5E" w:rsidRPr="00EC5F5A" w:rsidTr="00CF6F5E">
        <w:trPr>
          <w:cantSplit/>
        </w:trPr>
        <w:tc>
          <w:tcPr>
            <w:tcW w:w="2518" w:type="dxa"/>
          </w:tcPr>
          <w:p w:rsidR="00CF6F5E" w:rsidRPr="00CF6F5E" w:rsidRDefault="00CF6F5E" w:rsidP="00B2268F">
            <w:pPr>
              <w:rPr>
                <w:b/>
              </w:rPr>
            </w:pPr>
            <w:r w:rsidRPr="00CF6F5E">
              <w:rPr>
                <w:b/>
              </w:rPr>
              <w:t>2016Q1</w:t>
            </w:r>
          </w:p>
        </w:tc>
        <w:tc>
          <w:tcPr>
            <w:tcW w:w="992" w:type="dxa"/>
          </w:tcPr>
          <w:p w:rsidR="00CF6F5E" w:rsidRPr="009C582A" w:rsidRDefault="00CF6F5E" w:rsidP="00CF6F5E">
            <w:pPr>
              <w:jc w:val="right"/>
            </w:pPr>
            <w:r w:rsidRPr="009C582A">
              <w:t xml:space="preserve">-0.1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2016Q2</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0.1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r>
      <w:tr w:rsidR="00CF6F5E" w:rsidRPr="00EC5F5A" w:rsidTr="00CF6F5E">
        <w:trPr>
          <w:cantSplit/>
        </w:trPr>
        <w:tc>
          <w:tcPr>
            <w:tcW w:w="2518" w:type="dxa"/>
          </w:tcPr>
          <w:p w:rsidR="00CF6F5E" w:rsidRPr="00CF6F5E" w:rsidRDefault="00CF6F5E" w:rsidP="00B2268F">
            <w:pPr>
              <w:rPr>
                <w:b/>
              </w:rPr>
            </w:pPr>
            <w:r w:rsidRPr="00CF6F5E">
              <w:rPr>
                <w:b/>
              </w:rPr>
              <w:t>2016Q3</w:t>
            </w:r>
          </w:p>
        </w:tc>
        <w:tc>
          <w:tcPr>
            <w:tcW w:w="992" w:type="dxa"/>
          </w:tcPr>
          <w:p w:rsidR="00CF6F5E" w:rsidRPr="009C582A" w:rsidRDefault="00CF6F5E" w:rsidP="00CF6F5E">
            <w:pPr>
              <w:jc w:val="right"/>
            </w:pPr>
            <w:r w:rsidRPr="009C582A">
              <w:t xml:space="preserve">-0.1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2016Q4</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r>
      <w:tr w:rsidR="00CF6F5E" w:rsidRPr="00EC5F5A" w:rsidTr="00CF6F5E">
        <w:trPr>
          <w:cantSplit/>
        </w:trPr>
        <w:tc>
          <w:tcPr>
            <w:tcW w:w="2518" w:type="dxa"/>
          </w:tcPr>
          <w:p w:rsidR="00CF6F5E" w:rsidRPr="00CF6F5E" w:rsidRDefault="00CF6F5E" w:rsidP="00B2268F">
            <w:pPr>
              <w:rPr>
                <w:b/>
              </w:rPr>
            </w:pPr>
            <w:r w:rsidRPr="00CF6F5E">
              <w:rPr>
                <w:b/>
              </w:rPr>
              <w:t>2017Q1</w:t>
            </w:r>
          </w:p>
        </w:tc>
        <w:tc>
          <w:tcPr>
            <w:tcW w:w="992" w:type="dxa"/>
          </w:tcPr>
          <w:p w:rsidR="00CF6F5E" w:rsidRPr="009C582A" w:rsidRDefault="00CF6F5E" w:rsidP="00CF6F5E">
            <w:pPr>
              <w:jc w:val="right"/>
            </w:pPr>
            <w:r w:rsidRPr="009C582A">
              <w:t xml:space="preserve">-0.1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-0.1 </w:t>
            </w:r>
          </w:p>
        </w:tc>
      </w:tr>
      <w:tr w:rsidR="00CF6F5E" w:rsidRPr="00EC5F5A" w:rsidTr="00CF6F5E">
        <w:trPr>
          <w:cantSplit/>
        </w:trPr>
        <w:tc>
          <w:tcPr>
            <w:tcW w:w="2518" w:type="dxa"/>
          </w:tcPr>
          <w:p w:rsidR="00CF6F5E" w:rsidRPr="00CF6F5E" w:rsidRDefault="00CF6F5E" w:rsidP="00B2268F">
            <w:pPr>
              <w:rPr>
                <w:b/>
              </w:rPr>
            </w:pPr>
            <w:r w:rsidRPr="00CF6F5E">
              <w:rPr>
                <w:b/>
              </w:rPr>
              <w:t>2017Q2</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2017Q3</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c>
          <w:tcPr>
            <w:tcW w:w="992" w:type="dxa"/>
          </w:tcPr>
          <w:p w:rsidR="00CF6F5E" w:rsidRPr="009C582A" w:rsidRDefault="00CF6F5E" w:rsidP="00CF6F5E">
            <w:pPr>
              <w:jc w:val="right"/>
            </w:pPr>
            <w:r w:rsidRPr="009C582A">
              <w:t xml:space="preserve">0.0 </w:t>
            </w:r>
          </w:p>
        </w:tc>
      </w:tr>
      <w:tr w:rsidR="00CF6F5E" w:rsidRPr="00EC5F5A" w:rsidTr="00CF6F5E">
        <w:trPr>
          <w:cantSplit/>
        </w:trPr>
        <w:tc>
          <w:tcPr>
            <w:tcW w:w="2518" w:type="dxa"/>
          </w:tcPr>
          <w:p w:rsidR="00CF6F5E" w:rsidRPr="00CF6F5E" w:rsidRDefault="00CF6F5E" w:rsidP="00B2268F">
            <w:pPr>
              <w:rPr>
                <w:b/>
              </w:rPr>
            </w:pPr>
            <w:r w:rsidRPr="00CF6F5E">
              <w:rPr>
                <w:b/>
              </w:rPr>
              <w:t>2017Q4</w:t>
            </w:r>
          </w:p>
        </w:tc>
        <w:tc>
          <w:tcPr>
            <w:tcW w:w="992" w:type="dxa"/>
          </w:tcPr>
          <w:p w:rsidR="00CF6F5E" w:rsidRPr="009C582A" w:rsidRDefault="00CF6F5E" w:rsidP="00CF6F5E">
            <w:pPr>
              <w:jc w:val="right"/>
            </w:pPr>
            <w:r w:rsidRPr="009C582A">
              <w:t xml:space="preserve">0.0 </w:t>
            </w:r>
          </w:p>
        </w:tc>
        <w:tc>
          <w:tcPr>
            <w:tcW w:w="1077" w:type="dxa"/>
          </w:tcPr>
          <w:p w:rsidR="00CF6F5E" w:rsidRPr="009C582A" w:rsidRDefault="00CF6F5E" w:rsidP="00CF6F5E">
            <w:pPr>
              <w:jc w:val="right"/>
            </w:pPr>
            <w:r w:rsidRPr="009C582A">
              <w:t xml:space="preserve">0.0 </w:t>
            </w:r>
          </w:p>
        </w:tc>
        <w:tc>
          <w:tcPr>
            <w:tcW w:w="949" w:type="dxa"/>
          </w:tcPr>
          <w:p w:rsidR="00CF6F5E" w:rsidRPr="009C582A" w:rsidRDefault="00CF6F5E" w:rsidP="00CF6F5E">
            <w:pPr>
              <w:jc w:val="right"/>
            </w:pPr>
            <w:r w:rsidRPr="009C582A">
              <w:t xml:space="preserve">0.0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c>
          <w:tcPr>
            <w:tcW w:w="992" w:type="dxa"/>
          </w:tcPr>
          <w:p w:rsidR="00CF6F5E" w:rsidRPr="009C582A" w:rsidRDefault="00CF6F5E" w:rsidP="00CF6F5E">
            <w:pPr>
              <w:jc w:val="right"/>
            </w:pPr>
            <w:r w:rsidRPr="009C582A">
              <w:t xml:space="preserve">-0.1 </w:t>
            </w:r>
          </w:p>
        </w:tc>
      </w:tr>
      <w:tr w:rsidR="00CF6F5E" w:rsidRPr="00EC5F5A" w:rsidTr="00CF6F5E">
        <w:trPr>
          <w:cantSplit/>
        </w:trPr>
        <w:tc>
          <w:tcPr>
            <w:tcW w:w="2518" w:type="dxa"/>
          </w:tcPr>
          <w:p w:rsidR="00CF6F5E" w:rsidRPr="00CF6F5E" w:rsidRDefault="00CF6F5E" w:rsidP="00B2268F">
            <w:pPr>
              <w:rPr>
                <w:b/>
              </w:rPr>
            </w:pPr>
            <w:proofErr w:type="spellStart"/>
            <w:r w:rsidRPr="00CF6F5E">
              <w:rPr>
                <w:b/>
              </w:rPr>
              <w:t>Average</w:t>
            </w:r>
            <w:proofErr w:type="spellEnd"/>
            <w:r w:rsidRPr="00CF6F5E">
              <w:rPr>
                <w:b/>
              </w:rPr>
              <w:t xml:space="preserve"> </w:t>
            </w:r>
            <w:proofErr w:type="spellStart"/>
            <w:r w:rsidRPr="00CF6F5E">
              <w:rPr>
                <w:b/>
              </w:rPr>
              <w:t>revision</w:t>
            </w:r>
            <w:proofErr w:type="spellEnd"/>
            <w:r w:rsidRPr="00CF6F5E">
              <w:rPr>
                <w:b/>
              </w:rPr>
              <w:t xml:space="preserve"> </w:t>
            </w:r>
            <w:proofErr w:type="spellStart"/>
            <w:r w:rsidRPr="00CF6F5E">
              <w:rPr>
                <w:b/>
              </w:rPr>
              <w:t>all</w:t>
            </w:r>
            <w:proofErr w:type="spellEnd"/>
            <w:r w:rsidRPr="00CF6F5E">
              <w:rPr>
                <w:b/>
              </w:rPr>
              <w:t xml:space="preserve"> </w:t>
            </w:r>
            <w:proofErr w:type="spellStart"/>
            <w:r w:rsidRPr="00CF6F5E">
              <w:rPr>
                <w:b/>
              </w:rPr>
              <w:t>quarters</w:t>
            </w:r>
            <w:proofErr w:type="spellEnd"/>
            <w:r w:rsidRPr="00CF6F5E">
              <w:rPr>
                <w:b/>
              </w:rPr>
              <w:t xml:space="preserve"> </w:t>
            </w:r>
            <w:proofErr w:type="spellStart"/>
            <w:r w:rsidRPr="00CF6F5E">
              <w:rPr>
                <w:b/>
              </w:rPr>
              <w:t>excl</w:t>
            </w:r>
            <w:proofErr w:type="spellEnd"/>
            <w:r w:rsidRPr="00CF6F5E">
              <w:rPr>
                <w:b/>
              </w:rPr>
              <w:t>. EU 2015Q4</w:t>
            </w:r>
          </w:p>
        </w:tc>
        <w:tc>
          <w:tcPr>
            <w:tcW w:w="992" w:type="dxa"/>
          </w:tcPr>
          <w:p w:rsidR="00CF6F5E" w:rsidRPr="009C582A" w:rsidRDefault="00CF6F5E" w:rsidP="00CF6F5E">
            <w:pPr>
              <w:jc w:val="right"/>
            </w:pPr>
            <w:r w:rsidRPr="009C582A">
              <w:t xml:space="preserve">-0.03 </w:t>
            </w:r>
          </w:p>
        </w:tc>
        <w:tc>
          <w:tcPr>
            <w:tcW w:w="1077" w:type="dxa"/>
          </w:tcPr>
          <w:p w:rsidR="00CF6F5E" w:rsidRPr="009C582A" w:rsidRDefault="00CF6F5E" w:rsidP="00CF6F5E">
            <w:pPr>
              <w:jc w:val="right"/>
            </w:pPr>
            <w:r w:rsidRPr="009C582A">
              <w:t xml:space="preserve">0.00 </w:t>
            </w:r>
          </w:p>
        </w:tc>
        <w:tc>
          <w:tcPr>
            <w:tcW w:w="949" w:type="dxa"/>
          </w:tcPr>
          <w:p w:rsidR="00CF6F5E" w:rsidRPr="009C582A" w:rsidRDefault="00CF6F5E" w:rsidP="00CF6F5E">
            <w:pPr>
              <w:jc w:val="right"/>
            </w:pPr>
            <w:r w:rsidRPr="009C582A">
              <w:t xml:space="preserve">0.00 </w:t>
            </w:r>
          </w:p>
        </w:tc>
        <w:tc>
          <w:tcPr>
            <w:tcW w:w="1376" w:type="dxa"/>
          </w:tcPr>
          <w:p w:rsidR="00CF6F5E" w:rsidRPr="00CF6F5E" w:rsidRDefault="00CF6F5E" w:rsidP="00CF6F5E">
            <w:pPr>
              <w:jc w:val="center"/>
              <w:rPr>
                <w:b/>
              </w:rPr>
            </w:pPr>
            <w:r w:rsidRPr="00CF6F5E">
              <w:rPr>
                <w:b/>
              </w:rPr>
              <w:t>-0.05 -  0.05</w:t>
            </w:r>
          </w:p>
        </w:tc>
        <w:tc>
          <w:tcPr>
            <w:tcW w:w="997" w:type="dxa"/>
          </w:tcPr>
          <w:p w:rsidR="00CF6F5E" w:rsidRPr="009C582A" w:rsidRDefault="00CF6F5E" w:rsidP="00CF6F5E">
            <w:pPr>
              <w:jc w:val="right"/>
            </w:pPr>
            <w:r w:rsidRPr="009C582A">
              <w:t xml:space="preserve">-0.03 </w:t>
            </w:r>
          </w:p>
        </w:tc>
        <w:tc>
          <w:tcPr>
            <w:tcW w:w="992" w:type="dxa"/>
          </w:tcPr>
          <w:p w:rsidR="00CF6F5E" w:rsidRPr="009C582A" w:rsidRDefault="00CF6F5E" w:rsidP="00CF6F5E">
            <w:pPr>
              <w:jc w:val="right"/>
            </w:pPr>
            <w:r w:rsidRPr="009C582A">
              <w:t xml:space="preserve">-0.01 </w:t>
            </w:r>
          </w:p>
        </w:tc>
        <w:tc>
          <w:tcPr>
            <w:tcW w:w="992" w:type="dxa"/>
          </w:tcPr>
          <w:p w:rsidR="00CF6F5E" w:rsidRPr="009C582A" w:rsidRDefault="00CF6F5E" w:rsidP="00CF6F5E">
            <w:pPr>
              <w:jc w:val="right"/>
            </w:pPr>
            <w:r w:rsidRPr="009C582A">
              <w:t xml:space="preserve">-0.01 </w:t>
            </w:r>
          </w:p>
        </w:tc>
      </w:tr>
      <w:tr w:rsidR="00CF6F5E" w:rsidRPr="00EC5F5A" w:rsidTr="00CF6F5E">
        <w:trPr>
          <w:cantSplit/>
        </w:trPr>
        <w:tc>
          <w:tcPr>
            <w:tcW w:w="2518" w:type="dxa"/>
          </w:tcPr>
          <w:p w:rsidR="00CF6F5E" w:rsidRPr="00CF6F5E" w:rsidRDefault="00CF6F5E" w:rsidP="00B2268F">
            <w:pPr>
              <w:rPr>
                <w:b/>
              </w:rPr>
            </w:pPr>
            <w:proofErr w:type="spellStart"/>
            <w:r w:rsidRPr="00CF6F5E">
              <w:rPr>
                <w:b/>
              </w:rPr>
              <w:t>Average</w:t>
            </w:r>
            <w:proofErr w:type="spellEnd"/>
            <w:r w:rsidRPr="00CF6F5E">
              <w:rPr>
                <w:b/>
              </w:rPr>
              <w:t xml:space="preserve"> </w:t>
            </w:r>
            <w:proofErr w:type="spellStart"/>
            <w:r w:rsidRPr="00CF6F5E">
              <w:rPr>
                <w:b/>
              </w:rPr>
              <w:t>absolute</w:t>
            </w:r>
            <w:proofErr w:type="spellEnd"/>
            <w:r w:rsidRPr="00CF6F5E">
              <w:rPr>
                <w:b/>
              </w:rPr>
              <w:t xml:space="preserve"> </w:t>
            </w:r>
            <w:proofErr w:type="spellStart"/>
            <w:r w:rsidRPr="00CF6F5E">
              <w:rPr>
                <w:b/>
              </w:rPr>
              <w:t>revision</w:t>
            </w:r>
            <w:proofErr w:type="spellEnd"/>
            <w:r w:rsidRPr="00CF6F5E">
              <w:rPr>
                <w:b/>
              </w:rPr>
              <w:t xml:space="preserve"> </w:t>
            </w:r>
            <w:proofErr w:type="spellStart"/>
            <w:r w:rsidRPr="00CF6F5E">
              <w:rPr>
                <w:b/>
              </w:rPr>
              <w:t>all</w:t>
            </w:r>
            <w:proofErr w:type="spellEnd"/>
            <w:r w:rsidRPr="00CF6F5E">
              <w:rPr>
                <w:b/>
              </w:rPr>
              <w:t xml:space="preserve"> </w:t>
            </w:r>
            <w:proofErr w:type="spellStart"/>
            <w:r w:rsidRPr="00CF6F5E">
              <w:rPr>
                <w:b/>
              </w:rPr>
              <w:t>quarters</w:t>
            </w:r>
            <w:proofErr w:type="spellEnd"/>
            <w:r w:rsidRPr="00CF6F5E">
              <w:rPr>
                <w:b/>
              </w:rPr>
              <w:t xml:space="preserve"> </w:t>
            </w:r>
            <w:proofErr w:type="spellStart"/>
            <w:r w:rsidRPr="00CF6F5E">
              <w:rPr>
                <w:b/>
              </w:rPr>
              <w:t>excl</w:t>
            </w:r>
            <w:proofErr w:type="spellEnd"/>
            <w:r w:rsidRPr="00CF6F5E">
              <w:rPr>
                <w:b/>
              </w:rPr>
              <w:t>. EU 2015Q4</w:t>
            </w:r>
          </w:p>
        </w:tc>
        <w:tc>
          <w:tcPr>
            <w:tcW w:w="992" w:type="dxa"/>
          </w:tcPr>
          <w:p w:rsidR="00CF6F5E" w:rsidRPr="009C582A" w:rsidRDefault="00CF6F5E" w:rsidP="00CF6F5E">
            <w:pPr>
              <w:jc w:val="right"/>
            </w:pPr>
            <w:r w:rsidRPr="009C582A">
              <w:t xml:space="preserve">0.03 </w:t>
            </w:r>
          </w:p>
        </w:tc>
        <w:tc>
          <w:tcPr>
            <w:tcW w:w="1077" w:type="dxa"/>
          </w:tcPr>
          <w:p w:rsidR="00CF6F5E" w:rsidRPr="009C582A" w:rsidRDefault="00CF6F5E" w:rsidP="00CF6F5E">
            <w:pPr>
              <w:jc w:val="right"/>
            </w:pPr>
            <w:r w:rsidRPr="009C582A">
              <w:t xml:space="preserve">0.02 </w:t>
            </w:r>
          </w:p>
        </w:tc>
        <w:tc>
          <w:tcPr>
            <w:tcW w:w="949" w:type="dxa"/>
          </w:tcPr>
          <w:p w:rsidR="00CF6F5E" w:rsidRPr="009C582A" w:rsidRDefault="00CF6F5E" w:rsidP="00CF6F5E">
            <w:pPr>
              <w:jc w:val="right"/>
            </w:pPr>
            <w:r w:rsidRPr="009C582A">
              <w:t xml:space="preserve">0.02 </w:t>
            </w:r>
          </w:p>
        </w:tc>
        <w:tc>
          <w:tcPr>
            <w:tcW w:w="1376" w:type="dxa"/>
          </w:tcPr>
          <w:p w:rsidR="00CF6F5E" w:rsidRPr="00CF6F5E" w:rsidRDefault="00CF6F5E" w:rsidP="00CF6F5E">
            <w:pPr>
              <w:jc w:val="center"/>
              <w:rPr>
                <w:b/>
              </w:rPr>
            </w:pPr>
            <w:r w:rsidRPr="00CF6F5E">
              <w:rPr>
                <w:b/>
              </w:rPr>
              <w:t>=&lt;0.10</w:t>
            </w:r>
          </w:p>
        </w:tc>
        <w:tc>
          <w:tcPr>
            <w:tcW w:w="997" w:type="dxa"/>
          </w:tcPr>
          <w:p w:rsidR="00CF6F5E" w:rsidRPr="009C582A" w:rsidRDefault="00CF6F5E" w:rsidP="00CF6F5E">
            <w:pPr>
              <w:jc w:val="right"/>
            </w:pPr>
            <w:r w:rsidRPr="009C582A">
              <w:t xml:space="preserve">0.04 </w:t>
            </w:r>
          </w:p>
        </w:tc>
        <w:tc>
          <w:tcPr>
            <w:tcW w:w="992" w:type="dxa"/>
          </w:tcPr>
          <w:p w:rsidR="00CF6F5E" w:rsidRPr="009C582A" w:rsidRDefault="00CF6F5E" w:rsidP="00CF6F5E">
            <w:pPr>
              <w:jc w:val="right"/>
            </w:pPr>
            <w:r w:rsidRPr="009C582A">
              <w:t xml:space="preserve">0.03 </w:t>
            </w:r>
          </w:p>
        </w:tc>
        <w:tc>
          <w:tcPr>
            <w:tcW w:w="992" w:type="dxa"/>
          </w:tcPr>
          <w:p w:rsidR="00CF6F5E" w:rsidRPr="009C582A" w:rsidRDefault="00CF6F5E" w:rsidP="00CF6F5E">
            <w:pPr>
              <w:jc w:val="right"/>
            </w:pPr>
            <w:r w:rsidRPr="009C582A">
              <w:t xml:space="preserve">0.03 </w:t>
            </w:r>
          </w:p>
        </w:tc>
      </w:tr>
      <w:tr w:rsidR="00CF6F5E" w:rsidRPr="00EC5F5A" w:rsidTr="00CF6F5E">
        <w:trPr>
          <w:cantSplit/>
        </w:trPr>
        <w:tc>
          <w:tcPr>
            <w:tcW w:w="2518" w:type="dxa"/>
          </w:tcPr>
          <w:p w:rsidR="00CF6F5E" w:rsidRPr="00CF6F5E" w:rsidRDefault="00CF6F5E" w:rsidP="00B2268F">
            <w:pPr>
              <w:rPr>
                <w:b/>
              </w:rPr>
            </w:pPr>
            <w:r w:rsidRPr="00CF6F5E">
              <w:rPr>
                <w:b/>
                <w:lang w:val="en-GB"/>
              </w:rPr>
              <w:t xml:space="preserve">Root mean squared error all quarters excl. </w:t>
            </w:r>
            <w:r w:rsidRPr="00CF6F5E">
              <w:rPr>
                <w:b/>
              </w:rPr>
              <w:t>EU 2015Q4</w:t>
            </w:r>
          </w:p>
        </w:tc>
        <w:tc>
          <w:tcPr>
            <w:tcW w:w="992" w:type="dxa"/>
          </w:tcPr>
          <w:p w:rsidR="00CF6F5E" w:rsidRPr="009C582A" w:rsidRDefault="00CF6F5E" w:rsidP="00CF6F5E">
            <w:pPr>
              <w:jc w:val="right"/>
            </w:pPr>
            <w:r w:rsidRPr="009C582A">
              <w:t xml:space="preserve">0.04 </w:t>
            </w:r>
          </w:p>
        </w:tc>
        <w:tc>
          <w:tcPr>
            <w:tcW w:w="1077" w:type="dxa"/>
          </w:tcPr>
          <w:p w:rsidR="00CF6F5E" w:rsidRPr="009C582A" w:rsidRDefault="00CF6F5E" w:rsidP="00CF6F5E">
            <w:pPr>
              <w:jc w:val="right"/>
            </w:pPr>
            <w:r w:rsidRPr="009C582A">
              <w:t xml:space="preserve">0.03 </w:t>
            </w:r>
          </w:p>
        </w:tc>
        <w:tc>
          <w:tcPr>
            <w:tcW w:w="949" w:type="dxa"/>
          </w:tcPr>
          <w:p w:rsidR="00CF6F5E" w:rsidRPr="009C582A" w:rsidRDefault="00CF6F5E" w:rsidP="00CF6F5E">
            <w:pPr>
              <w:jc w:val="right"/>
            </w:pPr>
            <w:r w:rsidRPr="009C582A">
              <w:t xml:space="preserve">0.03 </w:t>
            </w:r>
          </w:p>
        </w:tc>
        <w:tc>
          <w:tcPr>
            <w:tcW w:w="1376" w:type="dxa"/>
          </w:tcPr>
          <w:p w:rsidR="00CF6F5E" w:rsidRPr="00CF6F5E" w:rsidRDefault="00CF6F5E" w:rsidP="00CF6F5E">
            <w:pPr>
              <w:jc w:val="center"/>
              <w:rPr>
                <w:b/>
              </w:rPr>
            </w:pPr>
          </w:p>
        </w:tc>
        <w:tc>
          <w:tcPr>
            <w:tcW w:w="997" w:type="dxa"/>
          </w:tcPr>
          <w:p w:rsidR="00CF6F5E" w:rsidRPr="009C582A" w:rsidRDefault="00CF6F5E" w:rsidP="00CF6F5E">
            <w:pPr>
              <w:jc w:val="right"/>
            </w:pPr>
            <w:r w:rsidRPr="009C582A">
              <w:t xml:space="preserve">0.05 </w:t>
            </w:r>
          </w:p>
        </w:tc>
        <w:tc>
          <w:tcPr>
            <w:tcW w:w="992" w:type="dxa"/>
          </w:tcPr>
          <w:p w:rsidR="00CF6F5E" w:rsidRPr="009C582A" w:rsidRDefault="00CF6F5E" w:rsidP="00CF6F5E">
            <w:pPr>
              <w:jc w:val="right"/>
            </w:pPr>
            <w:r w:rsidRPr="009C582A">
              <w:t xml:space="preserve">0.03 </w:t>
            </w:r>
          </w:p>
        </w:tc>
        <w:tc>
          <w:tcPr>
            <w:tcW w:w="992" w:type="dxa"/>
          </w:tcPr>
          <w:p w:rsidR="00CF6F5E" w:rsidRPr="009C582A" w:rsidRDefault="00CF6F5E" w:rsidP="00CF6F5E">
            <w:pPr>
              <w:jc w:val="right"/>
            </w:pPr>
            <w:r w:rsidRPr="009C582A">
              <w:t xml:space="preserve">0.03 </w:t>
            </w:r>
          </w:p>
        </w:tc>
      </w:tr>
      <w:tr w:rsidR="00CF6F5E" w:rsidRPr="00EC5F5A" w:rsidTr="00CF6F5E">
        <w:trPr>
          <w:cantSplit/>
        </w:trPr>
        <w:tc>
          <w:tcPr>
            <w:tcW w:w="2518" w:type="dxa"/>
          </w:tcPr>
          <w:p w:rsidR="00CF6F5E" w:rsidRPr="00CF6F5E" w:rsidRDefault="00CF6F5E" w:rsidP="00B2268F">
            <w:pPr>
              <w:rPr>
                <w:b/>
              </w:rPr>
            </w:pPr>
            <w:proofErr w:type="spellStart"/>
            <w:r w:rsidRPr="00CF6F5E">
              <w:rPr>
                <w:b/>
              </w:rPr>
              <w:t>Coverage</w:t>
            </w:r>
            <w:proofErr w:type="spellEnd"/>
            <w:r w:rsidRPr="00CF6F5E">
              <w:rPr>
                <w:b/>
              </w:rPr>
              <w:t xml:space="preserve"> </w:t>
            </w:r>
            <w:proofErr w:type="spellStart"/>
            <w:r w:rsidRPr="00CF6F5E">
              <w:rPr>
                <w:b/>
              </w:rPr>
              <w:t>latest</w:t>
            </w:r>
            <w:proofErr w:type="spellEnd"/>
            <w:r w:rsidRPr="00CF6F5E">
              <w:rPr>
                <w:b/>
              </w:rPr>
              <w:t xml:space="preserve"> 4 </w:t>
            </w:r>
            <w:proofErr w:type="spellStart"/>
            <w:r w:rsidRPr="00CF6F5E">
              <w:rPr>
                <w:b/>
              </w:rPr>
              <w:t>quarters</w:t>
            </w:r>
            <w:proofErr w:type="spellEnd"/>
            <w:r w:rsidRPr="00CF6F5E">
              <w:rPr>
                <w:b/>
              </w:rPr>
              <w:t>:</w:t>
            </w:r>
          </w:p>
        </w:tc>
        <w:tc>
          <w:tcPr>
            <w:tcW w:w="992" w:type="dxa"/>
          </w:tcPr>
          <w:p w:rsidR="00CF6F5E" w:rsidRPr="009C582A" w:rsidRDefault="00CF6F5E" w:rsidP="00CF6F5E">
            <w:pPr>
              <w:jc w:val="right"/>
            </w:pPr>
          </w:p>
        </w:tc>
        <w:tc>
          <w:tcPr>
            <w:tcW w:w="1077" w:type="dxa"/>
          </w:tcPr>
          <w:p w:rsidR="00CF6F5E" w:rsidRPr="009C582A" w:rsidRDefault="00CF6F5E" w:rsidP="00CF6F5E">
            <w:pPr>
              <w:jc w:val="right"/>
            </w:pPr>
          </w:p>
        </w:tc>
        <w:tc>
          <w:tcPr>
            <w:tcW w:w="949" w:type="dxa"/>
          </w:tcPr>
          <w:p w:rsidR="00CF6F5E" w:rsidRPr="009C582A" w:rsidRDefault="00CF6F5E" w:rsidP="00CF6F5E">
            <w:pPr>
              <w:jc w:val="right"/>
            </w:pPr>
          </w:p>
        </w:tc>
        <w:tc>
          <w:tcPr>
            <w:tcW w:w="1376" w:type="dxa"/>
          </w:tcPr>
          <w:p w:rsidR="00CF6F5E" w:rsidRPr="00CF6F5E" w:rsidRDefault="00CF6F5E" w:rsidP="00CF6F5E">
            <w:pPr>
              <w:jc w:val="center"/>
              <w:rPr>
                <w:b/>
              </w:rPr>
            </w:pPr>
            <w:r w:rsidRPr="00CF6F5E">
              <w:rPr>
                <w:b/>
              </w:rPr>
              <w:t>=&gt;75</w:t>
            </w:r>
          </w:p>
        </w:tc>
        <w:tc>
          <w:tcPr>
            <w:tcW w:w="997" w:type="dxa"/>
          </w:tcPr>
          <w:p w:rsidR="00CF6F5E" w:rsidRPr="009C582A" w:rsidRDefault="00CF6F5E" w:rsidP="00CF6F5E">
            <w:pPr>
              <w:jc w:val="right"/>
            </w:pPr>
          </w:p>
        </w:tc>
        <w:tc>
          <w:tcPr>
            <w:tcW w:w="992" w:type="dxa"/>
          </w:tcPr>
          <w:p w:rsidR="00CF6F5E" w:rsidRPr="009C582A" w:rsidRDefault="00CF6F5E" w:rsidP="00CF6F5E">
            <w:pPr>
              <w:jc w:val="right"/>
            </w:pPr>
          </w:p>
        </w:tc>
        <w:tc>
          <w:tcPr>
            <w:tcW w:w="992" w:type="dxa"/>
          </w:tcPr>
          <w:p w:rsidR="00CF6F5E" w:rsidRPr="009C582A" w:rsidRDefault="00CF6F5E" w:rsidP="00CF6F5E">
            <w:pPr>
              <w:jc w:val="right"/>
            </w:pPr>
          </w:p>
        </w:tc>
      </w:tr>
      <w:tr w:rsidR="00CF6F5E" w:rsidRPr="00EC5F5A" w:rsidTr="00CF6F5E">
        <w:trPr>
          <w:cantSplit/>
        </w:trPr>
        <w:tc>
          <w:tcPr>
            <w:tcW w:w="2518" w:type="dxa"/>
          </w:tcPr>
          <w:p w:rsidR="00CF6F5E" w:rsidRPr="009C582A" w:rsidRDefault="00CF6F5E" w:rsidP="00B2268F">
            <w:r w:rsidRPr="009C582A">
              <w:t>2017Q1</w:t>
            </w:r>
          </w:p>
        </w:tc>
        <w:tc>
          <w:tcPr>
            <w:tcW w:w="992" w:type="dxa"/>
          </w:tcPr>
          <w:p w:rsidR="00CF6F5E" w:rsidRPr="009C582A" w:rsidRDefault="00CF6F5E" w:rsidP="00CF3EE1">
            <w:pPr>
              <w:jc w:val="right"/>
            </w:pPr>
            <w:r w:rsidRPr="009C582A">
              <w:t>7</w:t>
            </w:r>
            <w:r w:rsidR="00CF3EE1">
              <w:t>2</w:t>
            </w:r>
            <w:r w:rsidRPr="009C582A">
              <w:t xml:space="preserve"> </w:t>
            </w:r>
          </w:p>
        </w:tc>
        <w:tc>
          <w:tcPr>
            <w:tcW w:w="1077" w:type="dxa"/>
          </w:tcPr>
          <w:p w:rsidR="00CF6F5E" w:rsidRPr="009C582A" w:rsidRDefault="00CF6F5E" w:rsidP="00CF6F5E">
            <w:pPr>
              <w:jc w:val="right"/>
            </w:pPr>
            <w:r w:rsidRPr="009C582A">
              <w:t xml:space="preserve">90 </w:t>
            </w:r>
          </w:p>
        </w:tc>
        <w:tc>
          <w:tcPr>
            <w:tcW w:w="949" w:type="dxa"/>
          </w:tcPr>
          <w:p w:rsidR="00CF6F5E" w:rsidRPr="009C582A" w:rsidRDefault="00CF6F5E" w:rsidP="00CF6F5E">
            <w:pPr>
              <w:jc w:val="right"/>
            </w:pPr>
            <w:r w:rsidRPr="009C582A">
              <w:t xml:space="preserve">93 </w:t>
            </w:r>
          </w:p>
        </w:tc>
        <w:tc>
          <w:tcPr>
            <w:tcW w:w="1376" w:type="dxa"/>
          </w:tcPr>
          <w:p w:rsidR="00CF6F5E" w:rsidRPr="009C582A" w:rsidRDefault="00CF6F5E" w:rsidP="00B2268F"/>
        </w:tc>
        <w:tc>
          <w:tcPr>
            <w:tcW w:w="997" w:type="dxa"/>
          </w:tcPr>
          <w:p w:rsidR="00CF6F5E" w:rsidRPr="009C582A" w:rsidRDefault="00CF6F5E" w:rsidP="00CF6F5E">
            <w:pPr>
              <w:jc w:val="right"/>
            </w:pPr>
            <w:r w:rsidRPr="009C582A">
              <w:t xml:space="preserve">66 </w:t>
            </w:r>
          </w:p>
        </w:tc>
        <w:tc>
          <w:tcPr>
            <w:tcW w:w="992" w:type="dxa"/>
          </w:tcPr>
          <w:p w:rsidR="00CF6F5E" w:rsidRPr="009C582A" w:rsidRDefault="00CF6F5E" w:rsidP="00CF6F5E">
            <w:pPr>
              <w:jc w:val="right"/>
            </w:pPr>
            <w:r w:rsidRPr="009C582A">
              <w:t xml:space="preserve">79 </w:t>
            </w:r>
          </w:p>
        </w:tc>
        <w:tc>
          <w:tcPr>
            <w:tcW w:w="992" w:type="dxa"/>
          </w:tcPr>
          <w:p w:rsidR="00CF6F5E" w:rsidRPr="009C582A" w:rsidRDefault="00CF6F5E" w:rsidP="00CF6F5E">
            <w:pPr>
              <w:jc w:val="right"/>
            </w:pPr>
            <w:r w:rsidRPr="009C582A">
              <w:t xml:space="preserve">83 </w:t>
            </w:r>
          </w:p>
        </w:tc>
      </w:tr>
      <w:tr w:rsidR="00CF6F5E" w:rsidRPr="00EC5F5A" w:rsidTr="00CF6F5E">
        <w:trPr>
          <w:cantSplit/>
        </w:trPr>
        <w:tc>
          <w:tcPr>
            <w:tcW w:w="2518" w:type="dxa"/>
          </w:tcPr>
          <w:p w:rsidR="00CF6F5E" w:rsidRPr="00FE4F95" w:rsidRDefault="00CF6F5E" w:rsidP="00733603">
            <w:r w:rsidRPr="00FE4F95">
              <w:t>2017Q2</w:t>
            </w:r>
          </w:p>
        </w:tc>
        <w:tc>
          <w:tcPr>
            <w:tcW w:w="992" w:type="dxa"/>
          </w:tcPr>
          <w:p w:rsidR="00CF6F5E" w:rsidRPr="00FE4F95" w:rsidRDefault="00CF6F5E" w:rsidP="00CF3EE1">
            <w:pPr>
              <w:jc w:val="right"/>
            </w:pPr>
            <w:r w:rsidRPr="00FE4F95">
              <w:t>7</w:t>
            </w:r>
            <w:r w:rsidR="00CF3EE1">
              <w:t>7</w:t>
            </w:r>
            <w:r w:rsidRPr="00FE4F95">
              <w:t xml:space="preserve"> </w:t>
            </w:r>
          </w:p>
        </w:tc>
        <w:tc>
          <w:tcPr>
            <w:tcW w:w="1077" w:type="dxa"/>
          </w:tcPr>
          <w:p w:rsidR="00CF6F5E" w:rsidRPr="00FE4F95" w:rsidRDefault="00CF6F5E" w:rsidP="00CF6F5E">
            <w:pPr>
              <w:jc w:val="right"/>
            </w:pPr>
            <w:r w:rsidRPr="00FE4F95">
              <w:t xml:space="preserve">95 </w:t>
            </w:r>
          </w:p>
        </w:tc>
        <w:tc>
          <w:tcPr>
            <w:tcW w:w="949" w:type="dxa"/>
          </w:tcPr>
          <w:p w:rsidR="00CF6F5E" w:rsidRPr="00FE4F95" w:rsidRDefault="00CF6F5E" w:rsidP="00CF6F5E">
            <w:pPr>
              <w:jc w:val="right"/>
            </w:pPr>
            <w:r w:rsidRPr="00FE4F95">
              <w:t xml:space="preserve">95 </w:t>
            </w:r>
          </w:p>
        </w:tc>
        <w:tc>
          <w:tcPr>
            <w:tcW w:w="1376" w:type="dxa"/>
          </w:tcPr>
          <w:p w:rsidR="00CF6F5E" w:rsidRPr="00FE4F95" w:rsidRDefault="00CF6F5E" w:rsidP="00733603"/>
        </w:tc>
        <w:tc>
          <w:tcPr>
            <w:tcW w:w="997" w:type="dxa"/>
          </w:tcPr>
          <w:p w:rsidR="00CF6F5E" w:rsidRPr="00FE4F95" w:rsidRDefault="00CF6F5E" w:rsidP="00CF6F5E">
            <w:pPr>
              <w:jc w:val="right"/>
            </w:pPr>
            <w:r w:rsidRPr="00FE4F95">
              <w:t xml:space="preserve">78 </w:t>
            </w:r>
          </w:p>
        </w:tc>
        <w:tc>
          <w:tcPr>
            <w:tcW w:w="992" w:type="dxa"/>
          </w:tcPr>
          <w:p w:rsidR="00CF6F5E" w:rsidRPr="00FE4F95" w:rsidRDefault="00CF6F5E" w:rsidP="00CF6F5E">
            <w:pPr>
              <w:jc w:val="right"/>
            </w:pPr>
            <w:r w:rsidRPr="00FE4F95">
              <w:t xml:space="preserve">90 </w:t>
            </w:r>
          </w:p>
        </w:tc>
        <w:tc>
          <w:tcPr>
            <w:tcW w:w="992" w:type="dxa"/>
          </w:tcPr>
          <w:p w:rsidR="00CF6F5E" w:rsidRPr="00FE4F95" w:rsidRDefault="00CF6F5E" w:rsidP="00CF6F5E">
            <w:pPr>
              <w:jc w:val="right"/>
            </w:pPr>
            <w:r w:rsidRPr="00FE4F95">
              <w:t xml:space="preserve">92 </w:t>
            </w:r>
          </w:p>
        </w:tc>
      </w:tr>
      <w:tr w:rsidR="00CF6F5E" w:rsidRPr="00EC5F5A" w:rsidTr="00CF6F5E">
        <w:trPr>
          <w:cantSplit/>
        </w:trPr>
        <w:tc>
          <w:tcPr>
            <w:tcW w:w="2518" w:type="dxa"/>
          </w:tcPr>
          <w:p w:rsidR="00CF6F5E" w:rsidRPr="00FE4F95" w:rsidRDefault="00CF6F5E" w:rsidP="00733603">
            <w:r w:rsidRPr="00FE4F95">
              <w:t>2017Q3</w:t>
            </w:r>
          </w:p>
        </w:tc>
        <w:tc>
          <w:tcPr>
            <w:tcW w:w="992" w:type="dxa"/>
          </w:tcPr>
          <w:p w:rsidR="00CF6F5E" w:rsidRPr="00FE4F95" w:rsidRDefault="00CF6F5E" w:rsidP="00CF3EE1">
            <w:pPr>
              <w:jc w:val="right"/>
            </w:pPr>
            <w:r w:rsidRPr="00FE4F95">
              <w:t xml:space="preserve">93 </w:t>
            </w:r>
          </w:p>
        </w:tc>
        <w:tc>
          <w:tcPr>
            <w:tcW w:w="1077" w:type="dxa"/>
          </w:tcPr>
          <w:p w:rsidR="00CF6F5E" w:rsidRPr="00FE4F95" w:rsidRDefault="00CF6F5E" w:rsidP="00CF6F5E">
            <w:pPr>
              <w:jc w:val="right"/>
            </w:pPr>
            <w:r w:rsidRPr="00FE4F95">
              <w:t xml:space="preserve">93 </w:t>
            </w:r>
          </w:p>
        </w:tc>
        <w:tc>
          <w:tcPr>
            <w:tcW w:w="949" w:type="dxa"/>
          </w:tcPr>
          <w:p w:rsidR="00CF6F5E" w:rsidRPr="00FE4F95" w:rsidRDefault="00CF6F5E" w:rsidP="00CF6F5E">
            <w:pPr>
              <w:jc w:val="right"/>
            </w:pPr>
            <w:r w:rsidRPr="00FE4F95">
              <w:t xml:space="preserve">93 </w:t>
            </w:r>
          </w:p>
        </w:tc>
        <w:tc>
          <w:tcPr>
            <w:tcW w:w="1376" w:type="dxa"/>
          </w:tcPr>
          <w:p w:rsidR="00CF6F5E" w:rsidRPr="00FE4F95" w:rsidRDefault="00CF6F5E" w:rsidP="00733603"/>
        </w:tc>
        <w:tc>
          <w:tcPr>
            <w:tcW w:w="997" w:type="dxa"/>
          </w:tcPr>
          <w:p w:rsidR="00CF6F5E" w:rsidRPr="00FE4F95" w:rsidRDefault="00CF6F5E" w:rsidP="00CF6F5E">
            <w:pPr>
              <w:jc w:val="right"/>
            </w:pPr>
            <w:r w:rsidRPr="00FE4F95">
              <w:t xml:space="preserve">90 </w:t>
            </w:r>
          </w:p>
        </w:tc>
        <w:tc>
          <w:tcPr>
            <w:tcW w:w="992" w:type="dxa"/>
          </w:tcPr>
          <w:p w:rsidR="00CF6F5E" w:rsidRPr="00FE4F95" w:rsidRDefault="00CF6F5E" w:rsidP="00CF6F5E">
            <w:pPr>
              <w:jc w:val="right"/>
            </w:pPr>
            <w:r w:rsidRPr="00FE4F95">
              <w:t xml:space="preserve">90 </w:t>
            </w:r>
          </w:p>
        </w:tc>
        <w:tc>
          <w:tcPr>
            <w:tcW w:w="992" w:type="dxa"/>
          </w:tcPr>
          <w:p w:rsidR="00CF6F5E" w:rsidRPr="00FE4F95" w:rsidRDefault="00CF6F5E" w:rsidP="00CF6F5E">
            <w:pPr>
              <w:jc w:val="right"/>
            </w:pPr>
            <w:r w:rsidRPr="00FE4F95">
              <w:t xml:space="preserve">92 </w:t>
            </w:r>
          </w:p>
        </w:tc>
      </w:tr>
      <w:tr w:rsidR="00CF6F5E" w:rsidRPr="00EC5F5A" w:rsidTr="00CF6F5E">
        <w:trPr>
          <w:cantSplit/>
        </w:trPr>
        <w:tc>
          <w:tcPr>
            <w:tcW w:w="2518" w:type="dxa"/>
          </w:tcPr>
          <w:p w:rsidR="00CF6F5E" w:rsidRPr="00FE4F95" w:rsidRDefault="00CF6F5E" w:rsidP="00733603">
            <w:r w:rsidRPr="00FE4F95">
              <w:t>2017Q4</w:t>
            </w:r>
          </w:p>
        </w:tc>
        <w:tc>
          <w:tcPr>
            <w:tcW w:w="992" w:type="dxa"/>
          </w:tcPr>
          <w:p w:rsidR="00CF6F5E" w:rsidRPr="00FE4F95" w:rsidRDefault="00CF6F5E" w:rsidP="00CF3EE1">
            <w:pPr>
              <w:jc w:val="right"/>
            </w:pPr>
            <w:r w:rsidRPr="00FE4F95">
              <w:t xml:space="preserve">95 </w:t>
            </w:r>
          </w:p>
        </w:tc>
        <w:tc>
          <w:tcPr>
            <w:tcW w:w="1077" w:type="dxa"/>
          </w:tcPr>
          <w:p w:rsidR="00CF6F5E" w:rsidRPr="00FE4F95" w:rsidRDefault="00CF6F5E" w:rsidP="00CF6F5E">
            <w:pPr>
              <w:jc w:val="right"/>
            </w:pPr>
            <w:r w:rsidRPr="00FE4F95">
              <w:t xml:space="preserve">95 </w:t>
            </w:r>
          </w:p>
        </w:tc>
        <w:tc>
          <w:tcPr>
            <w:tcW w:w="949" w:type="dxa"/>
          </w:tcPr>
          <w:p w:rsidR="00CF6F5E" w:rsidRPr="00FE4F95" w:rsidRDefault="00CF6F5E" w:rsidP="00CF6F5E">
            <w:pPr>
              <w:jc w:val="right"/>
            </w:pPr>
            <w:r w:rsidRPr="00FE4F95">
              <w:t xml:space="preserve">95 </w:t>
            </w:r>
          </w:p>
        </w:tc>
        <w:tc>
          <w:tcPr>
            <w:tcW w:w="1376" w:type="dxa"/>
          </w:tcPr>
          <w:p w:rsidR="00CF6F5E" w:rsidRPr="00FE4F95" w:rsidRDefault="00CF6F5E" w:rsidP="00733603"/>
        </w:tc>
        <w:tc>
          <w:tcPr>
            <w:tcW w:w="997" w:type="dxa"/>
          </w:tcPr>
          <w:p w:rsidR="00CF6F5E" w:rsidRPr="00FE4F95" w:rsidRDefault="00CF6F5E" w:rsidP="00CF6F5E">
            <w:pPr>
              <w:jc w:val="right"/>
            </w:pPr>
            <w:r w:rsidRPr="00FE4F95">
              <w:t xml:space="preserve">91 </w:t>
            </w:r>
          </w:p>
        </w:tc>
        <w:tc>
          <w:tcPr>
            <w:tcW w:w="992" w:type="dxa"/>
          </w:tcPr>
          <w:p w:rsidR="00CF6F5E" w:rsidRPr="00FE4F95" w:rsidRDefault="00CF6F5E" w:rsidP="00CF6F5E">
            <w:pPr>
              <w:jc w:val="right"/>
            </w:pPr>
            <w:r w:rsidRPr="00FE4F95">
              <w:t xml:space="preserve">91 </w:t>
            </w:r>
          </w:p>
        </w:tc>
        <w:tc>
          <w:tcPr>
            <w:tcW w:w="992" w:type="dxa"/>
          </w:tcPr>
          <w:p w:rsidR="00CF6F5E" w:rsidRDefault="00CF6F5E" w:rsidP="00CF6F5E">
            <w:pPr>
              <w:jc w:val="right"/>
            </w:pPr>
            <w:r w:rsidRPr="00FE4F95">
              <w:t xml:space="preserve">93 </w:t>
            </w:r>
          </w:p>
        </w:tc>
      </w:tr>
    </w:tbl>
    <w:p w:rsidR="00DA2ED5" w:rsidRDefault="00DA2ED5" w:rsidP="00DA2ED5">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Eurostat calculations</w:t>
      </w:r>
    </w:p>
    <w:p w:rsidR="00647292" w:rsidRDefault="00CF6F5E" w:rsidP="0064729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columns </w:t>
      </w:r>
      <w:r w:rsidR="00740151">
        <w:rPr>
          <w:rFonts w:ascii="Arial" w:hAnsi="Arial" w:cs="Arial"/>
          <w:sz w:val="24"/>
          <w:szCs w:val="24"/>
          <w:lang w:val="en-GB"/>
        </w:rPr>
        <w:t>'</w:t>
      </w:r>
      <w:r>
        <w:rPr>
          <w:rFonts w:ascii="Arial" w:hAnsi="Arial" w:cs="Arial"/>
          <w:sz w:val="24"/>
          <w:szCs w:val="24"/>
          <w:lang w:val="en-GB"/>
        </w:rPr>
        <w:t>T+45 transmission</w:t>
      </w:r>
      <w:r w:rsidR="00740151">
        <w:rPr>
          <w:rFonts w:ascii="Arial" w:hAnsi="Arial" w:cs="Arial"/>
          <w:sz w:val="24"/>
          <w:szCs w:val="24"/>
          <w:lang w:val="en-GB"/>
        </w:rPr>
        <w:t>'</w:t>
      </w:r>
      <w:r>
        <w:rPr>
          <w:rFonts w:ascii="Arial" w:hAnsi="Arial" w:cs="Arial"/>
          <w:sz w:val="24"/>
          <w:szCs w:val="24"/>
          <w:lang w:val="en-GB"/>
        </w:rPr>
        <w:t xml:space="preserve"> refer to the 1</w:t>
      </w:r>
      <w:r w:rsidRPr="00CF6F5E">
        <w:rPr>
          <w:rFonts w:ascii="Arial" w:hAnsi="Arial" w:cs="Arial"/>
          <w:sz w:val="24"/>
          <w:szCs w:val="24"/>
          <w:vertAlign w:val="superscript"/>
          <w:lang w:val="en-GB"/>
        </w:rPr>
        <w:t>st</w:t>
      </w:r>
      <w:r>
        <w:rPr>
          <w:rFonts w:ascii="Arial" w:hAnsi="Arial" w:cs="Arial"/>
          <w:sz w:val="24"/>
          <w:szCs w:val="24"/>
          <w:lang w:val="en-GB"/>
        </w:rPr>
        <w:t xml:space="preserve"> method for estimating missing countries.</w:t>
      </w:r>
      <w:r w:rsidR="00DA2ED5">
        <w:rPr>
          <w:rFonts w:ascii="Arial" w:hAnsi="Arial" w:cs="Arial"/>
          <w:sz w:val="24"/>
          <w:szCs w:val="24"/>
          <w:lang w:val="en-GB"/>
        </w:rPr>
        <w:t xml:space="preserve"> See page 3.</w:t>
      </w:r>
    </w:p>
    <w:p w:rsidR="00CF6F5E" w:rsidRDefault="00CF6F5E" w:rsidP="00647292">
      <w:pPr>
        <w:spacing w:before="120" w:after="0" w:line="360" w:lineRule="auto"/>
        <w:jc w:val="both"/>
        <w:rPr>
          <w:rFonts w:ascii="Arial" w:hAnsi="Arial" w:cs="Arial"/>
          <w:sz w:val="24"/>
          <w:szCs w:val="24"/>
          <w:lang w:val="en-GB"/>
        </w:rPr>
      </w:pPr>
      <w:r>
        <w:rPr>
          <w:rFonts w:ascii="Arial" w:hAnsi="Arial" w:cs="Arial"/>
          <w:sz w:val="24"/>
          <w:szCs w:val="24"/>
          <w:lang w:val="en-GB"/>
        </w:rPr>
        <w:t>The columns</w:t>
      </w:r>
      <w:r w:rsidR="00DA2ED5">
        <w:rPr>
          <w:rFonts w:ascii="Arial" w:hAnsi="Arial" w:cs="Arial"/>
          <w:sz w:val="24"/>
          <w:szCs w:val="24"/>
          <w:lang w:val="en-GB"/>
        </w:rPr>
        <w:t xml:space="preserve"> </w:t>
      </w:r>
      <w:r w:rsidR="00740151">
        <w:rPr>
          <w:rFonts w:ascii="Arial" w:hAnsi="Arial" w:cs="Arial"/>
          <w:sz w:val="24"/>
          <w:szCs w:val="24"/>
          <w:lang w:val="en-GB"/>
        </w:rPr>
        <w:t>'</w:t>
      </w:r>
      <w:r w:rsidR="00DA2ED5">
        <w:rPr>
          <w:rFonts w:ascii="Arial" w:hAnsi="Arial" w:cs="Arial"/>
          <w:sz w:val="24"/>
          <w:szCs w:val="24"/>
          <w:lang w:val="en-GB"/>
        </w:rPr>
        <w:t>T+45 trans. + model</w:t>
      </w:r>
      <w:r w:rsidR="00740151">
        <w:rPr>
          <w:rFonts w:ascii="Arial" w:hAnsi="Arial" w:cs="Arial"/>
          <w:sz w:val="24"/>
          <w:szCs w:val="24"/>
          <w:lang w:val="en-GB"/>
        </w:rPr>
        <w:t>'</w:t>
      </w:r>
      <w:r w:rsidR="00DA2ED5">
        <w:rPr>
          <w:rFonts w:ascii="Arial" w:hAnsi="Arial" w:cs="Arial"/>
          <w:sz w:val="24"/>
          <w:szCs w:val="24"/>
          <w:lang w:val="en-GB"/>
        </w:rPr>
        <w:t xml:space="preserve"> refer</w:t>
      </w:r>
      <w:r>
        <w:rPr>
          <w:rFonts w:ascii="Arial" w:hAnsi="Arial" w:cs="Arial"/>
          <w:sz w:val="24"/>
          <w:szCs w:val="24"/>
          <w:lang w:val="en-GB"/>
        </w:rPr>
        <w:t xml:space="preserve"> to the 2</w:t>
      </w:r>
      <w:r w:rsidRPr="00CF6F5E">
        <w:rPr>
          <w:rFonts w:ascii="Arial" w:hAnsi="Arial" w:cs="Arial"/>
          <w:sz w:val="24"/>
          <w:szCs w:val="24"/>
          <w:vertAlign w:val="superscript"/>
          <w:lang w:val="en-GB"/>
        </w:rPr>
        <w:t>nd</w:t>
      </w:r>
      <w:r>
        <w:rPr>
          <w:rFonts w:ascii="Arial" w:hAnsi="Arial" w:cs="Arial"/>
          <w:sz w:val="24"/>
          <w:szCs w:val="24"/>
          <w:lang w:val="en-GB"/>
        </w:rPr>
        <w:t xml:space="preserve"> method and the columns </w:t>
      </w:r>
      <w:r w:rsidR="00740151">
        <w:rPr>
          <w:rFonts w:ascii="Arial" w:hAnsi="Arial" w:cs="Arial"/>
          <w:sz w:val="24"/>
          <w:szCs w:val="24"/>
          <w:lang w:val="en-GB"/>
        </w:rPr>
        <w:t>'</w:t>
      </w:r>
      <w:r>
        <w:rPr>
          <w:rFonts w:ascii="Arial" w:hAnsi="Arial" w:cs="Arial"/>
          <w:sz w:val="24"/>
          <w:szCs w:val="24"/>
          <w:lang w:val="en-GB"/>
        </w:rPr>
        <w:t>T+45 trans</w:t>
      </w:r>
      <w:proofErr w:type="gramStart"/>
      <w:r>
        <w:rPr>
          <w:rFonts w:ascii="Arial" w:hAnsi="Arial" w:cs="Arial"/>
          <w:sz w:val="24"/>
          <w:szCs w:val="24"/>
          <w:lang w:val="en-GB"/>
        </w:rPr>
        <w:t>.+</w:t>
      </w:r>
      <w:proofErr w:type="gramEnd"/>
      <w:r>
        <w:rPr>
          <w:rFonts w:ascii="Arial" w:hAnsi="Arial" w:cs="Arial"/>
          <w:sz w:val="24"/>
          <w:szCs w:val="24"/>
          <w:lang w:val="en-GB"/>
        </w:rPr>
        <w:t xml:space="preserve"> model+ LFS</w:t>
      </w:r>
      <w:r w:rsidR="00740151">
        <w:rPr>
          <w:rFonts w:ascii="Arial" w:hAnsi="Arial" w:cs="Arial"/>
          <w:sz w:val="24"/>
          <w:szCs w:val="24"/>
          <w:lang w:val="en-GB"/>
        </w:rPr>
        <w:t>'</w:t>
      </w:r>
      <w:r>
        <w:rPr>
          <w:rFonts w:ascii="Arial" w:hAnsi="Arial" w:cs="Arial"/>
          <w:sz w:val="24"/>
          <w:szCs w:val="24"/>
          <w:lang w:val="en-GB"/>
        </w:rPr>
        <w:t xml:space="preserve"> refer to the 3</w:t>
      </w:r>
      <w:r w:rsidRPr="00CF6F5E">
        <w:rPr>
          <w:rFonts w:ascii="Arial" w:hAnsi="Arial" w:cs="Arial"/>
          <w:sz w:val="24"/>
          <w:szCs w:val="24"/>
          <w:vertAlign w:val="superscript"/>
          <w:lang w:val="en-GB"/>
        </w:rPr>
        <w:t>rd</w:t>
      </w:r>
      <w:r>
        <w:rPr>
          <w:rFonts w:ascii="Arial" w:hAnsi="Arial" w:cs="Arial"/>
          <w:sz w:val="24"/>
          <w:szCs w:val="24"/>
          <w:lang w:val="en-GB"/>
        </w:rPr>
        <w:t xml:space="preserve"> method.</w:t>
      </w:r>
    </w:p>
    <w:p w:rsidR="0017498A" w:rsidRDefault="00DA2ED5" w:rsidP="00647292">
      <w:pPr>
        <w:spacing w:before="120" w:after="0" w:line="360" w:lineRule="auto"/>
        <w:jc w:val="both"/>
        <w:rPr>
          <w:rFonts w:ascii="Arial" w:hAnsi="Arial" w:cs="Arial"/>
          <w:sz w:val="24"/>
          <w:szCs w:val="24"/>
          <w:lang w:val="en-GB"/>
        </w:rPr>
      </w:pPr>
      <w:r w:rsidRPr="00DA2ED5">
        <w:rPr>
          <w:rFonts w:ascii="Arial" w:hAnsi="Arial" w:cs="Arial"/>
          <w:sz w:val="24"/>
          <w:szCs w:val="24"/>
          <w:lang w:val="en-GB"/>
        </w:rPr>
        <w:lastRenderedPageBreak/>
        <w:t>The t+45 euro area and EU employment estimates according to the first method are slightly upward biased, leading to negative revisions. The bias is mainly related to the fact that in the estimation according to the first method one large country is missing and this country had growth rates that were systematically different from the euro area average</w:t>
      </w:r>
      <w:r>
        <w:rPr>
          <w:rFonts w:ascii="Arial" w:hAnsi="Arial" w:cs="Arial"/>
          <w:sz w:val="24"/>
          <w:szCs w:val="24"/>
          <w:lang w:val="en-GB"/>
        </w:rPr>
        <w:t>.</w:t>
      </w:r>
    </w:p>
    <w:p w:rsidR="00DA2ED5" w:rsidRDefault="00DA2ED5" w:rsidP="00647292">
      <w:pPr>
        <w:spacing w:before="120" w:after="0" w:line="360" w:lineRule="auto"/>
        <w:jc w:val="both"/>
        <w:rPr>
          <w:rFonts w:ascii="Arial" w:hAnsi="Arial" w:cs="Arial"/>
          <w:sz w:val="24"/>
          <w:szCs w:val="24"/>
          <w:lang w:val="en-GB"/>
        </w:rPr>
      </w:pPr>
      <w:r w:rsidRPr="00DA2ED5">
        <w:rPr>
          <w:rFonts w:ascii="Arial" w:hAnsi="Arial" w:cs="Arial"/>
          <w:sz w:val="24"/>
          <w:szCs w:val="24"/>
          <w:lang w:val="en-GB"/>
        </w:rPr>
        <w:t>With the exception of quarter 2015Q4 for the EU, the revisions of the t+45 test estimates for all three sets of test quarters are in between -0.1 and 0.1 percentage points. The exceptional revisions for 2015Q4 can fully be explained by the fact that the t+75 transmission of an EU Member State contained a reporting error that was only corrected after its transmission and publication</w:t>
      </w:r>
      <w:r>
        <w:rPr>
          <w:rFonts w:ascii="Arial" w:hAnsi="Arial" w:cs="Arial"/>
          <w:sz w:val="24"/>
          <w:szCs w:val="24"/>
          <w:lang w:val="en-GB"/>
        </w:rPr>
        <w:t>.</w:t>
      </w:r>
    </w:p>
    <w:p w:rsidR="00DA2ED5" w:rsidRDefault="00DA2ED5" w:rsidP="00647292">
      <w:pPr>
        <w:spacing w:before="120" w:after="0" w:line="360" w:lineRule="auto"/>
        <w:jc w:val="both"/>
        <w:rPr>
          <w:rFonts w:ascii="Arial" w:hAnsi="Arial" w:cs="Arial"/>
          <w:sz w:val="24"/>
          <w:szCs w:val="24"/>
          <w:lang w:val="en-GB"/>
        </w:rPr>
      </w:pPr>
      <w:r w:rsidRPr="00DA2ED5">
        <w:rPr>
          <w:rFonts w:ascii="Arial" w:hAnsi="Arial" w:cs="Arial"/>
          <w:sz w:val="24"/>
          <w:szCs w:val="24"/>
          <w:lang w:val="en-GB"/>
        </w:rPr>
        <w:t xml:space="preserve">Comparing the test results with the predefined assessment criteria leads to the conclusion that the criteria regarding the average revision and average absolute revision are easily met for all three sets of estimations. Therefore </w:t>
      </w:r>
      <w:r w:rsidRPr="00100323">
        <w:rPr>
          <w:rFonts w:ascii="Arial" w:hAnsi="Arial" w:cs="Arial"/>
          <w:b/>
          <w:sz w:val="24"/>
          <w:szCs w:val="24"/>
          <w:lang w:val="en-GB"/>
        </w:rPr>
        <w:t xml:space="preserve">the test estimations are considered </w:t>
      </w:r>
      <w:r w:rsidR="00487733">
        <w:rPr>
          <w:rFonts w:ascii="Arial" w:hAnsi="Arial" w:cs="Arial"/>
          <w:b/>
          <w:sz w:val="24"/>
          <w:szCs w:val="24"/>
          <w:lang w:val="en-GB"/>
        </w:rPr>
        <w:t xml:space="preserve">by the Task Force </w:t>
      </w:r>
      <w:r w:rsidRPr="00100323">
        <w:rPr>
          <w:rFonts w:ascii="Arial" w:hAnsi="Arial" w:cs="Arial"/>
          <w:b/>
          <w:sz w:val="24"/>
          <w:szCs w:val="24"/>
          <w:lang w:val="en-GB"/>
        </w:rPr>
        <w:t>to be of (very) good quality.</w:t>
      </w:r>
    </w:p>
    <w:p w:rsidR="00DA2ED5" w:rsidRDefault="00DA2ED5" w:rsidP="00647292">
      <w:pPr>
        <w:spacing w:before="120" w:after="0" w:line="360" w:lineRule="auto"/>
        <w:jc w:val="both"/>
        <w:rPr>
          <w:rFonts w:ascii="Arial" w:hAnsi="Arial" w:cs="Arial"/>
          <w:sz w:val="24"/>
          <w:szCs w:val="24"/>
          <w:lang w:val="en-GB"/>
        </w:rPr>
      </w:pPr>
    </w:p>
    <w:p w:rsidR="00963EBA" w:rsidRDefault="00963EBA" w:rsidP="00647292">
      <w:pPr>
        <w:spacing w:before="120" w:after="0" w:line="360" w:lineRule="auto"/>
        <w:jc w:val="both"/>
        <w:rPr>
          <w:rFonts w:ascii="Arial" w:hAnsi="Arial" w:cs="Arial"/>
          <w:sz w:val="24"/>
          <w:szCs w:val="24"/>
          <w:lang w:val="en-GB"/>
        </w:rPr>
      </w:pPr>
      <w:r w:rsidRPr="00963EBA">
        <w:rPr>
          <w:rFonts w:ascii="Arial" w:hAnsi="Arial" w:cs="Arial"/>
          <w:sz w:val="24"/>
          <w:szCs w:val="24"/>
          <w:lang w:val="en-GB"/>
        </w:rPr>
        <w:t>The transmitted national test estimates represent slightly less than the 75% threshold of the euro area and EU total employment for 2017Q1. However, as the transmission for this quarter was requested very soon after the start of the project, several countries were not yet ready for this first transmission. Coverage percentages for quarters 2017Q2 and even more 2017Q3 and 2017Q4 are considered to be more representative for a 'real publication situation'.</w:t>
      </w:r>
    </w:p>
    <w:p w:rsidR="00740151" w:rsidRDefault="00740151" w:rsidP="00647292">
      <w:pPr>
        <w:spacing w:before="120" w:after="0" w:line="360" w:lineRule="auto"/>
        <w:jc w:val="both"/>
        <w:rPr>
          <w:rFonts w:ascii="Arial" w:hAnsi="Arial" w:cs="Arial"/>
          <w:sz w:val="24"/>
          <w:szCs w:val="24"/>
          <w:lang w:val="en-GB"/>
        </w:rPr>
      </w:pPr>
    </w:p>
    <w:p w:rsidR="00DA2ED5" w:rsidRDefault="00963EBA" w:rsidP="0064729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same tests were performed at t+30 with similar outcomes except for the coverage </w:t>
      </w:r>
      <w:r w:rsidR="008B0878">
        <w:rPr>
          <w:rFonts w:ascii="Arial" w:hAnsi="Arial" w:cs="Arial"/>
          <w:sz w:val="24"/>
          <w:szCs w:val="24"/>
          <w:lang w:val="en-GB"/>
        </w:rPr>
        <w:t>which remains far below the 75%: regarding the euro area, the maximal coverage was 66% and for the EU, 45%.</w:t>
      </w:r>
    </w:p>
    <w:p w:rsidR="00963EBA" w:rsidRDefault="00963EBA" w:rsidP="00647292">
      <w:pPr>
        <w:spacing w:before="120" w:after="0" w:line="360" w:lineRule="auto"/>
        <w:jc w:val="both"/>
        <w:rPr>
          <w:rFonts w:ascii="Arial" w:hAnsi="Arial" w:cs="Arial"/>
          <w:sz w:val="24"/>
          <w:szCs w:val="24"/>
          <w:lang w:val="en-GB"/>
        </w:rPr>
      </w:pPr>
    </w:p>
    <w:p w:rsidR="00963EBA" w:rsidRDefault="00963EBA" w:rsidP="00647292">
      <w:pPr>
        <w:spacing w:before="120" w:after="0" w:line="360" w:lineRule="auto"/>
        <w:jc w:val="both"/>
        <w:rPr>
          <w:rFonts w:ascii="Arial" w:hAnsi="Arial" w:cs="Arial"/>
          <w:sz w:val="24"/>
          <w:szCs w:val="24"/>
          <w:lang w:val="en-GB"/>
        </w:rPr>
      </w:pPr>
      <w:r>
        <w:rPr>
          <w:rFonts w:ascii="Arial" w:hAnsi="Arial" w:cs="Arial"/>
          <w:sz w:val="24"/>
          <w:szCs w:val="24"/>
          <w:lang w:val="en-GB"/>
        </w:rPr>
        <w:t>Tests were also carried out for the EU excluding UK.</w:t>
      </w:r>
      <w:r w:rsidR="00D14415">
        <w:rPr>
          <w:rFonts w:ascii="Arial" w:hAnsi="Arial" w:cs="Arial"/>
          <w:sz w:val="24"/>
          <w:szCs w:val="24"/>
          <w:lang w:val="en-GB"/>
        </w:rPr>
        <w:t xml:space="preserve"> Outcomes are close to EU's ones with </w:t>
      </w:r>
      <w:r w:rsidR="00100323">
        <w:rPr>
          <w:rFonts w:ascii="Arial" w:hAnsi="Arial" w:cs="Arial"/>
          <w:sz w:val="24"/>
          <w:szCs w:val="24"/>
          <w:lang w:val="en-GB"/>
        </w:rPr>
        <w:t>coverage</w:t>
      </w:r>
      <w:r w:rsidR="00D14415">
        <w:rPr>
          <w:rFonts w:ascii="Arial" w:hAnsi="Arial" w:cs="Arial"/>
          <w:sz w:val="24"/>
          <w:szCs w:val="24"/>
          <w:lang w:val="en-GB"/>
        </w:rPr>
        <w:t xml:space="preserve"> slightly lower but still </w:t>
      </w:r>
      <w:r w:rsidR="00100323">
        <w:rPr>
          <w:rFonts w:ascii="Arial" w:hAnsi="Arial" w:cs="Arial"/>
          <w:sz w:val="24"/>
          <w:szCs w:val="24"/>
          <w:lang w:val="en-GB"/>
        </w:rPr>
        <w:t xml:space="preserve">equal or higher than </w:t>
      </w:r>
      <w:r w:rsidR="00D14415">
        <w:rPr>
          <w:rFonts w:ascii="Arial" w:hAnsi="Arial" w:cs="Arial"/>
          <w:sz w:val="24"/>
          <w:szCs w:val="24"/>
          <w:lang w:val="en-GB"/>
        </w:rPr>
        <w:t>75% for the last 3 quarters of 2017.</w:t>
      </w:r>
    </w:p>
    <w:p w:rsidR="00963EBA" w:rsidRPr="00DD4977" w:rsidRDefault="00963EBA" w:rsidP="00647292">
      <w:pPr>
        <w:spacing w:before="120" w:after="0" w:line="360" w:lineRule="auto"/>
        <w:jc w:val="both"/>
        <w:rPr>
          <w:rFonts w:ascii="Arial" w:hAnsi="Arial" w:cs="Arial"/>
          <w:sz w:val="24"/>
          <w:szCs w:val="24"/>
          <w:lang w:val="en-GB"/>
        </w:rPr>
      </w:pPr>
    </w:p>
    <w:p w:rsidR="00A70029" w:rsidRDefault="00A70029" w:rsidP="004740F1">
      <w:pPr>
        <w:spacing w:before="120" w:after="0" w:line="360" w:lineRule="auto"/>
        <w:jc w:val="both"/>
        <w:rPr>
          <w:rFonts w:ascii="Arial" w:hAnsi="Arial" w:cs="Arial"/>
          <w:sz w:val="24"/>
          <w:szCs w:val="24"/>
          <w:lang w:val="en-GB"/>
        </w:rPr>
      </w:pPr>
    </w:p>
    <w:p w:rsidR="00100323" w:rsidRPr="00EC5F5A" w:rsidRDefault="00896AFF" w:rsidP="00100323">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7</w:t>
      </w:r>
      <w:r w:rsidR="00100323" w:rsidRPr="00EC5F5A">
        <w:rPr>
          <w:rFonts w:ascii="Arial" w:hAnsi="Arial" w:cs="Arial"/>
          <w:b/>
          <w:sz w:val="24"/>
          <w:szCs w:val="24"/>
          <w:lang w:val="en-GB"/>
        </w:rPr>
        <w:t xml:space="preserve">. </w:t>
      </w:r>
      <w:r w:rsidR="00100323">
        <w:rPr>
          <w:rFonts w:ascii="Arial" w:hAnsi="Arial" w:cs="Arial"/>
          <w:b/>
          <w:sz w:val="24"/>
          <w:szCs w:val="24"/>
          <w:lang w:val="en-GB"/>
        </w:rPr>
        <w:t>Conclusions</w:t>
      </w:r>
    </w:p>
    <w:p w:rsidR="000B44C7" w:rsidRDefault="000B44C7" w:rsidP="00FE060E">
      <w:pPr>
        <w:pStyle w:val="ListParagraph"/>
        <w:numPr>
          <w:ilvl w:val="0"/>
          <w:numId w:val="1"/>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task force </w:t>
      </w:r>
      <w:r w:rsidR="00487733">
        <w:rPr>
          <w:rFonts w:ascii="Arial" w:hAnsi="Arial" w:cs="Arial"/>
          <w:sz w:val="24"/>
          <w:szCs w:val="24"/>
          <w:lang w:val="en-GB"/>
        </w:rPr>
        <w:t>achieves very good results towards</w:t>
      </w:r>
      <w:r>
        <w:rPr>
          <w:rFonts w:ascii="Arial" w:hAnsi="Arial" w:cs="Arial"/>
          <w:sz w:val="24"/>
          <w:szCs w:val="24"/>
          <w:lang w:val="en-GB"/>
        </w:rPr>
        <w:t xml:space="preserve"> its objectives</w:t>
      </w:r>
      <w:r w:rsidR="00CB26E7">
        <w:rPr>
          <w:rFonts w:ascii="Arial" w:hAnsi="Arial" w:cs="Arial"/>
          <w:sz w:val="24"/>
          <w:szCs w:val="24"/>
          <w:lang w:val="en-GB"/>
        </w:rPr>
        <w:t xml:space="preserve"> regarding the feasibility study on </w:t>
      </w:r>
      <w:proofErr w:type="gramStart"/>
      <w:r w:rsidR="00CB26E7">
        <w:rPr>
          <w:rFonts w:ascii="Arial" w:hAnsi="Arial" w:cs="Arial"/>
          <w:sz w:val="24"/>
          <w:szCs w:val="24"/>
          <w:lang w:val="en-GB"/>
        </w:rPr>
        <w:t>an</w:t>
      </w:r>
      <w:proofErr w:type="gramEnd"/>
      <w:r w:rsidR="00CB26E7">
        <w:rPr>
          <w:rFonts w:ascii="Arial" w:hAnsi="Arial" w:cs="Arial"/>
          <w:sz w:val="24"/>
          <w:szCs w:val="24"/>
          <w:lang w:val="en-GB"/>
        </w:rPr>
        <w:t xml:space="preserve"> euro area and EU employment flash estimate at 45/30 days after the quarter-end.</w:t>
      </w:r>
    </w:p>
    <w:p w:rsidR="00100323" w:rsidRDefault="00100323" w:rsidP="00FE060E">
      <w:pPr>
        <w:pStyle w:val="ListParagraph"/>
        <w:numPr>
          <w:ilvl w:val="0"/>
          <w:numId w:val="1"/>
        </w:numPr>
        <w:spacing w:before="120" w:after="0" w:line="360" w:lineRule="auto"/>
        <w:jc w:val="both"/>
        <w:rPr>
          <w:rFonts w:ascii="Arial" w:hAnsi="Arial" w:cs="Arial"/>
          <w:sz w:val="24"/>
          <w:szCs w:val="24"/>
          <w:lang w:val="en-GB"/>
        </w:rPr>
      </w:pPr>
      <w:r w:rsidRPr="00FE060E">
        <w:rPr>
          <w:rFonts w:ascii="Arial" w:hAnsi="Arial" w:cs="Arial"/>
          <w:sz w:val="24"/>
          <w:szCs w:val="24"/>
          <w:lang w:val="en-GB"/>
        </w:rPr>
        <w:t xml:space="preserve">The European t+45 quarter-on-quarter test estimates show very limited revisions and the coverage criterion is almost fully met (2017Q1 was slightly below the coverage threshold). The estimates are </w:t>
      </w:r>
      <w:r w:rsidR="00487733">
        <w:rPr>
          <w:rFonts w:ascii="Arial" w:hAnsi="Arial" w:cs="Arial"/>
          <w:sz w:val="24"/>
          <w:szCs w:val="24"/>
          <w:lang w:val="en-GB"/>
        </w:rPr>
        <w:t>considered</w:t>
      </w:r>
      <w:r w:rsidR="00487733" w:rsidRPr="00FE060E">
        <w:rPr>
          <w:rFonts w:ascii="Arial" w:hAnsi="Arial" w:cs="Arial"/>
          <w:sz w:val="24"/>
          <w:szCs w:val="24"/>
          <w:lang w:val="en-GB"/>
        </w:rPr>
        <w:t xml:space="preserve"> </w:t>
      </w:r>
      <w:r w:rsidRPr="00FE060E">
        <w:rPr>
          <w:rFonts w:ascii="Arial" w:hAnsi="Arial" w:cs="Arial"/>
          <w:sz w:val="24"/>
          <w:szCs w:val="24"/>
          <w:lang w:val="en-GB"/>
        </w:rPr>
        <w:t xml:space="preserve">to be reliable and of good quality. The same conclusion can be drawn if excluding UK from the EU estimates. </w:t>
      </w:r>
    </w:p>
    <w:p w:rsidR="008B0878" w:rsidRPr="008B0878" w:rsidRDefault="008B0878" w:rsidP="008B0878">
      <w:pPr>
        <w:pStyle w:val="ListParagraph"/>
        <w:numPr>
          <w:ilvl w:val="0"/>
          <w:numId w:val="1"/>
        </w:numPr>
        <w:spacing w:before="120" w:after="0" w:line="360" w:lineRule="auto"/>
        <w:jc w:val="both"/>
        <w:rPr>
          <w:rFonts w:ascii="Arial" w:hAnsi="Arial" w:cs="Arial"/>
          <w:sz w:val="24"/>
          <w:szCs w:val="24"/>
          <w:lang w:val="en-GB"/>
        </w:rPr>
      </w:pPr>
      <w:r w:rsidRPr="008B0878">
        <w:rPr>
          <w:rFonts w:ascii="Arial" w:hAnsi="Arial" w:cs="Arial"/>
          <w:sz w:val="24"/>
          <w:szCs w:val="24"/>
          <w:lang w:val="en-GB"/>
        </w:rPr>
        <w:t>Of the three employed methods, the second estimation method (taking into account the transmitted national data of Member States as well as a model estimate for one missing large country) performed best. As the missing large country started to transmit its national estimates as of quarter 2017Q3, the second method coincides with the first method (fully based on the received Member States transmissions) for 2017Q3 and 2017Q4. Therefore, if an official release will be started, the estimation can be done according to this first method, using only data transmitted by the Member States.</w:t>
      </w:r>
    </w:p>
    <w:p w:rsidR="00100323" w:rsidRDefault="00100323" w:rsidP="001256BE">
      <w:pPr>
        <w:pStyle w:val="ListParagraph"/>
        <w:numPr>
          <w:ilvl w:val="0"/>
          <w:numId w:val="1"/>
        </w:numPr>
        <w:spacing w:before="120" w:after="0" w:line="360" w:lineRule="auto"/>
        <w:jc w:val="both"/>
        <w:rPr>
          <w:rFonts w:ascii="Arial" w:hAnsi="Arial" w:cs="Arial"/>
          <w:sz w:val="24"/>
          <w:szCs w:val="24"/>
          <w:lang w:val="en-GB"/>
        </w:rPr>
      </w:pPr>
      <w:r w:rsidRPr="00FE060E">
        <w:rPr>
          <w:rFonts w:ascii="Arial" w:hAnsi="Arial" w:cs="Arial"/>
          <w:sz w:val="24"/>
          <w:szCs w:val="24"/>
          <w:lang w:val="en-GB"/>
        </w:rPr>
        <w:t xml:space="preserve">No quality acceptance criteria were defined for the t+45 year-on-year European test estimates. However, the </w:t>
      </w:r>
      <w:r w:rsidR="001256BE">
        <w:rPr>
          <w:rFonts w:ascii="Arial" w:hAnsi="Arial" w:cs="Arial"/>
          <w:sz w:val="24"/>
          <w:szCs w:val="24"/>
          <w:lang w:val="en-GB"/>
        </w:rPr>
        <w:t xml:space="preserve">same criteria were calculated for this indicator and </w:t>
      </w:r>
      <w:r w:rsidRPr="00FE060E">
        <w:rPr>
          <w:rFonts w:ascii="Arial" w:hAnsi="Arial" w:cs="Arial"/>
          <w:sz w:val="24"/>
          <w:szCs w:val="24"/>
          <w:lang w:val="en-GB"/>
        </w:rPr>
        <w:t>revisions for the 12 quarters are also very low</w:t>
      </w:r>
      <w:r w:rsidR="001256BE">
        <w:rPr>
          <w:rFonts w:ascii="Arial" w:hAnsi="Arial" w:cs="Arial"/>
          <w:sz w:val="24"/>
          <w:szCs w:val="24"/>
          <w:lang w:val="en-GB"/>
        </w:rPr>
        <w:t xml:space="preserve"> (average</w:t>
      </w:r>
      <w:r w:rsidRPr="00FE060E">
        <w:rPr>
          <w:rFonts w:ascii="Arial" w:hAnsi="Arial" w:cs="Arial"/>
          <w:sz w:val="24"/>
          <w:szCs w:val="24"/>
          <w:lang w:val="en-GB"/>
        </w:rPr>
        <w:t xml:space="preserve"> revisions</w:t>
      </w:r>
      <w:r w:rsidR="001256BE">
        <w:rPr>
          <w:rFonts w:ascii="Arial" w:hAnsi="Arial" w:cs="Arial"/>
          <w:sz w:val="24"/>
          <w:szCs w:val="24"/>
          <w:lang w:val="en-GB"/>
        </w:rPr>
        <w:t xml:space="preserve"> and</w:t>
      </w:r>
      <w:r w:rsidRPr="00FE060E">
        <w:rPr>
          <w:rFonts w:ascii="Arial" w:hAnsi="Arial" w:cs="Arial"/>
          <w:sz w:val="24"/>
          <w:szCs w:val="24"/>
          <w:lang w:val="en-GB"/>
        </w:rPr>
        <w:t xml:space="preserve"> absolute average revisions are limited</w:t>
      </w:r>
      <w:r w:rsidR="001256BE">
        <w:rPr>
          <w:rFonts w:ascii="Arial" w:hAnsi="Arial" w:cs="Arial"/>
          <w:sz w:val="24"/>
          <w:szCs w:val="24"/>
          <w:lang w:val="en-GB"/>
        </w:rPr>
        <w:t>)</w:t>
      </w:r>
      <w:r w:rsidR="008B0878">
        <w:rPr>
          <w:rFonts w:ascii="Arial" w:hAnsi="Arial" w:cs="Arial"/>
          <w:sz w:val="24"/>
          <w:szCs w:val="24"/>
          <w:lang w:val="en-GB"/>
        </w:rPr>
        <w:t>.</w:t>
      </w:r>
      <w:r w:rsidR="001256BE" w:rsidRPr="001256BE">
        <w:rPr>
          <w:rFonts w:ascii="Arial" w:hAnsi="Arial" w:cs="Arial"/>
          <w:sz w:val="24"/>
          <w:szCs w:val="24"/>
          <w:lang w:val="en-GB"/>
        </w:rPr>
        <w:t xml:space="preserve"> Therefore the conclusion is that the year-on-year test estimates are also of good quality.</w:t>
      </w:r>
    </w:p>
    <w:p w:rsidR="008B0878" w:rsidRPr="008B0878" w:rsidRDefault="008B0878" w:rsidP="00FE060E">
      <w:pPr>
        <w:pStyle w:val="ListParagraph"/>
        <w:numPr>
          <w:ilvl w:val="0"/>
          <w:numId w:val="1"/>
        </w:numPr>
        <w:spacing w:before="120" w:after="0" w:line="360" w:lineRule="auto"/>
        <w:jc w:val="both"/>
        <w:rPr>
          <w:rFonts w:ascii="Arial" w:hAnsi="Arial" w:cs="Arial"/>
          <w:sz w:val="24"/>
          <w:szCs w:val="24"/>
          <w:lang w:val="en-GB"/>
        </w:rPr>
      </w:pPr>
      <w:r w:rsidRPr="008B0878">
        <w:rPr>
          <w:rFonts w:ascii="Arial" w:hAnsi="Arial" w:cs="Arial"/>
          <w:sz w:val="24"/>
          <w:szCs w:val="24"/>
          <w:lang w:val="en-GB"/>
        </w:rPr>
        <w:t>The revisions of the European t+30 quarter-on-quarter and year-on-year test estimates showed relatively limited revisions. However, coverage of the euro area and EU total employment by Member States' national data remains quite far below the predefine</w:t>
      </w:r>
      <w:r w:rsidR="001256BE">
        <w:rPr>
          <w:rFonts w:ascii="Arial" w:hAnsi="Arial" w:cs="Arial"/>
          <w:sz w:val="24"/>
          <w:szCs w:val="24"/>
          <w:lang w:val="en-GB"/>
        </w:rPr>
        <w:t>d coverage assessment criterion: between 48% and 66% for the euro area and between 32 to 46% for the EU.</w:t>
      </w:r>
    </w:p>
    <w:p w:rsidR="00100323" w:rsidRDefault="00100323" w:rsidP="00100323">
      <w:pPr>
        <w:spacing w:before="120" w:after="0" w:line="360" w:lineRule="auto"/>
        <w:jc w:val="both"/>
        <w:rPr>
          <w:rFonts w:ascii="Arial" w:hAnsi="Arial" w:cs="Arial"/>
          <w:sz w:val="24"/>
          <w:szCs w:val="24"/>
          <w:lang w:val="en-GB"/>
        </w:rPr>
      </w:pPr>
      <w:r w:rsidRPr="00FE060E">
        <w:rPr>
          <w:rFonts w:ascii="Arial" w:hAnsi="Arial" w:cs="Arial"/>
          <w:sz w:val="24"/>
          <w:szCs w:val="24"/>
          <w:lang w:val="en-GB"/>
        </w:rPr>
        <w:t xml:space="preserve">Based on the conclusions above, </w:t>
      </w:r>
      <w:r w:rsidR="009A46FC">
        <w:rPr>
          <w:rFonts w:ascii="Arial" w:hAnsi="Arial" w:cs="Arial"/>
          <w:sz w:val="24"/>
          <w:szCs w:val="24"/>
          <w:lang w:val="en-GB"/>
        </w:rPr>
        <w:t xml:space="preserve">the task force </w:t>
      </w:r>
      <w:r w:rsidR="00487733">
        <w:rPr>
          <w:rFonts w:ascii="Arial" w:hAnsi="Arial" w:cs="Arial"/>
          <w:sz w:val="24"/>
          <w:szCs w:val="24"/>
          <w:lang w:val="en-GB"/>
        </w:rPr>
        <w:t xml:space="preserve">considers feasible </w:t>
      </w:r>
      <w:r w:rsidR="009A46FC">
        <w:rPr>
          <w:rFonts w:ascii="Arial" w:hAnsi="Arial" w:cs="Arial"/>
          <w:sz w:val="24"/>
          <w:szCs w:val="24"/>
          <w:lang w:val="en-GB"/>
        </w:rPr>
        <w:t xml:space="preserve">starting official publication </w:t>
      </w:r>
      <w:r w:rsidRPr="00FE060E">
        <w:rPr>
          <w:rFonts w:ascii="Arial" w:hAnsi="Arial" w:cs="Arial"/>
          <w:sz w:val="24"/>
          <w:szCs w:val="24"/>
          <w:lang w:val="en-GB"/>
        </w:rPr>
        <w:t>of the t+45 seasonally adjusted quarter-on-quarter and unadjusted year-on-year euro area and EU growth rates soon, for example as of 2018Q3 or of 2018Q4</w:t>
      </w:r>
      <w:r w:rsidR="00FE060E">
        <w:rPr>
          <w:rFonts w:ascii="Arial" w:hAnsi="Arial" w:cs="Arial"/>
          <w:sz w:val="24"/>
          <w:szCs w:val="24"/>
          <w:lang w:val="en-GB"/>
        </w:rPr>
        <w:t>.</w:t>
      </w:r>
      <w:r w:rsidR="009A46FC">
        <w:rPr>
          <w:rFonts w:ascii="Arial" w:hAnsi="Arial" w:cs="Arial"/>
          <w:sz w:val="24"/>
          <w:szCs w:val="24"/>
          <w:lang w:val="en-GB"/>
        </w:rPr>
        <w:t xml:space="preserve"> </w:t>
      </w:r>
      <w:r w:rsidR="00487733">
        <w:rPr>
          <w:rFonts w:ascii="Arial" w:hAnsi="Arial" w:cs="Arial"/>
          <w:sz w:val="24"/>
          <w:szCs w:val="24"/>
          <w:lang w:val="en-GB"/>
        </w:rPr>
        <w:t>However</w:t>
      </w:r>
      <w:r w:rsidR="009A46FC">
        <w:rPr>
          <w:rFonts w:ascii="Arial" w:hAnsi="Arial" w:cs="Arial"/>
          <w:sz w:val="24"/>
          <w:szCs w:val="24"/>
          <w:lang w:val="en-GB"/>
        </w:rPr>
        <w:t xml:space="preserve">, </w:t>
      </w:r>
      <w:r w:rsidR="00487733">
        <w:rPr>
          <w:rFonts w:ascii="Arial" w:hAnsi="Arial" w:cs="Arial"/>
          <w:sz w:val="24"/>
          <w:szCs w:val="24"/>
          <w:lang w:val="en-GB"/>
        </w:rPr>
        <w:t>Eurostat’s decision on publication will be taken only after the</w:t>
      </w:r>
      <w:r w:rsidR="009A46FC">
        <w:rPr>
          <w:rFonts w:ascii="Arial" w:hAnsi="Arial" w:cs="Arial"/>
          <w:sz w:val="24"/>
          <w:szCs w:val="24"/>
          <w:lang w:val="en-GB"/>
        </w:rPr>
        <w:t xml:space="preserve"> ongoing consultations of </w:t>
      </w:r>
      <w:r w:rsidR="00487733">
        <w:rPr>
          <w:rFonts w:ascii="Arial" w:hAnsi="Arial" w:cs="Arial"/>
          <w:sz w:val="24"/>
          <w:szCs w:val="24"/>
          <w:lang w:val="en-GB"/>
        </w:rPr>
        <w:t xml:space="preserve">expert </w:t>
      </w:r>
      <w:r w:rsidR="009A46FC">
        <w:rPr>
          <w:rFonts w:ascii="Arial" w:hAnsi="Arial" w:cs="Arial"/>
          <w:sz w:val="24"/>
          <w:szCs w:val="24"/>
          <w:lang w:val="en-GB"/>
        </w:rPr>
        <w:t>fora</w:t>
      </w:r>
      <w:r w:rsidR="00487733">
        <w:rPr>
          <w:rFonts w:ascii="Arial" w:hAnsi="Arial" w:cs="Arial"/>
          <w:sz w:val="24"/>
          <w:szCs w:val="24"/>
          <w:lang w:val="en-GB"/>
        </w:rPr>
        <w:t xml:space="preserve"> are completed</w:t>
      </w:r>
      <w:r w:rsidR="009A46FC">
        <w:rPr>
          <w:rFonts w:ascii="Arial" w:hAnsi="Arial" w:cs="Arial"/>
          <w:sz w:val="24"/>
          <w:szCs w:val="24"/>
          <w:lang w:val="en-GB"/>
        </w:rPr>
        <w:t>.</w:t>
      </w:r>
    </w:p>
    <w:p w:rsidR="00100323" w:rsidRPr="00EC5F5A" w:rsidRDefault="00E939D3" w:rsidP="00896AFF">
      <w:pPr>
        <w:spacing w:before="120" w:after="0" w:line="360" w:lineRule="auto"/>
        <w:jc w:val="both"/>
        <w:rPr>
          <w:rFonts w:ascii="Arial" w:hAnsi="Arial" w:cs="Arial"/>
          <w:sz w:val="20"/>
          <w:szCs w:val="20"/>
          <w:lang w:val="en-GB"/>
        </w:rPr>
      </w:pPr>
      <w:r>
        <w:rPr>
          <w:rFonts w:ascii="Arial" w:hAnsi="Arial" w:cs="Arial"/>
          <w:sz w:val="24"/>
          <w:szCs w:val="24"/>
          <w:lang w:val="en-GB"/>
        </w:rPr>
        <w:lastRenderedPageBreak/>
        <w:t>Besides</w:t>
      </w:r>
      <w:r w:rsidR="00487733">
        <w:rPr>
          <w:rFonts w:ascii="Arial" w:hAnsi="Arial" w:cs="Arial"/>
          <w:sz w:val="24"/>
          <w:szCs w:val="24"/>
          <w:lang w:val="en-GB"/>
        </w:rPr>
        <w:t>, the testing</w:t>
      </w:r>
      <w:r w:rsidR="008B0878">
        <w:rPr>
          <w:rFonts w:ascii="Arial" w:hAnsi="Arial" w:cs="Arial"/>
          <w:sz w:val="24"/>
          <w:szCs w:val="24"/>
          <w:lang w:val="en-GB"/>
        </w:rPr>
        <w:t xml:space="preserve"> of </w:t>
      </w:r>
      <w:r w:rsidR="00487733">
        <w:rPr>
          <w:rFonts w:ascii="Arial" w:hAnsi="Arial" w:cs="Arial"/>
          <w:sz w:val="24"/>
          <w:szCs w:val="24"/>
          <w:lang w:val="en-GB"/>
        </w:rPr>
        <w:t xml:space="preserve">the </w:t>
      </w:r>
      <w:r w:rsidR="008B0878">
        <w:rPr>
          <w:rFonts w:ascii="Arial" w:hAnsi="Arial" w:cs="Arial"/>
          <w:sz w:val="24"/>
          <w:szCs w:val="24"/>
          <w:lang w:val="en-GB"/>
        </w:rPr>
        <w:t xml:space="preserve">t+30 </w:t>
      </w:r>
      <w:r w:rsidR="00487733">
        <w:rPr>
          <w:rFonts w:ascii="Arial" w:hAnsi="Arial" w:cs="Arial"/>
          <w:sz w:val="24"/>
          <w:szCs w:val="24"/>
          <w:lang w:val="en-GB"/>
        </w:rPr>
        <w:t xml:space="preserve">flash </w:t>
      </w:r>
      <w:r w:rsidR="008B0878">
        <w:rPr>
          <w:rFonts w:ascii="Arial" w:hAnsi="Arial" w:cs="Arial"/>
          <w:sz w:val="24"/>
          <w:szCs w:val="24"/>
          <w:lang w:val="en-GB"/>
        </w:rPr>
        <w:t xml:space="preserve">estimates from Member States </w:t>
      </w:r>
      <w:r w:rsidR="00487733">
        <w:rPr>
          <w:rFonts w:ascii="Arial" w:hAnsi="Arial" w:cs="Arial"/>
          <w:sz w:val="24"/>
          <w:szCs w:val="24"/>
          <w:lang w:val="en-GB"/>
        </w:rPr>
        <w:t>w</w:t>
      </w:r>
      <w:r w:rsidR="008B0878">
        <w:rPr>
          <w:rFonts w:ascii="Arial" w:hAnsi="Arial" w:cs="Arial"/>
          <w:sz w:val="24"/>
          <w:szCs w:val="24"/>
          <w:lang w:val="en-GB"/>
        </w:rPr>
        <w:t xml:space="preserve">ould continue </w:t>
      </w:r>
      <w:r>
        <w:rPr>
          <w:rFonts w:ascii="Arial" w:hAnsi="Arial" w:cs="Arial"/>
          <w:sz w:val="24"/>
          <w:szCs w:val="24"/>
          <w:lang w:val="en-GB"/>
        </w:rPr>
        <w:t>for the 2018 quarters.</w:t>
      </w:r>
    </w:p>
    <w:sectPr w:rsidR="00100323" w:rsidRPr="00EC5F5A"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CB" w:rsidRDefault="00D259CB" w:rsidP="00E82B25">
      <w:pPr>
        <w:spacing w:after="0" w:line="240" w:lineRule="auto"/>
      </w:pPr>
      <w:r>
        <w:separator/>
      </w:r>
    </w:p>
  </w:endnote>
  <w:endnote w:type="continuationSeparator" w:id="0">
    <w:p w:rsidR="00D259CB" w:rsidRDefault="00D259C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B49DB">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CB" w:rsidRDefault="00D259CB" w:rsidP="00E82B25">
      <w:pPr>
        <w:spacing w:after="0" w:line="240" w:lineRule="auto"/>
      </w:pPr>
      <w:r>
        <w:separator/>
      </w:r>
    </w:p>
  </w:footnote>
  <w:footnote w:type="continuationSeparator" w:id="0">
    <w:p w:rsidR="00D259CB" w:rsidRDefault="00D259CB" w:rsidP="00E82B25">
      <w:pPr>
        <w:spacing w:after="0" w:line="240" w:lineRule="auto"/>
      </w:pPr>
      <w:r>
        <w:continuationSeparator/>
      </w:r>
    </w:p>
  </w:footnote>
  <w:footnote w:id="1">
    <w:p w:rsidR="000F597C" w:rsidRPr="001A3235" w:rsidRDefault="000F597C">
      <w:pPr>
        <w:pStyle w:val="FootnoteText"/>
        <w:rPr>
          <w:lang w:val="en-GB"/>
        </w:rPr>
      </w:pPr>
      <w:r>
        <w:rPr>
          <w:rStyle w:val="FootnoteReference"/>
        </w:rPr>
        <w:footnoteRef/>
      </w:r>
      <w:r w:rsidRPr="001A3235">
        <w:rPr>
          <w:lang w:val="en-GB"/>
        </w:rPr>
        <w:t xml:space="preserve"> Economic and Monetary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CB49DB">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CB49DB">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CB49DB">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123A"/>
    <w:multiLevelType w:val="hybridMultilevel"/>
    <w:tmpl w:val="3F805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262F4"/>
    <w:multiLevelType w:val="hybridMultilevel"/>
    <w:tmpl w:val="FE1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42DB3"/>
    <w:multiLevelType w:val="hybridMultilevel"/>
    <w:tmpl w:val="091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773F34"/>
    <w:multiLevelType w:val="hybridMultilevel"/>
    <w:tmpl w:val="CB724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B44C7"/>
    <w:rsid w:val="000C6472"/>
    <w:rsid w:val="000D705A"/>
    <w:rsid w:val="000D7F1E"/>
    <w:rsid w:val="000F337F"/>
    <w:rsid w:val="000F597C"/>
    <w:rsid w:val="00100323"/>
    <w:rsid w:val="001256BE"/>
    <w:rsid w:val="00133E07"/>
    <w:rsid w:val="00142A8D"/>
    <w:rsid w:val="00157DAD"/>
    <w:rsid w:val="00160406"/>
    <w:rsid w:val="0016743D"/>
    <w:rsid w:val="0017498A"/>
    <w:rsid w:val="00182357"/>
    <w:rsid w:val="00190F59"/>
    <w:rsid w:val="001A3235"/>
    <w:rsid w:val="001E43DC"/>
    <w:rsid w:val="00221F17"/>
    <w:rsid w:val="00234927"/>
    <w:rsid w:val="0023623C"/>
    <w:rsid w:val="00242620"/>
    <w:rsid w:val="0028150C"/>
    <w:rsid w:val="00282B53"/>
    <w:rsid w:val="00293580"/>
    <w:rsid w:val="002B6D33"/>
    <w:rsid w:val="002D625B"/>
    <w:rsid w:val="00322911"/>
    <w:rsid w:val="00336E21"/>
    <w:rsid w:val="0035694D"/>
    <w:rsid w:val="00362815"/>
    <w:rsid w:val="003A1D16"/>
    <w:rsid w:val="004150F5"/>
    <w:rsid w:val="00441FD3"/>
    <w:rsid w:val="00456A1E"/>
    <w:rsid w:val="00473897"/>
    <w:rsid w:val="004740F1"/>
    <w:rsid w:val="00487733"/>
    <w:rsid w:val="00493026"/>
    <w:rsid w:val="00495AF0"/>
    <w:rsid w:val="004A12A7"/>
    <w:rsid w:val="004A1A99"/>
    <w:rsid w:val="004B39C1"/>
    <w:rsid w:val="004B6729"/>
    <w:rsid w:val="004C5048"/>
    <w:rsid w:val="004D205A"/>
    <w:rsid w:val="004F04B4"/>
    <w:rsid w:val="005215E8"/>
    <w:rsid w:val="00530FD6"/>
    <w:rsid w:val="00545DFF"/>
    <w:rsid w:val="00575B10"/>
    <w:rsid w:val="00580620"/>
    <w:rsid w:val="005812C5"/>
    <w:rsid w:val="00592746"/>
    <w:rsid w:val="005A1F57"/>
    <w:rsid w:val="005B6971"/>
    <w:rsid w:val="005E5F49"/>
    <w:rsid w:val="00601D0B"/>
    <w:rsid w:val="006052BF"/>
    <w:rsid w:val="00620361"/>
    <w:rsid w:val="00647292"/>
    <w:rsid w:val="00653D6C"/>
    <w:rsid w:val="00667788"/>
    <w:rsid w:val="0069009D"/>
    <w:rsid w:val="00697934"/>
    <w:rsid w:val="006B5A4A"/>
    <w:rsid w:val="006B63F1"/>
    <w:rsid w:val="006C5879"/>
    <w:rsid w:val="007070AB"/>
    <w:rsid w:val="00740151"/>
    <w:rsid w:val="007730C4"/>
    <w:rsid w:val="00776C97"/>
    <w:rsid w:val="007A1DDA"/>
    <w:rsid w:val="007E6D8C"/>
    <w:rsid w:val="0082373C"/>
    <w:rsid w:val="00867B2C"/>
    <w:rsid w:val="00873330"/>
    <w:rsid w:val="00883326"/>
    <w:rsid w:val="0089375F"/>
    <w:rsid w:val="00896AFF"/>
    <w:rsid w:val="008A71D2"/>
    <w:rsid w:val="008B0878"/>
    <w:rsid w:val="008B0935"/>
    <w:rsid w:val="008D56E1"/>
    <w:rsid w:val="008D6094"/>
    <w:rsid w:val="00902A7F"/>
    <w:rsid w:val="009378F5"/>
    <w:rsid w:val="00961C28"/>
    <w:rsid w:val="00963EBA"/>
    <w:rsid w:val="00973B8D"/>
    <w:rsid w:val="0098645A"/>
    <w:rsid w:val="009902A3"/>
    <w:rsid w:val="009A46FC"/>
    <w:rsid w:val="009A52BD"/>
    <w:rsid w:val="009A797B"/>
    <w:rsid w:val="00A15D78"/>
    <w:rsid w:val="00A23816"/>
    <w:rsid w:val="00A33701"/>
    <w:rsid w:val="00A33B72"/>
    <w:rsid w:val="00A454B6"/>
    <w:rsid w:val="00A463CC"/>
    <w:rsid w:val="00A531F2"/>
    <w:rsid w:val="00A6013E"/>
    <w:rsid w:val="00A70029"/>
    <w:rsid w:val="00AD1423"/>
    <w:rsid w:val="00AD4AEE"/>
    <w:rsid w:val="00B47197"/>
    <w:rsid w:val="00B72169"/>
    <w:rsid w:val="00B74218"/>
    <w:rsid w:val="00B77A7F"/>
    <w:rsid w:val="00B86FC7"/>
    <w:rsid w:val="00B912C3"/>
    <w:rsid w:val="00BB19AC"/>
    <w:rsid w:val="00BB5D12"/>
    <w:rsid w:val="00BB7C22"/>
    <w:rsid w:val="00BC26CE"/>
    <w:rsid w:val="00BF6DBC"/>
    <w:rsid w:val="00C10B36"/>
    <w:rsid w:val="00C13F29"/>
    <w:rsid w:val="00C16E8E"/>
    <w:rsid w:val="00C261EA"/>
    <w:rsid w:val="00C40213"/>
    <w:rsid w:val="00C444A7"/>
    <w:rsid w:val="00C55909"/>
    <w:rsid w:val="00C607CE"/>
    <w:rsid w:val="00C726EA"/>
    <w:rsid w:val="00C74A1D"/>
    <w:rsid w:val="00C93072"/>
    <w:rsid w:val="00CB26E7"/>
    <w:rsid w:val="00CB2B44"/>
    <w:rsid w:val="00CB4074"/>
    <w:rsid w:val="00CB49DB"/>
    <w:rsid w:val="00CC1C1D"/>
    <w:rsid w:val="00CF33AD"/>
    <w:rsid w:val="00CF3EE1"/>
    <w:rsid w:val="00CF656A"/>
    <w:rsid w:val="00CF6F5E"/>
    <w:rsid w:val="00D0258C"/>
    <w:rsid w:val="00D0270E"/>
    <w:rsid w:val="00D14415"/>
    <w:rsid w:val="00D20550"/>
    <w:rsid w:val="00D259CB"/>
    <w:rsid w:val="00D3638C"/>
    <w:rsid w:val="00D52194"/>
    <w:rsid w:val="00D65C24"/>
    <w:rsid w:val="00D869D8"/>
    <w:rsid w:val="00DA2ED5"/>
    <w:rsid w:val="00DA74F6"/>
    <w:rsid w:val="00DD4526"/>
    <w:rsid w:val="00DD4977"/>
    <w:rsid w:val="00DE01B4"/>
    <w:rsid w:val="00DF17EE"/>
    <w:rsid w:val="00DF27A8"/>
    <w:rsid w:val="00E261EB"/>
    <w:rsid w:val="00E46B50"/>
    <w:rsid w:val="00E7228E"/>
    <w:rsid w:val="00E82B25"/>
    <w:rsid w:val="00E92831"/>
    <w:rsid w:val="00E9313B"/>
    <w:rsid w:val="00E939D3"/>
    <w:rsid w:val="00EB7A63"/>
    <w:rsid w:val="00EC5F5A"/>
    <w:rsid w:val="00EE4A70"/>
    <w:rsid w:val="00F30C27"/>
    <w:rsid w:val="00F51570"/>
    <w:rsid w:val="00F74EA2"/>
    <w:rsid w:val="00FE060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FE0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FE0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10332360">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RUNESSON@ec.europa.e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hristine.GERSTBERGER@ec.europa.eu" TargetMode="External"/><Relationship Id="rId4" Type="http://schemas.microsoft.com/office/2007/relationships/stylesWithEffects" Target="stylesWithEffects.xml"/><Relationship Id="rId9" Type="http://schemas.openxmlformats.org/officeDocument/2006/relationships/hyperlink" Target="mailto:Veronique.DENEUVILLE@ec.europa.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388D-EBA7-4A67-A83D-8476101A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2462</Words>
  <Characters>14037</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DENEUVILLE Veronique (ESTAT)</cp:lastModifiedBy>
  <cp:revision>3</cp:revision>
  <cp:lastPrinted>2018-05-03T13:49:00Z</cp:lastPrinted>
  <dcterms:created xsi:type="dcterms:W3CDTF">2018-05-18T06:55:00Z</dcterms:created>
  <dcterms:modified xsi:type="dcterms:W3CDTF">2018-05-18T07:01:00Z</dcterms:modified>
</cp:coreProperties>
</file>