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006660"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Flash estimates of income distribution indicators for the European Union: results 2016, methodology and quality assessment </w:t>
      </w:r>
    </w:p>
    <w:p w:rsidR="009F4372" w:rsidRPr="00B94982" w:rsidRDefault="009F4372" w:rsidP="009F4372">
      <w:pPr>
        <w:spacing w:after="0" w:line="360" w:lineRule="auto"/>
        <w:jc w:val="both"/>
        <w:rPr>
          <w:rFonts w:ascii="Arial" w:hAnsi="Arial" w:cs="Arial"/>
          <w:sz w:val="24"/>
          <w:szCs w:val="24"/>
          <w:lang w:val="en-GB"/>
        </w:rPr>
      </w:pPr>
      <w:r w:rsidRPr="00B94982">
        <w:rPr>
          <w:rFonts w:ascii="Arial" w:hAnsi="Arial" w:cs="Arial"/>
          <w:sz w:val="24"/>
          <w:szCs w:val="24"/>
          <w:lang w:val="en-GB"/>
        </w:rPr>
        <w:t>Cristina Lopez-</w:t>
      </w:r>
      <w:proofErr w:type="spellStart"/>
      <w:r w:rsidRPr="00B94982">
        <w:rPr>
          <w:rFonts w:ascii="Arial" w:hAnsi="Arial" w:cs="Arial"/>
          <w:sz w:val="24"/>
          <w:szCs w:val="24"/>
          <w:lang w:val="en-GB"/>
        </w:rPr>
        <w:t>Vilaplana</w:t>
      </w:r>
      <w:proofErr w:type="spellEnd"/>
      <w:r w:rsidRPr="00B94982">
        <w:rPr>
          <w:rFonts w:ascii="Arial" w:hAnsi="Arial" w:cs="Arial"/>
          <w:sz w:val="24"/>
          <w:szCs w:val="24"/>
          <w:lang w:val="en-GB"/>
        </w:rPr>
        <w:t>, Eurostat, Cristina.LOPEZ-VILAPLANA@ec.europa.eu</w:t>
      </w:r>
    </w:p>
    <w:p w:rsidR="00D0270E" w:rsidRPr="00A571BB" w:rsidRDefault="00006660" w:rsidP="00C726EA">
      <w:pPr>
        <w:spacing w:after="0" w:line="360" w:lineRule="auto"/>
        <w:jc w:val="both"/>
        <w:rPr>
          <w:rFonts w:ascii="Arial" w:hAnsi="Arial" w:cs="Arial"/>
          <w:sz w:val="24"/>
          <w:szCs w:val="24"/>
          <w:lang w:val="en-GB"/>
        </w:rPr>
      </w:pPr>
      <w:r w:rsidRPr="00A571BB">
        <w:rPr>
          <w:rFonts w:ascii="Arial" w:hAnsi="Arial" w:cs="Arial"/>
          <w:sz w:val="24"/>
          <w:szCs w:val="24"/>
          <w:lang w:val="en-GB"/>
        </w:rPr>
        <w:t xml:space="preserve">Aura </w:t>
      </w:r>
      <w:proofErr w:type="spellStart"/>
      <w:r w:rsidRPr="00A571BB">
        <w:rPr>
          <w:rFonts w:ascii="Arial" w:hAnsi="Arial" w:cs="Arial"/>
          <w:sz w:val="24"/>
          <w:szCs w:val="24"/>
          <w:lang w:val="en-GB"/>
        </w:rPr>
        <w:t>Leulescu</w:t>
      </w:r>
      <w:proofErr w:type="spellEnd"/>
      <w:r w:rsidR="000D705A" w:rsidRPr="00A571BB">
        <w:rPr>
          <w:rFonts w:ascii="Arial" w:hAnsi="Arial" w:cs="Arial"/>
          <w:sz w:val="24"/>
          <w:szCs w:val="24"/>
          <w:lang w:val="en-GB"/>
        </w:rPr>
        <w:t xml:space="preserve">, </w:t>
      </w:r>
      <w:r w:rsidRPr="00A571BB">
        <w:rPr>
          <w:rFonts w:ascii="Arial" w:hAnsi="Arial" w:cs="Arial"/>
          <w:sz w:val="24"/>
          <w:szCs w:val="24"/>
          <w:lang w:val="en-GB"/>
        </w:rPr>
        <w:t>Eurostat</w:t>
      </w:r>
      <w:r w:rsidR="000D705A" w:rsidRPr="00A571BB">
        <w:rPr>
          <w:rFonts w:ascii="Arial" w:hAnsi="Arial" w:cs="Arial"/>
          <w:sz w:val="24"/>
          <w:szCs w:val="24"/>
          <w:lang w:val="en-GB"/>
        </w:rPr>
        <w:t xml:space="preserve">, </w:t>
      </w:r>
      <w:r w:rsidRPr="00A571BB">
        <w:rPr>
          <w:rFonts w:ascii="Arial" w:hAnsi="Arial" w:cs="Arial"/>
          <w:sz w:val="24"/>
          <w:szCs w:val="24"/>
          <w:lang w:val="en-GB"/>
        </w:rPr>
        <w:t>Aura.LEULESCU@ec.europa.eu</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06660" w:rsidRPr="00006660" w:rsidRDefault="00006660" w:rsidP="00006660">
      <w:pPr>
        <w:spacing w:after="0" w:line="240" w:lineRule="auto"/>
        <w:jc w:val="both"/>
        <w:rPr>
          <w:rFonts w:ascii="Arial" w:hAnsi="Arial" w:cs="Arial"/>
          <w:i/>
          <w:sz w:val="20"/>
          <w:szCs w:val="20"/>
          <w:lang w:val="en-GB"/>
        </w:rPr>
      </w:pPr>
      <w:r w:rsidRPr="00006660">
        <w:rPr>
          <w:rFonts w:ascii="Arial" w:hAnsi="Arial" w:cs="Arial"/>
          <w:i/>
          <w:sz w:val="20"/>
          <w:szCs w:val="20"/>
          <w:lang w:val="en-GB"/>
        </w:rPr>
        <w:t xml:space="preserve">Indicators on poverty and income inequality represent an essential tool to monitor progress towards the Europe 2020 poverty and social exclusion target and to prepare the European Semester. They are based on EU statistics on income and living conditions (EU-SILC) and are available for all countries around 18 months after the reference period. In order to better monitor the effectiveness of social policies at EU level, it is important to have more timely indicators. A new approach was therefore proposed, which consists in the development of flash estimates (FE). FE </w:t>
      </w:r>
      <w:proofErr w:type="gramStart"/>
      <w:r w:rsidRPr="00006660">
        <w:rPr>
          <w:rFonts w:ascii="Arial" w:hAnsi="Arial" w:cs="Arial"/>
          <w:i/>
          <w:sz w:val="20"/>
          <w:szCs w:val="20"/>
          <w:lang w:val="en-GB"/>
        </w:rPr>
        <w:t>have</w:t>
      </w:r>
      <w:proofErr w:type="gramEnd"/>
      <w:r w:rsidRPr="00006660">
        <w:rPr>
          <w:rFonts w:ascii="Arial" w:hAnsi="Arial" w:cs="Arial"/>
          <w:i/>
          <w:sz w:val="20"/>
          <w:szCs w:val="20"/>
          <w:lang w:val="en-GB"/>
        </w:rPr>
        <w:t xml:space="preserve"> currently a release date approximately one year earlier than the actual data. The main methodology used is based on microsimulation techniques further enhanced to take into account the evolution in employment, population structure and indexation factors. Developing flash estimates on poverty and income inequalities in the ESS involves that their methods, sources and output adhere to a common quality framework. This includes: 1) quality checks concerning input coherence and intermediate steps 2) the historical performance of the model is defined as the ability to predict accurately the past changes as captured by EU-SILC and 3) the plausibility of the estimated changes, mainly by linking these to evolutions in observed indicators (e.g. employment trends, total household income in national accounts, national data) and disentangling the impact of simulated policies via EUROMOD.</w:t>
      </w:r>
    </w:p>
    <w:p w:rsidR="000D705A" w:rsidRPr="00EC5F5A" w:rsidRDefault="00006660" w:rsidP="00006660">
      <w:pPr>
        <w:spacing w:after="0" w:line="240" w:lineRule="auto"/>
        <w:jc w:val="both"/>
        <w:rPr>
          <w:rFonts w:ascii="Arial" w:hAnsi="Arial" w:cs="Arial"/>
          <w:i/>
          <w:sz w:val="20"/>
          <w:szCs w:val="20"/>
          <w:lang w:val="en-GB"/>
        </w:rPr>
      </w:pPr>
      <w:r w:rsidRPr="00006660">
        <w:rPr>
          <w:rFonts w:ascii="Arial" w:hAnsi="Arial" w:cs="Arial"/>
          <w:i/>
          <w:sz w:val="20"/>
          <w:szCs w:val="20"/>
          <w:lang w:val="en-GB"/>
        </w:rPr>
        <w:t xml:space="preserve">EUROSTAT has published for the first time FE 2016 as experimental statistics. While there are still limitations and we cannot expect the estimates to capture perfectly EU-SILC changes, the FE can provide useful information about the direction and magnitude of the change. The FE 2016 </w:t>
      </w:r>
      <w:proofErr w:type="gramStart"/>
      <w:r w:rsidRPr="00006660">
        <w:rPr>
          <w:rFonts w:ascii="Arial" w:hAnsi="Arial" w:cs="Arial"/>
          <w:i/>
          <w:sz w:val="20"/>
          <w:szCs w:val="20"/>
          <w:lang w:val="en-GB"/>
        </w:rPr>
        <w:t>include</w:t>
      </w:r>
      <w:proofErr w:type="gramEnd"/>
      <w:r w:rsidRPr="00006660">
        <w:rPr>
          <w:rFonts w:ascii="Arial" w:hAnsi="Arial" w:cs="Arial"/>
          <w:i/>
          <w:sz w:val="20"/>
          <w:szCs w:val="20"/>
          <w:lang w:val="en-GB"/>
        </w:rPr>
        <w:t xml:space="preserve"> several indicators, including the at-risk-of-poverty and interquartile share ratio. Deciles that measure changes at different points of the distribution seem to be important complements as early warnings for yearly changes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9B75F0">
        <w:rPr>
          <w:rFonts w:ascii="Arial" w:hAnsi="Arial" w:cs="Arial"/>
          <w:sz w:val="20"/>
          <w:szCs w:val="20"/>
          <w:lang w:val="en-GB"/>
        </w:rPr>
        <w:t>flash estimates, income, poverty, timeliness, microsimulation, policy effects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876DAF">
        <w:rPr>
          <w:rFonts w:ascii="Arial" w:hAnsi="Arial" w:cs="Arial"/>
          <w:b/>
          <w:sz w:val="24"/>
          <w:szCs w:val="24"/>
          <w:lang w:val="en-GB"/>
        </w:rPr>
        <w:t>General Framework</w:t>
      </w:r>
    </w:p>
    <w:p w:rsidR="00754467" w:rsidRPr="00754467" w:rsidRDefault="00C4004D" w:rsidP="00754467">
      <w:pPr>
        <w:spacing w:before="360" w:after="0" w:line="360" w:lineRule="auto"/>
        <w:jc w:val="both"/>
        <w:rPr>
          <w:rFonts w:ascii="Arial" w:hAnsi="Arial" w:cs="Arial"/>
          <w:sz w:val="24"/>
          <w:szCs w:val="24"/>
          <w:lang w:val="en-GB"/>
        </w:rPr>
      </w:pPr>
      <w:r w:rsidRPr="00C4004D">
        <w:rPr>
          <w:rFonts w:ascii="Arial" w:hAnsi="Arial" w:cs="Arial"/>
          <w:sz w:val="24"/>
          <w:szCs w:val="24"/>
          <w:lang w:val="en-GB"/>
        </w:rPr>
        <w:t>Indicators on poverty and income inequality represent an essential tool to monitor progress towards the Europe 2020 poverty and social exclusion target and to prepare the European Semester</w:t>
      </w:r>
      <w:r>
        <w:rPr>
          <w:rFonts w:ascii="Arial" w:hAnsi="Arial" w:cs="Arial"/>
          <w:sz w:val="24"/>
          <w:szCs w:val="24"/>
          <w:lang w:val="en-GB"/>
        </w:rPr>
        <w:t xml:space="preserve"> (</w:t>
      </w:r>
      <w:r w:rsidRPr="00754467">
        <w:rPr>
          <w:rFonts w:ascii="Arial" w:hAnsi="Arial" w:cs="Arial"/>
          <w:sz w:val="24"/>
          <w:szCs w:val="24"/>
          <w:lang w:val="en-GB"/>
        </w:rPr>
        <w:t>the annual cycle of economic policy coordination between EU countries).</w:t>
      </w:r>
      <w:r>
        <w:rPr>
          <w:rFonts w:ascii="Arial" w:hAnsi="Arial" w:cs="Arial"/>
          <w:sz w:val="24"/>
          <w:szCs w:val="24"/>
          <w:lang w:val="en-GB"/>
        </w:rPr>
        <w:t xml:space="preserve"> </w:t>
      </w:r>
      <w:r w:rsidRPr="00C4004D">
        <w:rPr>
          <w:rFonts w:ascii="Arial" w:hAnsi="Arial" w:cs="Arial"/>
          <w:sz w:val="24"/>
          <w:szCs w:val="24"/>
          <w:lang w:val="en-GB"/>
        </w:rPr>
        <w:t>They are based on EU statistics on income and living conditions (EU-</w:t>
      </w:r>
      <w:r w:rsidRPr="00C4004D">
        <w:rPr>
          <w:rFonts w:ascii="Arial" w:hAnsi="Arial" w:cs="Arial"/>
          <w:sz w:val="24"/>
          <w:szCs w:val="24"/>
          <w:lang w:val="en-GB"/>
        </w:rPr>
        <w:lastRenderedPageBreak/>
        <w:t>SILC) and are available for all countries around 18 mo</w:t>
      </w:r>
      <w:r>
        <w:rPr>
          <w:rFonts w:ascii="Arial" w:hAnsi="Arial" w:cs="Arial"/>
          <w:sz w:val="24"/>
          <w:szCs w:val="24"/>
          <w:lang w:val="en-GB"/>
        </w:rPr>
        <w:t>nths after the reference period</w:t>
      </w:r>
      <w:r w:rsidR="00754467" w:rsidRPr="00754467">
        <w:rPr>
          <w:rFonts w:ascii="Arial" w:hAnsi="Arial" w:cs="Arial"/>
          <w:sz w:val="24"/>
          <w:szCs w:val="24"/>
          <w:lang w:val="en-GB"/>
        </w:rPr>
        <w:t>, which is late for the EU’s policy agenda. Efforts for improving the timeliness of EU-SILC data are ongoing but the collection and processing of EU-SILC data based on both survey and administrative sources, will always have a certain time lag.</w:t>
      </w:r>
    </w:p>
    <w:p w:rsidR="00754467" w:rsidRDefault="00754467" w:rsidP="00754467">
      <w:pPr>
        <w:spacing w:before="360" w:after="0" w:line="360" w:lineRule="auto"/>
        <w:jc w:val="both"/>
        <w:rPr>
          <w:rFonts w:ascii="Arial" w:hAnsi="Arial" w:cs="Arial"/>
          <w:sz w:val="24"/>
          <w:szCs w:val="24"/>
          <w:lang w:val="en-GB"/>
        </w:rPr>
      </w:pPr>
      <w:r w:rsidRPr="00754467">
        <w:rPr>
          <w:rFonts w:ascii="Arial" w:hAnsi="Arial" w:cs="Arial"/>
          <w:sz w:val="24"/>
          <w:szCs w:val="24"/>
          <w:lang w:val="en-GB"/>
        </w:rPr>
        <w:t xml:space="preserve">A new approach was therefore proposed, which consists in the development of </w:t>
      </w:r>
      <w:r w:rsidRPr="00C4004D">
        <w:rPr>
          <w:rFonts w:ascii="Arial" w:hAnsi="Arial" w:cs="Arial"/>
          <w:sz w:val="24"/>
          <w:szCs w:val="24"/>
          <w:lang w:val="en-GB"/>
        </w:rPr>
        <w:t>flash estimates</w:t>
      </w:r>
      <w:r w:rsidR="00C4004D">
        <w:rPr>
          <w:rFonts w:ascii="Arial" w:hAnsi="Arial" w:cs="Arial"/>
          <w:sz w:val="24"/>
          <w:szCs w:val="24"/>
          <w:lang w:val="en-GB"/>
        </w:rPr>
        <w:t xml:space="preserve"> of year N </w:t>
      </w:r>
      <w:r w:rsidR="004018A5" w:rsidRPr="004018A5">
        <w:rPr>
          <w:rFonts w:ascii="Arial" w:hAnsi="Arial" w:cs="Arial"/>
          <w:sz w:val="24"/>
          <w:szCs w:val="24"/>
          <w:lang w:val="en-GB"/>
        </w:rPr>
        <w:t>if possible in June N+1, that would be available to prepare and to start the European Semester and provide data to MIP in autumn N+1</w:t>
      </w:r>
      <w:r w:rsidRPr="00754467">
        <w:rPr>
          <w:rFonts w:ascii="Arial" w:hAnsi="Arial" w:cs="Arial"/>
          <w:sz w:val="24"/>
          <w:szCs w:val="24"/>
          <w:lang w:val="en-GB"/>
        </w:rPr>
        <w:t xml:space="preserve">. </w:t>
      </w:r>
      <w:r w:rsidR="00C4004D" w:rsidRPr="00754467">
        <w:rPr>
          <w:rFonts w:ascii="Arial" w:hAnsi="Arial" w:cs="Arial"/>
          <w:sz w:val="24"/>
          <w:szCs w:val="24"/>
          <w:lang w:val="en-GB"/>
        </w:rPr>
        <w:t xml:space="preserve">These will </w:t>
      </w:r>
      <w:r w:rsidR="00C4004D" w:rsidRPr="00754467">
        <w:rPr>
          <w:rFonts w:ascii="Arial" w:hAnsi="Arial" w:cs="Arial"/>
          <w:b/>
          <w:bCs/>
          <w:sz w:val="24"/>
          <w:szCs w:val="24"/>
          <w:lang w:val="en-GB"/>
        </w:rPr>
        <w:t>complement</w:t>
      </w:r>
      <w:r w:rsidR="00C4004D" w:rsidRPr="00754467">
        <w:rPr>
          <w:rFonts w:ascii="Arial" w:hAnsi="Arial" w:cs="Arial"/>
          <w:sz w:val="24"/>
          <w:szCs w:val="24"/>
          <w:lang w:val="en-GB"/>
        </w:rPr>
        <w:t xml:space="preserve"> the EU-SILC data and can be used in preliminary discussions and analysis until the final EU-SILC data becomes available</w:t>
      </w:r>
      <w:r w:rsidR="00C4004D">
        <w:rPr>
          <w:rFonts w:ascii="Arial" w:hAnsi="Arial" w:cs="Arial"/>
          <w:sz w:val="24"/>
          <w:szCs w:val="24"/>
          <w:lang w:val="en-GB"/>
        </w:rPr>
        <w:t>. I</w:t>
      </w:r>
      <w:r w:rsidR="00C4004D" w:rsidRPr="00754467">
        <w:rPr>
          <w:rFonts w:ascii="Arial" w:hAnsi="Arial" w:cs="Arial"/>
          <w:sz w:val="24"/>
          <w:szCs w:val="24"/>
          <w:lang w:val="en-GB"/>
        </w:rPr>
        <w:t xml:space="preserve">n </w:t>
      </w:r>
      <w:r w:rsidR="00C4004D">
        <w:rPr>
          <w:rFonts w:ascii="Arial" w:hAnsi="Arial" w:cs="Arial"/>
          <w:sz w:val="24"/>
          <w:szCs w:val="24"/>
          <w:lang w:val="en-GB"/>
        </w:rPr>
        <w:t>September</w:t>
      </w:r>
      <w:r w:rsidR="00C4004D" w:rsidRPr="00754467">
        <w:rPr>
          <w:rFonts w:ascii="Arial" w:hAnsi="Arial" w:cs="Arial"/>
          <w:sz w:val="24"/>
          <w:szCs w:val="24"/>
          <w:lang w:val="en-GB"/>
        </w:rPr>
        <w:t xml:space="preserve"> 2017, flash estimates of income for 2016 (SILC 2017) </w:t>
      </w:r>
      <w:r w:rsidR="00C4004D">
        <w:rPr>
          <w:rFonts w:ascii="Arial" w:hAnsi="Arial" w:cs="Arial"/>
          <w:sz w:val="24"/>
          <w:szCs w:val="24"/>
          <w:lang w:val="en-GB"/>
        </w:rPr>
        <w:t>were</w:t>
      </w:r>
      <w:r w:rsidR="00C4004D" w:rsidRPr="00754467">
        <w:rPr>
          <w:rFonts w:ascii="Arial" w:hAnsi="Arial" w:cs="Arial"/>
          <w:sz w:val="24"/>
          <w:szCs w:val="24"/>
          <w:lang w:val="en-GB"/>
        </w:rPr>
        <w:t xml:space="preserve"> </w:t>
      </w:r>
      <w:hyperlink r:id="rId9" w:history="1">
        <w:r w:rsidR="00C4004D" w:rsidRPr="00B94982">
          <w:rPr>
            <w:rStyle w:val="Hyperlink"/>
            <w:rFonts w:ascii="Arial" w:hAnsi="Arial" w:cs="Arial"/>
            <w:sz w:val="24"/>
            <w:szCs w:val="24"/>
            <w:lang w:val="en-GB"/>
          </w:rPr>
          <w:t>published</w:t>
        </w:r>
      </w:hyperlink>
      <w:r w:rsidR="00C4004D">
        <w:rPr>
          <w:rFonts w:ascii="Arial" w:hAnsi="Arial" w:cs="Arial"/>
          <w:sz w:val="24"/>
          <w:szCs w:val="24"/>
          <w:lang w:val="en-GB"/>
        </w:rPr>
        <w:t xml:space="preserve"> for the first time as Experimental Statistics in Eurostat's website.</w:t>
      </w:r>
      <w:r w:rsidR="00C4004D" w:rsidRPr="00C4004D">
        <w:rPr>
          <w:rFonts w:ascii="Arial" w:hAnsi="Arial" w:cs="Arial"/>
          <w:sz w:val="24"/>
          <w:szCs w:val="24"/>
          <w:lang w:val="en-GB"/>
        </w:rPr>
        <w:t xml:space="preserve"> </w:t>
      </w:r>
    </w:p>
    <w:p w:rsidR="000C359C" w:rsidRDefault="000C359C" w:rsidP="00754467">
      <w:pPr>
        <w:spacing w:before="360" w:after="0" w:line="360" w:lineRule="auto"/>
        <w:jc w:val="both"/>
        <w:rPr>
          <w:rFonts w:ascii="Arial" w:hAnsi="Arial" w:cs="Arial"/>
          <w:sz w:val="24"/>
          <w:szCs w:val="24"/>
          <w:lang w:val="en-GB"/>
        </w:rPr>
      </w:pPr>
    </w:p>
    <w:p w:rsidR="00D0258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876DAF">
        <w:rPr>
          <w:rFonts w:ascii="Arial" w:hAnsi="Arial" w:cs="Arial"/>
          <w:b/>
          <w:sz w:val="24"/>
          <w:szCs w:val="24"/>
          <w:lang w:val="en-GB"/>
        </w:rPr>
        <w:t>Methodology</w:t>
      </w:r>
    </w:p>
    <w:p w:rsidR="000C359C" w:rsidRDefault="006744F3" w:rsidP="006744F3">
      <w:pPr>
        <w:spacing w:before="360" w:after="0" w:line="360" w:lineRule="auto"/>
        <w:jc w:val="both"/>
        <w:rPr>
          <w:rFonts w:ascii="Arial" w:hAnsi="Arial" w:cs="Arial"/>
          <w:i/>
          <w:sz w:val="24"/>
          <w:szCs w:val="24"/>
          <w:lang w:val="en-GB"/>
        </w:rPr>
      </w:pPr>
      <w:r>
        <w:rPr>
          <w:rFonts w:ascii="Arial" w:hAnsi="Arial" w:cs="Arial"/>
          <w:i/>
          <w:sz w:val="24"/>
          <w:szCs w:val="24"/>
          <w:lang w:val="en-GB"/>
        </w:rPr>
        <w:t>2.1.</w:t>
      </w:r>
      <w:r w:rsidRPr="00CC2747">
        <w:rPr>
          <w:rFonts w:ascii="Arial" w:hAnsi="Arial" w:cs="Arial"/>
          <w:i/>
          <w:sz w:val="24"/>
          <w:szCs w:val="24"/>
          <w:lang w:val="en-GB"/>
        </w:rPr>
        <w:t xml:space="preserve"> </w:t>
      </w:r>
      <w:r>
        <w:rPr>
          <w:rFonts w:ascii="Arial" w:hAnsi="Arial" w:cs="Arial"/>
          <w:i/>
          <w:sz w:val="24"/>
          <w:szCs w:val="24"/>
          <w:lang w:val="en-GB"/>
        </w:rPr>
        <w:t xml:space="preserve">Overview </w:t>
      </w:r>
    </w:p>
    <w:p w:rsidR="005D17B0" w:rsidRDefault="00ED0901" w:rsidP="005D17B0">
      <w:pPr>
        <w:spacing w:before="360" w:after="0" w:line="360" w:lineRule="auto"/>
        <w:jc w:val="both"/>
        <w:rPr>
          <w:rFonts w:ascii="Arial" w:hAnsi="Arial" w:cs="Arial"/>
          <w:sz w:val="24"/>
          <w:szCs w:val="24"/>
          <w:lang w:val="en-GB"/>
        </w:rPr>
      </w:pPr>
      <w:r w:rsidRPr="00754467">
        <w:rPr>
          <w:rFonts w:ascii="Arial" w:hAnsi="Arial" w:cs="Arial"/>
          <w:sz w:val="24"/>
          <w:szCs w:val="24"/>
          <w:lang w:val="en-GB"/>
        </w:rPr>
        <w:t xml:space="preserve">The main methodology used for most countries is </w:t>
      </w:r>
      <w:r w:rsidRPr="00754467">
        <w:rPr>
          <w:rFonts w:ascii="Arial" w:hAnsi="Arial" w:cs="Arial"/>
          <w:b/>
          <w:sz w:val="24"/>
          <w:szCs w:val="24"/>
          <w:lang w:val="en-GB"/>
        </w:rPr>
        <w:t>Microsimulation</w:t>
      </w:r>
      <w:r>
        <w:rPr>
          <w:rFonts w:ascii="Arial" w:hAnsi="Arial" w:cs="Arial"/>
          <w:b/>
          <w:sz w:val="24"/>
          <w:szCs w:val="24"/>
          <w:lang w:val="en-GB"/>
        </w:rPr>
        <w:t xml:space="preserve">. </w:t>
      </w:r>
      <w:r w:rsidR="003923C1" w:rsidRPr="00754467">
        <w:rPr>
          <w:rFonts w:ascii="Arial" w:hAnsi="Arial" w:cs="Arial"/>
          <w:sz w:val="24"/>
          <w:szCs w:val="24"/>
          <w:lang w:val="en-GB"/>
        </w:rPr>
        <w:t xml:space="preserve">It relies on EUROMOD, the European Union tax-benefit microsimulation model, managed, maintained and developed by the Institute for Social and Economic Research (ISER) at the University of Essex. </w:t>
      </w:r>
      <w:r w:rsidR="003923C1">
        <w:rPr>
          <w:rFonts w:ascii="Arial" w:hAnsi="Arial" w:cs="Arial"/>
          <w:sz w:val="24"/>
          <w:szCs w:val="24"/>
          <w:lang w:val="en-GB"/>
        </w:rPr>
        <w:t xml:space="preserve">The approach </w:t>
      </w:r>
      <w:r w:rsidR="003923C1" w:rsidRPr="00ED0901">
        <w:rPr>
          <w:rFonts w:ascii="Arial" w:hAnsi="Arial" w:cs="Arial"/>
          <w:sz w:val="24"/>
          <w:szCs w:val="24"/>
          <w:lang w:val="en-GB"/>
        </w:rPr>
        <w:t xml:space="preserve">is based on previous work </w:t>
      </w:r>
      <w:r w:rsidR="003923C1">
        <w:rPr>
          <w:rFonts w:ascii="Arial" w:hAnsi="Arial" w:cs="Arial"/>
          <w:sz w:val="24"/>
          <w:szCs w:val="24"/>
          <w:lang w:val="en-GB"/>
        </w:rPr>
        <w:t xml:space="preserve">on </w:t>
      </w:r>
      <w:proofErr w:type="spellStart"/>
      <w:r w:rsidR="003923C1">
        <w:rPr>
          <w:rFonts w:ascii="Arial" w:hAnsi="Arial" w:cs="Arial"/>
          <w:sz w:val="24"/>
          <w:szCs w:val="24"/>
          <w:lang w:val="en-GB"/>
        </w:rPr>
        <w:t>nowcasting</w:t>
      </w:r>
      <w:proofErr w:type="spellEnd"/>
      <w:r w:rsidR="003923C1">
        <w:rPr>
          <w:rFonts w:ascii="Arial" w:hAnsi="Arial" w:cs="Arial"/>
          <w:sz w:val="24"/>
          <w:szCs w:val="24"/>
          <w:lang w:val="en-GB"/>
        </w:rPr>
        <w:t xml:space="preserve"> </w:t>
      </w:r>
      <w:r w:rsidR="00DD59FB">
        <w:rPr>
          <w:rFonts w:ascii="Arial" w:hAnsi="Arial" w:cs="Arial"/>
          <w:sz w:val="24"/>
          <w:szCs w:val="24"/>
          <w:lang w:val="en-GB"/>
        </w:rPr>
        <w:t>(</w:t>
      </w:r>
      <w:proofErr w:type="spellStart"/>
      <w:r w:rsidR="00DD59FB">
        <w:rPr>
          <w:rFonts w:ascii="Arial" w:hAnsi="Arial" w:cs="Arial"/>
          <w:sz w:val="24"/>
          <w:szCs w:val="24"/>
          <w:lang w:val="en-GB"/>
        </w:rPr>
        <w:t>Rastrigina</w:t>
      </w:r>
      <w:proofErr w:type="spellEnd"/>
      <w:r w:rsidR="00DD59FB">
        <w:rPr>
          <w:rFonts w:ascii="Arial" w:hAnsi="Arial" w:cs="Arial"/>
          <w:sz w:val="24"/>
          <w:szCs w:val="24"/>
          <w:lang w:val="en-GB"/>
        </w:rPr>
        <w:t xml:space="preserve">, </w:t>
      </w:r>
      <w:proofErr w:type="spellStart"/>
      <w:r w:rsidR="00DD59FB">
        <w:rPr>
          <w:rFonts w:ascii="Arial" w:hAnsi="Arial" w:cs="Arial"/>
          <w:sz w:val="24"/>
          <w:szCs w:val="24"/>
          <w:lang w:val="en-GB"/>
        </w:rPr>
        <w:t>Leventi</w:t>
      </w:r>
      <w:proofErr w:type="spellEnd"/>
      <w:r w:rsidR="00DD59FB">
        <w:rPr>
          <w:rFonts w:ascii="Arial" w:hAnsi="Arial" w:cs="Arial"/>
          <w:sz w:val="24"/>
          <w:szCs w:val="24"/>
          <w:lang w:val="en-GB"/>
        </w:rPr>
        <w:t xml:space="preserve">, </w:t>
      </w:r>
      <w:proofErr w:type="spellStart"/>
      <w:r w:rsidR="00DD59FB">
        <w:rPr>
          <w:rFonts w:ascii="Arial" w:hAnsi="Arial" w:cs="Arial"/>
          <w:sz w:val="24"/>
          <w:szCs w:val="24"/>
          <w:lang w:val="en-GB"/>
        </w:rPr>
        <w:t>Vujackov</w:t>
      </w:r>
      <w:proofErr w:type="spellEnd"/>
      <w:r w:rsidR="00DD59FB">
        <w:rPr>
          <w:rFonts w:ascii="Arial" w:hAnsi="Arial" w:cs="Arial"/>
          <w:sz w:val="24"/>
          <w:szCs w:val="24"/>
          <w:lang w:val="en-GB"/>
        </w:rPr>
        <w:t xml:space="preserve"> and Sutherland</w:t>
      </w:r>
      <w:r w:rsidR="00A571BB">
        <w:rPr>
          <w:rFonts w:ascii="Arial" w:hAnsi="Arial" w:cs="Arial"/>
          <w:sz w:val="24"/>
          <w:szCs w:val="24"/>
          <w:lang w:val="en-GB"/>
        </w:rPr>
        <w:t>, 2016</w:t>
      </w:r>
      <w:r w:rsidR="003923C1" w:rsidRPr="00ED0901">
        <w:rPr>
          <w:rFonts w:ascii="Arial" w:hAnsi="Arial" w:cs="Arial"/>
          <w:sz w:val="24"/>
          <w:szCs w:val="24"/>
          <w:lang w:val="en-GB"/>
        </w:rPr>
        <w:t xml:space="preserve">) </w:t>
      </w:r>
      <w:r w:rsidR="003923C1" w:rsidRPr="003923C1">
        <w:rPr>
          <w:rFonts w:ascii="Arial" w:hAnsi="Arial" w:cs="Arial"/>
          <w:sz w:val="24"/>
          <w:szCs w:val="24"/>
          <w:lang w:val="en-GB"/>
        </w:rPr>
        <w:t>and is being further developed by Eurostat</w:t>
      </w:r>
      <w:r w:rsidR="00592308">
        <w:rPr>
          <w:rFonts w:ascii="Arial" w:hAnsi="Arial" w:cs="Arial"/>
          <w:sz w:val="24"/>
          <w:szCs w:val="24"/>
          <w:lang w:val="en-GB"/>
        </w:rPr>
        <w:t xml:space="preserve"> and </w:t>
      </w:r>
      <w:r w:rsidR="00592308" w:rsidRPr="00ED0901">
        <w:rPr>
          <w:rFonts w:ascii="Arial" w:hAnsi="Arial" w:cs="Arial"/>
          <w:sz w:val="24"/>
          <w:szCs w:val="24"/>
          <w:lang w:val="en-GB"/>
        </w:rPr>
        <w:t>ISER, University of Essex</w:t>
      </w:r>
      <w:r w:rsidR="003923C1" w:rsidRPr="003923C1">
        <w:rPr>
          <w:rFonts w:ascii="Arial" w:hAnsi="Arial" w:cs="Arial"/>
          <w:sz w:val="24"/>
          <w:szCs w:val="24"/>
          <w:lang w:val="en-GB"/>
        </w:rPr>
        <w:t xml:space="preserve"> in collaboration with the dedicated Task Force on “Flash estimates on income distribution”</w:t>
      </w:r>
      <w:r w:rsidR="00012DF8">
        <w:rPr>
          <w:rFonts w:ascii="Arial" w:hAnsi="Arial" w:cs="Arial"/>
          <w:sz w:val="24"/>
          <w:szCs w:val="24"/>
          <w:lang w:val="en-GB"/>
        </w:rPr>
        <w:t xml:space="preserve"> </w:t>
      </w:r>
      <w:r w:rsidR="00012DF8" w:rsidRPr="00012DF8">
        <w:rPr>
          <w:rFonts w:ascii="Arial" w:hAnsi="Arial" w:cs="Arial"/>
          <w:sz w:val="24"/>
          <w:szCs w:val="24"/>
          <w:lang w:val="en-GB"/>
        </w:rPr>
        <w:t>(</w:t>
      </w:r>
      <w:r w:rsidR="00DD59FB">
        <w:rPr>
          <w:rFonts w:ascii="Arial" w:hAnsi="Arial" w:cs="Arial"/>
          <w:sz w:val="24"/>
          <w:szCs w:val="24"/>
          <w:lang w:val="en-GB"/>
        </w:rPr>
        <w:t>Belgium</w:t>
      </w:r>
      <w:r w:rsidR="00012DF8" w:rsidRPr="00012DF8">
        <w:rPr>
          <w:rFonts w:ascii="Arial" w:hAnsi="Arial" w:cs="Arial"/>
          <w:sz w:val="24"/>
          <w:szCs w:val="24"/>
          <w:lang w:val="en-GB"/>
        </w:rPr>
        <w:t>, I</w:t>
      </w:r>
      <w:r w:rsidR="00DD59FB">
        <w:rPr>
          <w:rFonts w:ascii="Arial" w:hAnsi="Arial" w:cs="Arial"/>
          <w:sz w:val="24"/>
          <w:szCs w:val="24"/>
          <w:lang w:val="en-GB"/>
        </w:rPr>
        <w:t>taly</w:t>
      </w:r>
      <w:r w:rsidR="00012DF8" w:rsidRPr="00012DF8">
        <w:rPr>
          <w:rFonts w:ascii="Arial" w:hAnsi="Arial" w:cs="Arial"/>
          <w:sz w:val="24"/>
          <w:szCs w:val="24"/>
          <w:lang w:val="en-GB"/>
        </w:rPr>
        <w:t>, P</w:t>
      </w:r>
      <w:r w:rsidR="00DD59FB">
        <w:rPr>
          <w:rFonts w:ascii="Arial" w:hAnsi="Arial" w:cs="Arial"/>
          <w:sz w:val="24"/>
          <w:szCs w:val="24"/>
          <w:lang w:val="en-GB"/>
        </w:rPr>
        <w:t>ortugal</w:t>
      </w:r>
      <w:r w:rsidR="00012DF8" w:rsidRPr="00012DF8">
        <w:rPr>
          <w:rFonts w:ascii="Arial" w:hAnsi="Arial" w:cs="Arial"/>
          <w:sz w:val="24"/>
          <w:szCs w:val="24"/>
          <w:lang w:val="en-GB"/>
        </w:rPr>
        <w:t>, L</w:t>
      </w:r>
      <w:r w:rsidR="00DD59FB">
        <w:rPr>
          <w:rFonts w:ascii="Arial" w:hAnsi="Arial" w:cs="Arial"/>
          <w:sz w:val="24"/>
          <w:szCs w:val="24"/>
          <w:lang w:val="en-GB"/>
        </w:rPr>
        <w:t>uxembourg</w:t>
      </w:r>
      <w:r w:rsidR="00012DF8" w:rsidRPr="00012DF8">
        <w:rPr>
          <w:rFonts w:ascii="Arial" w:hAnsi="Arial" w:cs="Arial"/>
          <w:sz w:val="24"/>
          <w:szCs w:val="24"/>
          <w:lang w:val="en-GB"/>
        </w:rPr>
        <w:t xml:space="preserve">, </w:t>
      </w:r>
      <w:r w:rsidR="00DD59FB">
        <w:rPr>
          <w:rFonts w:ascii="Arial" w:hAnsi="Arial" w:cs="Arial"/>
          <w:sz w:val="24"/>
          <w:szCs w:val="24"/>
          <w:lang w:val="en-GB"/>
        </w:rPr>
        <w:t>Germany, France</w:t>
      </w:r>
      <w:r w:rsidR="00012DF8" w:rsidRPr="00012DF8">
        <w:rPr>
          <w:rFonts w:ascii="Arial" w:hAnsi="Arial" w:cs="Arial"/>
          <w:sz w:val="24"/>
          <w:szCs w:val="24"/>
          <w:lang w:val="en-GB"/>
        </w:rPr>
        <w:t>, S</w:t>
      </w:r>
      <w:r w:rsidR="00DD59FB">
        <w:rPr>
          <w:rFonts w:ascii="Arial" w:hAnsi="Arial" w:cs="Arial"/>
          <w:sz w:val="24"/>
          <w:szCs w:val="24"/>
          <w:lang w:val="en-GB"/>
        </w:rPr>
        <w:t>weden</w:t>
      </w:r>
      <w:r w:rsidR="00012DF8" w:rsidRPr="00012DF8">
        <w:rPr>
          <w:rFonts w:ascii="Arial" w:hAnsi="Arial" w:cs="Arial"/>
          <w:sz w:val="24"/>
          <w:szCs w:val="24"/>
          <w:lang w:val="en-GB"/>
        </w:rPr>
        <w:t xml:space="preserve"> and </w:t>
      </w:r>
      <w:r w:rsidR="00DD59FB">
        <w:rPr>
          <w:rFonts w:ascii="Arial" w:hAnsi="Arial" w:cs="Arial"/>
          <w:sz w:val="24"/>
          <w:szCs w:val="24"/>
          <w:lang w:val="en-GB"/>
        </w:rPr>
        <w:t>the United Kingdom</w:t>
      </w:r>
      <w:r w:rsidR="00012DF8" w:rsidRPr="00012DF8">
        <w:rPr>
          <w:rFonts w:ascii="Arial" w:hAnsi="Arial" w:cs="Arial"/>
          <w:sz w:val="24"/>
          <w:szCs w:val="24"/>
          <w:lang w:val="en-GB"/>
        </w:rPr>
        <w:t>)</w:t>
      </w:r>
      <w:r w:rsidR="006744F3">
        <w:rPr>
          <w:rFonts w:ascii="Arial" w:hAnsi="Arial" w:cs="Arial"/>
          <w:sz w:val="24"/>
          <w:szCs w:val="24"/>
          <w:lang w:val="en-GB"/>
        </w:rPr>
        <w:t>.</w:t>
      </w:r>
      <w:r w:rsidR="005D17B0">
        <w:rPr>
          <w:rFonts w:ascii="Arial" w:hAnsi="Arial" w:cs="Arial"/>
          <w:sz w:val="24"/>
          <w:szCs w:val="24"/>
          <w:lang w:val="en-GB"/>
        </w:rPr>
        <w:t xml:space="preserve"> </w:t>
      </w:r>
      <w:r w:rsidR="005D17B0" w:rsidRPr="003923C1">
        <w:rPr>
          <w:rFonts w:ascii="Arial" w:hAnsi="Arial" w:cs="Arial"/>
          <w:sz w:val="24"/>
          <w:szCs w:val="24"/>
          <w:lang w:val="en-GB"/>
        </w:rPr>
        <w:t>In general, microsimulation is the preferred approach for both main users and the National Statistical Institutes (NSIs) given the use of microdata, the possibilities for further detailed analyses and the link with policy changes.</w:t>
      </w:r>
      <w:r w:rsidR="005D17B0" w:rsidRPr="006744F3">
        <w:rPr>
          <w:rFonts w:ascii="Arial" w:hAnsi="Arial" w:cs="Arial"/>
          <w:sz w:val="24"/>
          <w:szCs w:val="24"/>
          <w:lang w:val="en-GB"/>
        </w:rPr>
        <w:t xml:space="preserve"> </w:t>
      </w:r>
    </w:p>
    <w:p w:rsidR="005D17B0" w:rsidRDefault="005D17B0" w:rsidP="005D17B0">
      <w:pPr>
        <w:spacing w:before="360" w:after="0" w:line="360" w:lineRule="auto"/>
        <w:jc w:val="both"/>
        <w:rPr>
          <w:rFonts w:ascii="Arial" w:hAnsi="Arial" w:cs="Arial"/>
          <w:sz w:val="24"/>
          <w:szCs w:val="24"/>
          <w:lang w:val="en-GB"/>
        </w:rPr>
      </w:pPr>
      <w:r w:rsidRPr="00754467">
        <w:rPr>
          <w:rFonts w:ascii="Arial" w:hAnsi="Arial" w:cs="Arial"/>
          <w:sz w:val="24"/>
          <w:szCs w:val="24"/>
          <w:lang w:val="en-GB"/>
        </w:rPr>
        <w:t xml:space="preserve">For few countries for which microsimulation results were not consistent enough with EU-SILC, a second methodology is used based on macro-economic time series </w:t>
      </w:r>
      <w:proofErr w:type="gramStart"/>
      <w:r w:rsidRPr="00754467">
        <w:rPr>
          <w:rFonts w:ascii="Arial" w:hAnsi="Arial" w:cs="Arial"/>
          <w:sz w:val="24"/>
          <w:szCs w:val="24"/>
          <w:lang w:val="en-GB"/>
        </w:rPr>
        <w:t>modelling</w:t>
      </w:r>
      <w:proofErr w:type="gramEnd"/>
      <w:r w:rsidRPr="00754467">
        <w:rPr>
          <w:rFonts w:ascii="Arial" w:hAnsi="Arial" w:cs="Arial"/>
          <w:sz w:val="24"/>
          <w:szCs w:val="24"/>
          <w:lang w:val="en-GB"/>
        </w:rPr>
        <w:t xml:space="preserve"> (</w:t>
      </w:r>
      <w:r w:rsidRPr="00754467">
        <w:rPr>
          <w:rFonts w:ascii="Arial" w:hAnsi="Arial" w:cs="Arial"/>
          <w:b/>
          <w:sz w:val="24"/>
          <w:szCs w:val="24"/>
          <w:lang w:val="en-GB"/>
        </w:rPr>
        <w:t>METS</w:t>
      </w:r>
      <w:r w:rsidRPr="00754467">
        <w:rPr>
          <w:rFonts w:ascii="Arial" w:hAnsi="Arial" w:cs="Arial"/>
          <w:sz w:val="24"/>
          <w:szCs w:val="24"/>
          <w:lang w:val="en-GB"/>
        </w:rPr>
        <w:t xml:space="preserve">). The current iteration of the model attempts to </w:t>
      </w:r>
      <w:proofErr w:type="spellStart"/>
      <w:r w:rsidRPr="00754467">
        <w:rPr>
          <w:rFonts w:ascii="Arial" w:hAnsi="Arial" w:cs="Arial"/>
          <w:sz w:val="24"/>
          <w:szCs w:val="24"/>
          <w:lang w:val="en-GB"/>
        </w:rPr>
        <w:t>nowcast</w:t>
      </w:r>
      <w:proofErr w:type="spellEnd"/>
      <w:r w:rsidRPr="00754467">
        <w:rPr>
          <w:rFonts w:ascii="Arial" w:hAnsi="Arial" w:cs="Arial"/>
          <w:sz w:val="24"/>
          <w:szCs w:val="24"/>
          <w:lang w:val="en-GB"/>
        </w:rPr>
        <w:t xml:space="preserve"> the </w:t>
      </w:r>
      <w:r w:rsidRPr="00754467">
        <w:rPr>
          <w:rFonts w:ascii="Arial" w:hAnsi="Arial" w:cs="Arial"/>
          <w:sz w:val="24"/>
          <w:szCs w:val="24"/>
          <w:lang w:val="en-GB"/>
        </w:rPr>
        <w:lastRenderedPageBreak/>
        <w:t xml:space="preserve">indicators directly, based on linear regression, with time-serial extensions (autocorrelation, time lags). </w:t>
      </w:r>
    </w:p>
    <w:p w:rsidR="005D17B0" w:rsidRDefault="00F07932" w:rsidP="005D17B0">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next section </w:t>
      </w:r>
      <w:r w:rsidR="008C6261">
        <w:rPr>
          <w:rFonts w:ascii="Arial" w:hAnsi="Arial" w:cs="Arial"/>
          <w:sz w:val="24"/>
          <w:szCs w:val="24"/>
          <w:lang w:val="en-GB"/>
        </w:rPr>
        <w:t>describes further</w:t>
      </w:r>
      <w:r>
        <w:rPr>
          <w:rFonts w:ascii="Arial" w:hAnsi="Arial" w:cs="Arial"/>
          <w:sz w:val="24"/>
          <w:szCs w:val="24"/>
          <w:lang w:val="en-GB"/>
        </w:rPr>
        <w:t xml:space="preserve"> the </w:t>
      </w:r>
      <w:r w:rsidR="005D17B0">
        <w:rPr>
          <w:rFonts w:ascii="Arial" w:hAnsi="Arial" w:cs="Arial"/>
          <w:sz w:val="24"/>
          <w:szCs w:val="24"/>
          <w:lang w:val="en-GB"/>
        </w:rPr>
        <w:t xml:space="preserve">microsimulation methodology </w:t>
      </w:r>
      <w:r w:rsidR="008C6261">
        <w:rPr>
          <w:rFonts w:ascii="Arial" w:hAnsi="Arial" w:cs="Arial"/>
          <w:sz w:val="24"/>
          <w:szCs w:val="24"/>
          <w:lang w:val="en-GB"/>
        </w:rPr>
        <w:t>as</w:t>
      </w:r>
      <w:r>
        <w:rPr>
          <w:rFonts w:ascii="Arial" w:hAnsi="Arial" w:cs="Arial"/>
          <w:sz w:val="24"/>
          <w:szCs w:val="24"/>
          <w:lang w:val="en-GB"/>
        </w:rPr>
        <w:t xml:space="preserve"> it is the main methodology used for almost all countries</w:t>
      </w:r>
      <w:r w:rsidR="005D17B0">
        <w:rPr>
          <w:rFonts w:ascii="Arial" w:hAnsi="Arial" w:cs="Arial"/>
          <w:sz w:val="24"/>
          <w:szCs w:val="24"/>
          <w:lang w:val="en-GB"/>
        </w:rPr>
        <w:t>.</w:t>
      </w:r>
      <w:r w:rsidR="00DD59FB">
        <w:rPr>
          <w:rFonts w:ascii="Arial" w:hAnsi="Arial" w:cs="Arial"/>
          <w:sz w:val="24"/>
          <w:szCs w:val="24"/>
          <w:lang w:val="en-GB"/>
        </w:rPr>
        <w:t xml:space="preserve"> </w:t>
      </w:r>
      <w:r>
        <w:rPr>
          <w:rFonts w:ascii="Arial" w:hAnsi="Arial" w:cs="Arial"/>
          <w:sz w:val="24"/>
          <w:szCs w:val="24"/>
          <w:lang w:val="en-GB"/>
        </w:rPr>
        <w:t xml:space="preserve">More information on the METS methodology and also further details on the microsimulation methodology can be found in the </w:t>
      </w:r>
      <w:hyperlink r:id="rId10" w:history="1">
        <w:r w:rsidRPr="00B94982">
          <w:rPr>
            <w:rStyle w:val="Hyperlink"/>
            <w:rFonts w:ascii="Arial" w:hAnsi="Arial" w:cs="Arial"/>
            <w:sz w:val="24"/>
            <w:szCs w:val="24"/>
            <w:lang w:val="en-GB"/>
          </w:rPr>
          <w:t>Methodological report</w:t>
        </w:r>
      </w:hyperlink>
      <w:r>
        <w:rPr>
          <w:rFonts w:ascii="Arial" w:hAnsi="Arial" w:cs="Arial"/>
          <w:sz w:val="24"/>
          <w:szCs w:val="24"/>
          <w:lang w:val="en-GB"/>
        </w:rPr>
        <w:t>.</w:t>
      </w:r>
    </w:p>
    <w:p w:rsidR="006744F3" w:rsidRPr="00CC2747" w:rsidRDefault="006744F3" w:rsidP="006744F3">
      <w:pPr>
        <w:spacing w:before="360" w:after="0" w:line="360" w:lineRule="auto"/>
        <w:jc w:val="both"/>
        <w:rPr>
          <w:rFonts w:ascii="Arial" w:hAnsi="Arial" w:cs="Arial"/>
          <w:i/>
          <w:sz w:val="24"/>
          <w:szCs w:val="24"/>
          <w:lang w:val="en-GB"/>
        </w:rPr>
      </w:pPr>
      <w:r>
        <w:rPr>
          <w:rFonts w:ascii="Arial" w:hAnsi="Arial" w:cs="Arial"/>
          <w:i/>
          <w:sz w:val="24"/>
          <w:szCs w:val="24"/>
          <w:lang w:val="en-GB"/>
        </w:rPr>
        <w:t>2.2.</w:t>
      </w:r>
      <w:r w:rsidRPr="00CC2747">
        <w:rPr>
          <w:rFonts w:ascii="Arial" w:hAnsi="Arial" w:cs="Arial"/>
          <w:i/>
          <w:sz w:val="24"/>
          <w:szCs w:val="24"/>
          <w:lang w:val="en-GB"/>
        </w:rPr>
        <w:t xml:space="preserve"> </w:t>
      </w:r>
      <w:r>
        <w:rPr>
          <w:rFonts w:ascii="Arial" w:hAnsi="Arial" w:cs="Arial"/>
          <w:i/>
          <w:sz w:val="24"/>
          <w:szCs w:val="24"/>
          <w:lang w:val="en-GB"/>
        </w:rPr>
        <w:t xml:space="preserve">Microsimulation </w:t>
      </w:r>
    </w:p>
    <w:p w:rsidR="005D17B0" w:rsidRDefault="005D17B0" w:rsidP="005D17B0">
      <w:pPr>
        <w:spacing w:before="360" w:after="0" w:line="360" w:lineRule="auto"/>
        <w:jc w:val="both"/>
        <w:rPr>
          <w:rFonts w:ascii="Arial" w:hAnsi="Arial" w:cs="Arial"/>
          <w:sz w:val="24"/>
          <w:szCs w:val="24"/>
          <w:lang w:val="en-GB"/>
        </w:rPr>
      </w:pPr>
      <w:r>
        <w:rPr>
          <w:rFonts w:ascii="Arial" w:hAnsi="Arial" w:cs="Arial"/>
          <w:sz w:val="24"/>
          <w:szCs w:val="24"/>
          <w:lang w:val="en-GB"/>
        </w:rPr>
        <w:t xml:space="preserve">Flash estimates based on microsimulation </w:t>
      </w:r>
      <w:r w:rsidRPr="00AF1523">
        <w:rPr>
          <w:rFonts w:ascii="Arial" w:hAnsi="Arial" w:cs="Arial"/>
          <w:sz w:val="24"/>
          <w:szCs w:val="24"/>
          <w:lang w:val="en-GB"/>
        </w:rPr>
        <w:t>are based on an information set that includes the latest income data available from EU-SILC</w:t>
      </w:r>
      <w:r>
        <w:rPr>
          <w:rFonts w:ascii="Arial" w:hAnsi="Arial" w:cs="Arial"/>
          <w:sz w:val="24"/>
          <w:szCs w:val="24"/>
          <w:lang w:val="en-GB"/>
        </w:rPr>
        <w:t xml:space="preserve"> </w:t>
      </w:r>
      <w:r w:rsidRPr="00AF1523">
        <w:rPr>
          <w:rFonts w:ascii="Arial" w:hAnsi="Arial" w:cs="Arial"/>
          <w:sz w:val="24"/>
          <w:szCs w:val="24"/>
          <w:lang w:val="en-GB"/>
        </w:rPr>
        <w:t xml:space="preserve">(income </w:t>
      </w:r>
      <w:r>
        <w:rPr>
          <w:rFonts w:ascii="Arial" w:hAnsi="Arial" w:cs="Arial"/>
          <w:sz w:val="24"/>
          <w:szCs w:val="24"/>
          <w:lang w:val="en-GB"/>
        </w:rPr>
        <w:t>N-2) which is updated with</w:t>
      </w:r>
      <w:r w:rsidRPr="00AF1523">
        <w:rPr>
          <w:rFonts w:ascii="Arial" w:hAnsi="Arial" w:cs="Arial"/>
          <w:sz w:val="24"/>
          <w:szCs w:val="24"/>
          <w:lang w:val="en-GB"/>
        </w:rPr>
        <w:t xml:space="preserve"> more timely auxiliary information from the reference period (year </w:t>
      </w:r>
      <w:r>
        <w:rPr>
          <w:rFonts w:ascii="Arial" w:hAnsi="Arial" w:cs="Arial"/>
          <w:sz w:val="24"/>
          <w:szCs w:val="24"/>
          <w:lang w:val="en-GB"/>
        </w:rPr>
        <w:t>N</w:t>
      </w:r>
      <w:r w:rsidRPr="00AF1523">
        <w:rPr>
          <w:rFonts w:ascii="Arial" w:hAnsi="Arial" w:cs="Arial"/>
          <w:sz w:val="24"/>
          <w:szCs w:val="24"/>
          <w:lang w:val="en-GB"/>
        </w:rPr>
        <w:t xml:space="preserve">) such as </w:t>
      </w:r>
      <w:r w:rsidR="00DD59FB">
        <w:rPr>
          <w:rFonts w:ascii="Arial" w:hAnsi="Arial" w:cs="Arial"/>
          <w:sz w:val="24"/>
          <w:szCs w:val="24"/>
          <w:lang w:val="en-GB"/>
        </w:rPr>
        <w:t>EU-</w:t>
      </w:r>
      <w:r w:rsidRPr="00AF1523">
        <w:rPr>
          <w:rFonts w:ascii="Arial" w:hAnsi="Arial" w:cs="Arial"/>
          <w:sz w:val="24"/>
          <w:szCs w:val="24"/>
          <w:lang w:val="en-GB"/>
        </w:rPr>
        <w:t>LFS</w:t>
      </w:r>
      <w:r>
        <w:rPr>
          <w:rFonts w:ascii="Arial" w:hAnsi="Arial" w:cs="Arial"/>
          <w:sz w:val="24"/>
          <w:szCs w:val="24"/>
          <w:lang w:val="en-GB"/>
        </w:rPr>
        <w:t xml:space="preserve"> and sources available at national level. </w:t>
      </w:r>
    </w:p>
    <w:p w:rsidR="005D17B0" w:rsidRDefault="005D17B0" w:rsidP="005D17B0">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three main stages of the microsimulation approach are: </w:t>
      </w:r>
      <w:r w:rsidRPr="00754467">
        <w:rPr>
          <w:rFonts w:ascii="Arial" w:hAnsi="Arial" w:cs="Arial"/>
          <w:sz w:val="24"/>
          <w:szCs w:val="24"/>
          <w:lang w:val="en-GB"/>
        </w:rPr>
        <w:t>(1) adjustment for changes to the demographic structure of the population and for changes to the presence of income sources determined by labour market characteristics; (2) uprating the level of market income components; and (3) changes in taxes and benefits due to policy reforms (</w:t>
      </w:r>
      <w:proofErr w:type="spellStart"/>
      <w:r w:rsidRPr="00754467">
        <w:rPr>
          <w:rFonts w:ascii="Arial" w:hAnsi="Arial" w:cs="Arial"/>
          <w:sz w:val="24"/>
          <w:szCs w:val="24"/>
          <w:lang w:val="en-GB"/>
        </w:rPr>
        <w:t>O'Donoghue</w:t>
      </w:r>
      <w:proofErr w:type="spellEnd"/>
      <w:r w:rsidRPr="00754467">
        <w:rPr>
          <w:rFonts w:ascii="Arial" w:hAnsi="Arial" w:cs="Arial"/>
          <w:sz w:val="24"/>
          <w:szCs w:val="24"/>
          <w:lang w:val="en-GB"/>
        </w:rPr>
        <w:t xml:space="preserve"> and </w:t>
      </w:r>
      <w:proofErr w:type="spellStart"/>
      <w:r w:rsidRPr="00754467">
        <w:rPr>
          <w:rFonts w:ascii="Arial" w:hAnsi="Arial" w:cs="Arial"/>
          <w:sz w:val="24"/>
          <w:szCs w:val="24"/>
          <w:lang w:val="en-GB"/>
        </w:rPr>
        <w:t>Loughrey</w:t>
      </w:r>
      <w:proofErr w:type="spellEnd"/>
      <w:r w:rsidRPr="00754467">
        <w:rPr>
          <w:rFonts w:ascii="Arial" w:hAnsi="Arial" w:cs="Arial"/>
          <w:sz w:val="24"/>
          <w:szCs w:val="24"/>
          <w:lang w:val="en-GB"/>
        </w:rPr>
        <w:t xml:space="preserve">, 2014). </w:t>
      </w:r>
      <w:r w:rsidR="00A571BB">
        <w:rPr>
          <w:rFonts w:ascii="Arial" w:hAnsi="Arial" w:cs="Arial"/>
          <w:sz w:val="24"/>
          <w:szCs w:val="24"/>
          <w:lang w:val="en-GB"/>
        </w:rPr>
        <w:t xml:space="preserve"> </w:t>
      </w:r>
    </w:p>
    <w:p w:rsidR="00CC2747" w:rsidRPr="00CC2747" w:rsidRDefault="00CC2747" w:rsidP="00CC2747">
      <w:pPr>
        <w:spacing w:before="360" w:after="0" w:line="360" w:lineRule="auto"/>
        <w:jc w:val="both"/>
        <w:rPr>
          <w:rFonts w:ascii="Arial" w:hAnsi="Arial" w:cs="Arial"/>
          <w:i/>
          <w:sz w:val="24"/>
          <w:szCs w:val="24"/>
          <w:lang w:val="en-GB"/>
        </w:rPr>
      </w:pPr>
      <w:r>
        <w:rPr>
          <w:rFonts w:ascii="Arial" w:hAnsi="Arial" w:cs="Arial"/>
          <w:i/>
          <w:sz w:val="24"/>
          <w:szCs w:val="24"/>
          <w:lang w:val="en-GB"/>
        </w:rPr>
        <w:t>2.1</w:t>
      </w:r>
      <w:r w:rsidRPr="00CC2747">
        <w:rPr>
          <w:rFonts w:ascii="Arial" w:hAnsi="Arial" w:cs="Arial"/>
          <w:i/>
          <w:sz w:val="24"/>
          <w:szCs w:val="24"/>
          <w:lang w:val="en-GB"/>
        </w:rPr>
        <w:t>.</w:t>
      </w:r>
      <w:r>
        <w:rPr>
          <w:rFonts w:ascii="Arial" w:hAnsi="Arial" w:cs="Arial"/>
          <w:i/>
          <w:sz w:val="24"/>
          <w:szCs w:val="24"/>
          <w:lang w:val="en-GB"/>
        </w:rPr>
        <w:t>1.</w:t>
      </w:r>
      <w:r w:rsidRPr="00CC2747">
        <w:rPr>
          <w:rFonts w:ascii="Arial" w:hAnsi="Arial" w:cs="Arial"/>
          <w:i/>
          <w:sz w:val="24"/>
          <w:szCs w:val="24"/>
          <w:lang w:val="en-GB"/>
        </w:rPr>
        <w:t xml:space="preserve"> </w:t>
      </w:r>
      <w:r>
        <w:rPr>
          <w:rFonts w:ascii="Arial" w:hAnsi="Arial" w:cs="Arial"/>
          <w:i/>
          <w:sz w:val="24"/>
          <w:szCs w:val="24"/>
          <w:lang w:val="en-GB"/>
        </w:rPr>
        <w:t>Changes in population characteristics including labour market</w:t>
      </w:r>
    </w:p>
    <w:p w:rsidR="00754467" w:rsidRDefault="00DD59FB" w:rsidP="00754467">
      <w:pPr>
        <w:spacing w:before="360" w:after="0" w:line="360" w:lineRule="auto"/>
        <w:jc w:val="both"/>
        <w:rPr>
          <w:rFonts w:ascii="Arial" w:hAnsi="Arial" w:cs="Arial"/>
          <w:sz w:val="24"/>
          <w:szCs w:val="24"/>
          <w:lang w:val="en-GB"/>
        </w:rPr>
      </w:pPr>
      <w:r>
        <w:rPr>
          <w:rFonts w:ascii="Arial" w:hAnsi="Arial" w:cs="Arial"/>
          <w:sz w:val="24"/>
          <w:szCs w:val="24"/>
          <w:lang w:val="en-GB"/>
        </w:rPr>
        <w:t>Two</w:t>
      </w:r>
      <w:r w:rsidR="00754467" w:rsidRPr="00754467">
        <w:rPr>
          <w:rFonts w:ascii="Arial" w:hAnsi="Arial" w:cs="Arial"/>
          <w:sz w:val="24"/>
          <w:szCs w:val="24"/>
          <w:lang w:val="en-GB"/>
        </w:rPr>
        <w:t xml:space="preserve"> approaches </w:t>
      </w:r>
      <w:r>
        <w:rPr>
          <w:rFonts w:ascii="Arial" w:hAnsi="Arial" w:cs="Arial"/>
          <w:sz w:val="24"/>
          <w:szCs w:val="24"/>
          <w:lang w:val="en-GB"/>
        </w:rPr>
        <w:t xml:space="preserve">are considered </w:t>
      </w:r>
      <w:r w:rsidR="00754467" w:rsidRPr="00754467">
        <w:rPr>
          <w:rFonts w:ascii="Arial" w:hAnsi="Arial" w:cs="Arial"/>
          <w:sz w:val="24"/>
          <w:szCs w:val="24"/>
          <w:lang w:val="en-GB"/>
        </w:rPr>
        <w:t>to take into account changes in population characteristics: static and dynamic. The static approach is based on reweighting (or calibration). It consists of the derivation of a new vector of sample weights that brings the marginal distributions from the base year for a set of main socio-economic variables (e.g. age, labour, gender) to the level of the target year. In the dynamic process individual trajectories are modelled and individuals in the sample undergo transitions</w:t>
      </w:r>
      <w:r w:rsidR="00A571BB">
        <w:rPr>
          <w:rFonts w:ascii="Arial" w:hAnsi="Arial" w:cs="Arial"/>
          <w:sz w:val="24"/>
          <w:szCs w:val="24"/>
          <w:lang w:val="en-GB"/>
        </w:rPr>
        <w:t xml:space="preserve"> (</w:t>
      </w:r>
      <w:proofErr w:type="spellStart"/>
      <w:r w:rsidR="00A571BB">
        <w:rPr>
          <w:rFonts w:ascii="Arial" w:hAnsi="Arial" w:cs="Arial"/>
          <w:sz w:val="24"/>
          <w:szCs w:val="24"/>
          <w:lang w:val="en-GB"/>
        </w:rPr>
        <w:t>Gasior</w:t>
      </w:r>
      <w:proofErr w:type="spellEnd"/>
      <w:r w:rsidR="00A571BB">
        <w:rPr>
          <w:rFonts w:ascii="Arial" w:hAnsi="Arial" w:cs="Arial"/>
          <w:sz w:val="24"/>
          <w:szCs w:val="24"/>
          <w:lang w:val="en-GB"/>
        </w:rPr>
        <w:t xml:space="preserve"> and </w:t>
      </w:r>
      <w:proofErr w:type="spellStart"/>
      <w:r w:rsidR="00A571BB">
        <w:rPr>
          <w:rFonts w:ascii="Arial" w:hAnsi="Arial" w:cs="Arial"/>
          <w:sz w:val="24"/>
          <w:szCs w:val="24"/>
          <w:lang w:val="en-GB"/>
        </w:rPr>
        <w:t>Rastrigina</w:t>
      </w:r>
      <w:proofErr w:type="spellEnd"/>
      <w:r w:rsidR="00A571BB">
        <w:rPr>
          <w:rFonts w:ascii="Arial" w:hAnsi="Arial" w:cs="Arial"/>
          <w:sz w:val="24"/>
          <w:szCs w:val="24"/>
          <w:lang w:val="en-GB"/>
        </w:rPr>
        <w:t xml:space="preserve">, </w:t>
      </w:r>
      <w:r w:rsidR="00A571BB" w:rsidRPr="009B75F0">
        <w:rPr>
          <w:rFonts w:ascii="Arial" w:hAnsi="Arial" w:cs="Arial"/>
          <w:sz w:val="24"/>
          <w:szCs w:val="24"/>
          <w:lang w:val="en-GB"/>
        </w:rPr>
        <w:t>2017</w:t>
      </w:r>
      <w:r w:rsidR="00A571BB">
        <w:rPr>
          <w:rFonts w:ascii="Arial" w:hAnsi="Arial" w:cs="Arial"/>
          <w:sz w:val="24"/>
          <w:szCs w:val="24"/>
          <w:lang w:val="en-GB"/>
        </w:rPr>
        <w:t>)</w:t>
      </w:r>
      <w:r w:rsidR="00754467" w:rsidRPr="00754467">
        <w:rPr>
          <w:rFonts w:ascii="Arial" w:hAnsi="Arial" w:cs="Arial"/>
          <w:sz w:val="24"/>
          <w:szCs w:val="24"/>
          <w:lang w:val="en-GB"/>
        </w:rPr>
        <w:t xml:space="preserve">. The main auxiliary source of information used to obtain the population characteristics in the target year is the </w:t>
      </w:r>
      <w:r>
        <w:rPr>
          <w:rFonts w:ascii="Arial" w:hAnsi="Arial" w:cs="Arial"/>
          <w:sz w:val="24"/>
          <w:szCs w:val="24"/>
          <w:lang w:val="en-GB"/>
        </w:rPr>
        <w:t xml:space="preserve">EU </w:t>
      </w:r>
      <w:r w:rsidR="00754467" w:rsidRPr="00754467">
        <w:rPr>
          <w:rFonts w:ascii="Arial" w:hAnsi="Arial" w:cs="Arial"/>
          <w:sz w:val="24"/>
          <w:szCs w:val="24"/>
          <w:lang w:val="en-GB"/>
        </w:rPr>
        <w:t>Labour Force Survey (</w:t>
      </w:r>
      <w:r>
        <w:rPr>
          <w:rFonts w:ascii="Arial" w:hAnsi="Arial" w:cs="Arial"/>
          <w:sz w:val="24"/>
          <w:szCs w:val="24"/>
          <w:lang w:val="en-GB"/>
        </w:rPr>
        <w:t>EU-</w:t>
      </w:r>
      <w:r w:rsidR="00754467" w:rsidRPr="00754467">
        <w:rPr>
          <w:rFonts w:ascii="Arial" w:hAnsi="Arial" w:cs="Arial"/>
          <w:sz w:val="24"/>
          <w:szCs w:val="24"/>
          <w:lang w:val="en-GB"/>
        </w:rPr>
        <w:t xml:space="preserve">LFS) statistics. </w:t>
      </w:r>
      <w:r>
        <w:rPr>
          <w:rFonts w:ascii="Arial" w:hAnsi="Arial" w:cs="Arial"/>
          <w:sz w:val="24"/>
          <w:szCs w:val="24"/>
          <w:lang w:val="en-GB"/>
        </w:rPr>
        <w:t>EU-</w:t>
      </w:r>
      <w:r w:rsidR="00754467" w:rsidRPr="00754467">
        <w:rPr>
          <w:rFonts w:ascii="Arial" w:hAnsi="Arial" w:cs="Arial"/>
          <w:sz w:val="24"/>
          <w:szCs w:val="24"/>
          <w:lang w:val="en-GB"/>
        </w:rPr>
        <w:t xml:space="preserve">LFS micro-level statistics for year N are usually available in April N+1. </w:t>
      </w:r>
    </w:p>
    <w:p w:rsidR="001C1303" w:rsidRDefault="001C1303" w:rsidP="00754467">
      <w:pPr>
        <w:spacing w:before="360" w:after="0" w:line="360" w:lineRule="auto"/>
        <w:jc w:val="both"/>
        <w:rPr>
          <w:rFonts w:ascii="Arial" w:hAnsi="Arial" w:cs="Arial"/>
          <w:sz w:val="24"/>
          <w:szCs w:val="24"/>
          <w:lang w:val="en-GB"/>
        </w:rPr>
      </w:pPr>
    </w:p>
    <w:p w:rsidR="00754467" w:rsidRPr="00CC2747" w:rsidRDefault="00CC2747" w:rsidP="00CC2747">
      <w:pPr>
        <w:spacing w:before="360" w:after="0" w:line="360" w:lineRule="auto"/>
        <w:jc w:val="both"/>
        <w:rPr>
          <w:rFonts w:ascii="Arial" w:hAnsi="Arial" w:cs="Arial"/>
          <w:bCs/>
          <w:i/>
          <w:sz w:val="24"/>
          <w:szCs w:val="24"/>
          <w:lang w:val="en-GB"/>
        </w:rPr>
      </w:pPr>
      <w:bookmarkStart w:id="0" w:name="_Toc464201677"/>
      <w:bookmarkStart w:id="1" w:name="_Toc493690515"/>
      <w:r>
        <w:rPr>
          <w:rFonts w:ascii="Arial" w:hAnsi="Arial" w:cs="Arial"/>
          <w:bCs/>
          <w:i/>
          <w:sz w:val="24"/>
          <w:szCs w:val="24"/>
          <w:lang w:val="en-GB"/>
        </w:rPr>
        <w:lastRenderedPageBreak/>
        <w:t xml:space="preserve">2.1.2. </w:t>
      </w:r>
      <w:r w:rsidR="00754467" w:rsidRPr="00CC2747">
        <w:rPr>
          <w:rFonts w:ascii="Arial" w:hAnsi="Arial" w:cs="Arial"/>
          <w:bCs/>
          <w:i/>
          <w:sz w:val="24"/>
          <w:szCs w:val="24"/>
          <w:lang w:val="en-GB"/>
        </w:rPr>
        <w:t>Updating non-simulated income sources</w:t>
      </w:r>
      <w:bookmarkEnd w:id="0"/>
      <w:bookmarkEnd w:id="1"/>
    </w:p>
    <w:p w:rsidR="00DA6C7D" w:rsidRDefault="00754467" w:rsidP="00754467">
      <w:pPr>
        <w:spacing w:before="360" w:after="0" w:line="360" w:lineRule="auto"/>
        <w:jc w:val="both"/>
        <w:rPr>
          <w:rFonts w:ascii="Arial" w:hAnsi="Arial" w:cs="Arial"/>
          <w:sz w:val="24"/>
          <w:szCs w:val="24"/>
          <w:lang w:val="en-GB"/>
        </w:rPr>
      </w:pPr>
      <w:r w:rsidRPr="00754467">
        <w:rPr>
          <w:rFonts w:ascii="Arial" w:hAnsi="Arial" w:cs="Arial"/>
          <w:sz w:val="24"/>
          <w:szCs w:val="24"/>
          <w:lang w:val="en-GB"/>
        </w:rPr>
        <w:t>After adjusting the input data for changes in the population characteristics, the next step is to update non-simulated income beyond the income data reference period. This approach applies uprating coefficients to market incomes</w:t>
      </w:r>
      <w:r w:rsidRPr="00754467">
        <w:rPr>
          <w:rFonts w:ascii="Arial" w:hAnsi="Arial" w:cs="Arial"/>
          <w:sz w:val="24"/>
          <w:szCs w:val="24"/>
          <w:vertAlign w:val="superscript"/>
          <w:lang w:val="en-GB"/>
        </w:rPr>
        <w:footnoteReference w:id="1"/>
      </w:r>
      <w:r w:rsidRPr="00754467">
        <w:rPr>
          <w:rFonts w:ascii="Arial" w:hAnsi="Arial" w:cs="Arial"/>
          <w:sz w:val="24"/>
          <w:szCs w:val="24"/>
          <w:lang w:val="en-GB"/>
        </w:rPr>
        <w:t xml:space="preserve"> and non-simu</w:t>
      </w:r>
      <w:r w:rsidR="004601D1">
        <w:rPr>
          <w:rFonts w:ascii="Arial" w:hAnsi="Arial" w:cs="Arial"/>
          <w:sz w:val="24"/>
          <w:szCs w:val="24"/>
          <w:lang w:val="en-GB"/>
        </w:rPr>
        <w:t xml:space="preserve">lated social benefits (i.e. mainly benefits for which </w:t>
      </w:r>
      <w:r w:rsidR="004601D1" w:rsidRPr="00754467">
        <w:rPr>
          <w:rFonts w:ascii="Arial" w:hAnsi="Arial" w:cs="Arial"/>
          <w:sz w:val="24"/>
          <w:szCs w:val="24"/>
          <w:lang w:val="en-GB"/>
        </w:rPr>
        <w:t>entitlement is based on previous contribution history (e.g. pensions) or unobserved characteristics (e.g. disability benefits)</w:t>
      </w:r>
      <w:r w:rsidRPr="00754467">
        <w:rPr>
          <w:rFonts w:ascii="Arial" w:hAnsi="Arial" w:cs="Arial"/>
          <w:sz w:val="24"/>
          <w:szCs w:val="24"/>
          <w:lang w:val="en-GB"/>
        </w:rPr>
        <w:t xml:space="preserve">. </w:t>
      </w:r>
      <w:r w:rsidR="00DA6C7D">
        <w:rPr>
          <w:rFonts w:ascii="Arial" w:hAnsi="Arial" w:cs="Arial"/>
          <w:sz w:val="24"/>
          <w:szCs w:val="24"/>
          <w:lang w:val="en-GB"/>
        </w:rPr>
        <w:t>EUROMOD contains these uprating</w:t>
      </w:r>
      <w:r w:rsidRPr="00754467">
        <w:rPr>
          <w:rFonts w:ascii="Arial" w:hAnsi="Arial" w:cs="Arial"/>
          <w:sz w:val="24"/>
          <w:szCs w:val="24"/>
          <w:lang w:val="en-GB"/>
        </w:rPr>
        <w:t xml:space="preserve"> coefficients </w:t>
      </w:r>
      <w:r w:rsidR="00DA6C7D">
        <w:rPr>
          <w:rFonts w:ascii="Arial" w:hAnsi="Arial" w:cs="Arial"/>
          <w:sz w:val="24"/>
          <w:szCs w:val="24"/>
          <w:lang w:val="en-GB"/>
        </w:rPr>
        <w:t xml:space="preserve">which </w:t>
      </w:r>
      <w:r w:rsidRPr="00754467">
        <w:rPr>
          <w:rFonts w:ascii="Arial" w:hAnsi="Arial" w:cs="Arial"/>
          <w:sz w:val="24"/>
          <w:szCs w:val="24"/>
          <w:lang w:val="en-GB"/>
        </w:rPr>
        <w:t>are based on more timely data sources from the target year which reflect indexation rules or the change in the average income per recipient</w:t>
      </w:r>
      <w:r w:rsidR="001C1303">
        <w:rPr>
          <w:rFonts w:ascii="Arial" w:hAnsi="Arial" w:cs="Arial"/>
          <w:sz w:val="24"/>
          <w:szCs w:val="24"/>
          <w:lang w:val="en-GB"/>
        </w:rPr>
        <w:t>. (</w:t>
      </w:r>
      <w:proofErr w:type="spellStart"/>
      <w:r w:rsidR="001C1303">
        <w:rPr>
          <w:rFonts w:ascii="Arial" w:hAnsi="Arial" w:cs="Arial"/>
          <w:sz w:val="24"/>
          <w:szCs w:val="24"/>
          <w:lang w:val="en-GB"/>
        </w:rPr>
        <w:t>Rastrigina</w:t>
      </w:r>
      <w:proofErr w:type="spellEnd"/>
      <w:r w:rsidR="001C1303">
        <w:rPr>
          <w:rFonts w:ascii="Arial" w:hAnsi="Arial" w:cs="Arial"/>
          <w:sz w:val="24"/>
          <w:szCs w:val="24"/>
          <w:lang w:val="en-GB"/>
        </w:rPr>
        <w:t xml:space="preserve">, </w:t>
      </w:r>
      <w:proofErr w:type="spellStart"/>
      <w:r w:rsidR="001C1303">
        <w:rPr>
          <w:rFonts w:ascii="Arial" w:hAnsi="Arial" w:cs="Arial"/>
          <w:sz w:val="24"/>
          <w:szCs w:val="24"/>
          <w:lang w:val="en-GB"/>
        </w:rPr>
        <w:t>Leventi</w:t>
      </w:r>
      <w:proofErr w:type="spellEnd"/>
      <w:r w:rsidR="001C1303">
        <w:rPr>
          <w:rFonts w:ascii="Arial" w:hAnsi="Arial" w:cs="Arial"/>
          <w:sz w:val="24"/>
          <w:szCs w:val="24"/>
          <w:lang w:val="en-GB"/>
        </w:rPr>
        <w:t xml:space="preserve">, </w:t>
      </w:r>
      <w:proofErr w:type="spellStart"/>
      <w:r w:rsidR="001C1303">
        <w:rPr>
          <w:rFonts w:ascii="Arial" w:hAnsi="Arial" w:cs="Arial"/>
          <w:sz w:val="24"/>
          <w:szCs w:val="24"/>
          <w:lang w:val="en-GB"/>
        </w:rPr>
        <w:t>Vujackov</w:t>
      </w:r>
      <w:proofErr w:type="spellEnd"/>
      <w:r w:rsidR="001C1303">
        <w:rPr>
          <w:rFonts w:ascii="Arial" w:hAnsi="Arial" w:cs="Arial"/>
          <w:sz w:val="24"/>
          <w:szCs w:val="24"/>
          <w:lang w:val="en-GB"/>
        </w:rPr>
        <w:t xml:space="preserve"> and Sutherland, 2016</w:t>
      </w:r>
      <w:r w:rsidR="001C1303">
        <w:rPr>
          <w:rFonts w:ascii="Arial" w:hAnsi="Arial" w:cs="Arial"/>
          <w:sz w:val="24"/>
          <w:szCs w:val="24"/>
          <w:lang w:val="en-GB"/>
        </w:rPr>
        <w:t>)</w:t>
      </w:r>
    </w:p>
    <w:p w:rsidR="00754467" w:rsidRPr="00754467" w:rsidRDefault="00CC2747" w:rsidP="00CC2747">
      <w:pPr>
        <w:spacing w:before="360" w:after="0" w:line="360" w:lineRule="auto"/>
        <w:jc w:val="both"/>
        <w:rPr>
          <w:rFonts w:ascii="Arial" w:hAnsi="Arial" w:cs="Arial"/>
          <w:b/>
          <w:bCs/>
          <w:sz w:val="24"/>
          <w:szCs w:val="24"/>
          <w:lang w:val="en-GB"/>
        </w:rPr>
      </w:pPr>
      <w:bookmarkStart w:id="2" w:name="_Toc464201678"/>
      <w:bookmarkStart w:id="3" w:name="_Toc493690516"/>
      <w:r>
        <w:rPr>
          <w:rFonts w:ascii="Arial" w:hAnsi="Arial" w:cs="Arial"/>
          <w:bCs/>
          <w:i/>
          <w:sz w:val="24"/>
          <w:szCs w:val="24"/>
          <w:lang w:val="en-GB"/>
        </w:rPr>
        <w:t>2.1.3. Simulating changes in tax-benefit policies</w:t>
      </w:r>
      <w:bookmarkEnd w:id="2"/>
      <w:bookmarkEnd w:id="3"/>
    </w:p>
    <w:p w:rsidR="00754467" w:rsidRPr="00754467" w:rsidRDefault="00754467" w:rsidP="00754467">
      <w:pPr>
        <w:spacing w:before="360" w:after="0" w:line="360" w:lineRule="auto"/>
        <w:jc w:val="both"/>
        <w:rPr>
          <w:rFonts w:ascii="Arial" w:hAnsi="Arial" w:cs="Arial"/>
          <w:sz w:val="24"/>
          <w:szCs w:val="24"/>
          <w:lang w:val="en-GB"/>
        </w:rPr>
      </w:pPr>
      <w:r w:rsidRPr="00754467">
        <w:rPr>
          <w:rFonts w:ascii="Arial" w:hAnsi="Arial" w:cs="Arial"/>
          <w:sz w:val="24"/>
          <w:szCs w:val="24"/>
          <w:lang w:val="en-GB"/>
        </w:rPr>
        <w:t>After updating market income and other non-simulated income sources, we simulate tax-benefit policies for each year from the base year up to the target year</w:t>
      </w:r>
      <w:r w:rsidR="004601D1">
        <w:rPr>
          <w:rFonts w:ascii="Arial" w:hAnsi="Arial" w:cs="Arial"/>
          <w:sz w:val="24"/>
          <w:szCs w:val="24"/>
          <w:lang w:val="en-GB"/>
        </w:rPr>
        <w:t xml:space="preserve"> with EUROMOD</w:t>
      </w:r>
      <w:r w:rsidR="006B44C3">
        <w:rPr>
          <w:rFonts w:ascii="Arial" w:hAnsi="Arial" w:cs="Arial"/>
          <w:sz w:val="24"/>
          <w:szCs w:val="24"/>
          <w:lang w:val="en-GB"/>
        </w:rPr>
        <w:t xml:space="preserve"> which is based mainly on EU-SILC data</w:t>
      </w:r>
      <w:r w:rsidRPr="00754467">
        <w:rPr>
          <w:rFonts w:ascii="Arial" w:hAnsi="Arial" w:cs="Arial"/>
          <w:sz w:val="24"/>
          <w:szCs w:val="24"/>
          <w:lang w:val="en-GB"/>
        </w:rPr>
        <w:t xml:space="preserve">. </w:t>
      </w:r>
      <w:proofErr w:type="gramStart"/>
      <w:r w:rsidR="00A571BB">
        <w:rPr>
          <w:rFonts w:ascii="Arial" w:hAnsi="Arial" w:cs="Arial"/>
          <w:sz w:val="24"/>
          <w:szCs w:val="24"/>
          <w:lang w:val="en-GB"/>
        </w:rPr>
        <w:t xml:space="preserve">(Sutherland </w:t>
      </w:r>
      <w:r w:rsidR="00DD59FB">
        <w:rPr>
          <w:rFonts w:ascii="Arial" w:hAnsi="Arial" w:cs="Arial"/>
          <w:sz w:val="24"/>
          <w:szCs w:val="24"/>
          <w:lang w:val="en-GB"/>
        </w:rPr>
        <w:t>and</w:t>
      </w:r>
      <w:r w:rsidR="00A571BB">
        <w:rPr>
          <w:rFonts w:ascii="Arial" w:hAnsi="Arial" w:cs="Arial"/>
          <w:sz w:val="24"/>
          <w:szCs w:val="24"/>
          <w:lang w:val="en-GB"/>
        </w:rPr>
        <w:t xml:space="preserve"> </w:t>
      </w:r>
      <w:proofErr w:type="spellStart"/>
      <w:r w:rsidR="00A571BB">
        <w:rPr>
          <w:rFonts w:ascii="Arial" w:hAnsi="Arial" w:cs="Arial"/>
          <w:sz w:val="24"/>
          <w:szCs w:val="24"/>
          <w:lang w:val="en-GB"/>
        </w:rPr>
        <w:t>Figari</w:t>
      </w:r>
      <w:proofErr w:type="spellEnd"/>
      <w:r w:rsidR="00A571BB">
        <w:rPr>
          <w:rFonts w:ascii="Arial" w:hAnsi="Arial" w:cs="Arial"/>
          <w:sz w:val="24"/>
          <w:szCs w:val="24"/>
          <w:lang w:val="en-GB"/>
        </w:rPr>
        <w:t>, 2013</w:t>
      </w:r>
      <w:r w:rsidR="004601D1">
        <w:rPr>
          <w:rFonts w:ascii="Arial" w:hAnsi="Arial" w:cs="Arial"/>
          <w:sz w:val="24"/>
          <w:szCs w:val="24"/>
          <w:lang w:val="en-GB"/>
        </w:rPr>
        <w:t>).</w:t>
      </w:r>
      <w:proofErr w:type="gramEnd"/>
      <w:r w:rsidR="004601D1">
        <w:rPr>
          <w:rFonts w:ascii="Arial" w:hAnsi="Arial" w:cs="Arial"/>
          <w:sz w:val="24"/>
          <w:szCs w:val="24"/>
          <w:lang w:val="en-GB"/>
        </w:rPr>
        <w:t xml:space="preserve"> </w:t>
      </w:r>
      <w:r w:rsidR="00BA2C02">
        <w:rPr>
          <w:rFonts w:ascii="Arial" w:hAnsi="Arial" w:cs="Arial"/>
          <w:sz w:val="24"/>
          <w:szCs w:val="24"/>
          <w:lang w:val="en-GB"/>
        </w:rPr>
        <w:t xml:space="preserve"> </w:t>
      </w:r>
      <w:r w:rsidRPr="00754467">
        <w:rPr>
          <w:rFonts w:ascii="Arial" w:hAnsi="Arial" w:cs="Arial"/>
          <w:sz w:val="24"/>
          <w:szCs w:val="24"/>
          <w:lang w:val="en-GB"/>
        </w:rPr>
        <w:t xml:space="preserve">All simulations are carried out on the basis of the tax-benefit rules in place on the 30th June of the given policy year. </w:t>
      </w:r>
      <w:r w:rsidR="00DD59FB">
        <w:rPr>
          <w:rFonts w:ascii="Arial" w:hAnsi="Arial" w:cs="Arial"/>
          <w:sz w:val="24"/>
          <w:szCs w:val="24"/>
          <w:lang w:val="en-GB"/>
        </w:rPr>
        <w:t>To</w:t>
      </w:r>
      <w:r w:rsidRPr="00754467">
        <w:rPr>
          <w:rFonts w:ascii="Arial" w:hAnsi="Arial" w:cs="Arial"/>
          <w:sz w:val="24"/>
          <w:szCs w:val="24"/>
          <w:lang w:val="en-GB"/>
        </w:rPr>
        <w:t xml:space="preserve"> enhance the credibility of estimates, an effort has been made to address issues such as tax evasion (e.g. in Bulgaria, Greece, Italy and Romania) and benefit non-take-up (e.g. in Estonia, France, Greece, Latvia, Romania, and Finland). However, such adjustments are not possible to implement in all countries due to data limitations.</w:t>
      </w:r>
      <w:r w:rsidRPr="00754467">
        <w:rPr>
          <w:rFonts w:ascii="Arial" w:hAnsi="Arial" w:cs="Arial"/>
          <w:sz w:val="24"/>
          <w:szCs w:val="24"/>
          <w:vertAlign w:val="superscript"/>
          <w:lang w:val="en-GB"/>
        </w:rPr>
        <w:footnoteReference w:id="2"/>
      </w:r>
      <w:r w:rsidRPr="00754467">
        <w:rPr>
          <w:rFonts w:ascii="Arial" w:hAnsi="Arial" w:cs="Arial"/>
          <w:sz w:val="24"/>
          <w:szCs w:val="24"/>
          <w:lang w:val="en-GB"/>
        </w:rPr>
        <w:t xml:space="preserve"> </w:t>
      </w:r>
    </w:p>
    <w:p w:rsidR="00DD59FB" w:rsidRDefault="006B44C3" w:rsidP="00754467">
      <w:pPr>
        <w:spacing w:before="360" w:after="0" w:line="360" w:lineRule="auto"/>
        <w:jc w:val="both"/>
        <w:rPr>
          <w:rFonts w:ascii="Arial" w:hAnsi="Arial" w:cs="Arial"/>
          <w:sz w:val="24"/>
          <w:szCs w:val="24"/>
          <w:lang w:val="en-GB"/>
        </w:rPr>
      </w:pPr>
      <w:r w:rsidRPr="00754467">
        <w:rPr>
          <w:rFonts w:ascii="Arial" w:hAnsi="Arial" w:cs="Arial"/>
          <w:sz w:val="24"/>
          <w:szCs w:val="24"/>
          <w:lang w:val="en-GB"/>
        </w:rPr>
        <w:t xml:space="preserve">In order to account for </w:t>
      </w:r>
      <w:r>
        <w:rPr>
          <w:rFonts w:ascii="Arial" w:hAnsi="Arial" w:cs="Arial"/>
          <w:sz w:val="24"/>
          <w:szCs w:val="24"/>
          <w:lang w:val="en-GB"/>
        </w:rPr>
        <w:t>the</w:t>
      </w:r>
      <w:r w:rsidRPr="00754467">
        <w:rPr>
          <w:rFonts w:ascii="Arial" w:hAnsi="Arial" w:cs="Arial"/>
          <w:sz w:val="24"/>
          <w:szCs w:val="24"/>
          <w:lang w:val="en-GB"/>
        </w:rPr>
        <w:t xml:space="preserve"> differences </w:t>
      </w:r>
      <w:r w:rsidR="00754467" w:rsidRPr="00754467">
        <w:rPr>
          <w:rFonts w:ascii="Arial" w:hAnsi="Arial" w:cs="Arial"/>
          <w:sz w:val="24"/>
          <w:szCs w:val="24"/>
          <w:lang w:val="en-GB"/>
        </w:rPr>
        <w:t>between EUROMOD and EU-SILC estimates of household income in the data reference year (here 2015</w:t>
      </w:r>
      <w:r>
        <w:rPr>
          <w:rFonts w:ascii="Arial" w:hAnsi="Arial" w:cs="Arial"/>
          <w:sz w:val="24"/>
          <w:szCs w:val="24"/>
          <w:lang w:val="en-GB"/>
        </w:rPr>
        <w:t xml:space="preserve">, except for DE which is 2014), </w:t>
      </w:r>
      <w:r w:rsidRPr="00754467">
        <w:rPr>
          <w:rFonts w:ascii="Arial" w:hAnsi="Arial" w:cs="Arial"/>
          <w:sz w:val="24"/>
          <w:szCs w:val="24"/>
          <w:lang w:val="en-GB"/>
        </w:rPr>
        <w:t>an alignment factor</w:t>
      </w:r>
      <w:r>
        <w:rPr>
          <w:rFonts w:ascii="Arial" w:hAnsi="Arial" w:cs="Arial"/>
          <w:sz w:val="24"/>
          <w:szCs w:val="24"/>
          <w:lang w:val="en-GB"/>
        </w:rPr>
        <w:t xml:space="preserve"> is calculated at individual level. </w:t>
      </w:r>
      <w:r w:rsidR="00754467" w:rsidRPr="00754467">
        <w:rPr>
          <w:rFonts w:ascii="Arial" w:hAnsi="Arial" w:cs="Arial"/>
          <w:sz w:val="24"/>
          <w:szCs w:val="24"/>
          <w:lang w:val="en-GB"/>
        </w:rPr>
        <w:t xml:space="preserve">The factor is equal to the absolute difference between the value of </w:t>
      </w:r>
      <w:proofErr w:type="spellStart"/>
      <w:r w:rsidR="00754467" w:rsidRPr="00754467">
        <w:rPr>
          <w:rFonts w:ascii="Arial" w:hAnsi="Arial" w:cs="Arial"/>
          <w:sz w:val="24"/>
          <w:szCs w:val="24"/>
          <w:lang w:val="en-GB"/>
        </w:rPr>
        <w:t>equivalised</w:t>
      </w:r>
      <w:proofErr w:type="spellEnd"/>
      <w:r w:rsidR="00754467" w:rsidRPr="00754467">
        <w:rPr>
          <w:rFonts w:ascii="Arial" w:hAnsi="Arial" w:cs="Arial"/>
          <w:sz w:val="24"/>
          <w:szCs w:val="24"/>
          <w:lang w:val="en-GB"/>
        </w:rPr>
        <w:t xml:space="preserve"> household disposable income in EU-SILC 2015 and the EUROMOD estimate for the same period and income concept. For consistency reasons, the same household specific factor is applied to all later policy years</w:t>
      </w:r>
      <w:r w:rsidR="001C1303">
        <w:rPr>
          <w:rFonts w:ascii="Arial" w:hAnsi="Arial" w:cs="Arial"/>
          <w:sz w:val="24"/>
          <w:szCs w:val="24"/>
          <w:lang w:val="en-GB"/>
        </w:rPr>
        <w:t>. (</w:t>
      </w:r>
      <w:proofErr w:type="spellStart"/>
      <w:r w:rsidR="001C1303">
        <w:rPr>
          <w:rFonts w:ascii="Arial" w:hAnsi="Arial" w:cs="Arial"/>
          <w:sz w:val="24"/>
          <w:szCs w:val="24"/>
          <w:lang w:val="en-GB"/>
        </w:rPr>
        <w:t>Rastrigina</w:t>
      </w:r>
      <w:proofErr w:type="spellEnd"/>
      <w:r w:rsidR="001C1303">
        <w:rPr>
          <w:rFonts w:ascii="Arial" w:hAnsi="Arial" w:cs="Arial"/>
          <w:sz w:val="24"/>
          <w:szCs w:val="24"/>
          <w:lang w:val="en-GB"/>
        </w:rPr>
        <w:t xml:space="preserve">, </w:t>
      </w:r>
      <w:proofErr w:type="spellStart"/>
      <w:r w:rsidR="001C1303">
        <w:rPr>
          <w:rFonts w:ascii="Arial" w:hAnsi="Arial" w:cs="Arial"/>
          <w:sz w:val="24"/>
          <w:szCs w:val="24"/>
          <w:lang w:val="en-GB"/>
        </w:rPr>
        <w:t>Leventi</w:t>
      </w:r>
      <w:proofErr w:type="spellEnd"/>
      <w:r w:rsidR="001C1303">
        <w:rPr>
          <w:rFonts w:ascii="Arial" w:hAnsi="Arial" w:cs="Arial"/>
          <w:sz w:val="24"/>
          <w:szCs w:val="24"/>
          <w:lang w:val="en-GB"/>
        </w:rPr>
        <w:t xml:space="preserve">, </w:t>
      </w:r>
      <w:proofErr w:type="spellStart"/>
      <w:r w:rsidR="001C1303">
        <w:rPr>
          <w:rFonts w:ascii="Arial" w:hAnsi="Arial" w:cs="Arial"/>
          <w:sz w:val="24"/>
          <w:szCs w:val="24"/>
          <w:lang w:val="en-GB"/>
        </w:rPr>
        <w:t>Vujackov</w:t>
      </w:r>
      <w:proofErr w:type="spellEnd"/>
      <w:r w:rsidR="001C1303">
        <w:rPr>
          <w:rFonts w:ascii="Arial" w:hAnsi="Arial" w:cs="Arial"/>
          <w:sz w:val="24"/>
          <w:szCs w:val="24"/>
          <w:lang w:val="en-GB"/>
        </w:rPr>
        <w:t xml:space="preserve"> and Sutherland, 2016</w:t>
      </w:r>
      <w:r w:rsidR="001C1303">
        <w:rPr>
          <w:rFonts w:ascii="Arial" w:hAnsi="Arial" w:cs="Arial"/>
          <w:sz w:val="24"/>
          <w:szCs w:val="24"/>
          <w:lang w:val="en-GB"/>
        </w:rPr>
        <w:t>)</w:t>
      </w:r>
    </w:p>
    <w:p w:rsidR="00CB2B44"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3. </w:t>
      </w:r>
      <w:r w:rsidR="00876DAF">
        <w:rPr>
          <w:rFonts w:ascii="Arial" w:hAnsi="Arial" w:cs="Arial"/>
          <w:b/>
          <w:sz w:val="24"/>
          <w:szCs w:val="24"/>
          <w:lang w:val="en-GB"/>
        </w:rPr>
        <w:t>Flash estimates 2016</w:t>
      </w:r>
    </w:p>
    <w:p w:rsidR="00C84418" w:rsidRPr="004240F8" w:rsidRDefault="00C84418" w:rsidP="00C84418">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this section, flash estimates 2016 are presented. The key indicators they refer to and their communication format is discussed. </w:t>
      </w:r>
    </w:p>
    <w:p w:rsidR="003019A7" w:rsidRDefault="003019A7" w:rsidP="003019A7">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 xml:space="preserve">3.1. </w:t>
      </w:r>
      <w:r>
        <w:rPr>
          <w:rFonts w:ascii="Arial" w:hAnsi="Arial" w:cs="Arial"/>
          <w:i/>
          <w:sz w:val="24"/>
          <w:szCs w:val="24"/>
          <w:lang w:val="en-GB"/>
        </w:rPr>
        <w:t>Key indicators</w:t>
      </w:r>
    </w:p>
    <w:p w:rsidR="003019A7" w:rsidRDefault="003019A7" w:rsidP="003019A7">
      <w:pPr>
        <w:spacing w:before="120" w:after="0" w:line="360" w:lineRule="auto"/>
        <w:jc w:val="both"/>
        <w:rPr>
          <w:rFonts w:ascii="Arial" w:hAnsi="Arial" w:cs="Arial"/>
          <w:sz w:val="24"/>
          <w:szCs w:val="24"/>
          <w:lang w:val="en-GB"/>
        </w:rPr>
      </w:pPr>
      <w:r w:rsidRPr="003019A7">
        <w:rPr>
          <w:rFonts w:ascii="Arial" w:hAnsi="Arial" w:cs="Arial"/>
          <w:sz w:val="24"/>
          <w:szCs w:val="24"/>
          <w:lang w:val="en-GB"/>
        </w:rPr>
        <w:t xml:space="preserve">Flash estimates refer to </w:t>
      </w:r>
      <w:r w:rsidR="00BB6211">
        <w:rPr>
          <w:rFonts w:ascii="Arial" w:hAnsi="Arial" w:cs="Arial"/>
          <w:sz w:val="24"/>
          <w:szCs w:val="24"/>
          <w:lang w:val="en-GB"/>
        </w:rPr>
        <w:t>the following</w:t>
      </w:r>
      <w:r w:rsidRPr="003019A7">
        <w:rPr>
          <w:rFonts w:ascii="Arial" w:hAnsi="Arial" w:cs="Arial"/>
          <w:sz w:val="24"/>
          <w:szCs w:val="24"/>
          <w:lang w:val="en-GB"/>
        </w:rPr>
        <w:t xml:space="preserve"> </w:t>
      </w:r>
      <w:r w:rsidR="00B92EBC">
        <w:rPr>
          <w:rFonts w:ascii="Arial" w:hAnsi="Arial" w:cs="Arial"/>
          <w:sz w:val="24"/>
          <w:szCs w:val="24"/>
          <w:lang w:val="en-GB"/>
        </w:rPr>
        <w:t xml:space="preserve">key income </w:t>
      </w:r>
      <w:r w:rsidRPr="003019A7">
        <w:rPr>
          <w:rFonts w:ascii="Arial" w:hAnsi="Arial" w:cs="Arial"/>
          <w:sz w:val="24"/>
          <w:szCs w:val="24"/>
          <w:lang w:val="en-GB"/>
        </w:rPr>
        <w:t>in</w:t>
      </w:r>
      <w:r w:rsidR="00BB6211">
        <w:rPr>
          <w:rFonts w:ascii="Arial" w:hAnsi="Arial" w:cs="Arial"/>
          <w:sz w:val="24"/>
          <w:szCs w:val="24"/>
          <w:lang w:val="en-GB"/>
        </w:rPr>
        <w:t>dicators:</w:t>
      </w:r>
    </w:p>
    <w:p w:rsidR="00C84418" w:rsidRDefault="00C84418" w:rsidP="003019A7">
      <w:pPr>
        <w:spacing w:before="120" w:after="0" w:line="360" w:lineRule="auto"/>
        <w:jc w:val="both"/>
        <w:rPr>
          <w:rFonts w:ascii="Arial" w:hAnsi="Arial" w:cs="Arial"/>
          <w:sz w:val="24"/>
          <w:szCs w:val="24"/>
          <w:lang w:val="en-GB"/>
        </w:rPr>
      </w:pPr>
    </w:p>
    <w:p w:rsidR="003019A7" w:rsidRPr="003019A7" w:rsidRDefault="003019A7" w:rsidP="003019A7">
      <w:pPr>
        <w:spacing w:after="120" w:line="240" w:lineRule="auto"/>
        <w:jc w:val="both"/>
        <w:rPr>
          <w:rFonts w:ascii="Arial" w:hAnsi="Arial" w:cs="Arial"/>
          <w:b/>
          <w:sz w:val="20"/>
          <w:szCs w:val="20"/>
          <w:lang w:val="en-GB"/>
        </w:rPr>
      </w:pPr>
      <w:proofErr w:type="gramStart"/>
      <w:r w:rsidRPr="003019A7">
        <w:rPr>
          <w:rFonts w:ascii="Arial" w:hAnsi="Arial" w:cs="Arial"/>
          <w:b/>
          <w:sz w:val="20"/>
          <w:szCs w:val="20"/>
          <w:lang w:val="en-GB"/>
        </w:rPr>
        <w:t>Table 1.</w:t>
      </w:r>
      <w:proofErr w:type="gramEnd"/>
      <w:r w:rsidRPr="003019A7">
        <w:rPr>
          <w:rFonts w:ascii="Arial" w:hAnsi="Arial" w:cs="Arial"/>
          <w:b/>
          <w:sz w:val="20"/>
          <w:szCs w:val="20"/>
          <w:lang w:val="en-GB"/>
        </w:rPr>
        <w:t xml:space="preserve"> </w:t>
      </w:r>
      <w:r>
        <w:rPr>
          <w:rFonts w:ascii="Arial" w:hAnsi="Arial" w:cs="Arial"/>
          <w:b/>
          <w:sz w:val="20"/>
          <w:szCs w:val="20"/>
          <w:lang w:val="en-GB"/>
        </w:rPr>
        <w:t>Definition of key income indicators</w:t>
      </w:r>
    </w:p>
    <w:tbl>
      <w:tblPr>
        <w:tblStyle w:val="TableGrid"/>
        <w:tblW w:w="9760" w:type="dxa"/>
        <w:tblLook w:val="04A0" w:firstRow="1" w:lastRow="0" w:firstColumn="1" w:lastColumn="0" w:noHBand="0" w:noVBand="1"/>
      </w:tblPr>
      <w:tblGrid>
        <w:gridCol w:w="1843"/>
        <w:gridCol w:w="7917"/>
      </w:tblGrid>
      <w:tr w:rsidR="003019A7" w:rsidRPr="003019A7" w:rsidTr="00AB6A02">
        <w:tc>
          <w:tcPr>
            <w:tcW w:w="1843" w:type="dxa"/>
          </w:tcPr>
          <w:p w:rsidR="003019A7" w:rsidRPr="003019A7" w:rsidRDefault="003019A7" w:rsidP="003019A7">
            <w:pPr>
              <w:spacing w:before="120" w:line="360" w:lineRule="auto"/>
              <w:ind w:left="360"/>
              <w:jc w:val="both"/>
              <w:rPr>
                <w:rFonts w:ascii="Arial" w:hAnsi="Arial" w:cs="Arial"/>
                <w:b/>
                <w:sz w:val="24"/>
                <w:szCs w:val="24"/>
                <w:lang w:val="en-GB"/>
              </w:rPr>
            </w:pPr>
            <w:r w:rsidRPr="003019A7">
              <w:rPr>
                <w:rFonts w:ascii="Arial" w:hAnsi="Arial" w:cs="Arial"/>
                <w:b/>
                <w:sz w:val="24"/>
                <w:szCs w:val="24"/>
                <w:lang w:val="en-GB"/>
              </w:rPr>
              <w:t>Indicators</w:t>
            </w:r>
          </w:p>
        </w:tc>
        <w:tc>
          <w:tcPr>
            <w:tcW w:w="7917" w:type="dxa"/>
          </w:tcPr>
          <w:p w:rsidR="003019A7" w:rsidRPr="003019A7" w:rsidRDefault="003019A7" w:rsidP="003019A7">
            <w:pPr>
              <w:spacing w:before="120" w:line="360" w:lineRule="auto"/>
              <w:ind w:left="360"/>
              <w:jc w:val="both"/>
              <w:rPr>
                <w:rFonts w:ascii="Arial" w:hAnsi="Arial" w:cs="Arial"/>
                <w:b/>
                <w:sz w:val="24"/>
                <w:szCs w:val="24"/>
                <w:lang w:val="en-GB"/>
              </w:rPr>
            </w:pPr>
            <w:r w:rsidRPr="003019A7">
              <w:rPr>
                <w:rFonts w:ascii="Arial" w:hAnsi="Arial" w:cs="Arial"/>
                <w:b/>
                <w:sz w:val="24"/>
                <w:szCs w:val="24"/>
                <w:lang w:val="en-GB"/>
              </w:rPr>
              <w:t>Definition</w:t>
            </w:r>
          </w:p>
        </w:tc>
      </w:tr>
      <w:tr w:rsidR="003019A7" w:rsidRPr="00A571BB" w:rsidTr="00AB6A02">
        <w:tc>
          <w:tcPr>
            <w:tcW w:w="1843" w:type="dxa"/>
          </w:tcPr>
          <w:p w:rsidR="003019A7" w:rsidRPr="003019A7" w:rsidRDefault="003019A7" w:rsidP="003019A7">
            <w:pPr>
              <w:spacing w:before="120" w:line="360" w:lineRule="auto"/>
              <w:ind w:left="360"/>
              <w:jc w:val="both"/>
              <w:rPr>
                <w:rFonts w:ascii="Arial" w:hAnsi="Arial" w:cs="Arial"/>
                <w:sz w:val="24"/>
                <w:szCs w:val="24"/>
                <w:lang w:val="en-GB"/>
              </w:rPr>
            </w:pPr>
            <w:r w:rsidRPr="003019A7">
              <w:rPr>
                <w:rFonts w:ascii="Arial" w:hAnsi="Arial" w:cs="Arial"/>
                <w:sz w:val="24"/>
                <w:szCs w:val="24"/>
                <w:lang w:val="en-GB"/>
              </w:rPr>
              <w:t>At-risk-of-poverty rate (AROP)</w:t>
            </w:r>
          </w:p>
        </w:tc>
        <w:tc>
          <w:tcPr>
            <w:tcW w:w="7917" w:type="dxa"/>
          </w:tcPr>
          <w:p w:rsidR="003019A7" w:rsidRPr="003019A7" w:rsidRDefault="003019A7" w:rsidP="00AB6A02">
            <w:pPr>
              <w:spacing w:before="120" w:line="360" w:lineRule="auto"/>
              <w:ind w:left="360"/>
              <w:jc w:val="both"/>
              <w:rPr>
                <w:rFonts w:ascii="Arial" w:hAnsi="Arial" w:cs="Arial"/>
                <w:sz w:val="24"/>
                <w:szCs w:val="24"/>
                <w:lang w:val="en"/>
              </w:rPr>
            </w:pPr>
            <w:r w:rsidRPr="003019A7">
              <w:rPr>
                <w:rFonts w:ascii="Arial" w:hAnsi="Arial" w:cs="Arial"/>
                <w:sz w:val="24"/>
                <w:szCs w:val="24"/>
                <w:lang w:val="en"/>
              </w:rPr>
              <w:t xml:space="preserve">Share of people with an </w:t>
            </w:r>
            <w:hyperlink r:id="rId11" w:history="1">
              <w:proofErr w:type="spellStart"/>
              <w:r w:rsidRPr="00E668F4">
                <w:rPr>
                  <w:rStyle w:val="Hyperlink"/>
                  <w:rFonts w:ascii="Arial" w:hAnsi="Arial" w:cs="Arial"/>
                  <w:sz w:val="24"/>
                  <w:szCs w:val="24"/>
                  <w:lang w:val="en"/>
                </w:rPr>
                <w:t>equivalised</w:t>
              </w:r>
              <w:proofErr w:type="spellEnd"/>
              <w:r w:rsidRPr="00E668F4">
                <w:rPr>
                  <w:rStyle w:val="Hyperlink"/>
                  <w:rFonts w:ascii="Arial" w:hAnsi="Arial" w:cs="Arial"/>
                  <w:sz w:val="24"/>
                  <w:szCs w:val="24"/>
                  <w:lang w:val="en"/>
                </w:rPr>
                <w:t xml:space="preserve"> disposable income</w:t>
              </w:r>
            </w:hyperlink>
            <w:r w:rsidRPr="003019A7">
              <w:rPr>
                <w:rFonts w:ascii="Arial" w:hAnsi="Arial" w:cs="Arial"/>
                <w:sz w:val="24"/>
                <w:szCs w:val="24"/>
                <w:vertAlign w:val="superscript"/>
                <w:lang w:val="en"/>
              </w:rPr>
              <w:footnoteReference w:id="3"/>
            </w:r>
            <w:r w:rsidRPr="003019A7">
              <w:rPr>
                <w:rFonts w:ascii="Arial" w:hAnsi="Arial" w:cs="Arial"/>
                <w:sz w:val="24"/>
                <w:szCs w:val="24"/>
                <w:lang w:val="en"/>
              </w:rPr>
              <w:t xml:space="preserve"> (after social transfer) below the at-risk-of-poverty threshold, which is set at 60</w:t>
            </w:r>
            <w:r w:rsidRPr="003019A7">
              <w:rPr>
                <w:rFonts w:ascii="Arial" w:hAnsi="Arial" w:cs="Arial"/>
                <w:sz w:val="24"/>
                <w:szCs w:val="24"/>
                <w:lang w:val="en-GB"/>
              </w:rPr>
              <w:t> </w:t>
            </w:r>
            <w:r w:rsidRPr="003019A7">
              <w:rPr>
                <w:rFonts w:ascii="Arial" w:hAnsi="Arial" w:cs="Arial"/>
                <w:sz w:val="24"/>
                <w:szCs w:val="24"/>
                <w:lang w:val="en"/>
              </w:rPr>
              <w:t xml:space="preserve">% of the national median </w:t>
            </w:r>
            <w:proofErr w:type="spellStart"/>
            <w:r w:rsidRPr="003019A7">
              <w:rPr>
                <w:rFonts w:ascii="Arial" w:hAnsi="Arial" w:cs="Arial"/>
                <w:sz w:val="24"/>
                <w:szCs w:val="24"/>
                <w:lang w:val="en"/>
              </w:rPr>
              <w:t>equivalised</w:t>
            </w:r>
            <w:proofErr w:type="spellEnd"/>
            <w:r w:rsidRPr="003019A7">
              <w:rPr>
                <w:rFonts w:ascii="Arial" w:hAnsi="Arial" w:cs="Arial"/>
                <w:sz w:val="24"/>
                <w:szCs w:val="24"/>
                <w:lang w:val="en"/>
              </w:rPr>
              <w:t xml:space="preserve"> disposable income after social transfers. </w:t>
            </w:r>
          </w:p>
        </w:tc>
      </w:tr>
      <w:tr w:rsidR="003019A7" w:rsidRPr="00A571BB" w:rsidTr="00AB6A02">
        <w:tc>
          <w:tcPr>
            <w:tcW w:w="1843" w:type="dxa"/>
          </w:tcPr>
          <w:p w:rsidR="003019A7" w:rsidRPr="003019A7" w:rsidRDefault="003019A7" w:rsidP="003019A7">
            <w:pPr>
              <w:spacing w:before="120" w:line="360" w:lineRule="auto"/>
              <w:ind w:left="360"/>
              <w:jc w:val="both"/>
              <w:rPr>
                <w:rFonts w:ascii="Arial" w:hAnsi="Arial" w:cs="Arial"/>
                <w:sz w:val="24"/>
                <w:szCs w:val="24"/>
                <w:lang w:val="en-GB"/>
              </w:rPr>
            </w:pPr>
            <w:r w:rsidRPr="003019A7">
              <w:rPr>
                <w:rFonts w:ascii="Arial" w:hAnsi="Arial" w:cs="Arial"/>
                <w:sz w:val="24"/>
                <w:szCs w:val="24"/>
                <w:lang w:val="en-GB"/>
              </w:rPr>
              <w:t>Income quintile share ratio (QSR)</w:t>
            </w:r>
          </w:p>
        </w:tc>
        <w:tc>
          <w:tcPr>
            <w:tcW w:w="7917" w:type="dxa"/>
          </w:tcPr>
          <w:p w:rsidR="003019A7" w:rsidRPr="003019A7" w:rsidRDefault="003019A7" w:rsidP="003019A7">
            <w:pPr>
              <w:spacing w:before="120" w:line="360" w:lineRule="auto"/>
              <w:ind w:left="360"/>
              <w:jc w:val="both"/>
              <w:rPr>
                <w:rFonts w:ascii="Arial" w:hAnsi="Arial" w:cs="Arial"/>
                <w:sz w:val="24"/>
                <w:szCs w:val="24"/>
                <w:lang w:val="en-GB"/>
              </w:rPr>
            </w:pPr>
            <w:r w:rsidRPr="003019A7">
              <w:rPr>
                <w:rFonts w:ascii="Arial" w:hAnsi="Arial" w:cs="Arial"/>
                <w:sz w:val="24"/>
                <w:szCs w:val="24"/>
                <w:lang w:val="en-GB"/>
              </w:rPr>
              <w:t>The ratio of total income received by the 20 % of the population with the highest income (the top quintile) to that received by the 20 % of the population with the lowest income (the bottom quintile). It is a measure of the inequality of income distribution.</w:t>
            </w:r>
          </w:p>
        </w:tc>
      </w:tr>
      <w:tr w:rsidR="003019A7" w:rsidRPr="00A571BB" w:rsidTr="00C84418">
        <w:trPr>
          <w:trHeight w:val="3840"/>
        </w:trPr>
        <w:tc>
          <w:tcPr>
            <w:tcW w:w="1843" w:type="dxa"/>
          </w:tcPr>
          <w:p w:rsidR="003019A7" w:rsidRPr="003019A7" w:rsidRDefault="003019A7" w:rsidP="003019A7">
            <w:pPr>
              <w:spacing w:before="120" w:line="360" w:lineRule="auto"/>
              <w:ind w:left="360"/>
              <w:jc w:val="both"/>
              <w:rPr>
                <w:rFonts w:ascii="Arial" w:hAnsi="Arial" w:cs="Arial"/>
                <w:sz w:val="24"/>
                <w:szCs w:val="24"/>
                <w:lang w:val="en-GB"/>
              </w:rPr>
            </w:pPr>
            <w:r w:rsidRPr="003019A7">
              <w:rPr>
                <w:rFonts w:ascii="Arial" w:hAnsi="Arial" w:cs="Arial"/>
                <w:sz w:val="24"/>
                <w:szCs w:val="24"/>
                <w:lang w:val="en-GB"/>
              </w:rPr>
              <w:t>Income deciles</w:t>
            </w:r>
          </w:p>
        </w:tc>
        <w:tc>
          <w:tcPr>
            <w:tcW w:w="7917" w:type="dxa"/>
          </w:tcPr>
          <w:p w:rsidR="003019A7" w:rsidRPr="003019A7" w:rsidRDefault="003019A7" w:rsidP="003019A7">
            <w:pPr>
              <w:spacing w:before="120" w:line="360" w:lineRule="auto"/>
              <w:ind w:left="360"/>
              <w:jc w:val="both"/>
              <w:rPr>
                <w:rFonts w:ascii="Arial" w:hAnsi="Arial" w:cs="Arial"/>
                <w:sz w:val="24"/>
                <w:szCs w:val="24"/>
                <w:lang w:val="en"/>
              </w:rPr>
            </w:pPr>
            <w:r w:rsidRPr="003019A7">
              <w:rPr>
                <w:rFonts w:ascii="Arial" w:hAnsi="Arial" w:cs="Arial"/>
                <w:sz w:val="24"/>
                <w:szCs w:val="24"/>
                <w:lang w:val="en"/>
              </w:rPr>
              <w:t xml:space="preserve">Income deciles groups are computed on the basis of the total </w:t>
            </w:r>
            <w:proofErr w:type="spellStart"/>
            <w:r w:rsidRPr="003019A7">
              <w:rPr>
                <w:rFonts w:ascii="Arial" w:hAnsi="Arial" w:cs="Arial"/>
                <w:sz w:val="24"/>
                <w:szCs w:val="24"/>
                <w:lang w:val="en"/>
              </w:rPr>
              <w:t>equivalised</w:t>
            </w:r>
            <w:proofErr w:type="spellEnd"/>
            <w:r w:rsidRPr="003019A7">
              <w:rPr>
                <w:rFonts w:ascii="Arial" w:hAnsi="Arial" w:cs="Arial"/>
                <w:sz w:val="24"/>
                <w:szCs w:val="24"/>
                <w:lang w:val="en"/>
              </w:rPr>
              <w:t xml:space="preserve"> disposable income attributed to each member of the household. Nine cut-point values (the so-called </w:t>
            </w:r>
            <w:r w:rsidRPr="00F47301">
              <w:rPr>
                <w:rFonts w:ascii="Arial" w:hAnsi="Arial" w:cs="Arial"/>
                <w:bCs/>
                <w:sz w:val="24"/>
                <w:szCs w:val="24"/>
                <w:lang w:val="en"/>
              </w:rPr>
              <w:t>deciles cut-off points</w:t>
            </w:r>
            <w:r w:rsidRPr="003019A7">
              <w:rPr>
                <w:rFonts w:ascii="Arial" w:hAnsi="Arial" w:cs="Arial"/>
                <w:sz w:val="24"/>
                <w:szCs w:val="24"/>
                <w:lang w:val="en"/>
              </w:rPr>
              <w:t>) of income are identified, dividing the survey population into ten groups equally represented by 10</w:t>
            </w:r>
            <w:r w:rsidRPr="003019A7">
              <w:rPr>
                <w:rFonts w:ascii="Arial" w:hAnsi="Arial" w:cs="Arial" w:hint="eastAsia"/>
                <w:sz w:val="24"/>
                <w:szCs w:val="24"/>
                <w:lang w:val="en"/>
              </w:rPr>
              <w:t> </w:t>
            </w:r>
            <w:r w:rsidRPr="003019A7">
              <w:rPr>
                <w:rFonts w:ascii="Arial" w:hAnsi="Arial" w:cs="Arial"/>
                <w:sz w:val="24"/>
                <w:szCs w:val="24"/>
                <w:lang w:val="en"/>
              </w:rPr>
              <w:t>% of individuals each. Five representative income deciles have been selected in our analysis to show the evolution of the different parts of the national income distribution.</w:t>
            </w:r>
          </w:p>
        </w:tc>
      </w:tr>
    </w:tbl>
    <w:p w:rsidR="00F47301" w:rsidRDefault="00F47301" w:rsidP="003019A7">
      <w:pPr>
        <w:spacing w:before="360" w:after="0" w:line="360" w:lineRule="auto"/>
        <w:jc w:val="both"/>
        <w:rPr>
          <w:rFonts w:ascii="Arial" w:hAnsi="Arial" w:cs="Arial"/>
          <w:i/>
          <w:sz w:val="24"/>
          <w:szCs w:val="24"/>
          <w:lang w:val="en-GB"/>
        </w:rPr>
      </w:pPr>
    </w:p>
    <w:p w:rsidR="003019A7" w:rsidRDefault="003019A7" w:rsidP="003019A7">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3.2</w:t>
      </w:r>
      <w:r w:rsidRPr="003019A7">
        <w:rPr>
          <w:rFonts w:ascii="Arial" w:hAnsi="Arial" w:cs="Arial"/>
          <w:i/>
          <w:sz w:val="24"/>
          <w:szCs w:val="24"/>
          <w:lang w:val="en-GB"/>
        </w:rPr>
        <w:t xml:space="preserve">. </w:t>
      </w:r>
      <w:r w:rsidR="004D0ADE">
        <w:rPr>
          <w:rFonts w:ascii="Arial" w:hAnsi="Arial" w:cs="Arial"/>
          <w:i/>
          <w:sz w:val="24"/>
          <w:szCs w:val="24"/>
          <w:lang w:val="en-GB"/>
        </w:rPr>
        <w:t>Communication</w:t>
      </w:r>
    </w:p>
    <w:p w:rsidR="007E58B6" w:rsidRPr="003019A7" w:rsidRDefault="007E58B6" w:rsidP="007E58B6">
      <w:pPr>
        <w:spacing w:before="120" w:after="0" w:line="360" w:lineRule="auto"/>
        <w:jc w:val="both"/>
        <w:rPr>
          <w:rFonts w:ascii="Arial" w:hAnsi="Arial" w:cs="Arial"/>
          <w:sz w:val="24"/>
          <w:szCs w:val="24"/>
          <w:lang w:val="en-GB"/>
        </w:rPr>
      </w:pPr>
      <w:r w:rsidRPr="003019A7">
        <w:rPr>
          <w:rFonts w:ascii="Arial" w:hAnsi="Arial" w:cs="Arial"/>
          <w:sz w:val="24"/>
          <w:szCs w:val="24"/>
          <w:lang w:val="en-GB"/>
        </w:rPr>
        <w:t xml:space="preserve">Flash estimates </w:t>
      </w:r>
      <w:r w:rsidR="00BA2C02" w:rsidRPr="003019A7">
        <w:rPr>
          <w:rFonts w:ascii="Arial" w:hAnsi="Arial" w:cs="Arial"/>
          <w:sz w:val="24"/>
          <w:szCs w:val="24"/>
          <w:lang w:val="en-GB"/>
        </w:rPr>
        <w:t>denote</w:t>
      </w:r>
      <w:r w:rsidRPr="003019A7">
        <w:rPr>
          <w:rFonts w:ascii="Arial" w:hAnsi="Arial" w:cs="Arial"/>
          <w:sz w:val="24"/>
          <w:szCs w:val="24"/>
          <w:lang w:val="en-GB"/>
        </w:rPr>
        <w:t xml:space="preserve"> the year-on-year (YoY) change rather than the actual levels and they are calculated as the difference between the model estimates for 2016 and </w:t>
      </w:r>
      <w:r w:rsidR="00C84418">
        <w:rPr>
          <w:rFonts w:ascii="Arial" w:hAnsi="Arial" w:cs="Arial"/>
          <w:sz w:val="24"/>
          <w:szCs w:val="24"/>
          <w:lang w:val="en-GB"/>
        </w:rPr>
        <w:t>2</w:t>
      </w:r>
      <w:r w:rsidRPr="003019A7">
        <w:rPr>
          <w:rFonts w:ascii="Arial" w:hAnsi="Arial" w:cs="Arial"/>
          <w:sz w:val="24"/>
          <w:szCs w:val="24"/>
          <w:lang w:val="en-GB"/>
        </w:rPr>
        <w:t>015. The point estimate for the flash is calculated by adding the estimated YoY change to the last observed value in EU-SILC.</w:t>
      </w:r>
    </w:p>
    <w:p w:rsidR="001E07C9" w:rsidRDefault="007E58B6" w:rsidP="007E58B6">
      <w:pPr>
        <w:spacing w:before="120" w:after="0" w:line="360" w:lineRule="auto"/>
        <w:jc w:val="both"/>
        <w:rPr>
          <w:rFonts w:ascii="Arial" w:hAnsi="Arial" w:cs="Arial"/>
          <w:sz w:val="24"/>
          <w:szCs w:val="24"/>
          <w:lang w:val="en-GB"/>
        </w:rPr>
      </w:pPr>
      <w:r w:rsidRPr="003019A7">
        <w:rPr>
          <w:rFonts w:ascii="Arial" w:hAnsi="Arial" w:cs="Arial"/>
          <w:sz w:val="24"/>
          <w:szCs w:val="24"/>
          <w:lang w:val="en-GB"/>
        </w:rPr>
        <w:t xml:space="preserve">Point estimates are subject to several sources of uncertainty: e.g. model bias and variance, the sampling error in EU-SILC, inconsistencies between the different data sources entering the estimation. This raises not only a question of quality, but also of communication of the results. Following in-depth discussions with both users and producers, it was </w:t>
      </w:r>
      <w:r w:rsidR="003B1557">
        <w:rPr>
          <w:rFonts w:ascii="Arial" w:hAnsi="Arial" w:cs="Arial"/>
          <w:sz w:val="24"/>
          <w:szCs w:val="24"/>
          <w:lang w:val="en-GB"/>
        </w:rPr>
        <w:t>agreed</w:t>
      </w:r>
      <w:r w:rsidRPr="003019A7">
        <w:rPr>
          <w:rFonts w:ascii="Arial" w:hAnsi="Arial" w:cs="Arial"/>
          <w:sz w:val="24"/>
          <w:szCs w:val="24"/>
          <w:lang w:val="en-GB"/>
        </w:rPr>
        <w:t xml:space="preserve"> that results for this first release of the flash estimates are disseminated according to a magnitude direction scal</w:t>
      </w:r>
      <w:r w:rsidR="00F47301">
        <w:rPr>
          <w:rFonts w:ascii="Arial" w:hAnsi="Arial" w:cs="Arial"/>
          <w:sz w:val="24"/>
          <w:szCs w:val="24"/>
          <w:lang w:val="en-GB"/>
        </w:rPr>
        <w:t xml:space="preserve">e (MDS) for the expected change. </w:t>
      </w:r>
      <w:r w:rsidRPr="003019A7">
        <w:rPr>
          <w:rFonts w:ascii="Arial" w:hAnsi="Arial" w:cs="Arial"/>
          <w:sz w:val="24"/>
          <w:szCs w:val="24"/>
          <w:lang w:val="en-GB"/>
        </w:rPr>
        <w:t>This dissemination format takes into account that estimated changes cover a possible range of values, associated with uncertainty</w:t>
      </w:r>
      <w:r w:rsidRPr="00F47301">
        <w:rPr>
          <w:rFonts w:ascii="Arial" w:hAnsi="Arial" w:cs="Arial"/>
          <w:sz w:val="24"/>
          <w:szCs w:val="24"/>
          <w:vertAlign w:val="superscript"/>
          <w:lang w:val="en-GB"/>
        </w:rPr>
        <w:footnoteReference w:id="4"/>
      </w:r>
      <w:r w:rsidRPr="003019A7">
        <w:rPr>
          <w:rFonts w:ascii="Arial" w:hAnsi="Arial" w:cs="Arial"/>
          <w:sz w:val="24"/>
          <w:szCs w:val="24"/>
          <w:lang w:val="en-GB"/>
        </w:rPr>
        <w:t xml:space="preserve">. Therefore, the FE will give an indication on the type of change expected in terms of intervals, but not the point estimates. </w:t>
      </w:r>
    </w:p>
    <w:p w:rsidR="001E07C9" w:rsidRDefault="005754A1" w:rsidP="001E07C9">
      <w:pPr>
        <w:spacing w:before="120" w:after="0" w:line="360" w:lineRule="auto"/>
        <w:jc w:val="both"/>
        <w:rPr>
          <w:rFonts w:ascii="Arial" w:hAnsi="Arial" w:cs="Arial"/>
          <w:sz w:val="24"/>
          <w:szCs w:val="24"/>
          <w:lang w:val="en-GB"/>
        </w:rPr>
      </w:pPr>
      <w:r>
        <w:rPr>
          <w:rFonts w:ascii="Arial" w:hAnsi="Arial" w:cs="Arial"/>
          <w:sz w:val="24"/>
          <w:szCs w:val="24"/>
          <w:lang w:val="en-GB"/>
        </w:rPr>
        <w:t>T</w:t>
      </w:r>
      <w:r w:rsidR="007E58B6" w:rsidRPr="004D0ADE">
        <w:rPr>
          <w:rFonts w:ascii="Arial" w:hAnsi="Arial" w:cs="Arial"/>
          <w:sz w:val="24"/>
          <w:szCs w:val="24"/>
          <w:lang w:val="en-GB"/>
        </w:rPr>
        <w:t xml:space="preserve">able </w:t>
      </w:r>
      <w:r>
        <w:rPr>
          <w:rFonts w:ascii="Arial" w:hAnsi="Arial" w:cs="Arial"/>
          <w:sz w:val="24"/>
          <w:szCs w:val="24"/>
          <w:lang w:val="en-GB"/>
        </w:rPr>
        <w:t xml:space="preserve">2 </w:t>
      </w:r>
      <w:r w:rsidR="007E58B6" w:rsidRPr="004D0ADE">
        <w:rPr>
          <w:rFonts w:ascii="Arial" w:hAnsi="Arial" w:cs="Arial"/>
          <w:sz w:val="24"/>
          <w:szCs w:val="24"/>
          <w:lang w:val="en-GB"/>
        </w:rPr>
        <w:t xml:space="preserve">below shows the MDS classes chosen by indicator and common across countries. </w:t>
      </w:r>
      <w:r w:rsidR="001E07C9">
        <w:rPr>
          <w:rFonts w:ascii="Arial" w:hAnsi="Arial" w:cs="Arial"/>
          <w:sz w:val="24"/>
          <w:szCs w:val="24"/>
          <w:lang w:val="en-GB"/>
        </w:rPr>
        <w:t>It</w:t>
      </w:r>
      <w:r w:rsidR="001E07C9" w:rsidRPr="003019A7">
        <w:rPr>
          <w:rFonts w:ascii="Arial" w:hAnsi="Arial" w:cs="Arial"/>
          <w:sz w:val="24"/>
          <w:szCs w:val="24"/>
          <w:lang w:val="en-GB"/>
        </w:rPr>
        <w:t xml:space="preserve"> includes a condition for </w:t>
      </w:r>
      <w:r w:rsidR="003B1557">
        <w:rPr>
          <w:rFonts w:ascii="Arial" w:hAnsi="Arial" w:cs="Arial"/>
          <w:sz w:val="24"/>
          <w:szCs w:val="24"/>
          <w:lang w:val="en-GB"/>
        </w:rPr>
        <w:t xml:space="preserve">checking if the change is </w:t>
      </w:r>
      <w:r w:rsidR="001E07C9" w:rsidRPr="003019A7">
        <w:rPr>
          <w:rFonts w:ascii="Arial" w:hAnsi="Arial" w:cs="Arial"/>
          <w:sz w:val="24"/>
          <w:szCs w:val="24"/>
          <w:lang w:val="en-GB"/>
        </w:rPr>
        <w:t>statistical</w:t>
      </w:r>
      <w:r w:rsidR="003B1557">
        <w:rPr>
          <w:rFonts w:ascii="Arial" w:hAnsi="Arial" w:cs="Arial"/>
          <w:sz w:val="24"/>
          <w:szCs w:val="24"/>
          <w:lang w:val="en-GB"/>
        </w:rPr>
        <w:t>ly significant from zero</w:t>
      </w:r>
      <w:r w:rsidR="001E07C9" w:rsidRPr="003019A7">
        <w:rPr>
          <w:rFonts w:ascii="Arial" w:hAnsi="Arial" w:cs="Arial"/>
          <w:sz w:val="24"/>
          <w:szCs w:val="24"/>
          <w:lang w:val="en-GB"/>
        </w:rPr>
        <w:t xml:space="preserve">: at this stage, only the sampling error is considered for the significance of the change. </w:t>
      </w:r>
      <w:proofErr w:type="gramStart"/>
      <w:r w:rsidR="001E07C9">
        <w:rPr>
          <w:rFonts w:ascii="Arial" w:hAnsi="Arial" w:cs="Arial"/>
          <w:sz w:val="24"/>
          <w:szCs w:val="24"/>
          <w:lang w:val="en-GB"/>
        </w:rPr>
        <w:t>Changes not statistically</w:t>
      </w:r>
      <w:r w:rsidR="00F47301">
        <w:rPr>
          <w:rFonts w:ascii="Arial" w:hAnsi="Arial" w:cs="Arial"/>
          <w:sz w:val="24"/>
          <w:szCs w:val="24"/>
          <w:lang w:val="en-GB"/>
        </w:rPr>
        <w:t xml:space="preserve"> </w:t>
      </w:r>
      <w:r w:rsidR="001E07C9">
        <w:rPr>
          <w:rFonts w:ascii="Arial" w:hAnsi="Arial" w:cs="Arial"/>
          <w:sz w:val="24"/>
          <w:szCs w:val="24"/>
          <w:lang w:val="en-GB"/>
        </w:rPr>
        <w:t>significant from zero are not comm</w:t>
      </w:r>
      <w:r w:rsidR="003B1557">
        <w:rPr>
          <w:rFonts w:ascii="Arial" w:hAnsi="Arial" w:cs="Arial"/>
          <w:sz w:val="24"/>
          <w:szCs w:val="24"/>
          <w:lang w:val="en-GB"/>
        </w:rPr>
        <w:t>unicated.</w:t>
      </w:r>
      <w:proofErr w:type="gramEnd"/>
      <w:r w:rsidR="003B1557">
        <w:rPr>
          <w:rFonts w:ascii="Arial" w:hAnsi="Arial" w:cs="Arial"/>
          <w:sz w:val="24"/>
          <w:szCs w:val="24"/>
          <w:lang w:val="en-GB"/>
        </w:rPr>
        <w:t xml:space="preserve"> </w:t>
      </w:r>
    </w:p>
    <w:p w:rsidR="000C359C" w:rsidRDefault="000C359C" w:rsidP="007E58B6">
      <w:pPr>
        <w:spacing w:before="120" w:after="0" w:line="360" w:lineRule="auto"/>
        <w:jc w:val="both"/>
        <w:rPr>
          <w:rFonts w:ascii="Arial" w:hAnsi="Arial" w:cs="Arial"/>
          <w:sz w:val="24"/>
          <w:szCs w:val="24"/>
          <w:lang w:val="en-GB"/>
        </w:rPr>
      </w:pPr>
    </w:p>
    <w:p w:rsidR="007E58B6" w:rsidRPr="005754A1" w:rsidRDefault="007E58B6" w:rsidP="005754A1">
      <w:pPr>
        <w:spacing w:after="120" w:line="240" w:lineRule="auto"/>
        <w:jc w:val="both"/>
        <w:rPr>
          <w:rFonts w:ascii="Arial" w:hAnsi="Arial" w:cs="Arial"/>
          <w:b/>
          <w:sz w:val="20"/>
          <w:szCs w:val="20"/>
          <w:lang w:val="en-GB"/>
        </w:rPr>
      </w:pPr>
      <w:proofErr w:type="gramStart"/>
      <w:r w:rsidRPr="005754A1">
        <w:rPr>
          <w:rFonts w:ascii="Arial" w:hAnsi="Arial" w:cs="Arial"/>
          <w:b/>
          <w:sz w:val="20"/>
          <w:szCs w:val="20"/>
          <w:lang w:val="en-GB"/>
        </w:rPr>
        <w:t>Tab</w:t>
      </w:r>
      <w:r w:rsidR="005754A1">
        <w:rPr>
          <w:rFonts w:ascii="Arial" w:hAnsi="Arial" w:cs="Arial"/>
          <w:b/>
          <w:sz w:val="20"/>
          <w:szCs w:val="20"/>
          <w:lang w:val="en-GB"/>
        </w:rPr>
        <w:t>le 2</w:t>
      </w:r>
      <w:r w:rsidR="005754A1" w:rsidRPr="005754A1">
        <w:rPr>
          <w:rFonts w:ascii="Arial" w:hAnsi="Arial" w:cs="Arial"/>
          <w:b/>
          <w:sz w:val="20"/>
          <w:szCs w:val="20"/>
          <w:lang w:val="en-GB"/>
        </w:rPr>
        <w:t>.</w:t>
      </w:r>
      <w:proofErr w:type="gramEnd"/>
      <w:r w:rsidR="005754A1" w:rsidRPr="005754A1">
        <w:rPr>
          <w:rFonts w:ascii="Arial" w:hAnsi="Arial" w:cs="Arial"/>
          <w:b/>
          <w:sz w:val="20"/>
          <w:szCs w:val="20"/>
          <w:lang w:val="en-GB"/>
        </w:rPr>
        <w:t xml:space="preserve"> Bounds MDS by indicators</w:t>
      </w:r>
    </w:p>
    <w:tbl>
      <w:tblPr>
        <w:tblW w:w="5827" w:type="dxa"/>
        <w:tblInd w:w="93" w:type="dxa"/>
        <w:tblLook w:val="04A0" w:firstRow="1" w:lastRow="0" w:firstColumn="1" w:lastColumn="0" w:noHBand="0" w:noVBand="1"/>
      </w:tblPr>
      <w:tblGrid>
        <w:gridCol w:w="1240"/>
        <w:gridCol w:w="1240"/>
        <w:gridCol w:w="1230"/>
        <w:gridCol w:w="2117"/>
      </w:tblGrid>
      <w:tr w:rsidR="007E58B6" w:rsidRPr="003258A5" w:rsidTr="0034352C">
        <w:trPr>
          <w:trHeight w:val="300"/>
        </w:trPr>
        <w:tc>
          <w:tcPr>
            <w:tcW w:w="1240" w:type="dxa"/>
            <w:tcBorders>
              <w:top w:val="single" w:sz="4" w:space="0" w:color="95B3D7"/>
              <w:left w:val="nil"/>
              <w:bottom w:val="single" w:sz="4" w:space="0" w:color="95B3D7"/>
              <w:right w:val="nil"/>
            </w:tcBorders>
            <w:shd w:val="clear" w:color="4F81BD" w:fill="4F81BD"/>
          </w:tcPr>
          <w:p w:rsidR="007E58B6" w:rsidRPr="003258A5" w:rsidRDefault="007E58B6" w:rsidP="0034352C">
            <w:pPr>
              <w:spacing w:after="0" w:line="240" w:lineRule="auto"/>
              <w:rPr>
                <w:rFonts w:ascii="Arial" w:eastAsia="Times New Roman" w:hAnsi="Arial" w:cs="Arial"/>
                <w:b/>
                <w:bCs/>
                <w:color w:val="FFFFFF"/>
                <w:sz w:val="20"/>
                <w:szCs w:val="20"/>
                <w:lang w:eastAsia="en-GB"/>
              </w:rPr>
            </w:pPr>
            <w:r w:rsidRPr="003258A5">
              <w:rPr>
                <w:rFonts w:ascii="Arial" w:eastAsia="Times New Roman" w:hAnsi="Arial" w:cs="Arial"/>
                <w:b/>
                <w:bCs/>
                <w:color w:val="FFFFFF"/>
                <w:sz w:val="20"/>
                <w:szCs w:val="20"/>
                <w:lang w:eastAsia="en-GB"/>
              </w:rPr>
              <w:t>MDC</w:t>
            </w:r>
          </w:p>
        </w:tc>
        <w:tc>
          <w:tcPr>
            <w:tcW w:w="1240" w:type="dxa"/>
            <w:tcBorders>
              <w:top w:val="single" w:sz="4" w:space="0" w:color="95B3D7"/>
              <w:left w:val="nil"/>
              <w:bottom w:val="single" w:sz="4" w:space="0" w:color="95B3D7"/>
              <w:right w:val="nil"/>
            </w:tcBorders>
            <w:shd w:val="clear" w:color="4F81BD" w:fill="4F81BD"/>
            <w:noWrap/>
            <w:vAlign w:val="bottom"/>
            <w:hideMark/>
          </w:tcPr>
          <w:p w:rsidR="007E58B6" w:rsidRPr="003258A5" w:rsidRDefault="007E58B6" w:rsidP="0034352C">
            <w:pPr>
              <w:spacing w:after="0" w:line="240" w:lineRule="auto"/>
              <w:rPr>
                <w:rFonts w:ascii="Arial" w:eastAsia="Times New Roman" w:hAnsi="Arial" w:cs="Arial"/>
                <w:b/>
                <w:bCs/>
                <w:color w:val="FFFFFF"/>
                <w:sz w:val="20"/>
                <w:szCs w:val="20"/>
                <w:lang w:eastAsia="en-GB"/>
              </w:rPr>
            </w:pPr>
            <w:r w:rsidRPr="003258A5">
              <w:rPr>
                <w:rFonts w:ascii="Arial" w:eastAsia="Times New Roman" w:hAnsi="Arial" w:cs="Arial"/>
                <w:b/>
                <w:bCs/>
                <w:color w:val="FFFFFF"/>
                <w:sz w:val="20"/>
                <w:szCs w:val="20"/>
                <w:lang w:eastAsia="en-GB"/>
              </w:rPr>
              <w:t>AROP(</w:t>
            </w:r>
            <w:proofErr w:type="spellStart"/>
            <w:r w:rsidRPr="003258A5">
              <w:rPr>
                <w:rFonts w:ascii="Arial" w:eastAsia="Times New Roman" w:hAnsi="Arial" w:cs="Arial"/>
                <w:b/>
                <w:bCs/>
                <w:color w:val="FFFFFF"/>
                <w:sz w:val="20"/>
                <w:szCs w:val="20"/>
                <w:lang w:eastAsia="en-GB"/>
              </w:rPr>
              <w:t>pp</w:t>
            </w:r>
            <w:proofErr w:type="spellEnd"/>
            <w:r w:rsidRPr="003258A5">
              <w:rPr>
                <w:rFonts w:ascii="Arial" w:eastAsia="Times New Roman" w:hAnsi="Arial" w:cs="Arial"/>
                <w:b/>
                <w:bCs/>
                <w:color w:val="FFFFFF"/>
                <w:sz w:val="20"/>
                <w:szCs w:val="20"/>
                <w:lang w:eastAsia="en-GB"/>
              </w:rPr>
              <w:t>)</w:t>
            </w:r>
          </w:p>
        </w:tc>
        <w:tc>
          <w:tcPr>
            <w:tcW w:w="1230" w:type="dxa"/>
            <w:tcBorders>
              <w:top w:val="single" w:sz="4" w:space="0" w:color="95B3D7"/>
              <w:left w:val="nil"/>
              <w:bottom w:val="single" w:sz="4" w:space="0" w:color="95B3D7"/>
              <w:right w:val="single" w:sz="36" w:space="0" w:color="95B3D7"/>
            </w:tcBorders>
            <w:shd w:val="clear" w:color="4F81BD" w:fill="4F81BD"/>
            <w:noWrap/>
            <w:vAlign w:val="bottom"/>
            <w:hideMark/>
          </w:tcPr>
          <w:p w:rsidR="007E58B6" w:rsidRPr="003258A5" w:rsidRDefault="007E58B6" w:rsidP="0034352C">
            <w:pPr>
              <w:spacing w:after="0" w:line="240" w:lineRule="auto"/>
              <w:rPr>
                <w:rFonts w:ascii="Arial" w:eastAsia="Times New Roman" w:hAnsi="Arial" w:cs="Arial"/>
                <w:b/>
                <w:bCs/>
                <w:color w:val="FFFFFF"/>
                <w:sz w:val="20"/>
                <w:szCs w:val="20"/>
                <w:lang w:eastAsia="en-GB"/>
              </w:rPr>
            </w:pPr>
            <w:r w:rsidRPr="003258A5">
              <w:rPr>
                <w:rFonts w:ascii="Arial" w:eastAsia="Times New Roman" w:hAnsi="Arial" w:cs="Arial"/>
                <w:b/>
                <w:bCs/>
                <w:color w:val="FFFFFF"/>
                <w:sz w:val="20"/>
                <w:szCs w:val="20"/>
                <w:lang w:eastAsia="en-GB"/>
              </w:rPr>
              <w:t>QSR</w:t>
            </w:r>
          </w:p>
        </w:tc>
        <w:tc>
          <w:tcPr>
            <w:tcW w:w="2117" w:type="dxa"/>
            <w:tcBorders>
              <w:top w:val="single" w:sz="4" w:space="0" w:color="95B3D7"/>
              <w:left w:val="single" w:sz="36" w:space="0" w:color="95B3D7"/>
              <w:bottom w:val="single" w:sz="4" w:space="0" w:color="95B3D7"/>
              <w:right w:val="single" w:sz="4" w:space="0" w:color="95B3D7"/>
            </w:tcBorders>
            <w:shd w:val="clear" w:color="4F81BD" w:fill="4F81BD"/>
            <w:noWrap/>
            <w:vAlign w:val="bottom"/>
            <w:hideMark/>
          </w:tcPr>
          <w:p w:rsidR="007E58B6" w:rsidRPr="003258A5" w:rsidRDefault="007E58B6" w:rsidP="0034352C">
            <w:pPr>
              <w:spacing w:after="0" w:line="240" w:lineRule="auto"/>
              <w:jc w:val="center"/>
              <w:rPr>
                <w:rFonts w:ascii="Arial" w:eastAsia="Times New Roman" w:hAnsi="Arial" w:cs="Arial"/>
                <w:b/>
                <w:bCs/>
                <w:color w:val="FFFFFF"/>
                <w:sz w:val="20"/>
                <w:szCs w:val="20"/>
                <w:lang w:eastAsia="en-GB"/>
              </w:rPr>
            </w:pPr>
            <w:proofErr w:type="spellStart"/>
            <w:r w:rsidRPr="003258A5">
              <w:rPr>
                <w:rFonts w:ascii="Arial" w:eastAsia="Times New Roman" w:hAnsi="Arial" w:cs="Arial"/>
                <w:b/>
                <w:bCs/>
                <w:color w:val="FFFFFF"/>
                <w:sz w:val="20"/>
                <w:szCs w:val="20"/>
                <w:lang w:eastAsia="en-GB"/>
              </w:rPr>
              <w:t>Deciles</w:t>
            </w:r>
            <w:proofErr w:type="spellEnd"/>
            <w:r w:rsidRPr="003258A5">
              <w:rPr>
                <w:rFonts w:ascii="Arial" w:eastAsia="Times New Roman" w:hAnsi="Arial" w:cs="Arial"/>
                <w:b/>
                <w:bCs/>
                <w:color w:val="FFFFFF"/>
                <w:sz w:val="20"/>
                <w:szCs w:val="20"/>
                <w:lang w:eastAsia="en-GB"/>
              </w:rPr>
              <w:t xml:space="preserve"> (%)</w:t>
            </w:r>
          </w:p>
        </w:tc>
      </w:tr>
      <w:tr w:rsidR="007E58B6" w:rsidRPr="00A571BB" w:rsidTr="0034352C">
        <w:trPr>
          <w:trHeight w:val="300"/>
        </w:trPr>
        <w:tc>
          <w:tcPr>
            <w:tcW w:w="1240" w:type="dxa"/>
            <w:tcBorders>
              <w:top w:val="nil"/>
              <w:left w:val="nil"/>
              <w:bottom w:val="single" w:sz="4" w:space="0" w:color="95B3D7"/>
              <w:right w:val="nil"/>
            </w:tcBorders>
            <w:shd w:val="clear" w:color="DCE6F1" w:fill="DCE6F1"/>
          </w:tcPr>
          <w:p w:rsidR="007E58B6" w:rsidRPr="003258A5" w:rsidRDefault="007E58B6" w:rsidP="0034352C">
            <w:pPr>
              <w:spacing w:after="0" w:line="240" w:lineRule="auto"/>
              <w:rPr>
                <w:rFonts w:ascii="Arial" w:eastAsia="Times New Roman" w:hAnsi="Arial" w:cs="Arial"/>
                <w:color w:val="000000"/>
                <w:sz w:val="20"/>
                <w:szCs w:val="20"/>
                <w:lang w:eastAsia="en-GB"/>
              </w:rPr>
            </w:pPr>
          </w:p>
        </w:tc>
        <w:tc>
          <w:tcPr>
            <w:tcW w:w="2470" w:type="dxa"/>
            <w:gridSpan w:val="2"/>
            <w:tcBorders>
              <w:top w:val="nil"/>
              <w:left w:val="nil"/>
              <w:bottom w:val="single" w:sz="4" w:space="0" w:color="95B3D7"/>
              <w:right w:val="single" w:sz="36" w:space="0" w:color="95B3D7"/>
            </w:tcBorders>
            <w:shd w:val="clear" w:color="DCE6F1" w:fill="DCE6F1"/>
            <w:noWrap/>
            <w:vAlign w:val="bottom"/>
          </w:tcPr>
          <w:p w:rsidR="007E58B6" w:rsidRPr="003258A5" w:rsidRDefault="007E58B6" w:rsidP="0034352C">
            <w:pPr>
              <w:spacing w:after="0" w:line="240" w:lineRule="auto"/>
              <w:rPr>
                <w:rFonts w:ascii="Arial" w:eastAsia="Times New Roman" w:hAnsi="Arial" w:cs="Arial"/>
                <w:color w:val="000000"/>
                <w:sz w:val="20"/>
                <w:szCs w:val="20"/>
                <w:lang w:val="en-GB" w:eastAsia="en-GB"/>
              </w:rPr>
            </w:pPr>
            <w:r w:rsidRPr="003258A5">
              <w:rPr>
                <w:rFonts w:ascii="Arial" w:eastAsia="Times New Roman" w:hAnsi="Arial" w:cs="Arial"/>
                <w:color w:val="000000"/>
                <w:sz w:val="20"/>
                <w:szCs w:val="20"/>
                <w:lang w:val="en-GB" w:eastAsia="en-GB"/>
              </w:rPr>
              <w:t>Decrease in inequality indicators=green</w:t>
            </w:r>
            <w:r w:rsidRPr="003258A5">
              <w:rPr>
                <w:rStyle w:val="FootnoteReference"/>
                <w:rFonts w:ascii="Arial" w:eastAsia="Times New Roman" w:hAnsi="Arial" w:cs="Arial"/>
                <w:color w:val="000000"/>
                <w:sz w:val="20"/>
                <w:szCs w:val="20"/>
                <w:lang w:eastAsia="en-GB"/>
              </w:rPr>
              <w:footnoteReference w:id="5"/>
            </w:r>
          </w:p>
        </w:tc>
        <w:tc>
          <w:tcPr>
            <w:tcW w:w="2117" w:type="dxa"/>
            <w:tcBorders>
              <w:top w:val="nil"/>
              <w:left w:val="single" w:sz="36" w:space="0" w:color="95B3D7"/>
              <w:bottom w:val="single" w:sz="4" w:space="0" w:color="95B3D7"/>
              <w:right w:val="single" w:sz="4" w:space="0" w:color="95B3D7"/>
            </w:tcBorders>
            <w:shd w:val="clear" w:color="DCE6F1" w:fill="DCE6F1"/>
            <w:noWrap/>
            <w:vAlign w:val="bottom"/>
          </w:tcPr>
          <w:p w:rsidR="007E58B6" w:rsidRPr="003258A5" w:rsidRDefault="007E58B6" w:rsidP="0034352C">
            <w:pPr>
              <w:spacing w:after="0" w:line="240" w:lineRule="auto"/>
              <w:rPr>
                <w:rFonts w:ascii="Arial" w:eastAsia="Times New Roman" w:hAnsi="Arial" w:cs="Arial"/>
                <w:color w:val="000000"/>
                <w:sz w:val="20"/>
                <w:szCs w:val="20"/>
                <w:lang w:val="en-GB" w:eastAsia="en-GB"/>
              </w:rPr>
            </w:pPr>
            <w:r w:rsidRPr="003258A5">
              <w:rPr>
                <w:rFonts w:ascii="Arial" w:eastAsia="Times New Roman" w:hAnsi="Arial" w:cs="Arial"/>
                <w:color w:val="000000"/>
                <w:sz w:val="20"/>
                <w:szCs w:val="20"/>
                <w:lang w:val="en-GB" w:eastAsia="en-GB"/>
              </w:rPr>
              <w:t>Increase in positional indicators = green</w:t>
            </w:r>
          </w:p>
        </w:tc>
      </w:tr>
      <w:tr w:rsidR="007E58B6" w:rsidRPr="003258A5" w:rsidTr="0034352C">
        <w:trPr>
          <w:trHeight w:val="300"/>
        </w:trPr>
        <w:tc>
          <w:tcPr>
            <w:tcW w:w="1240" w:type="dxa"/>
            <w:tcBorders>
              <w:top w:val="nil"/>
              <w:left w:val="nil"/>
              <w:bottom w:val="single" w:sz="4" w:space="0" w:color="95B3D7"/>
              <w:right w:val="nil"/>
            </w:tcBorders>
            <w:shd w:val="clear" w:color="DCE6F1" w:fill="DCE6F1"/>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w:t>
            </w:r>
          </w:p>
        </w:tc>
        <w:tc>
          <w:tcPr>
            <w:tcW w:w="1240" w:type="dxa"/>
            <w:tcBorders>
              <w:top w:val="nil"/>
              <w:left w:val="nil"/>
              <w:bottom w:val="single" w:sz="4" w:space="0" w:color="95B3D7"/>
              <w:right w:val="nil"/>
            </w:tcBorders>
            <w:shd w:val="clear" w:color="auto" w:fill="7B7B7B" w:themeFill="accent3" w:themeFillShade="BF"/>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&lt;-2</w:t>
            </w:r>
          </w:p>
        </w:tc>
        <w:tc>
          <w:tcPr>
            <w:tcW w:w="1230" w:type="dxa"/>
            <w:tcBorders>
              <w:top w:val="nil"/>
              <w:left w:val="nil"/>
              <w:bottom w:val="single" w:sz="4" w:space="0" w:color="95B3D7"/>
              <w:right w:val="single" w:sz="36" w:space="0" w:color="95B3D7"/>
            </w:tcBorders>
            <w:shd w:val="clear" w:color="auto" w:fill="7B7B7B" w:themeFill="accent3" w:themeFillShade="BF"/>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&lt;-0.6</w:t>
            </w:r>
          </w:p>
        </w:tc>
        <w:tc>
          <w:tcPr>
            <w:tcW w:w="2117" w:type="dxa"/>
            <w:tcBorders>
              <w:top w:val="nil"/>
              <w:left w:val="single" w:sz="36" w:space="0" w:color="95B3D7"/>
              <w:bottom w:val="single" w:sz="4" w:space="0" w:color="95B3D7"/>
              <w:right w:val="single" w:sz="4" w:space="0" w:color="95B3D7"/>
            </w:tcBorders>
            <w:shd w:val="clear" w:color="auto" w:fill="C00000"/>
            <w:noWrap/>
            <w:vAlign w:val="bottom"/>
            <w:hideMark/>
          </w:tcPr>
          <w:p w:rsidR="007E58B6" w:rsidRPr="003258A5" w:rsidRDefault="007E58B6" w:rsidP="0034352C">
            <w:pPr>
              <w:spacing w:after="0" w:line="240" w:lineRule="auto"/>
              <w:jc w:val="center"/>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&lt;-5</w:t>
            </w:r>
          </w:p>
        </w:tc>
      </w:tr>
      <w:tr w:rsidR="007E58B6" w:rsidRPr="003258A5" w:rsidTr="0034352C">
        <w:trPr>
          <w:trHeight w:val="300"/>
        </w:trPr>
        <w:tc>
          <w:tcPr>
            <w:tcW w:w="1240" w:type="dxa"/>
            <w:tcBorders>
              <w:top w:val="nil"/>
              <w:left w:val="nil"/>
              <w:bottom w:val="single" w:sz="4" w:space="0" w:color="95B3D7"/>
              <w:right w:val="nil"/>
            </w:tcBorders>
          </w:tcPr>
          <w:p w:rsidR="007E58B6" w:rsidRPr="003258A5" w:rsidRDefault="00F47301"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w:t>
            </w:r>
            <w:r w:rsidR="007E58B6" w:rsidRPr="003258A5">
              <w:rPr>
                <w:rFonts w:ascii="Arial" w:eastAsia="Times New Roman" w:hAnsi="Arial" w:cs="Arial"/>
                <w:color w:val="000000"/>
                <w:sz w:val="20"/>
                <w:szCs w:val="20"/>
                <w:lang w:eastAsia="en-GB"/>
              </w:rPr>
              <w:t>--]</w:t>
            </w:r>
          </w:p>
        </w:tc>
        <w:tc>
          <w:tcPr>
            <w:tcW w:w="1240" w:type="dxa"/>
            <w:tcBorders>
              <w:top w:val="nil"/>
              <w:left w:val="nil"/>
              <w:bottom w:val="single" w:sz="4" w:space="0" w:color="95B3D7"/>
              <w:right w:val="nil"/>
            </w:tcBorders>
            <w:shd w:val="clear" w:color="auto" w:fill="92D050"/>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[-2,-1[</w:t>
            </w:r>
          </w:p>
        </w:tc>
        <w:tc>
          <w:tcPr>
            <w:tcW w:w="1230" w:type="dxa"/>
            <w:tcBorders>
              <w:top w:val="single" w:sz="4" w:space="0" w:color="95B3D7"/>
              <w:left w:val="nil"/>
              <w:bottom w:val="single" w:sz="4" w:space="0" w:color="95B3D7"/>
              <w:right w:val="single" w:sz="36" w:space="0" w:color="95B3D7"/>
            </w:tcBorders>
            <w:shd w:val="clear" w:color="auto" w:fill="92D050"/>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[-0.6,-0.3[</w:t>
            </w:r>
          </w:p>
        </w:tc>
        <w:tc>
          <w:tcPr>
            <w:tcW w:w="2117" w:type="dxa"/>
            <w:tcBorders>
              <w:top w:val="nil"/>
              <w:left w:val="single" w:sz="36" w:space="0" w:color="95B3D7"/>
              <w:bottom w:val="single" w:sz="4" w:space="0" w:color="95B3D7"/>
              <w:right w:val="single" w:sz="4" w:space="0" w:color="95B3D7"/>
            </w:tcBorders>
            <w:shd w:val="clear" w:color="auto" w:fill="FF0000"/>
            <w:noWrap/>
            <w:vAlign w:val="bottom"/>
            <w:hideMark/>
          </w:tcPr>
          <w:p w:rsidR="007E58B6" w:rsidRPr="003258A5" w:rsidRDefault="007E58B6" w:rsidP="0034352C">
            <w:pPr>
              <w:spacing w:after="0" w:line="240" w:lineRule="auto"/>
              <w:jc w:val="center"/>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[-5,-2[</w:t>
            </w:r>
          </w:p>
        </w:tc>
      </w:tr>
      <w:tr w:rsidR="007E58B6" w:rsidRPr="003258A5" w:rsidTr="0034352C">
        <w:trPr>
          <w:trHeight w:val="300"/>
        </w:trPr>
        <w:tc>
          <w:tcPr>
            <w:tcW w:w="1240" w:type="dxa"/>
            <w:tcBorders>
              <w:top w:val="nil"/>
              <w:left w:val="nil"/>
              <w:bottom w:val="single" w:sz="4" w:space="0" w:color="95B3D7"/>
              <w:right w:val="nil"/>
            </w:tcBorders>
            <w:shd w:val="clear" w:color="DCE6F1" w:fill="DCE6F1"/>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w:t>
            </w:r>
          </w:p>
        </w:tc>
        <w:tc>
          <w:tcPr>
            <w:tcW w:w="1240" w:type="dxa"/>
            <w:tcBorders>
              <w:top w:val="nil"/>
              <w:left w:val="nil"/>
              <w:bottom w:val="single" w:sz="4" w:space="0" w:color="95B3D7"/>
              <w:right w:val="nil"/>
            </w:tcBorders>
            <w:shd w:val="clear" w:color="auto" w:fill="DBDBDB" w:themeFill="accent3" w:themeFillTint="66"/>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[-1,0]</w:t>
            </w:r>
          </w:p>
        </w:tc>
        <w:tc>
          <w:tcPr>
            <w:tcW w:w="1230" w:type="dxa"/>
            <w:tcBorders>
              <w:top w:val="nil"/>
              <w:left w:val="nil"/>
              <w:bottom w:val="single" w:sz="4" w:space="0" w:color="95B3D7"/>
              <w:right w:val="single" w:sz="36" w:space="0" w:color="95B3D7"/>
            </w:tcBorders>
            <w:shd w:val="clear" w:color="auto" w:fill="DBDBDB" w:themeFill="accent3" w:themeFillTint="66"/>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[-0.3,0]</w:t>
            </w:r>
          </w:p>
        </w:tc>
        <w:tc>
          <w:tcPr>
            <w:tcW w:w="2117" w:type="dxa"/>
            <w:tcBorders>
              <w:top w:val="nil"/>
              <w:left w:val="single" w:sz="36" w:space="0" w:color="95B3D7"/>
              <w:bottom w:val="single" w:sz="4" w:space="0" w:color="95B3D7"/>
              <w:right w:val="single" w:sz="4" w:space="0" w:color="95B3D7"/>
            </w:tcBorders>
            <w:shd w:val="clear" w:color="auto" w:fill="FBE4D5" w:themeFill="accent2" w:themeFillTint="33"/>
            <w:noWrap/>
            <w:vAlign w:val="bottom"/>
            <w:hideMark/>
          </w:tcPr>
          <w:p w:rsidR="007E58B6" w:rsidRPr="003258A5" w:rsidRDefault="007E58B6" w:rsidP="0034352C">
            <w:pPr>
              <w:spacing w:after="0" w:line="240" w:lineRule="auto"/>
              <w:jc w:val="center"/>
              <w:rPr>
                <w:rFonts w:ascii="Arial" w:eastAsia="Times New Roman" w:hAnsi="Arial" w:cs="Arial"/>
                <w:color w:val="000000"/>
                <w:sz w:val="20"/>
                <w:szCs w:val="20"/>
                <w:lang w:eastAsia="en-GB"/>
              </w:rPr>
            </w:pPr>
            <w:r w:rsidRPr="003258A5">
              <w:rPr>
                <w:rFonts w:ascii="Arial" w:eastAsia="Times New Roman" w:hAnsi="Arial" w:cs="Arial"/>
                <w:noProof/>
                <w:color w:val="000000"/>
                <w:sz w:val="20"/>
                <w:szCs w:val="20"/>
                <w:lang w:val="en-GB" w:eastAsia="en-GB"/>
              </w:rPr>
              <mc:AlternateContent>
                <mc:Choice Requires="wps">
                  <w:drawing>
                    <wp:anchor distT="0" distB="0" distL="114300" distR="114300" simplePos="0" relativeHeight="251661312" behindDoc="0" locked="0" layoutInCell="1" allowOverlap="1" wp14:anchorId="5AB68893" wp14:editId="27A24978">
                      <wp:simplePos x="0" y="0"/>
                      <wp:positionH relativeFrom="column">
                        <wp:posOffset>1460500</wp:posOffset>
                      </wp:positionH>
                      <wp:positionV relativeFrom="paragraph">
                        <wp:posOffset>7620</wp:posOffset>
                      </wp:positionV>
                      <wp:extent cx="361315" cy="254635"/>
                      <wp:effectExtent l="0" t="19050" r="38735" b="31115"/>
                      <wp:wrapNone/>
                      <wp:docPr id="3" name="Right Arrow 3"/>
                      <wp:cNvGraphicFramePr/>
                      <a:graphic xmlns:a="http://schemas.openxmlformats.org/drawingml/2006/main">
                        <a:graphicData uri="http://schemas.microsoft.com/office/word/2010/wordprocessingShape">
                          <wps:wsp>
                            <wps:cNvSpPr/>
                            <wps:spPr>
                              <a:xfrm>
                                <a:off x="0" y="0"/>
                                <a:ext cx="361315" cy="2546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5pt;margin-top:.6pt;width:28.4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" adj="13989" fillcolor="#5b9bd5 [3204]" strokecolor="#1f4d78 [1604]" strokeweight="1pt"/>
                  </w:pict>
                </mc:Fallback>
              </mc:AlternateContent>
            </w:r>
            <w:r w:rsidRPr="003258A5">
              <w:rPr>
                <w:rFonts w:ascii="Arial" w:eastAsia="Times New Roman" w:hAnsi="Arial" w:cs="Arial"/>
                <w:color w:val="000000"/>
                <w:sz w:val="20"/>
                <w:szCs w:val="20"/>
                <w:lang w:eastAsia="en-GB"/>
              </w:rPr>
              <w:t>[-2,0]</w:t>
            </w:r>
          </w:p>
        </w:tc>
      </w:tr>
      <w:tr w:rsidR="007E58B6" w:rsidRPr="003258A5" w:rsidTr="0034352C">
        <w:trPr>
          <w:trHeight w:val="300"/>
        </w:trPr>
        <w:tc>
          <w:tcPr>
            <w:tcW w:w="1240" w:type="dxa"/>
            <w:tcBorders>
              <w:top w:val="nil"/>
              <w:left w:val="nil"/>
              <w:bottom w:val="single" w:sz="4" w:space="0" w:color="95B3D7"/>
              <w:right w:val="nil"/>
            </w:tcBorders>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w:t>
            </w:r>
          </w:p>
        </w:tc>
        <w:tc>
          <w:tcPr>
            <w:tcW w:w="1240" w:type="dxa"/>
            <w:tcBorders>
              <w:top w:val="nil"/>
              <w:left w:val="nil"/>
              <w:bottom w:val="single" w:sz="4" w:space="0" w:color="95B3D7"/>
              <w:right w:val="nil"/>
            </w:tcBorders>
            <w:shd w:val="clear" w:color="auto" w:fill="FBE4D5" w:themeFill="accent2" w:themeFillTint="33"/>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]0, 1]</w:t>
            </w:r>
          </w:p>
        </w:tc>
        <w:tc>
          <w:tcPr>
            <w:tcW w:w="1230" w:type="dxa"/>
            <w:tcBorders>
              <w:top w:val="nil"/>
              <w:left w:val="nil"/>
              <w:bottom w:val="single" w:sz="4" w:space="0" w:color="95B3D7"/>
              <w:right w:val="single" w:sz="36" w:space="0" w:color="95B3D7"/>
            </w:tcBorders>
            <w:shd w:val="clear" w:color="auto" w:fill="FBE4D5" w:themeFill="accent2" w:themeFillTint="33"/>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]0, 0.3]</w:t>
            </w:r>
          </w:p>
        </w:tc>
        <w:tc>
          <w:tcPr>
            <w:tcW w:w="2117" w:type="dxa"/>
            <w:tcBorders>
              <w:top w:val="nil"/>
              <w:left w:val="single" w:sz="36" w:space="0" w:color="95B3D7"/>
              <w:bottom w:val="single" w:sz="4" w:space="0" w:color="95B3D7"/>
              <w:right w:val="single" w:sz="4" w:space="0" w:color="95B3D7"/>
            </w:tcBorders>
            <w:shd w:val="clear" w:color="auto" w:fill="DBDBDB" w:themeFill="accent3" w:themeFillTint="66"/>
            <w:noWrap/>
            <w:vAlign w:val="bottom"/>
            <w:hideMark/>
          </w:tcPr>
          <w:p w:rsidR="007E58B6" w:rsidRPr="003258A5" w:rsidRDefault="007E58B6" w:rsidP="0034352C">
            <w:pPr>
              <w:spacing w:after="0" w:line="240" w:lineRule="auto"/>
              <w:jc w:val="center"/>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]0, 2]</w:t>
            </w:r>
          </w:p>
        </w:tc>
      </w:tr>
      <w:tr w:rsidR="007E58B6" w:rsidRPr="003258A5" w:rsidTr="0034352C">
        <w:trPr>
          <w:trHeight w:val="300"/>
        </w:trPr>
        <w:tc>
          <w:tcPr>
            <w:tcW w:w="1240" w:type="dxa"/>
            <w:tcBorders>
              <w:top w:val="nil"/>
              <w:left w:val="nil"/>
              <w:bottom w:val="single" w:sz="4" w:space="0" w:color="95B3D7"/>
              <w:right w:val="nil"/>
            </w:tcBorders>
            <w:shd w:val="clear" w:color="DCE6F1" w:fill="DCE6F1"/>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w:t>
            </w:r>
          </w:p>
        </w:tc>
        <w:tc>
          <w:tcPr>
            <w:tcW w:w="1240" w:type="dxa"/>
            <w:tcBorders>
              <w:top w:val="nil"/>
              <w:left w:val="nil"/>
              <w:bottom w:val="single" w:sz="4" w:space="0" w:color="95B3D7"/>
              <w:right w:val="nil"/>
            </w:tcBorders>
            <w:shd w:val="clear" w:color="auto" w:fill="FF0000"/>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]1,2]</w:t>
            </w:r>
          </w:p>
        </w:tc>
        <w:tc>
          <w:tcPr>
            <w:tcW w:w="1230" w:type="dxa"/>
            <w:tcBorders>
              <w:top w:val="nil"/>
              <w:left w:val="nil"/>
              <w:bottom w:val="single" w:sz="4" w:space="0" w:color="95B3D7"/>
              <w:right w:val="single" w:sz="36" w:space="0" w:color="95B3D7"/>
            </w:tcBorders>
            <w:shd w:val="clear" w:color="auto" w:fill="FF0000"/>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]0.3,0.6]</w:t>
            </w:r>
          </w:p>
        </w:tc>
        <w:tc>
          <w:tcPr>
            <w:tcW w:w="2117" w:type="dxa"/>
            <w:tcBorders>
              <w:top w:val="nil"/>
              <w:left w:val="single" w:sz="36" w:space="0" w:color="95B3D7"/>
              <w:bottom w:val="single" w:sz="4" w:space="0" w:color="95B3D7"/>
              <w:right w:val="single" w:sz="4" w:space="0" w:color="95B3D7"/>
            </w:tcBorders>
            <w:shd w:val="clear" w:color="auto" w:fill="92D050"/>
            <w:noWrap/>
            <w:vAlign w:val="bottom"/>
            <w:hideMark/>
          </w:tcPr>
          <w:p w:rsidR="007E58B6" w:rsidRPr="003258A5" w:rsidRDefault="007E58B6" w:rsidP="0034352C">
            <w:pPr>
              <w:spacing w:after="0" w:line="240" w:lineRule="auto"/>
              <w:jc w:val="center"/>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]2,5]</w:t>
            </w:r>
          </w:p>
        </w:tc>
      </w:tr>
      <w:tr w:rsidR="007E58B6" w:rsidRPr="003258A5" w:rsidTr="0034352C">
        <w:trPr>
          <w:trHeight w:val="300"/>
        </w:trPr>
        <w:tc>
          <w:tcPr>
            <w:tcW w:w="1240" w:type="dxa"/>
            <w:tcBorders>
              <w:top w:val="nil"/>
              <w:left w:val="nil"/>
              <w:bottom w:val="single" w:sz="4" w:space="0" w:color="95B3D7"/>
              <w:right w:val="nil"/>
            </w:tcBorders>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w:t>
            </w:r>
          </w:p>
        </w:tc>
        <w:tc>
          <w:tcPr>
            <w:tcW w:w="1240" w:type="dxa"/>
            <w:tcBorders>
              <w:top w:val="nil"/>
              <w:left w:val="nil"/>
              <w:bottom w:val="single" w:sz="4" w:space="0" w:color="95B3D7"/>
              <w:right w:val="nil"/>
            </w:tcBorders>
            <w:shd w:val="clear" w:color="auto" w:fill="C00000"/>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&gt;2</w:t>
            </w:r>
          </w:p>
        </w:tc>
        <w:tc>
          <w:tcPr>
            <w:tcW w:w="1230" w:type="dxa"/>
            <w:tcBorders>
              <w:top w:val="nil"/>
              <w:left w:val="nil"/>
              <w:bottom w:val="single" w:sz="4" w:space="0" w:color="95B3D7"/>
              <w:right w:val="single" w:sz="36" w:space="0" w:color="95B3D7"/>
            </w:tcBorders>
            <w:shd w:val="clear" w:color="auto" w:fill="C00000"/>
            <w:noWrap/>
            <w:vAlign w:val="bottom"/>
            <w:hideMark/>
          </w:tcPr>
          <w:p w:rsidR="007E58B6" w:rsidRPr="003258A5" w:rsidRDefault="007E58B6" w:rsidP="0034352C">
            <w:pPr>
              <w:spacing w:after="0" w:line="240" w:lineRule="auto"/>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&gt;0.6</w:t>
            </w:r>
          </w:p>
        </w:tc>
        <w:tc>
          <w:tcPr>
            <w:tcW w:w="2117" w:type="dxa"/>
            <w:tcBorders>
              <w:top w:val="nil"/>
              <w:left w:val="single" w:sz="36" w:space="0" w:color="95B3D7"/>
              <w:bottom w:val="single" w:sz="4" w:space="0" w:color="95B3D7"/>
              <w:right w:val="single" w:sz="4" w:space="0" w:color="95B3D7"/>
            </w:tcBorders>
            <w:shd w:val="clear" w:color="auto" w:fill="7B7B7B" w:themeFill="accent3" w:themeFillShade="BF"/>
            <w:noWrap/>
            <w:vAlign w:val="bottom"/>
            <w:hideMark/>
          </w:tcPr>
          <w:p w:rsidR="007E58B6" w:rsidRPr="003258A5" w:rsidRDefault="007E58B6" w:rsidP="0034352C">
            <w:pPr>
              <w:spacing w:after="0" w:line="240" w:lineRule="auto"/>
              <w:jc w:val="center"/>
              <w:rPr>
                <w:rFonts w:ascii="Arial" w:eastAsia="Times New Roman" w:hAnsi="Arial" w:cs="Arial"/>
                <w:color w:val="000000"/>
                <w:sz w:val="20"/>
                <w:szCs w:val="20"/>
                <w:lang w:eastAsia="en-GB"/>
              </w:rPr>
            </w:pPr>
            <w:r w:rsidRPr="003258A5">
              <w:rPr>
                <w:rFonts w:ascii="Arial" w:eastAsia="Times New Roman" w:hAnsi="Arial" w:cs="Arial"/>
                <w:color w:val="000000"/>
                <w:sz w:val="20"/>
                <w:szCs w:val="20"/>
                <w:lang w:eastAsia="en-GB"/>
              </w:rPr>
              <w:t>&gt;5</w:t>
            </w:r>
          </w:p>
        </w:tc>
      </w:tr>
    </w:tbl>
    <w:tbl>
      <w:tblPr>
        <w:tblpPr w:leftFromText="180" w:rightFromText="180" w:vertAnchor="text" w:horzAnchor="margin" w:tblpXSpec="right" w:tblpY="-17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tblGrid>
      <w:tr w:rsidR="007E58B6" w:rsidRPr="00A571BB" w:rsidTr="0034352C">
        <w:trPr>
          <w:trHeight w:val="670"/>
        </w:trPr>
        <w:tc>
          <w:tcPr>
            <w:tcW w:w="2380" w:type="dxa"/>
          </w:tcPr>
          <w:p w:rsidR="007E58B6" w:rsidRPr="004D0ADE" w:rsidRDefault="007E58B6" w:rsidP="0034352C">
            <w:pPr>
              <w:rPr>
                <w:b/>
                <w:i/>
                <w:iCs/>
                <w:lang w:val="en-GB"/>
              </w:rPr>
            </w:pPr>
            <w:r w:rsidRPr="004D0ADE">
              <w:rPr>
                <w:b/>
                <w:i/>
                <w:lang w:val="en-GB"/>
              </w:rPr>
              <w:t>MDC (change class)</w:t>
            </w:r>
            <w:r w:rsidRPr="004D0ADE">
              <w:rPr>
                <w:lang w:val="en-GB"/>
              </w:rPr>
              <w:t xml:space="preserve"> </w:t>
            </w:r>
            <w:r w:rsidRPr="004D0ADE">
              <w:rPr>
                <w:b/>
                <w:i/>
                <w:iCs/>
                <w:lang w:val="en-GB"/>
              </w:rPr>
              <w:t xml:space="preserve">communicated only if the estimated change is significant </w:t>
            </w:r>
          </w:p>
        </w:tc>
      </w:tr>
    </w:tbl>
    <w:p w:rsidR="007E58B6" w:rsidRDefault="007E58B6" w:rsidP="007E58B6">
      <w:pPr>
        <w:spacing w:before="120" w:after="0" w:line="360" w:lineRule="auto"/>
        <w:jc w:val="both"/>
        <w:rPr>
          <w:rFonts w:ascii="Arial" w:hAnsi="Arial" w:cs="Arial"/>
          <w:sz w:val="24"/>
          <w:szCs w:val="24"/>
          <w:lang w:val="en-GB"/>
        </w:rPr>
      </w:pPr>
    </w:p>
    <w:p w:rsidR="00C84418" w:rsidRDefault="00C84418" w:rsidP="007E58B6">
      <w:pPr>
        <w:spacing w:before="120" w:after="0" w:line="360" w:lineRule="auto"/>
        <w:jc w:val="both"/>
        <w:rPr>
          <w:rFonts w:ascii="Arial" w:hAnsi="Arial" w:cs="Arial"/>
          <w:sz w:val="24"/>
          <w:szCs w:val="24"/>
          <w:lang w:val="en-GB"/>
        </w:rPr>
      </w:pPr>
    </w:p>
    <w:p w:rsidR="004D0ADE" w:rsidRPr="003019A7" w:rsidRDefault="004D0ADE" w:rsidP="004D0ADE">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3.3</w:t>
      </w:r>
      <w:r w:rsidRPr="003019A7">
        <w:rPr>
          <w:rFonts w:ascii="Arial" w:hAnsi="Arial" w:cs="Arial"/>
          <w:i/>
          <w:sz w:val="24"/>
          <w:szCs w:val="24"/>
          <w:lang w:val="en-GB"/>
        </w:rPr>
        <w:t xml:space="preserve">. </w:t>
      </w:r>
      <w:r>
        <w:rPr>
          <w:rFonts w:ascii="Arial" w:hAnsi="Arial" w:cs="Arial"/>
          <w:i/>
          <w:sz w:val="24"/>
          <w:szCs w:val="24"/>
          <w:lang w:val="en-GB"/>
        </w:rPr>
        <w:t>Results</w:t>
      </w:r>
    </w:p>
    <w:p w:rsidR="009D1B97" w:rsidRDefault="00312553" w:rsidP="009D1B97">
      <w:pPr>
        <w:spacing w:before="120" w:after="0" w:line="360" w:lineRule="auto"/>
        <w:jc w:val="both"/>
        <w:rPr>
          <w:rFonts w:ascii="Arial" w:hAnsi="Arial" w:cs="Arial"/>
          <w:sz w:val="24"/>
          <w:szCs w:val="24"/>
          <w:lang w:val="en-GB"/>
        </w:rPr>
      </w:pPr>
      <w:r w:rsidRPr="00AA5370">
        <w:rPr>
          <w:rFonts w:ascii="Arial" w:hAnsi="Arial" w:cs="Arial"/>
          <w:sz w:val="24"/>
          <w:szCs w:val="24"/>
          <w:lang w:val="en-GB"/>
        </w:rPr>
        <w:t>Eurostat has produced flash estimates for 25 countries</w:t>
      </w:r>
      <w:r w:rsidR="005754A1">
        <w:rPr>
          <w:rFonts w:ascii="Arial" w:hAnsi="Arial" w:cs="Arial"/>
          <w:sz w:val="24"/>
          <w:szCs w:val="24"/>
          <w:lang w:val="en-GB"/>
        </w:rPr>
        <w:t xml:space="preserve"> (see table 3</w:t>
      </w:r>
      <w:r>
        <w:rPr>
          <w:rFonts w:ascii="Arial" w:hAnsi="Arial" w:cs="Arial"/>
          <w:sz w:val="24"/>
          <w:szCs w:val="24"/>
          <w:lang w:val="en-GB"/>
        </w:rPr>
        <w:t>)</w:t>
      </w:r>
      <w:r w:rsidR="00C80A5D">
        <w:rPr>
          <w:rFonts w:ascii="Arial" w:hAnsi="Arial" w:cs="Arial"/>
          <w:sz w:val="24"/>
          <w:szCs w:val="24"/>
          <w:lang w:val="en-GB"/>
        </w:rPr>
        <w:t xml:space="preserve">. </w:t>
      </w:r>
      <w:r w:rsidR="009D1B97">
        <w:rPr>
          <w:rFonts w:ascii="Arial" w:hAnsi="Arial" w:cs="Arial"/>
          <w:sz w:val="24"/>
          <w:szCs w:val="24"/>
          <w:lang w:val="en-GB"/>
        </w:rPr>
        <w:t>They are based on microsimulation except for Belgium, the Czech Republic and Ireland which are based on macroeconomics time series modelling.</w:t>
      </w:r>
      <w:r w:rsidR="009D1B97" w:rsidRPr="003258A5">
        <w:rPr>
          <w:rFonts w:ascii="Arial" w:hAnsi="Arial" w:cs="Arial"/>
          <w:sz w:val="24"/>
          <w:szCs w:val="24"/>
          <w:lang w:val="en-GB"/>
        </w:rPr>
        <w:t xml:space="preserve"> </w:t>
      </w:r>
      <w:r w:rsidR="009D1B97">
        <w:rPr>
          <w:rFonts w:ascii="Arial" w:hAnsi="Arial" w:cs="Arial"/>
          <w:sz w:val="24"/>
          <w:szCs w:val="24"/>
          <w:lang w:val="en-GB"/>
        </w:rPr>
        <w:t xml:space="preserve"> </w:t>
      </w:r>
    </w:p>
    <w:p w:rsidR="0034352C" w:rsidRPr="0034352C" w:rsidRDefault="0034352C" w:rsidP="000C359C">
      <w:pPr>
        <w:spacing w:before="120" w:after="0" w:line="360" w:lineRule="auto"/>
        <w:jc w:val="both"/>
        <w:rPr>
          <w:rFonts w:ascii="Arial" w:hAnsi="Arial" w:cs="Arial"/>
          <w:sz w:val="24"/>
          <w:szCs w:val="24"/>
          <w:lang w:val="en-GB"/>
        </w:rPr>
      </w:pPr>
    </w:p>
    <w:p w:rsidR="0039300E" w:rsidRPr="003019A7" w:rsidRDefault="0039300E" w:rsidP="0039300E">
      <w:pPr>
        <w:spacing w:after="120" w:line="240" w:lineRule="auto"/>
        <w:jc w:val="both"/>
        <w:rPr>
          <w:rFonts w:ascii="Arial" w:hAnsi="Arial" w:cs="Arial"/>
          <w:b/>
          <w:sz w:val="20"/>
          <w:szCs w:val="20"/>
          <w:lang w:val="en-GB"/>
        </w:rPr>
      </w:pPr>
      <w:proofErr w:type="gramStart"/>
      <w:r w:rsidRPr="003019A7">
        <w:rPr>
          <w:rFonts w:ascii="Arial" w:hAnsi="Arial" w:cs="Arial"/>
          <w:b/>
          <w:sz w:val="20"/>
          <w:szCs w:val="20"/>
          <w:lang w:val="en-GB"/>
        </w:rPr>
        <w:t xml:space="preserve">Table </w:t>
      </w:r>
      <w:r w:rsidR="005754A1">
        <w:rPr>
          <w:rFonts w:ascii="Arial" w:hAnsi="Arial" w:cs="Arial"/>
          <w:b/>
          <w:sz w:val="20"/>
          <w:szCs w:val="20"/>
          <w:lang w:val="en-GB"/>
        </w:rPr>
        <w:t>3</w:t>
      </w:r>
      <w:r w:rsidRPr="003019A7">
        <w:rPr>
          <w:rFonts w:ascii="Arial" w:hAnsi="Arial" w:cs="Arial"/>
          <w:b/>
          <w:sz w:val="20"/>
          <w:szCs w:val="20"/>
          <w:lang w:val="en-GB"/>
        </w:rPr>
        <w:t>.</w:t>
      </w:r>
      <w:proofErr w:type="gramEnd"/>
      <w:r w:rsidRPr="003019A7">
        <w:rPr>
          <w:rFonts w:ascii="Arial" w:hAnsi="Arial" w:cs="Arial"/>
          <w:b/>
          <w:sz w:val="20"/>
          <w:szCs w:val="20"/>
          <w:lang w:val="en-GB"/>
        </w:rPr>
        <w:t xml:space="preserve"> Flash estimates of the nominal change 2015-16</w:t>
      </w:r>
    </w:p>
    <w:tbl>
      <w:tblPr>
        <w:tblW w:w="8980" w:type="dxa"/>
        <w:tblInd w:w="93" w:type="dxa"/>
        <w:tblLook w:val="04A0" w:firstRow="1" w:lastRow="0" w:firstColumn="1" w:lastColumn="0" w:noHBand="0" w:noVBand="1"/>
      </w:tblPr>
      <w:tblGrid>
        <w:gridCol w:w="983"/>
        <w:gridCol w:w="1300"/>
        <w:gridCol w:w="960"/>
        <w:gridCol w:w="960"/>
        <w:gridCol w:w="960"/>
        <w:gridCol w:w="960"/>
        <w:gridCol w:w="1005"/>
        <w:gridCol w:w="960"/>
        <w:gridCol w:w="960"/>
      </w:tblGrid>
      <w:tr w:rsidR="00D6610A" w:rsidRPr="00D6610A" w:rsidTr="00D6610A">
        <w:trPr>
          <w:trHeight w:val="315"/>
        </w:trPr>
        <w:tc>
          <w:tcPr>
            <w:tcW w:w="960" w:type="dxa"/>
            <w:tcBorders>
              <w:top w:val="single" w:sz="8" w:space="0" w:color="95B3D7"/>
              <w:left w:val="single" w:sz="8" w:space="0" w:color="95B3D7"/>
              <w:bottom w:val="single" w:sz="8" w:space="0" w:color="95B3D7"/>
              <w:right w:val="nil"/>
            </w:tcBorders>
            <w:shd w:val="clear" w:color="000000" w:fill="4F81BD"/>
            <w:noWrap/>
            <w:vAlign w:val="center"/>
            <w:hideMark/>
          </w:tcPr>
          <w:p w:rsidR="00D6610A" w:rsidRPr="00D6610A" w:rsidRDefault="00D6610A" w:rsidP="00D6610A">
            <w:pPr>
              <w:spacing w:after="0" w:line="240" w:lineRule="auto"/>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Country</w:t>
            </w:r>
          </w:p>
        </w:tc>
        <w:tc>
          <w:tcPr>
            <w:tcW w:w="1300" w:type="dxa"/>
            <w:tcBorders>
              <w:top w:val="single" w:sz="8" w:space="0" w:color="95B3D7"/>
              <w:left w:val="nil"/>
              <w:bottom w:val="single" w:sz="8" w:space="0" w:color="95B3D7"/>
              <w:right w:val="nil"/>
            </w:tcBorders>
            <w:shd w:val="clear" w:color="000000" w:fill="4F81BD"/>
            <w:noWrap/>
            <w:vAlign w:val="center"/>
            <w:hideMark/>
          </w:tcPr>
          <w:p w:rsidR="00D6610A" w:rsidRPr="00D6610A" w:rsidRDefault="00D6610A" w:rsidP="00D6610A">
            <w:pPr>
              <w:spacing w:after="0" w:line="240" w:lineRule="auto"/>
              <w:rPr>
                <w:rFonts w:ascii="Arial" w:eastAsia="Times New Roman" w:hAnsi="Arial" w:cs="Arial"/>
                <w:b/>
                <w:bCs/>
                <w:color w:val="FFFFFF"/>
                <w:sz w:val="20"/>
                <w:szCs w:val="20"/>
                <w:lang w:val="en-GB" w:eastAsia="en-GB"/>
              </w:rPr>
            </w:pPr>
            <w:proofErr w:type="spellStart"/>
            <w:r w:rsidRPr="00D6610A">
              <w:rPr>
                <w:rFonts w:ascii="Arial" w:eastAsia="Times New Roman" w:hAnsi="Arial" w:cs="Arial"/>
                <w:b/>
                <w:bCs/>
                <w:color w:val="FFFFFF"/>
                <w:sz w:val="20"/>
                <w:szCs w:val="20"/>
                <w:lang w:eastAsia="en-GB"/>
              </w:rPr>
              <w:t>Income</w:t>
            </w:r>
            <w:proofErr w:type="spellEnd"/>
            <w:r w:rsidRPr="00D6610A">
              <w:rPr>
                <w:rFonts w:ascii="Arial" w:eastAsia="Times New Roman" w:hAnsi="Arial" w:cs="Arial"/>
                <w:b/>
                <w:bCs/>
                <w:color w:val="FFFFFF"/>
                <w:sz w:val="20"/>
                <w:szCs w:val="20"/>
                <w:lang w:eastAsia="en-GB"/>
              </w:rPr>
              <w:t xml:space="preserve"> </w:t>
            </w:r>
            <w:proofErr w:type="spellStart"/>
            <w:r w:rsidRPr="00D6610A">
              <w:rPr>
                <w:rFonts w:ascii="Arial" w:eastAsia="Times New Roman" w:hAnsi="Arial" w:cs="Arial"/>
                <w:b/>
                <w:bCs/>
                <w:color w:val="FFFFFF"/>
                <w:sz w:val="20"/>
                <w:szCs w:val="20"/>
                <w:lang w:eastAsia="en-GB"/>
              </w:rPr>
              <w:t>Year</w:t>
            </w:r>
            <w:proofErr w:type="spellEnd"/>
          </w:p>
        </w:tc>
        <w:tc>
          <w:tcPr>
            <w:tcW w:w="960" w:type="dxa"/>
            <w:tcBorders>
              <w:top w:val="single" w:sz="8" w:space="0" w:color="95B3D7"/>
              <w:left w:val="nil"/>
              <w:bottom w:val="single" w:sz="8" w:space="0" w:color="95B3D7"/>
              <w:right w:val="nil"/>
            </w:tcBorders>
            <w:shd w:val="clear" w:color="000000" w:fill="4F81BD"/>
            <w:noWrap/>
            <w:vAlign w:val="center"/>
            <w:hideMark/>
          </w:tcPr>
          <w:p w:rsidR="00D6610A" w:rsidRPr="00D6610A" w:rsidRDefault="00D6610A" w:rsidP="00D6610A">
            <w:pPr>
              <w:spacing w:after="0" w:line="240" w:lineRule="auto"/>
              <w:jc w:val="center"/>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AROP</w:t>
            </w:r>
          </w:p>
        </w:tc>
        <w:tc>
          <w:tcPr>
            <w:tcW w:w="960" w:type="dxa"/>
            <w:tcBorders>
              <w:top w:val="single" w:sz="8" w:space="0" w:color="95B3D7"/>
              <w:left w:val="nil"/>
              <w:bottom w:val="single" w:sz="8" w:space="0" w:color="95B3D7"/>
              <w:right w:val="single" w:sz="8" w:space="0" w:color="auto"/>
            </w:tcBorders>
            <w:shd w:val="clear" w:color="000000" w:fill="4F81BD"/>
            <w:noWrap/>
            <w:vAlign w:val="center"/>
            <w:hideMark/>
          </w:tcPr>
          <w:p w:rsidR="00D6610A" w:rsidRPr="00D6610A" w:rsidRDefault="00D6610A" w:rsidP="00D6610A">
            <w:pPr>
              <w:spacing w:after="0" w:line="240" w:lineRule="auto"/>
              <w:jc w:val="center"/>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QSR</w:t>
            </w:r>
          </w:p>
        </w:tc>
        <w:tc>
          <w:tcPr>
            <w:tcW w:w="960" w:type="dxa"/>
            <w:tcBorders>
              <w:top w:val="single" w:sz="8" w:space="0" w:color="95B3D7"/>
              <w:left w:val="nil"/>
              <w:bottom w:val="nil"/>
              <w:right w:val="nil"/>
            </w:tcBorders>
            <w:shd w:val="clear" w:color="000000" w:fill="4F81BD"/>
            <w:noWrap/>
            <w:vAlign w:val="center"/>
            <w:hideMark/>
          </w:tcPr>
          <w:p w:rsidR="00D6610A" w:rsidRPr="00D6610A" w:rsidRDefault="00D6610A" w:rsidP="00D6610A">
            <w:pPr>
              <w:spacing w:after="0" w:line="240" w:lineRule="auto"/>
              <w:jc w:val="center"/>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D1</w:t>
            </w:r>
          </w:p>
        </w:tc>
        <w:tc>
          <w:tcPr>
            <w:tcW w:w="960" w:type="dxa"/>
            <w:tcBorders>
              <w:top w:val="single" w:sz="8" w:space="0" w:color="95B3D7"/>
              <w:left w:val="nil"/>
              <w:bottom w:val="nil"/>
              <w:right w:val="nil"/>
            </w:tcBorders>
            <w:shd w:val="clear" w:color="000000" w:fill="4F81BD"/>
            <w:noWrap/>
            <w:vAlign w:val="center"/>
            <w:hideMark/>
          </w:tcPr>
          <w:p w:rsidR="00D6610A" w:rsidRPr="00D6610A" w:rsidRDefault="00D6610A" w:rsidP="00D6610A">
            <w:pPr>
              <w:spacing w:after="0" w:line="240" w:lineRule="auto"/>
              <w:jc w:val="center"/>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D3</w:t>
            </w:r>
          </w:p>
        </w:tc>
        <w:tc>
          <w:tcPr>
            <w:tcW w:w="960" w:type="dxa"/>
            <w:tcBorders>
              <w:top w:val="single" w:sz="8" w:space="0" w:color="95B3D7"/>
              <w:left w:val="nil"/>
              <w:bottom w:val="nil"/>
              <w:right w:val="nil"/>
            </w:tcBorders>
            <w:shd w:val="clear" w:color="000000" w:fill="4F81BD"/>
            <w:noWrap/>
            <w:vAlign w:val="center"/>
            <w:hideMark/>
          </w:tcPr>
          <w:p w:rsidR="00D6610A" w:rsidRPr="00D6610A" w:rsidRDefault="00D6610A" w:rsidP="00D6610A">
            <w:pPr>
              <w:spacing w:after="0" w:line="240" w:lineRule="auto"/>
              <w:jc w:val="center"/>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MEDIAN</w:t>
            </w:r>
          </w:p>
        </w:tc>
        <w:tc>
          <w:tcPr>
            <w:tcW w:w="960" w:type="dxa"/>
            <w:tcBorders>
              <w:top w:val="single" w:sz="8" w:space="0" w:color="95B3D7"/>
              <w:left w:val="nil"/>
              <w:bottom w:val="nil"/>
              <w:right w:val="nil"/>
            </w:tcBorders>
            <w:shd w:val="clear" w:color="000000" w:fill="4F81BD"/>
            <w:noWrap/>
            <w:vAlign w:val="center"/>
            <w:hideMark/>
          </w:tcPr>
          <w:p w:rsidR="00D6610A" w:rsidRPr="00D6610A" w:rsidRDefault="00D6610A" w:rsidP="00D6610A">
            <w:pPr>
              <w:spacing w:after="0" w:line="240" w:lineRule="auto"/>
              <w:jc w:val="center"/>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D7</w:t>
            </w:r>
          </w:p>
        </w:tc>
        <w:tc>
          <w:tcPr>
            <w:tcW w:w="960" w:type="dxa"/>
            <w:tcBorders>
              <w:top w:val="single" w:sz="8" w:space="0" w:color="95B3D7"/>
              <w:left w:val="nil"/>
              <w:bottom w:val="nil"/>
              <w:right w:val="single" w:sz="8" w:space="0" w:color="95B3D7"/>
            </w:tcBorders>
            <w:shd w:val="clear" w:color="000000" w:fill="4F81BD"/>
            <w:noWrap/>
            <w:vAlign w:val="center"/>
            <w:hideMark/>
          </w:tcPr>
          <w:p w:rsidR="00D6610A" w:rsidRPr="00D6610A" w:rsidRDefault="00D6610A" w:rsidP="00D6610A">
            <w:pPr>
              <w:spacing w:after="0" w:line="240" w:lineRule="auto"/>
              <w:jc w:val="center"/>
              <w:rPr>
                <w:rFonts w:ascii="Arial" w:eastAsia="Times New Roman" w:hAnsi="Arial" w:cs="Arial"/>
                <w:b/>
                <w:bCs/>
                <w:color w:val="FFFFFF"/>
                <w:sz w:val="20"/>
                <w:szCs w:val="20"/>
                <w:lang w:val="en-GB" w:eastAsia="en-GB"/>
              </w:rPr>
            </w:pPr>
            <w:r w:rsidRPr="00D6610A">
              <w:rPr>
                <w:rFonts w:ascii="Arial" w:eastAsia="Times New Roman" w:hAnsi="Arial" w:cs="Arial"/>
                <w:b/>
                <w:bCs/>
                <w:color w:val="FFFFFF"/>
                <w:sz w:val="20"/>
                <w:szCs w:val="20"/>
                <w:lang w:eastAsia="en-GB"/>
              </w:rPr>
              <w:t>D9</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BE</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single" w:sz="8" w:space="0" w:color="95B3D7"/>
            </w:tcBorders>
            <w:shd w:val="clear" w:color="000000" w:fill="F2DBDB"/>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]0,0.3]</w:t>
            </w:r>
          </w:p>
        </w:tc>
        <w:tc>
          <w:tcPr>
            <w:tcW w:w="960" w:type="dxa"/>
            <w:tcBorders>
              <w:top w:val="single" w:sz="8" w:space="0" w:color="95B3D7"/>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single" w:sz="8" w:space="0" w:color="95B3D7"/>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single" w:sz="8" w:space="0" w:color="95B3D7"/>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single" w:sz="8" w:space="0" w:color="95B3D7"/>
              <w:left w:val="nil"/>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single" w:sz="8" w:space="0" w:color="95B3D7"/>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BG</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CZ</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DK*</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EE</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IE</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[-0,6,-0,3[</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EL</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ES</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HR</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single" w:sz="8" w:space="0" w:color="95B3D7"/>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LV</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LT</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LU</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HU</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NL*</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AT</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single" w:sz="8" w:space="0" w:color="95B3D7"/>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PL</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&lt;-2</w:t>
            </w:r>
          </w:p>
        </w:tc>
        <w:tc>
          <w:tcPr>
            <w:tcW w:w="960" w:type="dxa"/>
            <w:tcBorders>
              <w:top w:val="nil"/>
              <w:left w:val="nil"/>
              <w:bottom w:val="single" w:sz="8" w:space="0" w:color="95B3D7"/>
              <w:right w:val="single" w:sz="8" w:space="0" w:color="95B3D7"/>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&lt;-0.6</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PT</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[-1,0]</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RO</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F2DBDB"/>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]0,1]</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nil"/>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c>
          <w:tcPr>
            <w:tcW w:w="960" w:type="dxa"/>
            <w:tcBorders>
              <w:top w:val="nil"/>
              <w:left w:val="nil"/>
              <w:bottom w:val="single" w:sz="8" w:space="0" w:color="95B3D7"/>
              <w:right w:val="single" w:sz="8" w:space="0" w:color="95B3D7"/>
            </w:tcBorders>
            <w:shd w:val="clear" w:color="000000" w:fill="76923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&gt;5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SI</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[-1,0]</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single" w:sz="8" w:space="0" w:color="95B3D7"/>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SK</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single" w:sz="8" w:space="0" w:color="95B3D7"/>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FI</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SE</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single" w:sz="8" w:space="0" w:color="95B3D7"/>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single" w:sz="8" w:space="0" w:color="95B3D7"/>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UK**</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BDBDB"/>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[-1,0]</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DBDBDB"/>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single" w:sz="8" w:space="0" w:color="95B3D7"/>
            </w:tcBorders>
            <w:shd w:val="clear" w:color="000000" w:fill="DBDBDB"/>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i/>
                <w:iCs/>
                <w:color w:val="000000"/>
                <w:sz w:val="20"/>
                <w:szCs w:val="20"/>
                <w:lang w:val="en-GB" w:eastAsia="en-GB"/>
              </w:rPr>
            </w:pPr>
            <w:r w:rsidRPr="00D6610A">
              <w:rPr>
                <w:rFonts w:ascii="Arial" w:eastAsia="Times New Roman" w:hAnsi="Arial" w:cs="Arial"/>
                <w:i/>
                <w:iCs/>
                <w:color w:val="000000"/>
                <w:sz w:val="20"/>
                <w:szCs w:val="20"/>
                <w:lang w:eastAsia="en-GB"/>
              </w:rPr>
              <w:t>DE</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i/>
                <w:iCs/>
                <w:color w:val="000000"/>
                <w:sz w:val="20"/>
                <w:szCs w:val="20"/>
                <w:lang w:val="en-GB" w:eastAsia="en-GB"/>
              </w:rPr>
            </w:pPr>
            <w:r w:rsidRPr="00D6610A">
              <w:rPr>
                <w:rFonts w:ascii="Arial" w:eastAsia="Times New Roman" w:hAnsi="Arial" w:cs="Arial"/>
                <w:i/>
                <w:iCs/>
                <w:color w:val="000000"/>
                <w:sz w:val="20"/>
                <w:szCs w:val="20"/>
                <w:lang w:eastAsia="en-GB"/>
              </w:rPr>
              <w:t>2016</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[-1,0]</w:t>
            </w:r>
          </w:p>
        </w:tc>
        <w:tc>
          <w:tcPr>
            <w:tcW w:w="960" w:type="dxa"/>
            <w:tcBorders>
              <w:top w:val="nil"/>
              <w:left w:val="nil"/>
              <w:bottom w:val="single" w:sz="8" w:space="0" w:color="95B3D7"/>
              <w:right w:val="single" w:sz="8" w:space="0" w:color="95B3D7"/>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FR</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i/>
                <w:iCs/>
                <w:color w:val="000000"/>
                <w:sz w:val="20"/>
                <w:szCs w:val="20"/>
                <w:lang w:val="en-GB" w:eastAsia="en-GB"/>
              </w:rPr>
            </w:pPr>
            <w:r w:rsidRPr="00D6610A">
              <w:rPr>
                <w:rFonts w:ascii="Arial" w:eastAsia="Times New Roman" w:hAnsi="Arial" w:cs="Arial"/>
                <w:i/>
                <w:iCs/>
                <w:color w:val="000000"/>
                <w:sz w:val="20"/>
                <w:szCs w:val="20"/>
                <w:lang w:eastAsia="en-GB"/>
              </w:rPr>
              <w:t>IT</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i/>
                <w:iCs/>
                <w:color w:val="000000"/>
                <w:sz w:val="20"/>
                <w:szCs w:val="20"/>
                <w:lang w:val="en-GB" w:eastAsia="en-GB"/>
              </w:rPr>
            </w:pPr>
            <w:r w:rsidRPr="00D6610A">
              <w:rPr>
                <w:rFonts w:ascii="Arial" w:eastAsia="Times New Roman" w:hAnsi="Arial" w:cs="Arial"/>
                <w:i/>
                <w:iCs/>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nil"/>
            </w:tcBorders>
            <w:shd w:val="clear" w:color="000000" w:fill="D6E3BC"/>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]0,2]</w:t>
            </w:r>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FFFFFF"/>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CY</w:t>
            </w:r>
          </w:p>
        </w:tc>
        <w:tc>
          <w:tcPr>
            <w:tcW w:w="1300" w:type="dxa"/>
            <w:tcBorders>
              <w:top w:val="nil"/>
              <w:left w:val="nil"/>
              <w:bottom w:val="single" w:sz="8" w:space="0" w:color="95B3D7"/>
              <w:right w:val="single" w:sz="8" w:space="0" w:color="95B3D7"/>
            </w:tcBorders>
            <w:shd w:val="clear" w:color="000000" w:fill="FFFFFF"/>
            <w:noWrap/>
            <w:vAlign w:val="center"/>
            <w:hideMark/>
          </w:tcPr>
          <w:p w:rsidR="00D6610A" w:rsidRPr="00D6610A" w:rsidRDefault="00D6610A" w:rsidP="00D6610A">
            <w:pPr>
              <w:spacing w:after="0" w:line="240" w:lineRule="auto"/>
              <w:jc w:val="right"/>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2016</w:t>
            </w:r>
          </w:p>
        </w:tc>
        <w:tc>
          <w:tcPr>
            <w:tcW w:w="960" w:type="dxa"/>
            <w:tcBorders>
              <w:top w:val="nil"/>
              <w:left w:val="nil"/>
              <w:bottom w:val="single" w:sz="8" w:space="0" w:color="95B3D7"/>
              <w:right w:val="nil"/>
            </w:tcBorders>
            <w:shd w:val="clear" w:color="auto" w:fill="auto"/>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gramStart"/>
            <w:r w:rsidRPr="00D6610A">
              <w:rPr>
                <w:rFonts w:ascii="Arial" w:eastAsia="Times New Roman" w:hAnsi="Arial" w:cs="Arial"/>
                <w:color w:val="000000"/>
                <w:sz w:val="20"/>
                <w:szCs w:val="20"/>
                <w:lang w:eastAsia="en-GB"/>
              </w:rPr>
              <w:t>u</w:t>
            </w:r>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r w:rsidR="00D6610A" w:rsidRPr="00D6610A" w:rsidTr="00D6610A">
        <w:trPr>
          <w:trHeight w:val="315"/>
        </w:trPr>
        <w:tc>
          <w:tcPr>
            <w:tcW w:w="960" w:type="dxa"/>
            <w:tcBorders>
              <w:top w:val="nil"/>
              <w:left w:val="single" w:sz="8" w:space="0" w:color="95B3D7"/>
              <w:bottom w:val="single" w:sz="8" w:space="0" w:color="95B3D7"/>
              <w:right w:val="nil"/>
            </w:tcBorders>
            <w:shd w:val="clear" w:color="000000" w:fill="DCE6F1"/>
            <w:noWrap/>
            <w:vAlign w:val="center"/>
            <w:hideMark/>
          </w:tcPr>
          <w:p w:rsidR="00D6610A" w:rsidRPr="00D6610A" w:rsidRDefault="00D6610A" w:rsidP="00D6610A">
            <w:pPr>
              <w:spacing w:after="0" w:line="240" w:lineRule="auto"/>
              <w:rPr>
                <w:rFonts w:ascii="Arial" w:eastAsia="Times New Roman" w:hAnsi="Arial" w:cs="Arial"/>
                <w:i/>
                <w:iCs/>
                <w:color w:val="000000"/>
                <w:sz w:val="20"/>
                <w:szCs w:val="20"/>
                <w:lang w:val="en-GB" w:eastAsia="en-GB"/>
              </w:rPr>
            </w:pPr>
            <w:r w:rsidRPr="00D6610A">
              <w:rPr>
                <w:rFonts w:ascii="Arial" w:eastAsia="Times New Roman" w:hAnsi="Arial" w:cs="Arial"/>
                <w:i/>
                <w:iCs/>
                <w:color w:val="000000"/>
                <w:sz w:val="20"/>
                <w:szCs w:val="20"/>
                <w:lang w:eastAsia="en-GB"/>
              </w:rPr>
              <w:t>MT</w:t>
            </w:r>
          </w:p>
        </w:tc>
        <w:tc>
          <w:tcPr>
            <w:tcW w:w="1300" w:type="dxa"/>
            <w:tcBorders>
              <w:top w:val="nil"/>
              <w:left w:val="nil"/>
              <w:bottom w:val="single" w:sz="8" w:space="0" w:color="95B3D7"/>
              <w:right w:val="single" w:sz="8" w:space="0" w:color="95B3D7"/>
            </w:tcBorders>
            <w:shd w:val="clear" w:color="000000" w:fill="DCE6F1"/>
            <w:noWrap/>
            <w:vAlign w:val="center"/>
            <w:hideMark/>
          </w:tcPr>
          <w:p w:rsidR="00D6610A" w:rsidRPr="00D6610A" w:rsidRDefault="00D6610A" w:rsidP="00D6610A">
            <w:pPr>
              <w:spacing w:after="0" w:line="240" w:lineRule="auto"/>
              <w:jc w:val="right"/>
              <w:rPr>
                <w:rFonts w:ascii="Arial" w:eastAsia="Times New Roman" w:hAnsi="Arial" w:cs="Arial"/>
                <w:i/>
                <w:iCs/>
                <w:color w:val="000000"/>
                <w:sz w:val="20"/>
                <w:szCs w:val="20"/>
                <w:lang w:val="en-GB" w:eastAsia="en-GB"/>
              </w:rPr>
            </w:pPr>
            <w:r w:rsidRPr="00D6610A">
              <w:rPr>
                <w:rFonts w:ascii="Arial" w:eastAsia="Times New Roman" w:hAnsi="Arial" w:cs="Arial"/>
                <w:i/>
                <w:iCs/>
                <w:color w:val="000000"/>
                <w:sz w:val="20"/>
                <w:szCs w:val="20"/>
                <w:lang w:eastAsia="en-GB"/>
              </w:rPr>
              <w:t>2016</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92D050"/>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r w:rsidRPr="00D6610A">
              <w:rPr>
                <w:rFonts w:ascii="Arial" w:eastAsia="Times New Roman" w:hAnsi="Arial" w:cs="Arial"/>
                <w:color w:val="000000"/>
                <w:sz w:val="20"/>
                <w:szCs w:val="20"/>
                <w:lang w:eastAsia="en-GB"/>
              </w:rPr>
              <w:t>]2,5]</w:t>
            </w:r>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nil"/>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c>
          <w:tcPr>
            <w:tcW w:w="960" w:type="dxa"/>
            <w:tcBorders>
              <w:top w:val="nil"/>
              <w:left w:val="nil"/>
              <w:bottom w:val="single" w:sz="8" w:space="0" w:color="95B3D7"/>
              <w:right w:val="single" w:sz="8" w:space="0" w:color="95B3D7"/>
            </w:tcBorders>
            <w:shd w:val="clear" w:color="000000" w:fill="D9D9D9"/>
            <w:noWrap/>
            <w:vAlign w:val="center"/>
            <w:hideMark/>
          </w:tcPr>
          <w:p w:rsidR="00D6610A" w:rsidRPr="00D6610A" w:rsidRDefault="00D6610A" w:rsidP="00D6610A">
            <w:pPr>
              <w:spacing w:after="0" w:line="240" w:lineRule="auto"/>
              <w:rPr>
                <w:rFonts w:ascii="Arial" w:eastAsia="Times New Roman" w:hAnsi="Arial" w:cs="Arial"/>
                <w:color w:val="000000"/>
                <w:sz w:val="20"/>
                <w:szCs w:val="20"/>
                <w:lang w:val="en-GB" w:eastAsia="en-GB"/>
              </w:rPr>
            </w:pPr>
            <w:proofErr w:type="spellStart"/>
            <w:proofErr w:type="gramStart"/>
            <w:r w:rsidRPr="00D6610A">
              <w:rPr>
                <w:rFonts w:ascii="Arial" w:eastAsia="Times New Roman" w:hAnsi="Arial" w:cs="Arial"/>
                <w:color w:val="000000"/>
                <w:sz w:val="20"/>
                <w:szCs w:val="20"/>
                <w:lang w:eastAsia="en-GB"/>
              </w:rPr>
              <w:t>ns</w:t>
            </w:r>
            <w:proofErr w:type="spellEnd"/>
            <w:proofErr w:type="gramEnd"/>
          </w:p>
        </w:tc>
      </w:tr>
    </w:tbl>
    <w:p w:rsidR="005754A1" w:rsidRDefault="0039300E" w:rsidP="0039300E">
      <w:pPr>
        <w:rPr>
          <w:rFonts w:ascii="Arial" w:hAnsi="Arial" w:cs="Arial"/>
          <w:sz w:val="20"/>
          <w:szCs w:val="20"/>
          <w:lang w:val="en-GB"/>
        </w:rPr>
      </w:pPr>
      <w:r w:rsidRPr="0039300E">
        <w:rPr>
          <w:rFonts w:ascii="Arial" w:hAnsi="Arial" w:cs="Arial"/>
          <w:sz w:val="20"/>
          <w:szCs w:val="20"/>
          <w:lang w:val="en-GB"/>
        </w:rPr>
        <w:t xml:space="preserve">*National preliminary data is used; </w:t>
      </w:r>
      <w:r w:rsidR="007E58B6">
        <w:rPr>
          <w:rFonts w:ascii="Arial" w:hAnsi="Arial" w:cs="Arial"/>
          <w:sz w:val="20"/>
          <w:szCs w:val="20"/>
          <w:lang w:val="en-GB"/>
        </w:rPr>
        <w:t>**SILC data</w:t>
      </w:r>
      <w:r w:rsidR="005754A1">
        <w:rPr>
          <w:rFonts w:ascii="Arial" w:hAnsi="Arial" w:cs="Arial"/>
          <w:sz w:val="20"/>
          <w:szCs w:val="20"/>
          <w:lang w:val="en-GB"/>
        </w:rPr>
        <w:t xml:space="preserve">; </w:t>
      </w:r>
      <w:r w:rsidRPr="0039300E">
        <w:rPr>
          <w:rFonts w:ascii="Arial" w:hAnsi="Arial" w:cs="Arial"/>
          <w:sz w:val="20"/>
          <w:szCs w:val="20"/>
          <w:lang w:val="en-GB"/>
        </w:rPr>
        <w:t>u: unreliable, ns: not significant</w:t>
      </w:r>
    </w:p>
    <w:p w:rsidR="0039300E" w:rsidRDefault="0039300E" w:rsidP="0039300E">
      <w:pPr>
        <w:rPr>
          <w:rFonts w:ascii="Arial" w:hAnsi="Arial" w:cs="Arial"/>
          <w:sz w:val="20"/>
          <w:szCs w:val="20"/>
          <w:lang w:val="en-GB"/>
        </w:rPr>
      </w:pPr>
      <w:r w:rsidRPr="004F1DC4">
        <w:rPr>
          <w:rFonts w:ascii="Arial" w:hAnsi="Arial" w:cs="Arial"/>
          <w:sz w:val="20"/>
          <w:szCs w:val="20"/>
          <w:lang w:val="en-GB"/>
        </w:rPr>
        <w:t xml:space="preserve">Source: Eurostat calculations based on EUROMOD H0.25+ and Eurostat data sources (EU-SILC, </w:t>
      </w:r>
      <w:r w:rsidR="00DD59FB">
        <w:rPr>
          <w:rFonts w:ascii="Arial" w:hAnsi="Arial" w:cs="Arial"/>
          <w:sz w:val="20"/>
          <w:szCs w:val="20"/>
          <w:lang w:val="en-GB"/>
        </w:rPr>
        <w:t>EU-</w:t>
      </w:r>
      <w:r w:rsidRPr="004F1DC4">
        <w:rPr>
          <w:rFonts w:ascii="Arial" w:hAnsi="Arial" w:cs="Arial"/>
          <w:sz w:val="20"/>
          <w:szCs w:val="20"/>
          <w:lang w:val="en-GB"/>
        </w:rPr>
        <w:t xml:space="preserve">LFS, </w:t>
      </w:r>
      <w:proofErr w:type="gramStart"/>
      <w:r w:rsidRPr="004F1DC4">
        <w:rPr>
          <w:rFonts w:ascii="Arial" w:hAnsi="Arial" w:cs="Arial"/>
          <w:sz w:val="20"/>
          <w:szCs w:val="20"/>
          <w:lang w:val="en-GB"/>
        </w:rPr>
        <w:t>Sector</w:t>
      </w:r>
      <w:proofErr w:type="gramEnd"/>
      <w:r w:rsidRPr="004F1DC4">
        <w:rPr>
          <w:rFonts w:ascii="Arial" w:hAnsi="Arial" w:cs="Arial"/>
          <w:sz w:val="20"/>
          <w:szCs w:val="20"/>
          <w:lang w:val="en-GB"/>
        </w:rPr>
        <w:t xml:space="preserve"> Accounts)</w:t>
      </w:r>
    </w:p>
    <w:p w:rsidR="009D1B97" w:rsidRDefault="009D1B97" w:rsidP="009D1B97">
      <w:pPr>
        <w:spacing w:before="120" w:after="0" w:line="360" w:lineRule="auto"/>
        <w:jc w:val="both"/>
        <w:rPr>
          <w:rFonts w:ascii="Arial" w:hAnsi="Arial" w:cs="Arial"/>
          <w:sz w:val="24"/>
          <w:szCs w:val="24"/>
          <w:lang w:val="en-GB"/>
        </w:rPr>
      </w:pPr>
      <w:r w:rsidRPr="00AA5370">
        <w:rPr>
          <w:rFonts w:ascii="Arial" w:hAnsi="Arial" w:cs="Arial"/>
          <w:sz w:val="24"/>
          <w:szCs w:val="24"/>
          <w:lang w:val="en-GB"/>
        </w:rPr>
        <w:lastRenderedPageBreak/>
        <w:t>For Denmark and</w:t>
      </w:r>
      <w:r>
        <w:rPr>
          <w:rFonts w:ascii="Arial" w:hAnsi="Arial" w:cs="Arial"/>
          <w:sz w:val="24"/>
          <w:szCs w:val="24"/>
          <w:lang w:val="en-GB"/>
        </w:rPr>
        <w:t xml:space="preserve"> the Netherlands</w:t>
      </w:r>
      <w:r w:rsidRPr="00AA5370">
        <w:rPr>
          <w:rFonts w:ascii="Arial" w:hAnsi="Arial" w:cs="Arial"/>
          <w:sz w:val="24"/>
          <w:szCs w:val="24"/>
          <w:lang w:val="en-GB"/>
        </w:rPr>
        <w:t>, provisional national register data were used.</w:t>
      </w:r>
      <w:r>
        <w:rPr>
          <w:rFonts w:ascii="Arial" w:hAnsi="Arial" w:cs="Arial"/>
          <w:sz w:val="24"/>
          <w:szCs w:val="24"/>
          <w:lang w:val="en-GB"/>
        </w:rPr>
        <w:t xml:space="preserve"> For the</w:t>
      </w:r>
      <w:r w:rsidRPr="0034352C">
        <w:rPr>
          <w:rFonts w:ascii="Arial" w:hAnsi="Arial" w:cs="Arial"/>
          <w:sz w:val="24"/>
          <w:szCs w:val="24"/>
          <w:lang w:val="en-GB"/>
        </w:rPr>
        <w:t xml:space="preserve"> U</w:t>
      </w:r>
      <w:r>
        <w:rPr>
          <w:rFonts w:ascii="Arial" w:hAnsi="Arial" w:cs="Arial"/>
          <w:sz w:val="24"/>
          <w:szCs w:val="24"/>
          <w:lang w:val="en-GB"/>
        </w:rPr>
        <w:t xml:space="preserve">nited Kingdom, </w:t>
      </w:r>
      <w:r w:rsidRPr="0034352C">
        <w:rPr>
          <w:rFonts w:ascii="Arial" w:hAnsi="Arial" w:cs="Arial"/>
          <w:sz w:val="24"/>
          <w:szCs w:val="24"/>
          <w:lang w:val="en-GB"/>
        </w:rPr>
        <w:t xml:space="preserve">EU-SILC 2016 </w:t>
      </w:r>
      <w:r>
        <w:rPr>
          <w:rFonts w:ascii="Arial" w:hAnsi="Arial" w:cs="Arial"/>
          <w:sz w:val="24"/>
          <w:szCs w:val="24"/>
          <w:lang w:val="en-GB"/>
        </w:rPr>
        <w:t>is used because for the UK the data collection and income reference period are the same.</w:t>
      </w:r>
    </w:p>
    <w:p w:rsidR="009D1B97" w:rsidRPr="004F1DC4" w:rsidRDefault="009D1B97" w:rsidP="0039300E">
      <w:pPr>
        <w:rPr>
          <w:rFonts w:ascii="Arial" w:hAnsi="Arial" w:cs="Arial"/>
          <w:sz w:val="20"/>
          <w:szCs w:val="20"/>
          <w:lang w:val="en-GB"/>
        </w:rPr>
      </w:pPr>
    </w:p>
    <w:p w:rsidR="0034352C" w:rsidRPr="005754A1" w:rsidRDefault="005754A1" w:rsidP="00312553">
      <w:pPr>
        <w:spacing w:before="120" w:after="0" w:line="360" w:lineRule="auto"/>
        <w:jc w:val="both"/>
        <w:rPr>
          <w:rFonts w:ascii="Arial" w:hAnsi="Arial" w:cs="Arial"/>
          <w:sz w:val="24"/>
          <w:szCs w:val="24"/>
          <w:lang w:val="en-GB"/>
        </w:rPr>
      </w:pPr>
      <w:r w:rsidRPr="005754A1">
        <w:rPr>
          <w:rFonts w:ascii="Arial" w:hAnsi="Arial" w:cs="Arial"/>
          <w:sz w:val="24"/>
          <w:szCs w:val="24"/>
          <w:lang w:val="en-GB"/>
        </w:rPr>
        <w:t xml:space="preserve">The </w:t>
      </w:r>
      <w:r w:rsidR="0034352C" w:rsidRPr="005754A1">
        <w:rPr>
          <w:rFonts w:ascii="Arial" w:hAnsi="Arial" w:cs="Arial"/>
          <w:sz w:val="24"/>
          <w:szCs w:val="24"/>
          <w:lang w:val="en-GB"/>
        </w:rPr>
        <w:t>figures for flash estimates 2016</w:t>
      </w:r>
      <w:r w:rsidRPr="005754A1">
        <w:rPr>
          <w:rFonts w:ascii="Arial" w:hAnsi="Arial" w:cs="Arial"/>
          <w:sz w:val="24"/>
          <w:szCs w:val="24"/>
          <w:lang w:val="en-GB"/>
        </w:rPr>
        <w:t xml:space="preserve"> are </w:t>
      </w:r>
      <w:r w:rsidR="0034352C" w:rsidRPr="005754A1">
        <w:rPr>
          <w:rFonts w:ascii="Arial" w:hAnsi="Arial" w:cs="Arial"/>
          <w:sz w:val="24"/>
          <w:szCs w:val="24"/>
          <w:lang w:val="en-GB"/>
        </w:rPr>
        <w:t>in terms of absolute change for AROP and QSR and change in percent for the deciles.</w:t>
      </w:r>
      <w:r w:rsidR="00312553" w:rsidRPr="005754A1">
        <w:rPr>
          <w:rFonts w:ascii="Arial" w:hAnsi="Arial" w:cs="Arial"/>
          <w:sz w:val="24"/>
          <w:szCs w:val="24"/>
          <w:lang w:val="en-GB"/>
        </w:rPr>
        <w:t xml:space="preserve"> We can observe that AROP and QSR for the majority of countries have not significantly changed. This is in line with previous developments of these indicators in EU-SILC when most of the yearly changes are not significant. It becomes thus relevant to assess the trends across several years and to check the relative movement of the deciles. </w:t>
      </w:r>
      <w:r w:rsidR="0034352C" w:rsidRPr="005754A1">
        <w:rPr>
          <w:lang w:val="en-GB"/>
        </w:rPr>
        <w:t xml:space="preserve"> </w:t>
      </w:r>
      <w:r w:rsidR="0034352C" w:rsidRPr="005754A1">
        <w:rPr>
          <w:rFonts w:ascii="Arial" w:hAnsi="Arial" w:cs="Arial"/>
          <w:sz w:val="24"/>
          <w:szCs w:val="24"/>
          <w:lang w:val="en-GB"/>
        </w:rPr>
        <w:t xml:space="preserve">It should be noted that only those estimates indicated as fit-for-purpose, meaning passing the quality assessment framework, are disseminated. </w:t>
      </w:r>
    </w:p>
    <w:p w:rsidR="0034352C" w:rsidRPr="003724C1" w:rsidRDefault="00C84418" w:rsidP="00E6471B">
      <w:pPr>
        <w:spacing w:before="360" w:after="0" w:line="360" w:lineRule="auto"/>
        <w:jc w:val="both"/>
        <w:rPr>
          <w:rFonts w:ascii="Arial" w:hAnsi="Arial" w:cs="Arial"/>
          <w:sz w:val="24"/>
          <w:szCs w:val="24"/>
          <w:lang w:val="en-GB"/>
        </w:rPr>
      </w:pPr>
      <w:r>
        <w:rPr>
          <w:rFonts w:ascii="Arial" w:hAnsi="Arial" w:cs="Arial"/>
          <w:sz w:val="24"/>
          <w:szCs w:val="24"/>
          <w:lang w:val="en-GB"/>
        </w:rPr>
        <w:t>Flash estimates are</w:t>
      </w:r>
      <w:r w:rsidRPr="00754467">
        <w:rPr>
          <w:rFonts w:ascii="Arial" w:hAnsi="Arial" w:cs="Arial"/>
          <w:sz w:val="24"/>
          <w:szCs w:val="24"/>
          <w:lang w:val="en-GB"/>
        </w:rPr>
        <w:t xml:space="preserve"> </w:t>
      </w:r>
      <w:hyperlink r:id="rId12" w:history="1">
        <w:r w:rsidRPr="00B94982">
          <w:rPr>
            <w:rStyle w:val="Hyperlink"/>
            <w:rFonts w:ascii="Arial" w:hAnsi="Arial" w:cs="Arial"/>
            <w:sz w:val="24"/>
            <w:szCs w:val="24"/>
            <w:lang w:val="en-GB"/>
          </w:rPr>
          <w:t>published</w:t>
        </w:r>
      </w:hyperlink>
      <w:r>
        <w:rPr>
          <w:rFonts w:ascii="Arial" w:hAnsi="Arial" w:cs="Arial"/>
          <w:sz w:val="24"/>
          <w:szCs w:val="24"/>
          <w:lang w:val="en-GB"/>
        </w:rPr>
        <w:t xml:space="preserve"> </w:t>
      </w:r>
      <w:r w:rsidR="009D1B97">
        <w:rPr>
          <w:rFonts w:ascii="Arial" w:hAnsi="Arial" w:cs="Arial"/>
          <w:sz w:val="24"/>
          <w:szCs w:val="24"/>
          <w:lang w:val="en-GB"/>
        </w:rPr>
        <w:t xml:space="preserve">as Experimental Statistics </w:t>
      </w:r>
      <w:r>
        <w:rPr>
          <w:rFonts w:ascii="Arial" w:hAnsi="Arial" w:cs="Arial"/>
          <w:sz w:val="24"/>
          <w:szCs w:val="24"/>
          <w:lang w:val="en-GB"/>
        </w:rPr>
        <w:t>in Eurostat's website.</w:t>
      </w:r>
    </w:p>
    <w:p w:rsidR="000C359C" w:rsidRDefault="000C359C" w:rsidP="000C359C">
      <w:pPr>
        <w:spacing w:before="120" w:after="0" w:line="360" w:lineRule="auto"/>
        <w:jc w:val="both"/>
        <w:rPr>
          <w:rFonts w:ascii="Arial" w:hAnsi="Arial" w:cs="Arial"/>
          <w:sz w:val="24"/>
          <w:szCs w:val="24"/>
          <w:lang w:val="en-GB"/>
        </w:rPr>
      </w:pPr>
    </w:p>
    <w:p w:rsidR="009D1B97" w:rsidRDefault="009D1B97" w:rsidP="000C359C">
      <w:pPr>
        <w:spacing w:before="120" w:after="0" w:line="360" w:lineRule="auto"/>
        <w:jc w:val="both"/>
        <w:rPr>
          <w:rFonts w:ascii="Arial" w:hAnsi="Arial" w:cs="Arial"/>
          <w:sz w:val="24"/>
          <w:szCs w:val="24"/>
          <w:lang w:val="en-GB"/>
        </w:rPr>
      </w:pPr>
    </w:p>
    <w:p w:rsidR="00F30C27" w:rsidRPr="00EC5F5A" w:rsidRDefault="004740F1" w:rsidP="000C359C">
      <w:pPr>
        <w:spacing w:before="12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876DAF">
        <w:rPr>
          <w:rFonts w:ascii="Arial" w:hAnsi="Arial" w:cs="Arial"/>
          <w:b/>
          <w:sz w:val="24"/>
          <w:szCs w:val="24"/>
          <w:lang w:val="en-GB"/>
        </w:rPr>
        <w:t>Quality assessment</w:t>
      </w:r>
    </w:p>
    <w:p w:rsidR="00637540" w:rsidRDefault="00554639" w:rsidP="00554639">
      <w:pPr>
        <w:spacing w:before="120" w:after="0" w:line="360" w:lineRule="auto"/>
        <w:jc w:val="both"/>
        <w:rPr>
          <w:rFonts w:ascii="Arial" w:hAnsi="Arial" w:cs="Arial"/>
          <w:sz w:val="24"/>
          <w:szCs w:val="24"/>
          <w:lang w:val="en-GB"/>
        </w:rPr>
      </w:pPr>
      <w:r w:rsidRPr="0027548D">
        <w:rPr>
          <w:rFonts w:ascii="Arial" w:hAnsi="Arial" w:cs="Arial"/>
          <w:sz w:val="24"/>
          <w:szCs w:val="24"/>
          <w:lang w:val="en-GB"/>
        </w:rPr>
        <w:t>Developing flash estimates on poverty and income inequalities in the ESS involves that their methods, sources and output adhere to a common quality framework</w:t>
      </w:r>
      <w:r w:rsidR="00637540">
        <w:rPr>
          <w:rFonts w:ascii="Arial" w:hAnsi="Arial" w:cs="Arial"/>
          <w:sz w:val="24"/>
          <w:szCs w:val="24"/>
          <w:lang w:val="en-GB"/>
        </w:rPr>
        <w:t>:</w:t>
      </w:r>
    </w:p>
    <w:p w:rsidR="00637540" w:rsidRPr="004F1DC4" w:rsidRDefault="00637540" w:rsidP="00637540">
      <w:pPr>
        <w:spacing w:before="120" w:after="0" w:line="360" w:lineRule="auto"/>
        <w:jc w:val="both"/>
        <w:rPr>
          <w:rFonts w:ascii="Arial" w:hAnsi="Arial" w:cs="Arial"/>
          <w:sz w:val="24"/>
          <w:szCs w:val="24"/>
          <w:lang w:val="en-GB"/>
        </w:rPr>
      </w:pPr>
      <w:r>
        <w:rPr>
          <w:rFonts w:ascii="Arial" w:hAnsi="Arial" w:cs="Arial"/>
          <w:sz w:val="24"/>
          <w:szCs w:val="24"/>
          <w:lang w:val="en-GB"/>
        </w:rPr>
        <w:t xml:space="preserve">a) </w:t>
      </w:r>
      <w:r w:rsidRPr="00637540">
        <w:rPr>
          <w:rFonts w:ascii="Arial" w:hAnsi="Arial" w:cs="Arial"/>
          <w:sz w:val="24"/>
          <w:szCs w:val="24"/>
          <w:lang w:val="en-GB"/>
        </w:rPr>
        <w:t>Quality Assurance</w:t>
      </w:r>
      <w:r w:rsidR="00BA2C02">
        <w:rPr>
          <w:rFonts w:ascii="Arial" w:hAnsi="Arial" w:cs="Arial"/>
          <w:sz w:val="24"/>
          <w:szCs w:val="24"/>
          <w:lang w:val="en-GB"/>
        </w:rPr>
        <w:t xml:space="preserve">: </w:t>
      </w:r>
      <w:r w:rsidRPr="00637540">
        <w:rPr>
          <w:rFonts w:ascii="Arial" w:hAnsi="Arial" w:cs="Arial"/>
          <w:sz w:val="24"/>
          <w:szCs w:val="24"/>
          <w:lang w:val="en-GB"/>
        </w:rPr>
        <w:t xml:space="preserve"> to make sure that our way of producing the FE is correct and robust</w:t>
      </w:r>
      <w:r>
        <w:rPr>
          <w:rFonts w:ascii="Arial" w:hAnsi="Arial" w:cs="Arial"/>
          <w:sz w:val="24"/>
          <w:szCs w:val="24"/>
          <w:lang w:val="en-GB"/>
        </w:rPr>
        <w:t xml:space="preserve"> with </w:t>
      </w:r>
      <w:r w:rsidRPr="004F1DC4">
        <w:rPr>
          <w:rFonts w:ascii="Arial" w:hAnsi="Arial" w:cs="Arial"/>
          <w:sz w:val="24"/>
          <w:szCs w:val="24"/>
          <w:lang w:val="en-GB"/>
        </w:rPr>
        <w:t>quality checks concerning input coherence and intermediate steps</w:t>
      </w:r>
      <w:r w:rsidRPr="00637540">
        <w:rPr>
          <w:rFonts w:ascii="Arial" w:hAnsi="Arial" w:cs="Arial"/>
          <w:sz w:val="24"/>
          <w:szCs w:val="24"/>
          <w:lang w:val="en-GB"/>
        </w:rPr>
        <w:t xml:space="preserve">; an important component being our actively seeking the feedback and input from stakeholders (users and </w:t>
      </w:r>
      <w:r w:rsidR="00BA2C02">
        <w:rPr>
          <w:rFonts w:ascii="Arial" w:hAnsi="Arial" w:cs="Arial"/>
          <w:sz w:val="24"/>
          <w:szCs w:val="24"/>
          <w:lang w:val="en-GB"/>
        </w:rPr>
        <w:t>national statistical institutes</w:t>
      </w:r>
      <w:r w:rsidRPr="00637540">
        <w:rPr>
          <w:rFonts w:ascii="Arial" w:hAnsi="Arial" w:cs="Arial"/>
          <w:sz w:val="24"/>
          <w:szCs w:val="24"/>
          <w:lang w:val="en-GB"/>
        </w:rPr>
        <w:t>) and the academic community.</w:t>
      </w:r>
    </w:p>
    <w:p w:rsidR="00D63A70" w:rsidRDefault="00637540" w:rsidP="00D63A70">
      <w:pPr>
        <w:spacing w:before="120" w:after="0" w:line="360" w:lineRule="auto"/>
        <w:jc w:val="both"/>
        <w:rPr>
          <w:rFonts w:ascii="Arial" w:hAnsi="Arial" w:cs="Arial"/>
          <w:sz w:val="24"/>
          <w:szCs w:val="24"/>
          <w:lang w:val="en-GB"/>
        </w:rPr>
      </w:pPr>
      <w:r>
        <w:rPr>
          <w:rFonts w:ascii="Arial" w:hAnsi="Arial" w:cs="Arial"/>
          <w:sz w:val="24"/>
          <w:szCs w:val="24"/>
          <w:lang w:val="en-GB"/>
        </w:rPr>
        <w:t xml:space="preserve">b) Quality Assessment </w:t>
      </w:r>
      <w:r w:rsidR="00C74D44" w:rsidRPr="00AF1523">
        <w:rPr>
          <w:rFonts w:ascii="Arial" w:hAnsi="Arial" w:cs="Arial"/>
          <w:sz w:val="24"/>
          <w:szCs w:val="24"/>
          <w:lang w:val="en-GB"/>
        </w:rPr>
        <w:t>in order to ensure a comparable way to assess results stemming from different methods and national est</w:t>
      </w:r>
      <w:r w:rsidR="00C74D44">
        <w:rPr>
          <w:rFonts w:ascii="Arial" w:hAnsi="Arial" w:cs="Arial"/>
          <w:sz w:val="24"/>
          <w:szCs w:val="24"/>
          <w:lang w:val="en-GB"/>
        </w:rPr>
        <w:t>imates within this ESS exercise. This</w:t>
      </w:r>
      <w:r>
        <w:rPr>
          <w:rFonts w:ascii="Arial" w:hAnsi="Arial" w:cs="Arial"/>
          <w:sz w:val="24"/>
          <w:szCs w:val="24"/>
          <w:lang w:val="en-GB"/>
        </w:rPr>
        <w:t xml:space="preserve"> includes</w:t>
      </w:r>
      <w:r w:rsidR="00C74D44">
        <w:rPr>
          <w:rFonts w:ascii="Arial" w:hAnsi="Arial" w:cs="Arial"/>
          <w:sz w:val="24"/>
          <w:szCs w:val="24"/>
          <w:lang w:val="en-GB"/>
        </w:rPr>
        <w:t>:</w:t>
      </w:r>
      <w:r>
        <w:rPr>
          <w:rFonts w:ascii="Arial" w:hAnsi="Arial" w:cs="Arial"/>
          <w:sz w:val="24"/>
          <w:szCs w:val="24"/>
          <w:lang w:val="en-GB"/>
        </w:rPr>
        <w:t xml:space="preserve"> 1</w:t>
      </w:r>
      <w:r w:rsidR="00D63A70" w:rsidRPr="004F1DC4">
        <w:rPr>
          <w:rFonts w:ascii="Arial" w:hAnsi="Arial" w:cs="Arial"/>
          <w:sz w:val="24"/>
          <w:szCs w:val="24"/>
          <w:lang w:val="en-GB"/>
        </w:rPr>
        <w:t xml:space="preserve">) the historical performance of the model </w:t>
      </w:r>
      <w:r>
        <w:rPr>
          <w:rFonts w:ascii="Arial" w:hAnsi="Arial" w:cs="Arial"/>
          <w:sz w:val="24"/>
          <w:szCs w:val="24"/>
          <w:lang w:val="en-GB"/>
        </w:rPr>
        <w:t>and</w:t>
      </w:r>
      <w:r w:rsidR="00D63A70" w:rsidRPr="004F1DC4">
        <w:rPr>
          <w:rFonts w:ascii="Arial" w:hAnsi="Arial" w:cs="Arial"/>
          <w:sz w:val="24"/>
          <w:szCs w:val="24"/>
          <w:lang w:val="en-GB"/>
        </w:rPr>
        <w:t xml:space="preserve"> </w:t>
      </w:r>
      <w:r>
        <w:rPr>
          <w:rFonts w:ascii="Arial" w:hAnsi="Arial" w:cs="Arial"/>
          <w:sz w:val="24"/>
          <w:szCs w:val="24"/>
          <w:lang w:val="en-GB"/>
        </w:rPr>
        <w:t>2</w:t>
      </w:r>
      <w:r w:rsidR="00D63A70" w:rsidRPr="004F1DC4">
        <w:rPr>
          <w:rFonts w:ascii="Arial" w:hAnsi="Arial" w:cs="Arial"/>
          <w:sz w:val="24"/>
          <w:szCs w:val="24"/>
          <w:lang w:val="en-GB"/>
        </w:rPr>
        <w:t>) the plausibility of the estimated changes</w:t>
      </w:r>
      <w:r>
        <w:rPr>
          <w:rFonts w:ascii="Arial" w:hAnsi="Arial" w:cs="Arial"/>
          <w:sz w:val="24"/>
          <w:szCs w:val="24"/>
          <w:lang w:val="en-GB"/>
        </w:rPr>
        <w:t xml:space="preserve">. </w:t>
      </w:r>
    </w:p>
    <w:p w:rsidR="00013991" w:rsidRPr="00D63A70" w:rsidRDefault="00013991" w:rsidP="0001399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section is focused on </w:t>
      </w:r>
      <w:r w:rsidR="009D1B97">
        <w:rPr>
          <w:rFonts w:ascii="Arial" w:hAnsi="Arial" w:cs="Arial"/>
          <w:sz w:val="24"/>
          <w:szCs w:val="24"/>
          <w:lang w:val="en-GB"/>
        </w:rPr>
        <w:t>part b) Q</w:t>
      </w:r>
      <w:r>
        <w:rPr>
          <w:rFonts w:ascii="Arial" w:hAnsi="Arial" w:cs="Arial"/>
          <w:sz w:val="24"/>
          <w:szCs w:val="24"/>
          <w:lang w:val="en-GB"/>
        </w:rPr>
        <w:t>uality assessment in the context of assessing the</w:t>
      </w:r>
      <w:r w:rsidR="009307FB">
        <w:rPr>
          <w:rFonts w:ascii="Arial" w:hAnsi="Arial" w:cs="Arial"/>
          <w:sz w:val="24"/>
          <w:szCs w:val="24"/>
          <w:lang w:val="en-GB"/>
        </w:rPr>
        <w:t xml:space="preserve"> reliability </w:t>
      </w:r>
      <w:r>
        <w:rPr>
          <w:rFonts w:ascii="Arial" w:hAnsi="Arial" w:cs="Arial"/>
          <w:sz w:val="24"/>
          <w:szCs w:val="24"/>
          <w:lang w:val="en-GB"/>
        </w:rPr>
        <w:t xml:space="preserve">of flash estimates 2016 before </w:t>
      </w:r>
      <w:r w:rsidR="009307FB">
        <w:rPr>
          <w:rFonts w:ascii="Arial" w:hAnsi="Arial" w:cs="Arial"/>
          <w:sz w:val="24"/>
          <w:szCs w:val="24"/>
          <w:lang w:val="en-GB"/>
        </w:rPr>
        <w:t>the SILC 2017 (income 2016) arrives</w:t>
      </w:r>
      <w:r>
        <w:rPr>
          <w:rFonts w:ascii="Arial" w:hAnsi="Arial" w:cs="Arial"/>
          <w:sz w:val="24"/>
          <w:szCs w:val="24"/>
          <w:lang w:val="en-GB"/>
        </w:rPr>
        <w:t xml:space="preserve">. </w:t>
      </w:r>
    </w:p>
    <w:p w:rsidR="00013991" w:rsidRDefault="00013991" w:rsidP="00D63A70">
      <w:pPr>
        <w:spacing w:before="120" w:after="0" w:line="360" w:lineRule="auto"/>
        <w:jc w:val="both"/>
        <w:rPr>
          <w:rFonts w:ascii="Arial" w:hAnsi="Arial" w:cs="Arial"/>
          <w:sz w:val="24"/>
          <w:szCs w:val="24"/>
          <w:lang w:val="en-GB"/>
        </w:rPr>
      </w:pPr>
    </w:p>
    <w:p w:rsidR="00AD421C" w:rsidRDefault="00AD421C" w:rsidP="00D63A70">
      <w:pPr>
        <w:spacing w:before="120" w:after="0" w:line="360" w:lineRule="auto"/>
        <w:jc w:val="both"/>
        <w:rPr>
          <w:rFonts w:ascii="Arial" w:hAnsi="Arial" w:cs="Arial"/>
          <w:sz w:val="24"/>
          <w:szCs w:val="24"/>
          <w:lang w:val="en-GB"/>
        </w:rPr>
      </w:pPr>
    </w:p>
    <w:p w:rsidR="00D63A70" w:rsidRDefault="00C97838" w:rsidP="00D63A70">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4.1</w:t>
      </w:r>
      <w:r w:rsidR="00D63A70" w:rsidRPr="003019A7">
        <w:rPr>
          <w:rFonts w:ascii="Arial" w:hAnsi="Arial" w:cs="Arial"/>
          <w:i/>
          <w:sz w:val="24"/>
          <w:szCs w:val="24"/>
          <w:lang w:val="en-GB"/>
        </w:rPr>
        <w:t xml:space="preserve">. </w:t>
      </w:r>
      <w:r w:rsidR="00D63A70">
        <w:rPr>
          <w:rFonts w:ascii="Arial" w:hAnsi="Arial" w:cs="Arial"/>
          <w:i/>
          <w:sz w:val="24"/>
          <w:szCs w:val="24"/>
          <w:lang w:val="en-GB"/>
        </w:rPr>
        <w:t>Histori</w:t>
      </w:r>
      <w:r w:rsidR="009D1B97">
        <w:rPr>
          <w:rFonts w:ascii="Arial" w:hAnsi="Arial" w:cs="Arial"/>
          <w:i/>
          <w:sz w:val="24"/>
          <w:szCs w:val="24"/>
          <w:lang w:val="en-GB"/>
        </w:rPr>
        <w:t>c</w:t>
      </w:r>
      <w:r w:rsidR="00D63A70">
        <w:rPr>
          <w:rFonts w:ascii="Arial" w:hAnsi="Arial" w:cs="Arial"/>
          <w:i/>
          <w:sz w:val="24"/>
          <w:szCs w:val="24"/>
          <w:lang w:val="en-GB"/>
        </w:rPr>
        <w:t>al performance of the model</w:t>
      </w:r>
    </w:p>
    <w:p w:rsidR="009D0D89" w:rsidRDefault="00554639" w:rsidP="009D0D89">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AF1523">
        <w:rPr>
          <w:rFonts w:ascii="Arial" w:hAnsi="Arial" w:cs="Arial"/>
          <w:sz w:val="24"/>
          <w:szCs w:val="24"/>
          <w:lang w:val="en-GB"/>
        </w:rPr>
        <w:t xml:space="preserve">he historical performance of the model is defined as the ability to </w:t>
      </w:r>
      <w:proofErr w:type="spellStart"/>
      <w:r w:rsidRPr="00AF1523">
        <w:rPr>
          <w:rFonts w:ascii="Arial" w:hAnsi="Arial" w:cs="Arial"/>
          <w:sz w:val="24"/>
          <w:szCs w:val="24"/>
          <w:lang w:val="en-GB"/>
        </w:rPr>
        <w:t>retropredict</w:t>
      </w:r>
      <w:proofErr w:type="spellEnd"/>
      <w:r w:rsidRPr="00AF1523">
        <w:rPr>
          <w:rFonts w:ascii="Arial" w:hAnsi="Arial" w:cs="Arial"/>
          <w:sz w:val="24"/>
          <w:szCs w:val="24"/>
          <w:lang w:val="en-GB"/>
        </w:rPr>
        <w:t xml:space="preserve"> accurately changes in the main target indicators as captured by EU-SILC. Flash estimates were simulated from 2012 to 2015 and compared with EU-SILC indicators. </w:t>
      </w:r>
      <w:r w:rsidR="009D0D89">
        <w:rPr>
          <w:rFonts w:ascii="Arial" w:hAnsi="Arial" w:cs="Arial"/>
          <w:sz w:val="24"/>
          <w:szCs w:val="24"/>
          <w:lang w:val="en-GB"/>
        </w:rPr>
        <w:t xml:space="preserve">Performance is </w:t>
      </w:r>
      <w:r>
        <w:rPr>
          <w:rFonts w:ascii="Arial" w:hAnsi="Arial" w:cs="Arial"/>
          <w:sz w:val="24"/>
          <w:szCs w:val="24"/>
          <w:lang w:val="en-GB"/>
        </w:rPr>
        <w:t xml:space="preserve">mainly </w:t>
      </w:r>
      <w:r w:rsidR="009D0D89">
        <w:rPr>
          <w:rFonts w:ascii="Arial" w:hAnsi="Arial" w:cs="Arial"/>
          <w:sz w:val="24"/>
          <w:szCs w:val="24"/>
          <w:lang w:val="en-GB"/>
        </w:rPr>
        <w:t xml:space="preserve">assessed for with the </w:t>
      </w:r>
      <w:r w:rsidR="009D0D89" w:rsidRPr="0027548D">
        <w:rPr>
          <w:rFonts w:ascii="Arial" w:hAnsi="Arial" w:cs="Arial"/>
          <w:sz w:val="24"/>
          <w:szCs w:val="24"/>
          <w:lang w:val="en-GB"/>
        </w:rPr>
        <w:t>Mean Absolute Error (MAE), as an expression of a linear</w:t>
      </w:r>
      <w:r w:rsidR="009D0D89" w:rsidRPr="009D1B97">
        <w:rPr>
          <w:rFonts w:ascii="Arial" w:hAnsi="Arial" w:cs="Arial"/>
          <w:vertAlign w:val="superscript"/>
          <w:lang w:val="en-GB"/>
        </w:rPr>
        <w:footnoteReference w:id="6"/>
      </w:r>
      <w:r w:rsidR="009D0D89" w:rsidRPr="0027548D">
        <w:rPr>
          <w:rFonts w:ascii="Arial" w:hAnsi="Arial" w:cs="Arial"/>
          <w:sz w:val="24"/>
          <w:szCs w:val="24"/>
          <w:lang w:val="en-GB"/>
        </w:rPr>
        <w:t>, symmetric</w:t>
      </w:r>
      <w:r w:rsidR="009D0D89" w:rsidRPr="009D1B97">
        <w:rPr>
          <w:rFonts w:ascii="Arial" w:hAnsi="Arial" w:cs="Arial"/>
          <w:vertAlign w:val="superscript"/>
          <w:lang w:val="en-GB"/>
        </w:rPr>
        <w:footnoteReference w:id="7"/>
      </w:r>
      <w:r w:rsidR="009D0D89" w:rsidRPr="0027548D">
        <w:rPr>
          <w:rFonts w:ascii="Arial" w:hAnsi="Arial" w:cs="Arial"/>
          <w:sz w:val="24"/>
          <w:szCs w:val="24"/>
          <w:lang w:val="en-GB"/>
        </w:rPr>
        <w:t xml:space="preserve"> loss function:</w:t>
      </w:r>
    </w:p>
    <w:p w:rsidR="002623A8" w:rsidRDefault="002623A8" w:rsidP="009D0D89">
      <w:pPr>
        <w:spacing w:before="120" w:after="0" w:line="360" w:lineRule="auto"/>
        <w:jc w:val="both"/>
        <w:rPr>
          <w:rFonts w:ascii="Arial" w:hAnsi="Arial" w:cs="Arial"/>
          <w:sz w:val="24"/>
          <w:szCs w:val="24"/>
          <w:lang w:val="en-GB"/>
        </w:rPr>
      </w:pPr>
    </w:p>
    <w:p w:rsidR="009D0D89" w:rsidRPr="002623A8" w:rsidRDefault="009D0D89" w:rsidP="009D0D89">
      <w:pPr>
        <w:rPr>
          <w:rFonts w:eastAsiaTheme="minorEastAsia"/>
        </w:rPr>
      </w:pPr>
      <m:oMathPara>
        <m:oMath>
          <m:r>
            <w:rPr>
              <w:rFonts w:ascii="Cambria Math" w:hAnsi="Cambria Math"/>
            </w:rPr>
            <m:t>Mean Absolute Error (MAE)= mean</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y</m:t>
                      </m:r>
                    </m:sub>
                  </m:sSub>
                </m:e>
              </m:d>
            </m:e>
          </m:d>
        </m:oMath>
      </m:oMathPara>
    </w:p>
    <w:p w:rsidR="002623A8" w:rsidRPr="00C97838" w:rsidRDefault="002623A8" w:rsidP="009D0D89">
      <w:pPr>
        <w:rPr>
          <w:rFonts w:eastAsiaTheme="minorEastAsia"/>
        </w:rPr>
      </w:pPr>
    </w:p>
    <w:p w:rsidR="009D0D89" w:rsidRPr="0027548D" w:rsidRDefault="009D0D89" w:rsidP="009D0D89">
      <w:pPr>
        <w:spacing w:before="120" w:after="0" w:line="360" w:lineRule="auto"/>
        <w:jc w:val="both"/>
        <w:rPr>
          <w:rFonts w:ascii="Arial" w:hAnsi="Arial" w:cs="Arial"/>
          <w:sz w:val="24"/>
          <w:szCs w:val="24"/>
          <w:lang w:val="en-GB"/>
        </w:rPr>
      </w:pPr>
      <w:r w:rsidRPr="0027548D">
        <w:rPr>
          <w:rFonts w:ascii="Arial" w:hAnsi="Arial" w:cs="Arial"/>
          <w:sz w:val="24"/>
          <w:szCs w:val="24"/>
          <w:lang w:val="en-GB"/>
        </w:rPr>
        <w:t xml:space="preserve">The </w:t>
      </w:r>
      <w:proofErr w:type="spellStart"/>
      <w:r w:rsidRPr="0027548D">
        <w:rPr>
          <w:rFonts w:ascii="Arial" w:hAnsi="Arial" w:cs="Arial"/>
          <w:sz w:val="24"/>
          <w:szCs w:val="24"/>
          <w:lang w:val="en-GB"/>
        </w:rPr>
        <w:t>nowcasting</w:t>
      </w:r>
      <w:proofErr w:type="spellEnd"/>
      <w:r w:rsidRPr="0027548D">
        <w:rPr>
          <w:rFonts w:ascii="Arial" w:hAnsi="Arial" w:cs="Arial"/>
          <w:sz w:val="24"/>
          <w:szCs w:val="24"/>
          <w:lang w:val="en-GB"/>
        </w:rPr>
        <w:t xml:space="preserve"> error</w:t>
      </w:r>
      <w:r>
        <w:rPr>
          <w:rFonts w:ascii="Arial" w:hAnsi="Arial" w:cs="Arial"/>
          <w:sz w:val="24"/>
          <w:szCs w:val="24"/>
          <w:lang w:val="en-GB"/>
        </w:rPr>
        <w:t xml:space="preserve"> </w:t>
      </w:r>
      <m:oMath>
        <m:sSub>
          <m:sSubPr>
            <m:ctrlPr>
              <w:rPr>
                <w:rFonts w:ascii="Cambria Math" w:hAnsi="Cambria Math"/>
                <w:i/>
              </w:rPr>
            </m:ctrlPr>
          </m:sSubPr>
          <m:e>
            <m:r>
              <w:rPr>
                <w:rFonts w:ascii="Cambria Math" w:hAnsi="Cambria Math"/>
              </w:rPr>
              <m:t>e</m:t>
            </m:r>
          </m:e>
          <m:sub>
            <m:r>
              <w:rPr>
                <w:rFonts w:ascii="Cambria Math" w:hAnsi="Cambria Math"/>
              </w:rPr>
              <m:t>y</m:t>
            </m:r>
          </m:sub>
        </m:sSub>
      </m:oMath>
      <w:r w:rsidRPr="0027548D">
        <w:rPr>
          <w:rFonts w:ascii="Arial" w:hAnsi="Arial" w:cs="Arial"/>
          <w:sz w:val="24"/>
          <w:szCs w:val="24"/>
          <w:lang w:val="en-GB"/>
        </w:rPr>
        <w:t xml:space="preserve"> compares the observed percentage change of SILC (YoY.OBS), respectively with the nowcasting estimate (YoY.EST) of the percentage change</w:t>
      </w:r>
      <w:r w:rsidRPr="009D1B97">
        <w:rPr>
          <w:rFonts w:ascii="Arial" w:hAnsi="Arial" w:cs="Arial"/>
          <w:vertAlign w:val="superscript"/>
        </w:rPr>
        <w:footnoteReference w:id="8"/>
      </w:r>
      <w:r w:rsidRPr="0027548D">
        <w:rPr>
          <w:rFonts w:ascii="Arial" w:hAnsi="Arial" w:cs="Arial"/>
          <w:sz w:val="24"/>
          <w:szCs w:val="24"/>
          <w:lang w:val="en-GB"/>
        </w:rPr>
        <w:t xml:space="preserve"> in the target indicator:</w:t>
      </w:r>
    </w:p>
    <w:p w:rsidR="009D0D89" w:rsidRDefault="00A571BB" w:rsidP="009D0D89">
      <m:oMathPara>
        <m:oMath>
          <m:sSub>
            <m:sSubPr>
              <m:ctrlPr>
                <w:rPr>
                  <w:rFonts w:ascii="Cambria Math" w:hAnsi="Cambria Math"/>
                  <w:i/>
                </w:rPr>
              </m:ctrlPr>
            </m:sSubPr>
            <m:e>
              <m:r>
                <w:rPr>
                  <w:rFonts w:ascii="Cambria Math" w:hAnsi="Cambria Math"/>
                </w:rPr>
                <m:t>e</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YoY.OBS</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YoY.EST</m:t>
              </m:r>
            </m:e>
            <m:sub>
              <m:r>
                <w:rPr>
                  <w:rFonts w:ascii="Cambria Math" w:hAnsi="Cambria Math"/>
                </w:rPr>
                <m:t>y</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OBS</m:t>
                  </m:r>
                </m:e>
                <m:sub>
                  <m:r>
                    <w:rPr>
                      <w:rFonts w:ascii="Cambria Math" w:hAnsi="Cambria Math"/>
                    </w:rPr>
                    <m:t>y</m:t>
                  </m:r>
                </m:sub>
              </m:sSub>
            </m:num>
            <m:den>
              <m:sSub>
                <m:sSubPr>
                  <m:ctrlPr>
                    <w:rPr>
                      <w:rFonts w:ascii="Cambria Math" w:hAnsi="Cambria Math"/>
                      <w:i/>
                    </w:rPr>
                  </m:ctrlPr>
                </m:sSubPr>
                <m:e>
                  <m:r>
                    <w:rPr>
                      <w:rFonts w:ascii="Cambria Math" w:hAnsi="Cambria Math"/>
                    </w:rPr>
                    <m:t>OBS</m:t>
                  </m:r>
                </m:e>
                <m:sub>
                  <m:r>
                    <w:rPr>
                      <w:rFonts w:ascii="Cambria Math" w:hAnsi="Cambria Math"/>
                    </w:rPr>
                    <m:t>y-1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EST</m:t>
                  </m:r>
                </m:e>
                <m:sub>
                  <m:r>
                    <w:rPr>
                      <w:rFonts w:ascii="Cambria Math" w:hAnsi="Cambria Math"/>
                    </w:rPr>
                    <m:t>y</m:t>
                  </m:r>
                </m:sub>
              </m:sSub>
            </m:num>
            <m:den>
              <m:sSub>
                <m:sSubPr>
                  <m:ctrlPr>
                    <w:rPr>
                      <w:rFonts w:ascii="Cambria Math" w:hAnsi="Cambria Math"/>
                      <w:i/>
                    </w:rPr>
                  </m:ctrlPr>
                </m:sSubPr>
                <m:e>
                  <m:r>
                    <w:rPr>
                      <w:rFonts w:ascii="Cambria Math" w:hAnsi="Cambria Math"/>
                    </w:rPr>
                    <m:t>EST</m:t>
                  </m:r>
                </m:e>
                <m:sub>
                  <m:r>
                    <w:rPr>
                      <w:rFonts w:ascii="Cambria Math" w:hAnsi="Cambria Math"/>
                    </w:rPr>
                    <m:t>y-1</m:t>
                  </m:r>
                </m:sub>
              </m:sSub>
            </m:den>
          </m:f>
        </m:oMath>
      </m:oMathPara>
    </w:p>
    <w:p w:rsidR="00C97838" w:rsidRDefault="00C97838" w:rsidP="009D0D89">
      <w:pPr>
        <w:spacing w:before="120" w:after="0" w:line="360" w:lineRule="auto"/>
        <w:jc w:val="both"/>
        <w:rPr>
          <w:rFonts w:ascii="Arial" w:hAnsi="Arial" w:cs="Arial"/>
          <w:sz w:val="24"/>
          <w:szCs w:val="24"/>
          <w:lang w:val="en-GB"/>
        </w:rPr>
      </w:pPr>
    </w:p>
    <w:p w:rsidR="009D0D89" w:rsidRDefault="009D0D89" w:rsidP="009D0D89">
      <w:pPr>
        <w:spacing w:before="120" w:after="0" w:line="360" w:lineRule="auto"/>
        <w:jc w:val="both"/>
        <w:rPr>
          <w:rFonts w:ascii="Arial" w:hAnsi="Arial" w:cs="Arial"/>
          <w:sz w:val="24"/>
          <w:szCs w:val="24"/>
          <w:lang w:val="en-GB"/>
        </w:rPr>
      </w:pPr>
      <w:proofErr w:type="gramStart"/>
      <w:r w:rsidRPr="0027548D">
        <w:rPr>
          <w:rFonts w:ascii="Arial" w:hAnsi="Arial" w:cs="Arial"/>
          <w:sz w:val="24"/>
          <w:szCs w:val="24"/>
          <w:lang w:val="en-GB"/>
        </w:rPr>
        <w:t>where</w:t>
      </w:r>
      <w:proofErr w:type="gramEnd"/>
      <w:r w:rsidRPr="0027548D">
        <w:rPr>
          <w:rFonts w:ascii="Arial" w:hAnsi="Arial" w:cs="Arial"/>
          <w:sz w:val="24"/>
          <w:szCs w:val="24"/>
          <w:lang w:val="en-GB"/>
        </w:rPr>
        <w:t xml:space="preserve"> </w:t>
      </w:r>
      <m:oMath>
        <m:sSub>
          <m:sSubPr>
            <m:ctrlPr>
              <w:rPr>
                <w:rFonts w:ascii="Cambria Math" w:hAnsi="Cambria Math" w:cs="Arial"/>
                <w:sz w:val="24"/>
                <w:szCs w:val="24"/>
                <w:lang w:val="en-GB"/>
              </w:rPr>
            </m:ctrlPr>
          </m:sSubPr>
          <m:e>
            <m:r>
              <w:rPr>
                <w:rFonts w:ascii="Cambria Math" w:hAnsi="Cambria Math" w:cs="Arial"/>
                <w:sz w:val="24"/>
                <w:szCs w:val="24"/>
                <w:lang w:val="en-GB"/>
              </w:rPr>
              <m:t>OBS</m:t>
            </m:r>
          </m:e>
          <m:sub>
            <m:r>
              <w:rPr>
                <w:rFonts w:ascii="Cambria Math" w:hAnsi="Cambria Math" w:cs="Arial"/>
                <w:sz w:val="24"/>
                <w:szCs w:val="24"/>
                <w:lang w:val="en-GB"/>
              </w:rPr>
              <m:t>y</m:t>
            </m:r>
          </m:sub>
        </m:sSub>
      </m:oMath>
      <w:r w:rsidRPr="0027548D">
        <w:rPr>
          <w:rFonts w:ascii="Arial" w:hAnsi="Arial" w:cs="Arial"/>
          <w:sz w:val="24"/>
          <w:szCs w:val="24"/>
          <w:lang w:val="en-GB"/>
        </w:rPr>
        <w:t xml:space="preserve"> is the observed (SILC) value of the indicator in income year y, and </w:t>
      </w:r>
      <m:oMath>
        <m:sSub>
          <m:sSubPr>
            <m:ctrlPr>
              <w:rPr>
                <w:rFonts w:ascii="Cambria Math" w:hAnsi="Cambria Math" w:cs="Arial"/>
                <w:sz w:val="24"/>
                <w:szCs w:val="24"/>
                <w:lang w:val="en-GB"/>
              </w:rPr>
            </m:ctrlPr>
          </m:sSubPr>
          <m:e>
            <m:r>
              <w:rPr>
                <w:rFonts w:ascii="Cambria Math" w:hAnsi="Cambria Math" w:cs="Arial"/>
                <w:sz w:val="24"/>
                <w:szCs w:val="24"/>
                <w:lang w:val="en-GB"/>
              </w:rPr>
              <m:t>EST</m:t>
            </m:r>
          </m:e>
          <m:sub>
            <m:r>
              <w:rPr>
                <w:rFonts w:ascii="Cambria Math" w:hAnsi="Cambria Math" w:cs="Arial"/>
                <w:sz w:val="24"/>
                <w:szCs w:val="24"/>
                <w:lang w:val="en-GB"/>
              </w:rPr>
              <m:t>y</m:t>
            </m:r>
          </m:sub>
        </m:sSub>
      </m:oMath>
      <w:r w:rsidRPr="0027548D">
        <w:rPr>
          <w:rFonts w:ascii="Arial" w:hAnsi="Arial" w:cs="Arial"/>
          <w:sz w:val="24"/>
          <w:szCs w:val="24"/>
          <w:lang w:val="en-GB"/>
        </w:rPr>
        <w:t xml:space="preserve">is the out-of-sample nowcasting estimate of </w:t>
      </w:r>
      <m:oMath>
        <m:sSub>
          <m:sSubPr>
            <m:ctrlPr>
              <w:rPr>
                <w:rFonts w:ascii="Cambria Math" w:hAnsi="Cambria Math" w:cs="Arial"/>
                <w:sz w:val="24"/>
                <w:szCs w:val="24"/>
                <w:lang w:val="en-GB"/>
              </w:rPr>
            </m:ctrlPr>
          </m:sSubPr>
          <m:e>
            <m:r>
              <w:rPr>
                <w:rFonts w:ascii="Cambria Math" w:hAnsi="Cambria Math" w:cs="Arial"/>
                <w:sz w:val="24"/>
                <w:szCs w:val="24"/>
                <w:lang w:val="en-GB"/>
              </w:rPr>
              <m:t>OBS</m:t>
            </m:r>
          </m:e>
          <m:sub>
            <m:r>
              <w:rPr>
                <w:rFonts w:ascii="Cambria Math" w:hAnsi="Cambria Math" w:cs="Arial"/>
                <w:sz w:val="24"/>
                <w:szCs w:val="24"/>
                <w:lang w:val="en-GB"/>
              </w:rPr>
              <m:t>y</m:t>
            </m:r>
          </m:sub>
        </m:sSub>
      </m:oMath>
      <w:r w:rsidRPr="0027548D">
        <w:rPr>
          <w:rFonts w:ascii="Arial" w:hAnsi="Arial" w:cs="Arial"/>
          <w:sz w:val="24"/>
          <w:szCs w:val="24"/>
          <w:lang w:val="en-GB"/>
        </w:rPr>
        <w:t xml:space="preserve">. </w:t>
      </w:r>
    </w:p>
    <w:p w:rsidR="009D0D89" w:rsidRDefault="00554639" w:rsidP="009D0D89">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best model by country is selected </w:t>
      </w:r>
      <w:r w:rsidR="009307FB">
        <w:rPr>
          <w:rFonts w:ascii="Arial" w:hAnsi="Arial" w:cs="Arial"/>
          <w:sz w:val="24"/>
          <w:szCs w:val="24"/>
          <w:lang w:val="en-GB"/>
        </w:rPr>
        <w:t>on the basis of</w:t>
      </w:r>
      <w:r>
        <w:rPr>
          <w:rFonts w:ascii="Arial" w:hAnsi="Arial" w:cs="Arial"/>
          <w:sz w:val="24"/>
          <w:szCs w:val="24"/>
          <w:lang w:val="en-GB"/>
        </w:rPr>
        <w:t xml:space="preserve"> its average out-of-sample past performance. </w:t>
      </w:r>
    </w:p>
    <w:p w:rsidR="00C97838" w:rsidRPr="0027548D" w:rsidRDefault="00C97838" w:rsidP="009D0D89">
      <w:pPr>
        <w:spacing w:before="120" w:after="0" w:line="360" w:lineRule="auto"/>
        <w:jc w:val="both"/>
        <w:rPr>
          <w:rFonts w:ascii="Arial" w:hAnsi="Arial" w:cs="Arial"/>
          <w:sz w:val="24"/>
          <w:szCs w:val="24"/>
          <w:lang w:val="en-GB"/>
        </w:rPr>
      </w:pPr>
    </w:p>
    <w:p w:rsidR="00D63A70" w:rsidRDefault="00C97838" w:rsidP="00D63A70">
      <w:pPr>
        <w:spacing w:before="360" w:after="0" w:line="360" w:lineRule="auto"/>
        <w:jc w:val="both"/>
        <w:rPr>
          <w:rFonts w:ascii="Arial" w:hAnsi="Arial" w:cs="Arial"/>
          <w:i/>
          <w:sz w:val="24"/>
          <w:szCs w:val="24"/>
          <w:lang w:val="en-GB"/>
        </w:rPr>
      </w:pPr>
      <w:r>
        <w:rPr>
          <w:rFonts w:ascii="Arial" w:hAnsi="Arial" w:cs="Arial"/>
          <w:i/>
          <w:sz w:val="24"/>
          <w:szCs w:val="24"/>
          <w:lang w:val="en-GB"/>
        </w:rPr>
        <w:t>4.2</w:t>
      </w:r>
      <w:r w:rsidR="00D63A70" w:rsidRPr="003019A7">
        <w:rPr>
          <w:rFonts w:ascii="Arial" w:hAnsi="Arial" w:cs="Arial"/>
          <w:i/>
          <w:sz w:val="24"/>
          <w:szCs w:val="24"/>
          <w:lang w:val="en-GB"/>
        </w:rPr>
        <w:t xml:space="preserve">. </w:t>
      </w:r>
      <w:r w:rsidR="00D63A70">
        <w:rPr>
          <w:rFonts w:ascii="Arial" w:hAnsi="Arial" w:cs="Arial"/>
          <w:i/>
          <w:sz w:val="24"/>
          <w:szCs w:val="24"/>
          <w:lang w:val="en-GB"/>
        </w:rPr>
        <w:t>Plausibility of the estimated change</w:t>
      </w:r>
    </w:p>
    <w:p w:rsidR="00BC32B3" w:rsidRPr="00BC32B3" w:rsidRDefault="00D97FDE" w:rsidP="00BC32B3">
      <w:pPr>
        <w:spacing w:before="360" w:after="0" w:line="360" w:lineRule="auto"/>
        <w:jc w:val="both"/>
        <w:rPr>
          <w:rFonts w:ascii="Arial" w:hAnsi="Arial" w:cs="Arial"/>
          <w:sz w:val="24"/>
          <w:szCs w:val="24"/>
          <w:lang w:val="en-GB"/>
        </w:rPr>
      </w:pPr>
      <w:r>
        <w:rPr>
          <w:rFonts w:ascii="Arial" w:hAnsi="Arial" w:cs="Arial"/>
          <w:sz w:val="24"/>
          <w:szCs w:val="24"/>
          <w:lang w:val="en-GB"/>
        </w:rPr>
        <w:t xml:space="preserve">Plausibility is </w:t>
      </w:r>
      <w:r w:rsidR="00BC32B3" w:rsidRPr="00BC32B3">
        <w:rPr>
          <w:rFonts w:ascii="Arial" w:hAnsi="Arial" w:cs="Arial"/>
          <w:sz w:val="24"/>
          <w:szCs w:val="24"/>
          <w:lang w:val="en-GB"/>
        </w:rPr>
        <w:t xml:space="preserve">defined </w:t>
      </w:r>
      <w:r w:rsidRPr="00BC32B3">
        <w:rPr>
          <w:rFonts w:ascii="Arial" w:hAnsi="Arial" w:cs="Arial"/>
          <w:sz w:val="24"/>
          <w:szCs w:val="24"/>
          <w:lang w:val="en-GB"/>
        </w:rPr>
        <w:t>as</w:t>
      </w:r>
      <w:r>
        <w:rPr>
          <w:rFonts w:ascii="Arial" w:hAnsi="Arial" w:cs="Arial"/>
          <w:sz w:val="24"/>
          <w:szCs w:val="24"/>
          <w:lang w:val="en-GB"/>
        </w:rPr>
        <w:t xml:space="preserve"> "reinforcement through external validation". It</w:t>
      </w:r>
      <w:r w:rsidR="00BC32B3" w:rsidRPr="00BC32B3">
        <w:rPr>
          <w:rFonts w:ascii="Arial" w:hAnsi="Arial" w:cs="Arial"/>
          <w:sz w:val="24"/>
          <w:szCs w:val="24"/>
          <w:lang w:val="en-GB"/>
        </w:rPr>
        <w:t xml:space="preserve"> </w:t>
      </w:r>
      <w:r>
        <w:rPr>
          <w:rFonts w:ascii="Arial" w:hAnsi="Arial" w:cs="Arial"/>
          <w:sz w:val="24"/>
          <w:szCs w:val="24"/>
          <w:lang w:val="en-GB"/>
        </w:rPr>
        <w:t>can be</w:t>
      </w:r>
      <w:r w:rsidR="00BC32B3" w:rsidRPr="00BC32B3">
        <w:rPr>
          <w:rFonts w:ascii="Arial" w:hAnsi="Arial" w:cs="Arial"/>
          <w:sz w:val="24"/>
          <w:szCs w:val="24"/>
          <w:lang w:val="en-GB"/>
        </w:rPr>
        <w:t xml:space="preserve"> </w:t>
      </w:r>
      <w:r>
        <w:rPr>
          <w:rFonts w:ascii="Arial" w:hAnsi="Arial" w:cs="Arial"/>
          <w:sz w:val="24"/>
          <w:szCs w:val="24"/>
          <w:lang w:val="en-GB"/>
        </w:rPr>
        <w:t xml:space="preserve">used as </w:t>
      </w:r>
      <w:r w:rsidR="00BC32B3" w:rsidRPr="00BC32B3">
        <w:rPr>
          <w:rFonts w:ascii="Arial" w:hAnsi="Arial" w:cs="Arial"/>
          <w:sz w:val="24"/>
          <w:szCs w:val="24"/>
          <w:lang w:val="en-GB"/>
        </w:rPr>
        <w:t xml:space="preserve">a complement to </w:t>
      </w:r>
      <w:r>
        <w:rPr>
          <w:rFonts w:ascii="Arial" w:hAnsi="Arial" w:cs="Arial"/>
          <w:sz w:val="24"/>
          <w:szCs w:val="24"/>
          <w:lang w:val="en-GB"/>
        </w:rPr>
        <w:t xml:space="preserve">reliability measured as the </w:t>
      </w:r>
      <w:r w:rsidRPr="00BC32B3">
        <w:rPr>
          <w:rFonts w:ascii="Arial" w:hAnsi="Arial" w:cs="Arial"/>
          <w:sz w:val="24"/>
          <w:szCs w:val="24"/>
          <w:lang w:val="en-GB"/>
        </w:rPr>
        <w:t>historical performance</w:t>
      </w:r>
      <w:r>
        <w:rPr>
          <w:rFonts w:ascii="Arial" w:hAnsi="Arial" w:cs="Arial"/>
          <w:sz w:val="24"/>
          <w:szCs w:val="24"/>
          <w:lang w:val="en-GB"/>
        </w:rPr>
        <w:t>, in particular</w:t>
      </w:r>
      <w:r w:rsidRPr="00BC32B3">
        <w:rPr>
          <w:rFonts w:ascii="Arial" w:hAnsi="Arial" w:cs="Arial"/>
          <w:sz w:val="24"/>
          <w:szCs w:val="24"/>
          <w:lang w:val="en-GB"/>
        </w:rPr>
        <w:t xml:space="preserve"> </w:t>
      </w:r>
      <w:r>
        <w:rPr>
          <w:rFonts w:ascii="Arial" w:hAnsi="Arial" w:cs="Arial"/>
          <w:sz w:val="24"/>
          <w:szCs w:val="24"/>
          <w:lang w:val="en-GB"/>
        </w:rPr>
        <w:t>when the latter</w:t>
      </w:r>
      <w:r w:rsidR="00BC32B3" w:rsidRPr="00BC32B3">
        <w:rPr>
          <w:rFonts w:ascii="Arial" w:hAnsi="Arial" w:cs="Arial"/>
          <w:sz w:val="24"/>
          <w:szCs w:val="24"/>
          <w:lang w:val="en-GB"/>
        </w:rPr>
        <w:t xml:space="preserve"> is based on a short time series. </w:t>
      </w:r>
    </w:p>
    <w:p w:rsidR="00BC32B3" w:rsidRPr="00BC32B3" w:rsidRDefault="00BC32B3" w:rsidP="00BC32B3">
      <w:pPr>
        <w:spacing w:before="360" w:after="0" w:line="360" w:lineRule="auto"/>
        <w:jc w:val="both"/>
        <w:rPr>
          <w:rFonts w:ascii="Arial" w:hAnsi="Arial" w:cs="Arial"/>
          <w:sz w:val="24"/>
          <w:szCs w:val="24"/>
          <w:lang w:val="en-GB"/>
        </w:rPr>
      </w:pPr>
      <w:r w:rsidRPr="00AF1523">
        <w:rPr>
          <w:rFonts w:ascii="Arial" w:hAnsi="Arial" w:cs="Arial"/>
          <w:sz w:val="24"/>
          <w:szCs w:val="24"/>
          <w:lang w:val="en-GB"/>
        </w:rPr>
        <w:t>Unlike forecasting, for flash estimates we have several auxiliary sources in the target year which are used either in the estimation process or for plausibility as</w:t>
      </w:r>
      <w:r>
        <w:rPr>
          <w:rFonts w:ascii="Arial" w:hAnsi="Arial" w:cs="Arial"/>
          <w:sz w:val="24"/>
          <w:szCs w:val="24"/>
          <w:lang w:val="en-GB"/>
        </w:rPr>
        <w:t xml:space="preserve">sessment. </w:t>
      </w:r>
      <w:r w:rsidR="002623A8">
        <w:rPr>
          <w:rFonts w:ascii="Arial" w:hAnsi="Arial" w:cs="Arial"/>
          <w:sz w:val="24"/>
          <w:szCs w:val="24"/>
          <w:lang w:val="en-GB"/>
        </w:rPr>
        <w:t xml:space="preserve">   </w:t>
      </w:r>
      <w:r w:rsidR="00D97FDE">
        <w:rPr>
          <w:rFonts w:ascii="Arial" w:hAnsi="Arial" w:cs="Arial"/>
          <w:sz w:val="24"/>
          <w:szCs w:val="24"/>
          <w:lang w:val="en-GB"/>
        </w:rPr>
        <w:lastRenderedPageBreak/>
        <w:t xml:space="preserve">A highly plausible estimate is one with many different sources of corroboration. </w:t>
      </w:r>
      <w:r w:rsidRPr="00BC32B3">
        <w:rPr>
          <w:rFonts w:ascii="Arial" w:hAnsi="Arial" w:cs="Arial"/>
          <w:sz w:val="24"/>
          <w:szCs w:val="24"/>
          <w:lang w:val="en-GB"/>
        </w:rPr>
        <w:t xml:space="preserve">Plausibility of the estimated change </w:t>
      </w:r>
      <w:r w:rsidR="00C97838">
        <w:rPr>
          <w:rFonts w:ascii="Arial" w:hAnsi="Arial" w:cs="Arial"/>
          <w:sz w:val="24"/>
          <w:szCs w:val="24"/>
          <w:lang w:val="en-GB"/>
        </w:rPr>
        <w:t>is mainly</w:t>
      </w:r>
      <w:r w:rsidRPr="00BC32B3">
        <w:rPr>
          <w:rFonts w:ascii="Arial" w:hAnsi="Arial" w:cs="Arial"/>
          <w:sz w:val="24"/>
          <w:szCs w:val="24"/>
          <w:lang w:val="en-GB"/>
        </w:rPr>
        <w:t xml:space="preserve"> assessed along the following lines:</w:t>
      </w:r>
    </w:p>
    <w:p w:rsidR="00BC32B3" w:rsidRDefault="00BC32B3" w:rsidP="00BC32B3">
      <w:pPr>
        <w:pStyle w:val="ListParagraph"/>
        <w:numPr>
          <w:ilvl w:val="0"/>
          <w:numId w:val="6"/>
        </w:numPr>
        <w:spacing w:before="360" w:after="0" w:line="360" w:lineRule="auto"/>
        <w:jc w:val="both"/>
        <w:rPr>
          <w:rFonts w:ascii="Arial" w:hAnsi="Arial" w:cs="Arial"/>
          <w:sz w:val="24"/>
          <w:szCs w:val="24"/>
          <w:lang w:val="en-GB"/>
        </w:rPr>
      </w:pPr>
      <w:r w:rsidRPr="00BC32B3">
        <w:rPr>
          <w:rFonts w:ascii="Arial" w:hAnsi="Arial" w:cs="Arial"/>
          <w:sz w:val="24"/>
          <w:szCs w:val="24"/>
          <w:lang w:val="en-GB"/>
        </w:rPr>
        <w:t>Consistency with trends in National Accounts for the household disposable</w:t>
      </w:r>
      <w:r>
        <w:rPr>
          <w:rFonts w:ascii="Arial" w:hAnsi="Arial" w:cs="Arial"/>
          <w:sz w:val="24"/>
          <w:szCs w:val="24"/>
          <w:lang w:val="en-GB"/>
        </w:rPr>
        <w:t xml:space="preserve"> </w:t>
      </w:r>
      <w:r w:rsidR="00D97FDE" w:rsidRPr="00BC32B3">
        <w:rPr>
          <w:rFonts w:ascii="Arial" w:hAnsi="Arial" w:cs="Arial"/>
          <w:sz w:val="24"/>
          <w:szCs w:val="24"/>
          <w:lang w:val="en-GB"/>
        </w:rPr>
        <w:t xml:space="preserve">income </w:t>
      </w:r>
      <w:r>
        <w:rPr>
          <w:rFonts w:ascii="Arial" w:hAnsi="Arial" w:cs="Arial"/>
          <w:sz w:val="24"/>
          <w:szCs w:val="24"/>
          <w:lang w:val="en-GB"/>
        </w:rPr>
        <w:t>(or gross disposable income)</w:t>
      </w:r>
      <w:r w:rsidRPr="00BC32B3">
        <w:rPr>
          <w:rFonts w:ascii="Arial" w:hAnsi="Arial" w:cs="Arial"/>
          <w:sz w:val="24"/>
          <w:szCs w:val="24"/>
          <w:lang w:val="en-GB"/>
        </w:rPr>
        <w:t xml:space="preserve"> and at income component level</w:t>
      </w:r>
    </w:p>
    <w:p w:rsidR="002623A8" w:rsidRPr="00BC32B3" w:rsidRDefault="002623A8" w:rsidP="002623A8">
      <w:pPr>
        <w:pStyle w:val="ListParagraph"/>
        <w:spacing w:before="360" w:after="0" w:line="360" w:lineRule="auto"/>
        <w:jc w:val="both"/>
        <w:rPr>
          <w:rFonts w:ascii="Arial" w:hAnsi="Arial" w:cs="Arial"/>
          <w:sz w:val="24"/>
          <w:szCs w:val="24"/>
          <w:lang w:val="en-GB"/>
        </w:rPr>
      </w:pPr>
    </w:p>
    <w:p w:rsidR="00C97838" w:rsidRDefault="001C1303" w:rsidP="00BC32B3">
      <w:pPr>
        <w:pStyle w:val="ListParagraph"/>
        <w:numPr>
          <w:ilvl w:val="0"/>
          <w:numId w:val="6"/>
        </w:numPr>
        <w:spacing w:before="360" w:after="0" w:line="360" w:lineRule="auto"/>
        <w:jc w:val="both"/>
        <w:rPr>
          <w:rFonts w:ascii="Arial" w:hAnsi="Arial" w:cs="Arial"/>
          <w:sz w:val="24"/>
          <w:szCs w:val="24"/>
          <w:lang w:val="en-GB"/>
        </w:rPr>
      </w:pPr>
      <w:r>
        <w:rPr>
          <w:rFonts w:ascii="Arial" w:hAnsi="Arial" w:cs="Arial"/>
          <w:sz w:val="24"/>
          <w:szCs w:val="24"/>
          <w:lang w:val="en-GB"/>
        </w:rPr>
        <w:t>In</w:t>
      </w:r>
      <w:r w:rsidR="009D1B97">
        <w:rPr>
          <w:rFonts w:ascii="Arial" w:hAnsi="Arial" w:cs="Arial"/>
          <w:sz w:val="24"/>
          <w:szCs w:val="24"/>
          <w:lang w:val="en-GB"/>
        </w:rPr>
        <w:t xml:space="preserve"> microsimulation</w:t>
      </w:r>
      <w:r>
        <w:rPr>
          <w:rFonts w:ascii="Arial" w:hAnsi="Arial" w:cs="Arial"/>
          <w:sz w:val="24"/>
          <w:szCs w:val="24"/>
          <w:lang w:val="en-GB"/>
        </w:rPr>
        <w:t>, more detailed</w:t>
      </w:r>
      <w:r w:rsidR="009D1B97">
        <w:rPr>
          <w:rFonts w:ascii="Arial" w:hAnsi="Arial" w:cs="Arial"/>
          <w:sz w:val="24"/>
          <w:szCs w:val="24"/>
          <w:lang w:val="en-GB"/>
        </w:rPr>
        <w:t xml:space="preserve"> estimates</w:t>
      </w:r>
      <w:r w:rsidR="00C97838" w:rsidRPr="00BC32B3">
        <w:rPr>
          <w:rFonts w:ascii="Arial" w:hAnsi="Arial" w:cs="Arial"/>
          <w:sz w:val="24"/>
          <w:szCs w:val="24"/>
          <w:lang w:val="en-GB"/>
        </w:rPr>
        <w:t xml:space="preserve"> can </w:t>
      </w:r>
      <w:r w:rsidR="009D1B97">
        <w:rPr>
          <w:rFonts w:ascii="Arial" w:hAnsi="Arial" w:cs="Arial"/>
          <w:sz w:val="24"/>
          <w:szCs w:val="24"/>
          <w:lang w:val="en-GB"/>
        </w:rPr>
        <w:t>be</w:t>
      </w:r>
      <w:r>
        <w:rPr>
          <w:rFonts w:ascii="Arial" w:hAnsi="Arial" w:cs="Arial"/>
          <w:sz w:val="24"/>
          <w:szCs w:val="24"/>
          <w:lang w:val="en-GB"/>
        </w:rPr>
        <w:t xml:space="preserve"> assessed</w:t>
      </w:r>
      <w:r w:rsidR="00C97838">
        <w:rPr>
          <w:rFonts w:ascii="Arial" w:hAnsi="Arial" w:cs="Arial"/>
          <w:sz w:val="24"/>
          <w:szCs w:val="24"/>
          <w:lang w:val="en-GB"/>
        </w:rPr>
        <w:t>:</w:t>
      </w:r>
      <w:r w:rsidR="009D1B97">
        <w:rPr>
          <w:rFonts w:ascii="Arial" w:hAnsi="Arial" w:cs="Arial"/>
          <w:sz w:val="24"/>
          <w:szCs w:val="24"/>
          <w:lang w:val="en-GB"/>
        </w:rPr>
        <w:t xml:space="preserve"> </w:t>
      </w:r>
      <w:r w:rsidR="00F14FD7">
        <w:rPr>
          <w:rFonts w:ascii="Arial" w:hAnsi="Arial" w:cs="Arial"/>
          <w:sz w:val="24"/>
          <w:szCs w:val="24"/>
          <w:lang w:val="en-GB"/>
        </w:rPr>
        <w:t xml:space="preserve">a) estimates of the </w:t>
      </w:r>
      <w:r>
        <w:rPr>
          <w:rFonts w:ascii="Arial" w:hAnsi="Arial" w:cs="Arial"/>
          <w:sz w:val="24"/>
          <w:szCs w:val="24"/>
          <w:lang w:val="en-GB"/>
        </w:rPr>
        <w:t xml:space="preserve">change in market incomes and </w:t>
      </w:r>
      <w:r w:rsidR="009D1B97">
        <w:rPr>
          <w:rFonts w:ascii="Arial" w:hAnsi="Arial" w:cs="Arial"/>
          <w:sz w:val="24"/>
          <w:szCs w:val="24"/>
          <w:lang w:val="en-GB"/>
        </w:rPr>
        <w:t>simulated policies via EUROMOD</w:t>
      </w:r>
      <w:r>
        <w:rPr>
          <w:rFonts w:ascii="Arial" w:hAnsi="Arial" w:cs="Arial"/>
          <w:sz w:val="24"/>
          <w:szCs w:val="24"/>
          <w:lang w:val="en-GB"/>
        </w:rPr>
        <w:t xml:space="preserve"> (keeping labour characteristics constant)</w:t>
      </w:r>
      <w:r w:rsidR="009D1B97">
        <w:rPr>
          <w:rFonts w:ascii="Arial" w:hAnsi="Arial" w:cs="Arial"/>
          <w:sz w:val="24"/>
          <w:szCs w:val="24"/>
          <w:lang w:val="en-GB"/>
        </w:rPr>
        <w:t xml:space="preserve"> and </w:t>
      </w:r>
      <w:r w:rsidR="00F14FD7">
        <w:rPr>
          <w:rFonts w:ascii="Arial" w:hAnsi="Arial" w:cs="Arial"/>
          <w:sz w:val="24"/>
          <w:szCs w:val="24"/>
          <w:lang w:val="en-GB"/>
        </w:rPr>
        <w:t>b) estimates of</w:t>
      </w:r>
      <w:r w:rsidR="009D1B97">
        <w:rPr>
          <w:rFonts w:ascii="Arial" w:hAnsi="Arial" w:cs="Arial"/>
          <w:sz w:val="24"/>
          <w:szCs w:val="24"/>
          <w:lang w:val="en-GB"/>
        </w:rPr>
        <w:t xml:space="preserve"> </w:t>
      </w:r>
      <w:r w:rsidR="00F14FD7">
        <w:rPr>
          <w:rFonts w:ascii="Arial" w:hAnsi="Arial" w:cs="Arial"/>
          <w:sz w:val="24"/>
          <w:szCs w:val="24"/>
          <w:lang w:val="en-GB"/>
        </w:rPr>
        <w:t xml:space="preserve">the change in </w:t>
      </w:r>
      <w:r w:rsidR="009D1B97">
        <w:rPr>
          <w:rFonts w:ascii="Arial" w:hAnsi="Arial" w:cs="Arial"/>
          <w:sz w:val="24"/>
          <w:szCs w:val="24"/>
          <w:lang w:val="en-GB"/>
        </w:rPr>
        <w:t>labour market</w:t>
      </w:r>
      <w:r>
        <w:rPr>
          <w:rFonts w:ascii="Arial" w:hAnsi="Arial" w:cs="Arial"/>
          <w:sz w:val="24"/>
          <w:szCs w:val="24"/>
          <w:lang w:val="en-GB"/>
        </w:rPr>
        <w:t xml:space="preserve"> (keeping policies </w:t>
      </w:r>
      <w:r w:rsidR="00F14FD7">
        <w:rPr>
          <w:rFonts w:ascii="Arial" w:hAnsi="Arial" w:cs="Arial"/>
          <w:sz w:val="24"/>
          <w:szCs w:val="24"/>
          <w:lang w:val="en-GB"/>
        </w:rPr>
        <w:t>and market incomes constant</w:t>
      </w:r>
      <w:r>
        <w:rPr>
          <w:rFonts w:ascii="Arial" w:hAnsi="Arial" w:cs="Arial"/>
          <w:sz w:val="24"/>
          <w:szCs w:val="24"/>
          <w:lang w:val="en-GB"/>
        </w:rPr>
        <w:t>)</w:t>
      </w:r>
      <w:r w:rsidR="009D1B97">
        <w:rPr>
          <w:rFonts w:ascii="Arial" w:hAnsi="Arial" w:cs="Arial"/>
          <w:sz w:val="24"/>
          <w:szCs w:val="24"/>
          <w:lang w:val="en-GB"/>
        </w:rPr>
        <w:t xml:space="preserve">. </w:t>
      </w:r>
      <w:r>
        <w:rPr>
          <w:rFonts w:ascii="Arial" w:hAnsi="Arial" w:cs="Arial"/>
          <w:sz w:val="24"/>
          <w:szCs w:val="24"/>
          <w:lang w:val="en-GB"/>
        </w:rPr>
        <w:t>(</w:t>
      </w:r>
      <w:r w:rsidR="00F14FD7">
        <w:rPr>
          <w:rFonts w:ascii="Arial" w:hAnsi="Arial" w:cs="Arial"/>
          <w:sz w:val="24"/>
          <w:szCs w:val="24"/>
          <w:lang w:val="en-GB"/>
        </w:rPr>
        <w:t>S</w:t>
      </w:r>
      <w:r>
        <w:rPr>
          <w:rFonts w:ascii="Arial" w:hAnsi="Arial" w:cs="Arial"/>
          <w:sz w:val="24"/>
          <w:szCs w:val="24"/>
          <w:lang w:val="en-GB"/>
        </w:rPr>
        <w:t>ee table 4)</w:t>
      </w:r>
    </w:p>
    <w:p w:rsidR="002623A8" w:rsidRDefault="002623A8" w:rsidP="002623A8">
      <w:pPr>
        <w:pStyle w:val="ListParagraph"/>
        <w:spacing w:before="360" w:after="0" w:line="360" w:lineRule="auto"/>
        <w:jc w:val="both"/>
        <w:rPr>
          <w:rFonts w:ascii="Arial" w:hAnsi="Arial" w:cs="Arial"/>
          <w:sz w:val="24"/>
          <w:szCs w:val="24"/>
          <w:lang w:val="en-GB"/>
        </w:rPr>
      </w:pPr>
    </w:p>
    <w:p w:rsidR="002623A8" w:rsidRDefault="002623A8" w:rsidP="002623A8">
      <w:pPr>
        <w:pStyle w:val="ListParagraph"/>
        <w:spacing w:before="360" w:after="0" w:line="360" w:lineRule="auto"/>
        <w:jc w:val="both"/>
        <w:rPr>
          <w:rFonts w:ascii="Arial" w:hAnsi="Arial" w:cs="Arial"/>
          <w:sz w:val="24"/>
          <w:szCs w:val="24"/>
          <w:lang w:val="en-GB"/>
        </w:rPr>
      </w:pPr>
      <w:r w:rsidRPr="005A202B">
        <w:rPr>
          <w:rFonts w:ascii="Arial" w:hAnsi="Arial" w:cs="Arial"/>
          <w:sz w:val="24"/>
          <w:szCs w:val="24"/>
          <w:lang w:val="en-GB"/>
        </w:rPr>
        <w:t xml:space="preserve">a) The change </w:t>
      </w:r>
      <w:r w:rsidR="00F14FD7">
        <w:rPr>
          <w:rFonts w:ascii="Arial" w:hAnsi="Arial" w:cs="Arial"/>
          <w:sz w:val="24"/>
          <w:szCs w:val="24"/>
          <w:lang w:val="en-GB"/>
        </w:rPr>
        <w:t xml:space="preserve">in market incomes and </w:t>
      </w:r>
      <w:r w:rsidRPr="005A202B">
        <w:rPr>
          <w:rFonts w:ascii="Arial" w:hAnsi="Arial" w:cs="Arial"/>
          <w:sz w:val="24"/>
          <w:szCs w:val="24"/>
          <w:lang w:val="en-GB"/>
        </w:rPr>
        <w:t>simulated policies via EUROMOD</w:t>
      </w:r>
      <w:r>
        <w:rPr>
          <w:rFonts w:ascii="Arial" w:hAnsi="Arial" w:cs="Arial"/>
          <w:sz w:val="24"/>
          <w:szCs w:val="24"/>
          <w:lang w:val="en-GB"/>
        </w:rPr>
        <w:t xml:space="preserve"> (FE_P) </w:t>
      </w:r>
      <w:r w:rsidRPr="005A202B">
        <w:rPr>
          <w:rFonts w:ascii="Arial" w:hAnsi="Arial" w:cs="Arial"/>
          <w:sz w:val="24"/>
          <w:szCs w:val="24"/>
          <w:lang w:val="en-GB"/>
        </w:rPr>
        <w:t xml:space="preserve">is linked by experts in national tax-benefit systems in ISER, University of Essex (EUROMOD (2017)) with concrete polices implemented. </w:t>
      </w:r>
    </w:p>
    <w:p w:rsidR="002623A8" w:rsidRPr="002623A8" w:rsidRDefault="002623A8" w:rsidP="002623A8">
      <w:pPr>
        <w:pStyle w:val="ListParagraph"/>
        <w:rPr>
          <w:rFonts w:ascii="Arial" w:hAnsi="Arial" w:cs="Arial"/>
          <w:sz w:val="20"/>
          <w:szCs w:val="20"/>
          <w:lang w:val="en-GB"/>
        </w:rPr>
      </w:pPr>
      <w:bookmarkStart w:id="4" w:name="_GoBack"/>
      <w:bookmarkEnd w:id="4"/>
    </w:p>
    <w:p w:rsidR="002623A8" w:rsidRDefault="002623A8" w:rsidP="002623A8">
      <w:pPr>
        <w:pStyle w:val="ListParagraph"/>
        <w:spacing w:before="360" w:after="0" w:line="360" w:lineRule="auto"/>
        <w:jc w:val="both"/>
        <w:rPr>
          <w:rFonts w:ascii="Arial" w:hAnsi="Arial" w:cs="Arial"/>
          <w:sz w:val="24"/>
          <w:szCs w:val="24"/>
          <w:lang w:val="en-GB"/>
        </w:rPr>
      </w:pPr>
      <w:r w:rsidRPr="005A202B">
        <w:rPr>
          <w:rFonts w:ascii="Arial" w:hAnsi="Arial" w:cs="Arial"/>
          <w:sz w:val="24"/>
          <w:szCs w:val="24"/>
          <w:lang w:val="en-GB"/>
        </w:rPr>
        <w:t xml:space="preserve">b) The change </w:t>
      </w:r>
      <w:r w:rsidR="00F14FD7">
        <w:rPr>
          <w:rFonts w:ascii="Arial" w:hAnsi="Arial" w:cs="Arial"/>
          <w:sz w:val="24"/>
          <w:szCs w:val="24"/>
          <w:lang w:val="en-GB"/>
        </w:rPr>
        <w:t>in</w:t>
      </w:r>
      <w:r w:rsidRPr="005A202B">
        <w:rPr>
          <w:rFonts w:ascii="Arial" w:hAnsi="Arial" w:cs="Arial"/>
          <w:sz w:val="24"/>
          <w:szCs w:val="24"/>
          <w:lang w:val="en-GB"/>
        </w:rPr>
        <w:t xml:space="preserve"> the labour update</w:t>
      </w:r>
      <w:r>
        <w:rPr>
          <w:rFonts w:ascii="Arial" w:hAnsi="Arial" w:cs="Arial"/>
          <w:sz w:val="24"/>
          <w:szCs w:val="24"/>
          <w:lang w:val="en-GB"/>
        </w:rPr>
        <w:t xml:space="preserve"> (FE_L) can be compared with the observed evolution in SILC (N-1), if available, g</w:t>
      </w:r>
      <w:r w:rsidRPr="005A202B">
        <w:rPr>
          <w:rFonts w:ascii="Arial" w:hAnsi="Arial" w:cs="Arial"/>
          <w:sz w:val="24"/>
          <w:szCs w:val="24"/>
          <w:lang w:val="en-GB"/>
        </w:rPr>
        <w:t xml:space="preserve">iven that it is SILC (N-2) that is </w:t>
      </w:r>
      <w:r>
        <w:rPr>
          <w:rFonts w:ascii="Arial" w:hAnsi="Arial" w:cs="Arial"/>
          <w:sz w:val="24"/>
          <w:szCs w:val="24"/>
          <w:lang w:val="en-GB"/>
        </w:rPr>
        <w:t xml:space="preserve">currently </w:t>
      </w:r>
      <w:r w:rsidRPr="005A202B">
        <w:rPr>
          <w:rFonts w:ascii="Arial" w:hAnsi="Arial" w:cs="Arial"/>
          <w:sz w:val="24"/>
          <w:szCs w:val="24"/>
          <w:lang w:val="en-GB"/>
        </w:rPr>
        <w:t>used for flash estimates</w:t>
      </w:r>
      <w:r>
        <w:rPr>
          <w:rFonts w:ascii="Arial" w:hAnsi="Arial" w:cs="Arial"/>
          <w:sz w:val="24"/>
          <w:szCs w:val="24"/>
          <w:lang w:val="en-GB"/>
        </w:rPr>
        <w:t xml:space="preserve">. </w:t>
      </w:r>
    </w:p>
    <w:p w:rsidR="00C97838" w:rsidRDefault="00C97838" w:rsidP="00AA5370">
      <w:pPr>
        <w:spacing w:before="120" w:after="0" w:line="360" w:lineRule="auto"/>
        <w:jc w:val="both"/>
        <w:rPr>
          <w:rFonts w:ascii="Arial" w:hAnsi="Arial" w:cs="Arial"/>
          <w:sz w:val="24"/>
          <w:szCs w:val="24"/>
          <w:lang w:val="en-GB"/>
        </w:rPr>
      </w:pPr>
    </w:p>
    <w:p w:rsidR="00A43822" w:rsidRDefault="00A43822" w:rsidP="00A43822">
      <w:pPr>
        <w:spacing w:after="120" w:line="240" w:lineRule="auto"/>
        <w:jc w:val="both"/>
        <w:rPr>
          <w:rFonts w:ascii="Arial" w:hAnsi="Arial" w:cs="Arial"/>
          <w:b/>
          <w:sz w:val="20"/>
          <w:szCs w:val="20"/>
          <w:lang w:val="en-GB"/>
        </w:rPr>
      </w:pPr>
      <w:proofErr w:type="gramStart"/>
      <w:r w:rsidRPr="003019A7">
        <w:rPr>
          <w:rFonts w:ascii="Arial" w:hAnsi="Arial" w:cs="Arial"/>
          <w:b/>
          <w:sz w:val="20"/>
          <w:szCs w:val="20"/>
          <w:lang w:val="en-GB"/>
        </w:rPr>
        <w:t xml:space="preserve">Table </w:t>
      </w:r>
      <w:r>
        <w:rPr>
          <w:rFonts w:ascii="Arial" w:hAnsi="Arial" w:cs="Arial"/>
          <w:b/>
          <w:sz w:val="20"/>
          <w:szCs w:val="20"/>
          <w:lang w:val="en-GB"/>
        </w:rPr>
        <w:t>4</w:t>
      </w:r>
      <w:r w:rsidRPr="003019A7">
        <w:rPr>
          <w:rFonts w:ascii="Arial" w:hAnsi="Arial" w:cs="Arial"/>
          <w:b/>
          <w:sz w:val="20"/>
          <w:szCs w:val="20"/>
          <w:lang w:val="en-GB"/>
        </w:rPr>
        <w:t>.</w:t>
      </w:r>
      <w:proofErr w:type="gramEnd"/>
      <w:r w:rsidRPr="003019A7">
        <w:rPr>
          <w:rFonts w:ascii="Arial" w:hAnsi="Arial" w:cs="Arial"/>
          <w:b/>
          <w:sz w:val="20"/>
          <w:szCs w:val="20"/>
          <w:lang w:val="en-GB"/>
        </w:rPr>
        <w:t xml:space="preserve"> </w:t>
      </w:r>
      <w:r>
        <w:rPr>
          <w:rFonts w:ascii="Arial" w:hAnsi="Arial" w:cs="Arial"/>
          <w:b/>
          <w:sz w:val="20"/>
          <w:szCs w:val="20"/>
          <w:lang w:val="en-GB"/>
        </w:rPr>
        <w:t>Disentangling the change of f</w:t>
      </w:r>
      <w:r w:rsidRPr="003019A7">
        <w:rPr>
          <w:rFonts w:ascii="Arial" w:hAnsi="Arial" w:cs="Arial"/>
          <w:b/>
          <w:sz w:val="20"/>
          <w:szCs w:val="20"/>
          <w:lang w:val="en-GB"/>
        </w:rPr>
        <w:t>lash estimates 2015-16</w:t>
      </w:r>
      <w:r w:rsidR="009128AF">
        <w:rPr>
          <w:rFonts w:ascii="Arial" w:hAnsi="Arial" w:cs="Arial"/>
          <w:b/>
          <w:sz w:val="20"/>
          <w:szCs w:val="20"/>
          <w:lang w:val="en-GB"/>
        </w:rPr>
        <w:t xml:space="preserve"> for the left part of distribution</w:t>
      </w:r>
      <w:r w:rsidR="00D33AEB">
        <w:rPr>
          <w:rFonts w:ascii="Arial" w:hAnsi="Arial" w:cs="Arial"/>
          <w:b/>
          <w:sz w:val="20"/>
          <w:szCs w:val="20"/>
          <w:lang w:val="en-GB"/>
        </w:rPr>
        <w:t xml:space="preserve"> (Selection of countries with majority of no 'unreliable' or 'not significant' </w:t>
      </w:r>
      <w:r w:rsidR="002623A8">
        <w:rPr>
          <w:rFonts w:ascii="Arial" w:hAnsi="Arial" w:cs="Arial"/>
          <w:b/>
          <w:sz w:val="20"/>
          <w:szCs w:val="20"/>
          <w:lang w:val="en-GB"/>
        </w:rPr>
        <w:t>for</w:t>
      </w:r>
      <w:r w:rsidR="00D33AEB">
        <w:rPr>
          <w:rFonts w:ascii="Arial" w:hAnsi="Arial" w:cs="Arial"/>
          <w:b/>
          <w:sz w:val="20"/>
          <w:szCs w:val="20"/>
          <w:lang w:val="en-GB"/>
        </w:rPr>
        <w:t xml:space="preserve"> FE)</w:t>
      </w:r>
    </w:p>
    <w:tbl>
      <w:tblPr>
        <w:tblW w:w="9600" w:type="dxa"/>
        <w:tblInd w:w="93" w:type="dxa"/>
        <w:tblLook w:val="04A0" w:firstRow="1" w:lastRow="0" w:firstColumn="1" w:lastColumn="0" w:noHBand="0" w:noVBand="1"/>
      </w:tblPr>
      <w:tblGrid>
        <w:gridCol w:w="960"/>
        <w:gridCol w:w="829"/>
        <w:gridCol w:w="1004"/>
        <w:gridCol w:w="1047"/>
        <w:gridCol w:w="829"/>
        <w:gridCol w:w="1004"/>
        <w:gridCol w:w="1047"/>
        <w:gridCol w:w="829"/>
        <w:gridCol w:w="1004"/>
        <w:gridCol w:w="1047"/>
      </w:tblGrid>
      <w:tr w:rsidR="00D33AEB" w:rsidRPr="00D33AEB" w:rsidTr="00D33AEB">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4F81BD"/>
            <w:noWrap/>
            <w:vAlign w:val="center"/>
            <w:hideMark/>
          </w:tcPr>
          <w:p w:rsidR="00D33AEB" w:rsidRPr="00D33AEB" w:rsidRDefault="00D33AEB" w:rsidP="00D33AEB">
            <w:pPr>
              <w:spacing w:after="0" w:line="240" w:lineRule="auto"/>
              <w:jc w:val="center"/>
              <w:rPr>
                <w:rFonts w:ascii="Arial" w:eastAsia="Times New Roman" w:hAnsi="Arial" w:cs="Arial"/>
                <w:b/>
                <w:bCs/>
                <w:color w:val="FFFFFF"/>
                <w:sz w:val="20"/>
                <w:szCs w:val="20"/>
                <w:lang w:val="en-GB" w:eastAsia="en-GB"/>
              </w:rPr>
            </w:pPr>
            <w:r w:rsidRPr="00D33AEB">
              <w:rPr>
                <w:rFonts w:ascii="Arial" w:eastAsia="Times New Roman" w:hAnsi="Arial" w:cs="Arial"/>
                <w:b/>
                <w:bCs/>
                <w:color w:val="FFFFFF"/>
                <w:sz w:val="20"/>
                <w:szCs w:val="20"/>
                <w:lang w:val="en-GB" w:eastAsia="en-GB"/>
              </w:rPr>
              <w:t> </w:t>
            </w:r>
          </w:p>
        </w:tc>
        <w:tc>
          <w:tcPr>
            <w:tcW w:w="2880" w:type="dxa"/>
            <w:gridSpan w:val="3"/>
            <w:tcBorders>
              <w:top w:val="single" w:sz="8" w:space="0" w:color="auto"/>
              <w:left w:val="nil"/>
              <w:bottom w:val="single" w:sz="8" w:space="0" w:color="auto"/>
              <w:right w:val="single" w:sz="8" w:space="0" w:color="000000"/>
            </w:tcBorders>
            <w:shd w:val="clear" w:color="000000" w:fill="4F81BD"/>
            <w:noWrap/>
            <w:vAlign w:val="center"/>
            <w:hideMark/>
          </w:tcPr>
          <w:p w:rsidR="00D33AEB" w:rsidRPr="00D33AEB" w:rsidRDefault="00D33AEB" w:rsidP="00D33AEB">
            <w:pPr>
              <w:spacing w:after="0" w:line="240" w:lineRule="auto"/>
              <w:jc w:val="center"/>
              <w:rPr>
                <w:rFonts w:ascii="Arial" w:eastAsia="Times New Roman" w:hAnsi="Arial" w:cs="Arial"/>
                <w:b/>
                <w:bCs/>
                <w:color w:val="FFFFFF"/>
                <w:sz w:val="20"/>
                <w:szCs w:val="20"/>
                <w:lang w:val="en-GB" w:eastAsia="en-GB"/>
              </w:rPr>
            </w:pPr>
            <w:r w:rsidRPr="00D33AEB">
              <w:rPr>
                <w:rFonts w:ascii="Arial" w:eastAsia="Times New Roman" w:hAnsi="Arial" w:cs="Arial"/>
                <w:b/>
                <w:bCs/>
                <w:color w:val="FFFFFF"/>
                <w:sz w:val="20"/>
                <w:szCs w:val="20"/>
                <w:lang w:val="en-GB" w:eastAsia="en-GB"/>
              </w:rPr>
              <w:t>D1</w:t>
            </w:r>
          </w:p>
        </w:tc>
        <w:tc>
          <w:tcPr>
            <w:tcW w:w="2880" w:type="dxa"/>
            <w:gridSpan w:val="3"/>
            <w:tcBorders>
              <w:top w:val="single" w:sz="8" w:space="0" w:color="auto"/>
              <w:left w:val="nil"/>
              <w:bottom w:val="single" w:sz="8" w:space="0" w:color="auto"/>
              <w:right w:val="single" w:sz="8" w:space="0" w:color="000000"/>
            </w:tcBorders>
            <w:shd w:val="clear" w:color="000000" w:fill="4F81BD"/>
            <w:noWrap/>
            <w:vAlign w:val="center"/>
            <w:hideMark/>
          </w:tcPr>
          <w:p w:rsidR="00D33AEB" w:rsidRPr="00D33AEB" w:rsidRDefault="00D33AEB" w:rsidP="00D33AEB">
            <w:pPr>
              <w:spacing w:after="0" w:line="240" w:lineRule="auto"/>
              <w:jc w:val="center"/>
              <w:rPr>
                <w:rFonts w:ascii="Arial" w:eastAsia="Times New Roman" w:hAnsi="Arial" w:cs="Arial"/>
                <w:b/>
                <w:bCs/>
                <w:color w:val="FFFFFF"/>
                <w:sz w:val="20"/>
                <w:szCs w:val="20"/>
                <w:lang w:val="en-GB" w:eastAsia="en-GB"/>
              </w:rPr>
            </w:pPr>
            <w:r w:rsidRPr="00D33AEB">
              <w:rPr>
                <w:rFonts w:ascii="Arial" w:eastAsia="Times New Roman" w:hAnsi="Arial" w:cs="Arial"/>
                <w:b/>
                <w:bCs/>
                <w:color w:val="FFFFFF"/>
                <w:sz w:val="20"/>
                <w:szCs w:val="20"/>
                <w:lang w:val="en-GB" w:eastAsia="en-GB"/>
              </w:rPr>
              <w:t>D3</w:t>
            </w:r>
          </w:p>
        </w:tc>
        <w:tc>
          <w:tcPr>
            <w:tcW w:w="2880" w:type="dxa"/>
            <w:gridSpan w:val="3"/>
            <w:tcBorders>
              <w:top w:val="single" w:sz="8" w:space="0" w:color="auto"/>
              <w:left w:val="nil"/>
              <w:bottom w:val="single" w:sz="8" w:space="0" w:color="auto"/>
              <w:right w:val="single" w:sz="8" w:space="0" w:color="000000"/>
            </w:tcBorders>
            <w:shd w:val="clear" w:color="000000" w:fill="4F81BD"/>
            <w:noWrap/>
            <w:vAlign w:val="center"/>
            <w:hideMark/>
          </w:tcPr>
          <w:p w:rsidR="00D33AEB" w:rsidRPr="00D33AEB" w:rsidRDefault="00D33AEB" w:rsidP="00D33AEB">
            <w:pPr>
              <w:spacing w:after="0" w:line="240" w:lineRule="auto"/>
              <w:jc w:val="center"/>
              <w:rPr>
                <w:rFonts w:ascii="Arial" w:eastAsia="Times New Roman" w:hAnsi="Arial" w:cs="Arial"/>
                <w:b/>
                <w:bCs/>
                <w:color w:val="FFFFFF"/>
                <w:sz w:val="20"/>
                <w:szCs w:val="20"/>
                <w:lang w:val="en-GB" w:eastAsia="en-GB"/>
              </w:rPr>
            </w:pPr>
            <w:r w:rsidRPr="00D33AEB">
              <w:rPr>
                <w:rFonts w:ascii="Arial" w:eastAsia="Times New Roman" w:hAnsi="Arial" w:cs="Arial"/>
                <w:b/>
                <w:bCs/>
                <w:color w:val="FFFFFF"/>
                <w:sz w:val="20"/>
                <w:szCs w:val="20"/>
                <w:lang w:val="en-GB" w:eastAsia="en-GB"/>
              </w:rPr>
              <w:t>MEDIAN</w:t>
            </w:r>
          </w:p>
        </w:tc>
      </w:tr>
      <w:tr w:rsidR="00D33AEB" w:rsidRPr="00D33AEB" w:rsidTr="00D33AEB">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33AEB" w:rsidRPr="00D33AEB" w:rsidRDefault="00D33AEB" w:rsidP="00D33AEB">
            <w:pPr>
              <w:spacing w:after="0" w:line="240" w:lineRule="auto"/>
              <w:rPr>
                <w:rFonts w:ascii="Arial" w:eastAsia="Times New Roman" w:hAnsi="Arial" w:cs="Arial"/>
                <w:b/>
                <w:bCs/>
                <w:color w:val="FFFFFF"/>
                <w:sz w:val="20"/>
                <w:szCs w:val="20"/>
                <w:lang w:val="en-GB" w:eastAsia="en-GB"/>
              </w:rPr>
            </w:pPr>
          </w:p>
        </w:tc>
        <w:tc>
          <w:tcPr>
            <w:tcW w:w="829" w:type="dxa"/>
            <w:tcBorders>
              <w:top w:val="nil"/>
              <w:left w:val="nil"/>
              <w:bottom w:val="single" w:sz="8" w:space="0" w:color="auto"/>
              <w:right w:val="nil"/>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w:t>
            </w:r>
          </w:p>
        </w:tc>
        <w:tc>
          <w:tcPr>
            <w:tcW w:w="1004" w:type="dxa"/>
            <w:tcBorders>
              <w:top w:val="nil"/>
              <w:left w:val="nil"/>
              <w:bottom w:val="single" w:sz="8" w:space="0" w:color="auto"/>
              <w:right w:val="nil"/>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FE_L</w:t>
            </w:r>
          </w:p>
        </w:tc>
        <w:tc>
          <w:tcPr>
            <w:tcW w:w="1047" w:type="dxa"/>
            <w:tcBorders>
              <w:top w:val="nil"/>
              <w:left w:val="nil"/>
              <w:bottom w:val="single" w:sz="8" w:space="0" w:color="auto"/>
              <w:right w:val="single" w:sz="8" w:space="0" w:color="auto"/>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FE_P</w:t>
            </w:r>
          </w:p>
        </w:tc>
        <w:tc>
          <w:tcPr>
            <w:tcW w:w="829" w:type="dxa"/>
            <w:tcBorders>
              <w:top w:val="nil"/>
              <w:left w:val="nil"/>
              <w:bottom w:val="single" w:sz="8" w:space="0" w:color="auto"/>
              <w:right w:val="nil"/>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w:t>
            </w:r>
          </w:p>
        </w:tc>
        <w:tc>
          <w:tcPr>
            <w:tcW w:w="1004" w:type="dxa"/>
            <w:tcBorders>
              <w:top w:val="nil"/>
              <w:left w:val="nil"/>
              <w:bottom w:val="single" w:sz="8" w:space="0" w:color="auto"/>
              <w:right w:val="nil"/>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FE_L</w:t>
            </w:r>
          </w:p>
        </w:tc>
        <w:tc>
          <w:tcPr>
            <w:tcW w:w="1047" w:type="dxa"/>
            <w:tcBorders>
              <w:top w:val="nil"/>
              <w:left w:val="nil"/>
              <w:bottom w:val="single" w:sz="8" w:space="0" w:color="auto"/>
              <w:right w:val="single" w:sz="8" w:space="0" w:color="auto"/>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FE_P</w:t>
            </w:r>
          </w:p>
        </w:tc>
        <w:tc>
          <w:tcPr>
            <w:tcW w:w="829" w:type="dxa"/>
            <w:tcBorders>
              <w:top w:val="nil"/>
              <w:left w:val="nil"/>
              <w:bottom w:val="single" w:sz="8" w:space="0" w:color="auto"/>
              <w:right w:val="nil"/>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w:t>
            </w:r>
          </w:p>
        </w:tc>
        <w:tc>
          <w:tcPr>
            <w:tcW w:w="1004" w:type="dxa"/>
            <w:tcBorders>
              <w:top w:val="nil"/>
              <w:left w:val="nil"/>
              <w:bottom w:val="single" w:sz="8" w:space="0" w:color="auto"/>
              <w:right w:val="nil"/>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FE_L</w:t>
            </w:r>
          </w:p>
        </w:tc>
        <w:tc>
          <w:tcPr>
            <w:tcW w:w="1047" w:type="dxa"/>
            <w:tcBorders>
              <w:top w:val="nil"/>
              <w:left w:val="nil"/>
              <w:bottom w:val="single" w:sz="8" w:space="0" w:color="auto"/>
              <w:right w:val="single" w:sz="8" w:space="0" w:color="auto"/>
            </w:tcBorders>
            <w:shd w:val="clear" w:color="000000" w:fill="DCE6F1"/>
            <w:noWrap/>
            <w:vAlign w:val="center"/>
            <w:hideMark/>
          </w:tcPr>
          <w:p w:rsidR="00D33AEB" w:rsidRPr="00D33AEB" w:rsidRDefault="00D33AEB" w:rsidP="00D33AEB">
            <w:pPr>
              <w:spacing w:after="0" w:line="240" w:lineRule="auto"/>
              <w:jc w:val="center"/>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FE_P</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000000" w:fill="DCE6F1"/>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HR</w:t>
            </w:r>
          </w:p>
        </w:tc>
        <w:tc>
          <w:tcPr>
            <w:tcW w:w="829" w:type="dxa"/>
            <w:tcBorders>
              <w:top w:val="nil"/>
              <w:left w:val="nil"/>
              <w:bottom w:val="single" w:sz="8" w:space="0" w:color="95B3D7"/>
              <w:right w:val="single" w:sz="8" w:space="0" w:color="95B3D7"/>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829"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auto" w:fill="auto"/>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IT</w:t>
            </w:r>
          </w:p>
        </w:tc>
        <w:tc>
          <w:tcPr>
            <w:tcW w:w="829" w:type="dxa"/>
            <w:tcBorders>
              <w:top w:val="nil"/>
              <w:left w:val="nil"/>
              <w:bottom w:val="single" w:sz="8" w:space="0" w:color="95B3D7"/>
              <w:right w:val="single" w:sz="8" w:space="0" w:color="95B3D7"/>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95B3D7"/>
              <w:right w:val="single" w:sz="8" w:space="0" w:color="95B3D7"/>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04" w:type="dxa"/>
            <w:tcBorders>
              <w:top w:val="nil"/>
              <w:left w:val="nil"/>
              <w:bottom w:val="single" w:sz="8" w:space="0" w:color="95B3D7"/>
              <w:right w:val="single" w:sz="8" w:space="0" w:color="95B3D7"/>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95B3D7"/>
              <w:right w:val="single" w:sz="8" w:space="0" w:color="95B3D7"/>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000000" w:fill="DCE6F1"/>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LV</w:t>
            </w:r>
          </w:p>
        </w:tc>
        <w:tc>
          <w:tcPr>
            <w:tcW w:w="829"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single" w:sz="8" w:space="0" w:color="95B3D7"/>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nil"/>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829"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auto" w:fill="auto"/>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BG</w:t>
            </w:r>
          </w:p>
        </w:tc>
        <w:tc>
          <w:tcPr>
            <w:tcW w:w="829" w:type="dxa"/>
            <w:tcBorders>
              <w:top w:val="nil"/>
              <w:left w:val="nil"/>
              <w:bottom w:val="single" w:sz="8" w:space="0" w:color="95B3D7"/>
              <w:right w:val="single" w:sz="8" w:space="0" w:color="95B3D7"/>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95B3D7"/>
              <w:right w:val="single" w:sz="8" w:space="0" w:color="95B3D7"/>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000000" w:fill="DCE6F1"/>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EE</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auto" w:fill="auto"/>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LT</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000000" w:fill="DCE6F1"/>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HU</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auto" w:fill="auto"/>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PL</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single" w:sz="8" w:space="0" w:color="95B3D7"/>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single" w:sz="8" w:space="0" w:color="95B3D7"/>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single" w:sz="8" w:space="0" w:color="95B3D7"/>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47" w:type="dxa"/>
            <w:tcBorders>
              <w:top w:val="nil"/>
              <w:left w:val="nil"/>
              <w:bottom w:val="single" w:sz="8" w:space="0" w:color="95B3D7"/>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000000" w:fill="DCE6F1"/>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PT</w:t>
            </w:r>
          </w:p>
        </w:tc>
        <w:tc>
          <w:tcPr>
            <w:tcW w:w="829" w:type="dxa"/>
            <w:tcBorders>
              <w:top w:val="nil"/>
              <w:left w:val="nil"/>
              <w:bottom w:val="single" w:sz="8" w:space="0" w:color="95B3D7"/>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95B3D7"/>
              <w:right w:val="single" w:sz="8" w:space="0" w:color="95B3D7"/>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95B3D7"/>
              <w:right w:val="single" w:sz="8" w:space="0" w:color="95B3D7"/>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single" w:sz="8" w:space="0" w:color="95B3D7"/>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c>
          <w:tcPr>
            <w:tcW w:w="1047" w:type="dxa"/>
            <w:tcBorders>
              <w:top w:val="nil"/>
              <w:left w:val="nil"/>
              <w:bottom w:val="single" w:sz="8" w:space="0" w:color="95B3D7"/>
              <w:right w:val="single" w:sz="8" w:space="0" w:color="auto"/>
            </w:tcBorders>
            <w:shd w:val="clear" w:color="000000" w:fill="D6E3B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]0,2]</w:t>
            </w:r>
          </w:p>
        </w:tc>
      </w:tr>
      <w:tr w:rsidR="00D33AEB" w:rsidRPr="00D33AEB" w:rsidTr="00D33AEB">
        <w:trPr>
          <w:trHeight w:val="315"/>
        </w:trPr>
        <w:tc>
          <w:tcPr>
            <w:tcW w:w="960" w:type="dxa"/>
            <w:tcBorders>
              <w:top w:val="nil"/>
              <w:left w:val="single" w:sz="8" w:space="0" w:color="auto"/>
              <w:bottom w:val="single" w:sz="8" w:space="0" w:color="95B3D7"/>
              <w:right w:val="single" w:sz="8" w:space="0" w:color="auto"/>
            </w:tcBorders>
            <w:shd w:val="clear" w:color="auto" w:fill="auto"/>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AT</w:t>
            </w:r>
          </w:p>
        </w:tc>
        <w:tc>
          <w:tcPr>
            <w:tcW w:w="829" w:type="dxa"/>
            <w:tcBorders>
              <w:top w:val="nil"/>
              <w:left w:val="single" w:sz="8" w:space="0" w:color="95B3D7"/>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04" w:type="dxa"/>
            <w:tcBorders>
              <w:top w:val="nil"/>
              <w:left w:val="nil"/>
              <w:bottom w:val="single" w:sz="8" w:space="0" w:color="95B3D7"/>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829"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nil"/>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829" w:type="dxa"/>
            <w:tcBorders>
              <w:top w:val="nil"/>
              <w:left w:val="nil"/>
              <w:bottom w:val="single" w:sz="8" w:space="0" w:color="95B3D7"/>
              <w:right w:val="nil"/>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1004" w:type="dxa"/>
            <w:tcBorders>
              <w:top w:val="nil"/>
              <w:left w:val="nil"/>
              <w:bottom w:val="single" w:sz="8" w:space="0" w:color="95B3D7"/>
              <w:right w:val="nil"/>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95B3D7"/>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r>
      <w:tr w:rsidR="00D33AEB" w:rsidRPr="00D33AEB" w:rsidTr="00D33AEB">
        <w:trPr>
          <w:trHeight w:val="315"/>
        </w:trPr>
        <w:tc>
          <w:tcPr>
            <w:tcW w:w="960" w:type="dxa"/>
            <w:tcBorders>
              <w:top w:val="nil"/>
              <w:left w:val="single" w:sz="8" w:space="0" w:color="auto"/>
              <w:bottom w:val="single" w:sz="8" w:space="0" w:color="auto"/>
              <w:right w:val="single" w:sz="8" w:space="0" w:color="auto"/>
            </w:tcBorders>
            <w:shd w:val="clear" w:color="000000" w:fill="DCE6F1"/>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RO</w:t>
            </w:r>
          </w:p>
        </w:tc>
        <w:tc>
          <w:tcPr>
            <w:tcW w:w="829" w:type="dxa"/>
            <w:tcBorders>
              <w:top w:val="nil"/>
              <w:left w:val="nil"/>
              <w:bottom w:val="single" w:sz="8" w:space="0" w:color="auto"/>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04" w:type="dxa"/>
            <w:tcBorders>
              <w:top w:val="nil"/>
              <w:left w:val="nil"/>
              <w:bottom w:val="single" w:sz="8" w:space="0" w:color="auto"/>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auto"/>
              <w:right w:val="single" w:sz="8" w:space="0" w:color="auto"/>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829" w:type="dxa"/>
            <w:tcBorders>
              <w:top w:val="nil"/>
              <w:left w:val="nil"/>
              <w:bottom w:val="single" w:sz="8" w:space="0" w:color="auto"/>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auto"/>
              <w:right w:val="single" w:sz="8" w:space="0" w:color="95B3D7"/>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val="en-GB" w:eastAsia="en-GB"/>
              </w:rPr>
              <w:t>ns</w:t>
            </w:r>
          </w:p>
        </w:tc>
        <w:tc>
          <w:tcPr>
            <w:tcW w:w="1047" w:type="dxa"/>
            <w:tcBorders>
              <w:top w:val="nil"/>
              <w:left w:val="nil"/>
              <w:bottom w:val="single" w:sz="8" w:space="0" w:color="auto"/>
              <w:right w:val="single" w:sz="8" w:space="0" w:color="auto"/>
            </w:tcBorders>
            <w:shd w:val="clear" w:color="000000" w:fill="92D050"/>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]2,5]</w:t>
            </w:r>
          </w:p>
        </w:tc>
        <w:tc>
          <w:tcPr>
            <w:tcW w:w="829" w:type="dxa"/>
            <w:tcBorders>
              <w:top w:val="nil"/>
              <w:left w:val="nil"/>
              <w:bottom w:val="single" w:sz="8" w:space="0" w:color="auto"/>
              <w:right w:val="nil"/>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c>
          <w:tcPr>
            <w:tcW w:w="1004" w:type="dxa"/>
            <w:tcBorders>
              <w:top w:val="nil"/>
              <w:left w:val="nil"/>
              <w:bottom w:val="single" w:sz="8" w:space="0" w:color="auto"/>
              <w:right w:val="nil"/>
            </w:tcBorders>
            <w:shd w:val="clear" w:color="000000" w:fill="D9D9D9"/>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proofErr w:type="spellStart"/>
            <w:proofErr w:type="gramStart"/>
            <w:r w:rsidRPr="00D33AEB">
              <w:rPr>
                <w:rFonts w:ascii="Arial" w:eastAsia="Times New Roman" w:hAnsi="Arial" w:cs="Arial"/>
                <w:color w:val="000000"/>
                <w:sz w:val="20"/>
                <w:szCs w:val="20"/>
                <w:lang w:eastAsia="en-GB"/>
              </w:rPr>
              <w:t>ns</w:t>
            </w:r>
            <w:proofErr w:type="spellEnd"/>
            <w:proofErr w:type="gramEnd"/>
          </w:p>
        </w:tc>
        <w:tc>
          <w:tcPr>
            <w:tcW w:w="1047" w:type="dxa"/>
            <w:tcBorders>
              <w:top w:val="nil"/>
              <w:left w:val="nil"/>
              <w:bottom w:val="single" w:sz="8" w:space="0" w:color="auto"/>
              <w:right w:val="single" w:sz="8" w:space="0" w:color="auto"/>
            </w:tcBorders>
            <w:shd w:val="clear" w:color="000000" w:fill="76923C"/>
            <w:noWrap/>
            <w:vAlign w:val="center"/>
            <w:hideMark/>
          </w:tcPr>
          <w:p w:rsidR="00D33AEB" w:rsidRPr="00D33AEB" w:rsidRDefault="00D33AEB" w:rsidP="00D33AEB">
            <w:pPr>
              <w:spacing w:after="0" w:line="240" w:lineRule="auto"/>
              <w:rPr>
                <w:rFonts w:ascii="Arial" w:eastAsia="Times New Roman" w:hAnsi="Arial" w:cs="Arial"/>
                <w:color w:val="000000"/>
                <w:sz w:val="20"/>
                <w:szCs w:val="20"/>
                <w:lang w:val="en-GB" w:eastAsia="en-GB"/>
              </w:rPr>
            </w:pPr>
            <w:r w:rsidRPr="00D33AEB">
              <w:rPr>
                <w:rFonts w:ascii="Arial" w:eastAsia="Times New Roman" w:hAnsi="Arial" w:cs="Arial"/>
                <w:color w:val="000000"/>
                <w:sz w:val="20"/>
                <w:szCs w:val="20"/>
                <w:lang w:eastAsia="en-GB"/>
              </w:rPr>
              <w:t>&gt;5</w:t>
            </w:r>
          </w:p>
        </w:tc>
      </w:tr>
    </w:tbl>
    <w:p w:rsidR="00D33AEB" w:rsidRDefault="00D33AEB" w:rsidP="00A43822">
      <w:pPr>
        <w:spacing w:after="120" w:line="240" w:lineRule="auto"/>
        <w:jc w:val="both"/>
        <w:rPr>
          <w:rFonts w:ascii="Arial" w:hAnsi="Arial" w:cs="Arial"/>
          <w:b/>
          <w:sz w:val="20"/>
          <w:szCs w:val="20"/>
          <w:lang w:val="en-GB"/>
        </w:rPr>
      </w:pPr>
    </w:p>
    <w:p w:rsidR="00D6610A" w:rsidRDefault="00D6610A" w:rsidP="00D6610A">
      <w:pPr>
        <w:rPr>
          <w:rFonts w:ascii="Arial" w:hAnsi="Arial" w:cs="Arial"/>
          <w:sz w:val="20"/>
          <w:szCs w:val="20"/>
          <w:lang w:val="en-GB"/>
        </w:rPr>
      </w:pPr>
      <w:r w:rsidRPr="004F1DC4">
        <w:rPr>
          <w:rFonts w:ascii="Arial" w:hAnsi="Arial" w:cs="Arial"/>
          <w:sz w:val="20"/>
          <w:szCs w:val="20"/>
          <w:lang w:val="en-GB"/>
        </w:rPr>
        <w:t xml:space="preserve">Source: Eurostat calculations based on EUROMOD H0.25+ and Eurostat data sources (EU-SILC, </w:t>
      </w:r>
      <w:r w:rsidR="00DD59FB">
        <w:rPr>
          <w:rFonts w:ascii="Arial" w:hAnsi="Arial" w:cs="Arial"/>
          <w:sz w:val="20"/>
          <w:szCs w:val="20"/>
          <w:lang w:val="en-GB"/>
        </w:rPr>
        <w:t>EU-</w:t>
      </w:r>
      <w:r w:rsidRPr="004F1DC4">
        <w:rPr>
          <w:rFonts w:ascii="Arial" w:hAnsi="Arial" w:cs="Arial"/>
          <w:sz w:val="20"/>
          <w:szCs w:val="20"/>
          <w:lang w:val="en-GB"/>
        </w:rPr>
        <w:t xml:space="preserve">LFS, </w:t>
      </w:r>
      <w:proofErr w:type="gramStart"/>
      <w:r w:rsidRPr="004F1DC4">
        <w:rPr>
          <w:rFonts w:ascii="Arial" w:hAnsi="Arial" w:cs="Arial"/>
          <w:sz w:val="20"/>
          <w:szCs w:val="20"/>
          <w:lang w:val="en-GB"/>
        </w:rPr>
        <w:t>Sector</w:t>
      </w:r>
      <w:proofErr w:type="gramEnd"/>
      <w:r w:rsidRPr="004F1DC4">
        <w:rPr>
          <w:rFonts w:ascii="Arial" w:hAnsi="Arial" w:cs="Arial"/>
          <w:sz w:val="20"/>
          <w:szCs w:val="20"/>
          <w:lang w:val="en-GB"/>
        </w:rPr>
        <w:t xml:space="preserve"> Accounts)</w:t>
      </w:r>
    </w:p>
    <w:p w:rsidR="00F30C27" w:rsidRPr="00EC5F5A" w:rsidRDefault="00013991"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6</w:t>
      </w:r>
      <w:r w:rsidR="00F30C27" w:rsidRPr="00EC5F5A">
        <w:rPr>
          <w:rFonts w:ascii="Arial" w:hAnsi="Arial" w:cs="Arial"/>
          <w:b/>
          <w:sz w:val="24"/>
          <w:szCs w:val="24"/>
          <w:lang w:val="en-GB"/>
        </w:rPr>
        <w:t>. References</w:t>
      </w:r>
    </w:p>
    <w:p w:rsidR="009B75F0" w:rsidRPr="009B75F0" w:rsidRDefault="009B75F0" w:rsidP="009B75F0">
      <w:pPr>
        <w:spacing w:before="120" w:after="0" w:line="360" w:lineRule="auto"/>
        <w:jc w:val="both"/>
        <w:rPr>
          <w:rFonts w:ascii="Arial" w:hAnsi="Arial" w:cs="Arial"/>
          <w:sz w:val="24"/>
          <w:szCs w:val="24"/>
          <w:lang w:val="en-GB"/>
        </w:rPr>
      </w:pPr>
      <w:r w:rsidRPr="009B75F0">
        <w:rPr>
          <w:rFonts w:ascii="Arial" w:hAnsi="Arial" w:cs="Arial"/>
          <w:sz w:val="24"/>
          <w:szCs w:val="24"/>
          <w:lang w:val="en-GB"/>
        </w:rPr>
        <w:t xml:space="preserve">Bourguignon, F., </w:t>
      </w:r>
      <w:proofErr w:type="spellStart"/>
      <w:r w:rsidRPr="009B75F0">
        <w:rPr>
          <w:rFonts w:ascii="Arial" w:hAnsi="Arial" w:cs="Arial"/>
          <w:sz w:val="24"/>
          <w:szCs w:val="24"/>
          <w:lang w:val="en-GB"/>
        </w:rPr>
        <w:t>Bussolo</w:t>
      </w:r>
      <w:proofErr w:type="spellEnd"/>
      <w:r w:rsidRPr="009B75F0">
        <w:rPr>
          <w:rFonts w:ascii="Arial" w:hAnsi="Arial" w:cs="Arial"/>
          <w:sz w:val="24"/>
          <w:szCs w:val="24"/>
          <w:lang w:val="en-GB"/>
        </w:rPr>
        <w:t xml:space="preserve">, M. and Da Silva, L.P. (2008) The impact of macro-economic policies on poverty and income distribution Macro-Micro Evaluation Techniques and Tools, The World Bank and Palgrave-Macmillan, New York.  </w:t>
      </w:r>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Brandolini</w:t>
      </w:r>
      <w:proofErr w:type="spellEnd"/>
      <w:r w:rsidRPr="009B75F0">
        <w:rPr>
          <w:rFonts w:ascii="Arial" w:hAnsi="Arial" w:cs="Arial"/>
          <w:sz w:val="24"/>
          <w:szCs w:val="24"/>
          <w:lang w:val="en-GB"/>
        </w:rPr>
        <w:t xml:space="preserve">, A., </w:t>
      </w:r>
      <w:proofErr w:type="spellStart"/>
      <w:r w:rsidRPr="009B75F0">
        <w:rPr>
          <w:rFonts w:ascii="Arial" w:hAnsi="Arial" w:cs="Arial"/>
          <w:sz w:val="24"/>
          <w:szCs w:val="24"/>
          <w:lang w:val="en-GB"/>
        </w:rPr>
        <w:t>D’Amuri</w:t>
      </w:r>
      <w:proofErr w:type="spellEnd"/>
      <w:r w:rsidRPr="009B75F0">
        <w:rPr>
          <w:rFonts w:ascii="Arial" w:hAnsi="Arial" w:cs="Arial"/>
          <w:sz w:val="24"/>
          <w:szCs w:val="24"/>
          <w:lang w:val="en-GB"/>
        </w:rPr>
        <w:t xml:space="preserve">, F. and </w:t>
      </w:r>
      <w:proofErr w:type="spellStart"/>
      <w:r w:rsidRPr="009B75F0">
        <w:rPr>
          <w:rFonts w:ascii="Arial" w:hAnsi="Arial" w:cs="Arial"/>
          <w:sz w:val="24"/>
          <w:szCs w:val="24"/>
          <w:lang w:val="en-GB"/>
        </w:rPr>
        <w:t>Faiella</w:t>
      </w:r>
      <w:proofErr w:type="spellEnd"/>
      <w:r w:rsidRPr="009B75F0">
        <w:rPr>
          <w:rFonts w:ascii="Arial" w:hAnsi="Arial" w:cs="Arial"/>
          <w:sz w:val="24"/>
          <w:szCs w:val="24"/>
          <w:lang w:val="en-GB"/>
        </w:rPr>
        <w:t xml:space="preserve">, I. (2013) “Country case study – Italy”, Chapter 5 in Jenkins et al, The Great Recession and the Distribution of Household Income, Oxford: Oxford University Press.  </w:t>
      </w:r>
    </w:p>
    <w:p w:rsidR="009B75F0" w:rsidRPr="009B75F0" w:rsidRDefault="009B75F0" w:rsidP="009B75F0">
      <w:pPr>
        <w:spacing w:before="120" w:after="0" w:line="360" w:lineRule="auto"/>
        <w:jc w:val="both"/>
        <w:rPr>
          <w:rFonts w:ascii="Arial" w:hAnsi="Arial" w:cs="Arial"/>
          <w:sz w:val="24"/>
          <w:szCs w:val="24"/>
          <w:lang w:val="en-GB"/>
        </w:rPr>
      </w:pPr>
      <w:r w:rsidRPr="009B75F0">
        <w:rPr>
          <w:rFonts w:ascii="Arial" w:hAnsi="Arial" w:cs="Arial"/>
          <w:sz w:val="24"/>
          <w:szCs w:val="24"/>
          <w:lang w:val="en-GB"/>
        </w:rPr>
        <w:t xml:space="preserve">Cohen, R. (2006) Introducing the GLMSELECT Procedure for Model Selection. </w:t>
      </w:r>
      <w:proofErr w:type="gramStart"/>
      <w:r w:rsidRPr="009B75F0">
        <w:rPr>
          <w:rFonts w:ascii="Arial" w:hAnsi="Arial" w:cs="Arial"/>
          <w:sz w:val="24"/>
          <w:szCs w:val="24"/>
          <w:lang w:val="en-GB"/>
        </w:rPr>
        <w:t>Proceedings of SAS Global Forum 2006 Conference.</w:t>
      </w:r>
      <w:proofErr w:type="gramEnd"/>
      <w:r w:rsidRPr="009B75F0">
        <w:rPr>
          <w:rFonts w:ascii="Arial" w:hAnsi="Arial" w:cs="Arial"/>
          <w:sz w:val="24"/>
          <w:szCs w:val="24"/>
          <w:lang w:val="en-GB"/>
        </w:rPr>
        <w:t xml:space="preserve"> Cary, NC: SAS Institute Inc.</w:t>
      </w:r>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Dekkers</w:t>
      </w:r>
      <w:proofErr w:type="spellEnd"/>
      <w:r w:rsidRPr="009B75F0">
        <w:rPr>
          <w:rFonts w:ascii="Arial" w:hAnsi="Arial" w:cs="Arial"/>
          <w:sz w:val="24"/>
          <w:szCs w:val="24"/>
          <w:lang w:val="en-GB"/>
        </w:rPr>
        <w:t xml:space="preserve">, Gijs, 2012, </w:t>
      </w:r>
      <w:proofErr w:type="gramStart"/>
      <w:r w:rsidRPr="009B75F0">
        <w:rPr>
          <w:rFonts w:ascii="Arial" w:hAnsi="Arial" w:cs="Arial"/>
          <w:sz w:val="24"/>
          <w:szCs w:val="24"/>
          <w:lang w:val="en-GB"/>
        </w:rPr>
        <w:t>The</w:t>
      </w:r>
      <w:proofErr w:type="gramEnd"/>
      <w:r w:rsidRPr="009B75F0">
        <w:rPr>
          <w:rFonts w:ascii="Arial" w:hAnsi="Arial" w:cs="Arial"/>
          <w:sz w:val="24"/>
          <w:szCs w:val="24"/>
          <w:lang w:val="en-GB"/>
        </w:rPr>
        <w:t xml:space="preserve"> simulation properties of microsimulation models with static and dynamic ageing – a guide into choosing one type of model over the other. Mimeo</w:t>
      </w:r>
    </w:p>
    <w:p w:rsidR="009B75F0" w:rsidRPr="009B75F0" w:rsidRDefault="009B75F0" w:rsidP="009B75F0">
      <w:pPr>
        <w:spacing w:before="120" w:after="0" w:line="360" w:lineRule="auto"/>
        <w:jc w:val="both"/>
        <w:rPr>
          <w:rFonts w:ascii="Arial" w:hAnsi="Arial" w:cs="Arial"/>
          <w:sz w:val="24"/>
          <w:szCs w:val="24"/>
          <w:lang w:val="fr-BE"/>
        </w:rPr>
      </w:pPr>
      <w:proofErr w:type="spellStart"/>
      <w:proofErr w:type="gramStart"/>
      <w:r w:rsidRPr="009B75F0">
        <w:rPr>
          <w:rFonts w:ascii="Arial" w:hAnsi="Arial" w:cs="Arial"/>
          <w:sz w:val="24"/>
          <w:szCs w:val="24"/>
          <w:lang w:val="en-GB"/>
        </w:rPr>
        <w:t>Dekkers</w:t>
      </w:r>
      <w:proofErr w:type="spellEnd"/>
      <w:r w:rsidRPr="009B75F0">
        <w:rPr>
          <w:rFonts w:ascii="Arial" w:hAnsi="Arial" w:cs="Arial"/>
          <w:sz w:val="24"/>
          <w:szCs w:val="24"/>
          <w:lang w:val="en-GB"/>
        </w:rPr>
        <w:t xml:space="preserve">, Gijs and Philippe </w:t>
      </w:r>
      <w:proofErr w:type="spellStart"/>
      <w:r w:rsidRPr="009B75F0">
        <w:rPr>
          <w:rFonts w:ascii="Arial" w:hAnsi="Arial" w:cs="Arial"/>
          <w:sz w:val="24"/>
          <w:szCs w:val="24"/>
          <w:lang w:val="en-GB"/>
        </w:rPr>
        <w:t>Liégeois</w:t>
      </w:r>
      <w:proofErr w:type="spellEnd"/>
      <w:r w:rsidRPr="009B75F0">
        <w:rPr>
          <w:rFonts w:ascii="Arial" w:hAnsi="Arial" w:cs="Arial"/>
          <w:sz w:val="24"/>
          <w:szCs w:val="24"/>
          <w:lang w:val="en-GB"/>
        </w:rPr>
        <w:t xml:space="preserve"> (2012).</w:t>
      </w:r>
      <w:proofErr w:type="gramEnd"/>
      <w:r w:rsidRPr="009B75F0">
        <w:rPr>
          <w:rFonts w:ascii="Arial" w:hAnsi="Arial" w:cs="Arial"/>
          <w:sz w:val="24"/>
          <w:szCs w:val="24"/>
          <w:lang w:val="en-GB"/>
        </w:rPr>
        <w:t xml:space="preserve"> The (dis)advantages of dynamic and static microsimulation. </w:t>
      </w:r>
      <w:proofErr w:type="spellStart"/>
      <w:r w:rsidRPr="009B75F0">
        <w:rPr>
          <w:rFonts w:ascii="Arial" w:hAnsi="Arial" w:cs="Arial"/>
          <w:sz w:val="24"/>
          <w:szCs w:val="24"/>
          <w:lang w:val="fr-BE"/>
        </w:rPr>
        <w:t>Mimeo</w:t>
      </w:r>
      <w:proofErr w:type="spellEnd"/>
      <w:r w:rsidRPr="009B75F0">
        <w:rPr>
          <w:rFonts w:ascii="Arial" w:hAnsi="Arial" w:cs="Arial"/>
          <w:sz w:val="24"/>
          <w:szCs w:val="24"/>
          <w:lang w:val="fr-BE"/>
        </w:rPr>
        <w:t xml:space="preserve"> Sept 14th 2012</w:t>
      </w:r>
    </w:p>
    <w:p w:rsidR="009B75F0" w:rsidRPr="009B75F0" w:rsidRDefault="009B75F0" w:rsidP="009B75F0">
      <w:pPr>
        <w:spacing w:before="120" w:after="0" w:line="360" w:lineRule="auto"/>
        <w:jc w:val="both"/>
        <w:rPr>
          <w:rFonts w:ascii="Arial" w:hAnsi="Arial" w:cs="Arial"/>
          <w:sz w:val="24"/>
          <w:szCs w:val="24"/>
          <w:lang w:val="fr-BE"/>
        </w:rPr>
      </w:pPr>
      <w:r w:rsidRPr="009B75F0">
        <w:rPr>
          <w:rFonts w:ascii="Arial" w:hAnsi="Arial" w:cs="Arial"/>
          <w:sz w:val="24"/>
          <w:szCs w:val="24"/>
          <w:lang w:val="fr-BE"/>
        </w:rPr>
        <w:t xml:space="preserve">Deville, J.-C. (1999). Estimation de variance pour des </w:t>
      </w:r>
      <w:proofErr w:type="spellStart"/>
      <w:r w:rsidRPr="009B75F0">
        <w:rPr>
          <w:rFonts w:ascii="Arial" w:hAnsi="Arial" w:cs="Arial"/>
          <w:sz w:val="24"/>
          <w:szCs w:val="24"/>
          <w:lang w:val="fr-BE"/>
        </w:rPr>
        <w:t>staistiques</w:t>
      </w:r>
      <w:proofErr w:type="spellEnd"/>
      <w:r w:rsidRPr="009B75F0">
        <w:rPr>
          <w:rFonts w:ascii="Arial" w:hAnsi="Arial" w:cs="Arial"/>
          <w:sz w:val="24"/>
          <w:szCs w:val="24"/>
          <w:lang w:val="fr-BE"/>
        </w:rPr>
        <w:t xml:space="preserve"> et des estimateurs complexes : linéarisation et techniques des résidus. Techniques d’enquête, 25, </w:t>
      </w:r>
      <w:r w:rsidR="00F43BD0">
        <w:rPr>
          <w:rFonts w:ascii="Arial" w:hAnsi="Arial" w:cs="Arial"/>
          <w:sz w:val="24"/>
          <w:szCs w:val="24"/>
          <w:lang w:val="fr-BE"/>
        </w:rPr>
        <w:t xml:space="preserve">pp. </w:t>
      </w:r>
      <w:r w:rsidRPr="009B75F0">
        <w:rPr>
          <w:rFonts w:ascii="Arial" w:hAnsi="Arial" w:cs="Arial"/>
          <w:sz w:val="24"/>
          <w:szCs w:val="24"/>
          <w:lang w:val="fr-BE"/>
        </w:rPr>
        <w:t>219-230.</w:t>
      </w:r>
    </w:p>
    <w:p w:rsidR="009B75F0" w:rsidRPr="009B75F0" w:rsidRDefault="009B75F0" w:rsidP="009B75F0">
      <w:pPr>
        <w:spacing w:before="120" w:after="0" w:line="360" w:lineRule="auto"/>
        <w:jc w:val="both"/>
        <w:rPr>
          <w:rFonts w:ascii="Arial" w:hAnsi="Arial" w:cs="Arial"/>
          <w:sz w:val="24"/>
          <w:szCs w:val="24"/>
          <w:lang w:val="en-GB"/>
        </w:rPr>
      </w:pPr>
      <w:r w:rsidRPr="009B75F0">
        <w:rPr>
          <w:rFonts w:ascii="Arial" w:hAnsi="Arial" w:cs="Arial"/>
          <w:sz w:val="24"/>
          <w:szCs w:val="24"/>
          <w:lang w:val="fr-BE"/>
        </w:rPr>
        <w:t xml:space="preserve">Deville, J.-C. and </w:t>
      </w:r>
      <w:proofErr w:type="spellStart"/>
      <w:r w:rsidRPr="009B75F0">
        <w:rPr>
          <w:rFonts w:ascii="Arial" w:hAnsi="Arial" w:cs="Arial"/>
          <w:sz w:val="24"/>
          <w:szCs w:val="24"/>
          <w:lang w:val="fr-BE"/>
        </w:rPr>
        <w:t>Särndal</w:t>
      </w:r>
      <w:proofErr w:type="spellEnd"/>
      <w:r w:rsidRPr="009B75F0">
        <w:rPr>
          <w:rFonts w:ascii="Arial" w:hAnsi="Arial" w:cs="Arial"/>
          <w:sz w:val="24"/>
          <w:szCs w:val="24"/>
          <w:lang w:val="fr-BE"/>
        </w:rPr>
        <w:t xml:space="preserve">, C.-E. (1992). </w:t>
      </w:r>
      <w:r w:rsidRPr="004F1DC4">
        <w:rPr>
          <w:rFonts w:ascii="Arial" w:hAnsi="Arial" w:cs="Arial"/>
          <w:sz w:val="24"/>
          <w:szCs w:val="24"/>
          <w:lang w:val="en-GB"/>
        </w:rPr>
        <w:t xml:space="preserve">Calibration estimators in survey </w:t>
      </w:r>
      <w:proofErr w:type="spellStart"/>
      <w:r w:rsidRPr="004F1DC4">
        <w:rPr>
          <w:rFonts w:ascii="Arial" w:hAnsi="Arial" w:cs="Arial"/>
          <w:sz w:val="24"/>
          <w:szCs w:val="24"/>
          <w:lang w:val="en-GB"/>
        </w:rPr>
        <w:t>samling</w:t>
      </w:r>
      <w:proofErr w:type="spellEnd"/>
      <w:r w:rsidRPr="004F1DC4">
        <w:rPr>
          <w:rFonts w:ascii="Arial" w:hAnsi="Arial" w:cs="Arial"/>
          <w:sz w:val="24"/>
          <w:szCs w:val="24"/>
          <w:lang w:val="en-GB"/>
        </w:rPr>
        <w:t xml:space="preserve">. </w:t>
      </w:r>
      <w:r w:rsidRPr="009B75F0">
        <w:rPr>
          <w:rFonts w:ascii="Arial" w:hAnsi="Arial" w:cs="Arial"/>
          <w:sz w:val="24"/>
          <w:szCs w:val="24"/>
          <w:lang w:val="en-GB"/>
        </w:rPr>
        <w:t xml:space="preserve">Journal of the American Statistical Association, 87, </w:t>
      </w:r>
      <w:r w:rsidR="00F43BD0">
        <w:rPr>
          <w:rFonts w:ascii="Arial" w:hAnsi="Arial" w:cs="Arial"/>
          <w:sz w:val="24"/>
          <w:szCs w:val="24"/>
          <w:lang w:val="en-GB"/>
        </w:rPr>
        <w:t xml:space="preserve">pp. </w:t>
      </w:r>
      <w:r w:rsidRPr="009B75F0">
        <w:rPr>
          <w:rFonts w:ascii="Arial" w:hAnsi="Arial" w:cs="Arial"/>
          <w:sz w:val="24"/>
          <w:szCs w:val="24"/>
          <w:lang w:val="en-GB"/>
        </w:rPr>
        <w:t>376-382.</w:t>
      </w:r>
    </w:p>
    <w:p w:rsidR="009B75F0" w:rsidRPr="009B75F0" w:rsidRDefault="009B75F0" w:rsidP="009B75F0">
      <w:pPr>
        <w:spacing w:before="120" w:after="0" w:line="360" w:lineRule="auto"/>
        <w:jc w:val="both"/>
        <w:rPr>
          <w:rFonts w:ascii="Arial" w:hAnsi="Arial" w:cs="Arial"/>
          <w:sz w:val="24"/>
          <w:szCs w:val="24"/>
          <w:lang w:val="en-GB"/>
        </w:rPr>
      </w:pPr>
      <w:r w:rsidRPr="009B75F0">
        <w:rPr>
          <w:rFonts w:ascii="Arial" w:hAnsi="Arial" w:cs="Arial"/>
          <w:sz w:val="24"/>
          <w:szCs w:val="24"/>
          <w:lang w:val="en-GB"/>
        </w:rPr>
        <w:t>EUROMOD (2017) Effects of tax-benefit policy changes across the income distributions of the EU-28 countries: 2015-2016, EUROMOD Working Paper 10/17, Institute for Social and Economic Research, University of Essex.</w:t>
      </w:r>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Figari</w:t>
      </w:r>
      <w:proofErr w:type="spellEnd"/>
      <w:r w:rsidRPr="009B75F0">
        <w:rPr>
          <w:rFonts w:ascii="Arial" w:hAnsi="Arial" w:cs="Arial"/>
          <w:sz w:val="24"/>
          <w:szCs w:val="24"/>
          <w:lang w:val="en-GB"/>
        </w:rPr>
        <w:t xml:space="preserve">, F., </w:t>
      </w:r>
      <w:proofErr w:type="spellStart"/>
      <w:r w:rsidRPr="009B75F0">
        <w:rPr>
          <w:rFonts w:ascii="Arial" w:hAnsi="Arial" w:cs="Arial"/>
          <w:sz w:val="24"/>
          <w:szCs w:val="24"/>
          <w:lang w:val="en-GB"/>
        </w:rPr>
        <w:t>Iacovou</w:t>
      </w:r>
      <w:proofErr w:type="spellEnd"/>
      <w:r w:rsidRPr="009B75F0">
        <w:rPr>
          <w:rFonts w:ascii="Arial" w:hAnsi="Arial" w:cs="Arial"/>
          <w:sz w:val="24"/>
          <w:szCs w:val="24"/>
          <w:lang w:val="en-GB"/>
        </w:rPr>
        <w:t>, M., Skew, A. and Sutherland, H. (2012) Approximations to the truth: comparing survey and microsimulation approaches to measuring income for social indicators, Soc</w:t>
      </w:r>
      <w:r w:rsidR="00F43BD0">
        <w:rPr>
          <w:rFonts w:ascii="Arial" w:hAnsi="Arial" w:cs="Arial"/>
          <w:sz w:val="24"/>
          <w:szCs w:val="24"/>
          <w:lang w:val="en-GB"/>
        </w:rPr>
        <w:t>ial Indicators Research, 105(3), pp.</w:t>
      </w:r>
      <w:r w:rsidRPr="009B75F0">
        <w:rPr>
          <w:rFonts w:ascii="Arial" w:hAnsi="Arial" w:cs="Arial"/>
          <w:sz w:val="24"/>
          <w:szCs w:val="24"/>
          <w:lang w:val="en-GB"/>
        </w:rPr>
        <w:t xml:space="preserve"> 387-407.</w:t>
      </w:r>
    </w:p>
    <w:p w:rsidR="009B75F0" w:rsidRPr="009B75F0" w:rsidRDefault="009B75F0" w:rsidP="009B75F0">
      <w:pPr>
        <w:spacing w:before="120" w:after="0" w:line="360" w:lineRule="auto"/>
        <w:jc w:val="both"/>
        <w:rPr>
          <w:rFonts w:ascii="Arial" w:hAnsi="Arial" w:cs="Arial"/>
          <w:sz w:val="24"/>
          <w:szCs w:val="24"/>
          <w:lang w:val="en-GB"/>
        </w:rPr>
      </w:pPr>
      <w:proofErr w:type="spellStart"/>
      <w:proofErr w:type="gramStart"/>
      <w:r w:rsidRPr="009B75F0">
        <w:rPr>
          <w:rFonts w:ascii="Arial" w:hAnsi="Arial" w:cs="Arial"/>
          <w:sz w:val="24"/>
          <w:szCs w:val="24"/>
          <w:lang w:val="en-GB"/>
        </w:rPr>
        <w:t>Figari</w:t>
      </w:r>
      <w:proofErr w:type="spellEnd"/>
      <w:r w:rsidRPr="009B75F0">
        <w:rPr>
          <w:rFonts w:ascii="Arial" w:hAnsi="Arial" w:cs="Arial"/>
          <w:sz w:val="24"/>
          <w:szCs w:val="24"/>
          <w:lang w:val="en-GB"/>
        </w:rPr>
        <w:t>, F., A. Paulus and H. Sutherland (2015) “Microsimulation and Policy Analysis” in A.B. Atkinson and F. Bourguignon (Eds.) Handbook of Income Distribution, Vol 2B.</w:t>
      </w:r>
      <w:proofErr w:type="gramEnd"/>
      <w:r w:rsidRPr="009B75F0">
        <w:rPr>
          <w:rFonts w:ascii="Arial" w:hAnsi="Arial" w:cs="Arial"/>
          <w:sz w:val="24"/>
          <w:szCs w:val="24"/>
          <w:lang w:val="en-GB"/>
        </w:rPr>
        <w:t xml:space="preserve"> Amsterdam: Elsevier, pp. 2141-2221. ISBN 978-0-444-59430-3</w:t>
      </w:r>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Figari</w:t>
      </w:r>
      <w:proofErr w:type="spellEnd"/>
      <w:r w:rsidRPr="009B75F0">
        <w:rPr>
          <w:rFonts w:ascii="Arial" w:hAnsi="Arial" w:cs="Arial"/>
          <w:sz w:val="24"/>
          <w:szCs w:val="24"/>
          <w:lang w:val="en-GB"/>
        </w:rPr>
        <w:t xml:space="preserve">, F., </w:t>
      </w:r>
      <w:proofErr w:type="spellStart"/>
      <w:r w:rsidRPr="009B75F0">
        <w:rPr>
          <w:rFonts w:ascii="Arial" w:hAnsi="Arial" w:cs="Arial"/>
          <w:sz w:val="24"/>
          <w:szCs w:val="24"/>
          <w:lang w:val="en-GB"/>
        </w:rPr>
        <w:t>Salvatori</w:t>
      </w:r>
      <w:proofErr w:type="spellEnd"/>
      <w:r w:rsidRPr="009B75F0">
        <w:rPr>
          <w:rFonts w:ascii="Arial" w:hAnsi="Arial" w:cs="Arial"/>
          <w:sz w:val="24"/>
          <w:szCs w:val="24"/>
          <w:lang w:val="en-GB"/>
        </w:rPr>
        <w:t xml:space="preserve">, A. and Sutherland, H. (2011) Economic downturn and stress testing European welfare systems, </w:t>
      </w:r>
      <w:r w:rsidR="00F43BD0">
        <w:rPr>
          <w:rFonts w:ascii="Arial" w:hAnsi="Arial" w:cs="Arial"/>
          <w:sz w:val="24"/>
          <w:szCs w:val="24"/>
          <w:lang w:val="en-GB"/>
        </w:rPr>
        <w:t xml:space="preserve">Research in </w:t>
      </w:r>
      <w:proofErr w:type="spellStart"/>
      <w:r w:rsidR="00F43BD0">
        <w:rPr>
          <w:rFonts w:ascii="Arial" w:hAnsi="Arial" w:cs="Arial"/>
          <w:sz w:val="24"/>
          <w:szCs w:val="24"/>
          <w:lang w:val="en-GB"/>
        </w:rPr>
        <w:t>Labor</w:t>
      </w:r>
      <w:proofErr w:type="spellEnd"/>
      <w:r w:rsidR="00F43BD0">
        <w:rPr>
          <w:rFonts w:ascii="Arial" w:hAnsi="Arial" w:cs="Arial"/>
          <w:sz w:val="24"/>
          <w:szCs w:val="24"/>
          <w:lang w:val="en-GB"/>
        </w:rPr>
        <w:t xml:space="preserve"> Economics, 32, pp.</w:t>
      </w:r>
      <w:r w:rsidRPr="009B75F0">
        <w:rPr>
          <w:rFonts w:ascii="Arial" w:hAnsi="Arial" w:cs="Arial"/>
          <w:sz w:val="24"/>
          <w:szCs w:val="24"/>
          <w:lang w:val="en-GB"/>
        </w:rPr>
        <w:t xml:space="preserve"> 257-286.</w:t>
      </w:r>
    </w:p>
    <w:p w:rsidR="00F959BA" w:rsidRPr="009B75F0" w:rsidRDefault="00F959BA" w:rsidP="00F959BA">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lastRenderedPageBreak/>
        <w:t>Gasior</w:t>
      </w:r>
      <w:proofErr w:type="spellEnd"/>
      <w:r w:rsidRPr="009B75F0">
        <w:rPr>
          <w:rFonts w:ascii="Arial" w:hAnsi="Arial" w:cs="Arial"/>
          <w:sz w:val="24"/>
          <w:szCs w:val="24"/>
          <w:lang w:val="en-GB"/>
        </w:rPr>
        <w:t xml:space="preserve">, K. and </w:t>
      </w:r>
      <w:proofErr w:type="spellStart"/>
      <w:r w:rsidRPr="009B75F0">
        <w:rPr>
          <w:rFonts w:ascii="Arial" w:hAnsi="Arial" w:cs="Arial"/>
          <w:sz w:val="24"/>
          <w:szCs w:val="24"/>
          <w:lang w:val="en-GB"/>
        </w:rPr>
        <w:t>Rastrigina</w:t>
      </w:r>
      <w:proofErr w:type="spellEnd"/>
      <w:r w:rsidRPr="009B75F0">
        <w:rPr>
          <w:rFonts w:ascii="Arial" w:hAnsi="Arial" w:cs="Arial"/>
          <w:sz w:val="24"/>
          <w:szCs w:val="24"/>
          <w:lang w:val="en-GB"/>
        </w:rPr>
        <w:t xml:space="preserve">, O. (2017) </w:t>
      </w:r>
      <w:proofErr w:type="spellStart"/>
      <w:r w:rsidRPr="009B75F0">
        <w:rPr>
          <w:rFonts w:ascii="Arial" w:hAnsi="Arial" w:cs="Arial"/>
          <w:sz w:val="24"/>
          <w:szCs w:val="24"/>
          <w:lang w:val="en-GB"/>
        </w:rPr>
        <w:t>Nowcasting</w:t>
      </w:r>
      <w:proofErr w:type="spellEnd"/>
      <w:r w:rsidRPr="009B75F0">
        <w:rPr>
          <w:rFonts w:ascii="Arial" w:hAnsi="Arial" w:cs="Arial"/>
          <w:sz w:val="24"/>
          <w:szCs w:val="24"/>
          <w:lang w:val="en-GB"/>
        </w:rPr>
        <w:t xml:space="preserve">: timely indicators for monitoring risk of poverty in 2014-2016, Research Note 1/2016, Social Situation Monitor, European Commission </w:t>
      </w:r>
    </w:p>
    <w:p w:rsidR="009B75F0" w:rsidRPr="009B75F0" w:rsidRDefault="009B75F0" w:rsidP="009B75F0">
      <w:pPr>
        <w:spacing w:before="120" w:after="0" w:line="360" w:lineRule="auto"/>
        <w:jc w:val="both"/>
        <w:rPr>
          <w:rFonts w:ascii="Arial" w:hAnsi="Arial" w:cs="Arial"/>
          <w:sz w:val="24"/>
          <w:szCs w:val="24"/>
          <w:lang w:val="en-GB"/>
        </w:rPr>
      </w:pPr>
      <w:proofErr w:type="gramStart"/>
      <w:r w:rsidRPr="009B75F0">
        <w:rPr>
          <w:rFonts w:ascii="Arial" w:hAnsi="Arial" w:cs="Arial"/>
          <w:sz w:val="24"/>
          <w:szCs w:val="24"/>
          <w:lang w:val="en-GB"/>
        </w:rPr>
        <w:t>Harrell, F. (2001) Regression Modelling Strategies.</w:t>
      </w:r>
      <w:proofErr w:type="gramEnd"/>
      <w:r w:rsidRPr="009B75F0">
        <w:rPr>
          <w:rFonts w:ascii="Arial" w:hAnsi="Arial" w:cs="Arial"/>
          <w:sz w:val="24"/>
          <w:szCs w:val="24"/>
          <w:lang w:val="en-GB"/>
        </w:rPr>
        <w:t xml:space="preserve"> New York: Springer-</w:t>
      </w:r>
      <w:proofErr w:type="spellStart"/>
      <w:r w:rsidRPr="009B75F0">
        <w:rPr>
          <w:rFonts w:ascii="Arial" w:hAnsi="Arial" w:cs="Arial"/>
          <w:sz w:val="24"/>
          <w:szCs w:val="24"/>
          <w:lang w:val="en-GB"/>
        </w:rPr>
        <w:t>Verlag</w:t>
      </w:r>
      <w:proofErr w:type="spellEnd"/>
      <w:r w:rsidRPr="009B75F0">
        <w:rPr>
          <w:rFonts w:ascii="Arial" w:hAnsi="Arial" w:cs="Arial"/>
          <w:sz w:val="24"/>
          <w:szCs w:val="24"/>
          <w:lang w:val="en-GB"/>
        </w:rPr>
        <w:t>.</w:t>
      </w:r>
    </w:p>
    <w:p w:rsidR="009B75F0" w:rsidRPr="009B75F0" w:rsidRDefault="009B75F0" w:rsidP="009B75F0">
      <w:pPr>
        <w:spacing w:before="120" w:after="0" w:line="360" w:lineRule="auto"/>
        <w:jc w:val="both"/>
        <w:rPr>
          <w:rFonts w:ascii="Arial" w:hAnsi="Arial" w:cs="Arial"/>
          <w:sz w:val="24"/>
          <w:szCs w:val="24"/>
          <w:lang w:val="en-GB"/>
        </w:rPr>
      </w:pPr>
      <w:r w:rsidRPr="009B75F0">
        <w:rPr>
          <w:rFonts w:ascii="Arial" w:hAnsi="Arial" w:cs="Arial"/>
          <w:sz w:val="24"/>
          <w:szCs w:val="24"/>
          <w:lang w:val="en-GB"/>
        </w:rPr>
        <w:t xml:space="preserve">Hastie, T., </w:t>
      </w:r>
      <w:proofErr w:type="spellStart"/>
      <w:r w:rsidRPr="009B75F0">
        <w:rPr>
          <w:rFonts w:ascii="Arial" w:hAnsi="Arial" w:cs="Arial"/>
          <w:sz w:val="24"/>
          <w:szCs w:val="24"/>
          <w:lang w:val="en-GB"/>
        </w:rPr>
        <w:t>Tibshirani</w:t>
      </w:r>
      <w:proofErr w:type="spellEnd"/>
      <w:r w:rsidRPr="009B75F0">
        <w:rPr>
          <w:rFonts w:ascii="Arial" w:hAnsi="Arial" w:cs="Arial"/>
          <w:sz w:val="24"/>
          <w:szCs w:val="24"/>
          <w:lang w:val="en-GB"/>
        </w:rPr>
        <w:t xml:space="preserve">, R., and Friedman, J. (2009) The Elements of Statistical </w:t>
      </w:r>
      <w:proofErr w:type="gramStart"/>
      <w:r w:rsidRPr="009B75F0">
        <w:rPr>
          <w:rFonts w:ascii="Arial" w:hAnsi="Arial" w:cs="Arial"/>
          <w:sz w:val="24"/>
          <w:szCs w:val="24"/>
          <w:lang w:val="en-GB"/>
        </w:rPr>
        <w:t>Learning :</w:t>
      </w:r>
      <w:proofErr w:type="gramEnd"/>
      <w:r w:rsidRPr="009B75F0">
        <w:rPr>
          <w:rFonts w:ascii="Arial" w:hAnsi="Arial" w:cs="Arial"/>
          <w:sz w:val="24"/>
          <w:szCs w:val="24"/>
          <w:lang w:val="en-GB"/>
        </w:rPr>
        <w:t xml:space="preserve"> Data Mining, Inference, and Prediction. New York: Springer-</w:t>
      </w:r>
      <w:proofErr w:type="spellStart"/>
      <w:r w:rsidRPr="009B75F0">
        <w:rPr>
          <w:rFonts w:ascii="Arial" w:hAnsi="Arial" w:cs="Arial"/>
          <w:sz w:val="24"/>
          <w:szCs w:val="24"/>
          <w:lang w:val="en-GB"/>
        </w:rPr>
        <w:t>Verlag</w:t>
      </w:r>
      <w:proofErr w:type="spellEnd"/>
      <w:r w:rsidRPr="009B75F0">
        <w:rPr>
          <w:rFonts w:ascii="Arial" w:hAnsi="Arial" w:cs="Arial"/>
          <w:sz w:val="24"/>
          <w:szCs w:val="24"/>
          <w:lang w:val="en-GB"/>
        </w:rPr>
        <w:t>.</w:t>
      </w:r>
    </w:p>
    <w:p w:rsidR="009B75F0" w:rsidRPr="009B75F0" w:rsidRDefault="009B75F0" w:rsidP="009B75F0">
      <w:pPr>
        <w:spacing w:before="120" w:after="0" w:line="360" w:lineRule="auto"/>
        <w:jc w:val="both"/>
        <w:rPr>
          <w:rFonts w:ascii="Arial" w:hAnsi="Arial" w:cs="Arial"/>
          <w:sz w:val="24"/>
          <w:szCs w:val="24"/>
          <w:lang w:val="en-GB"/>
        </w:rPr>
      </w:pPr>
      <w:proofErr w:type="spellStart"/>
      <w:proofErr w:type="gramStart"/>
      <w:r w:rsidRPr="00A571BB">
        <w:rPr>
          <w:rFonts w:ascii="Arial" w:hAnsi="Arial" w:cs="Arial"/>
          <w:sz w:val="24"/>
          <w:szCs w:val="24"/>
          <w:lang w:val="en-GB"/>
        </w:rPr>
        <w:t>Immervoll</w:t>
      </w:r>
      <w:proofErr w:type="spellEnd"/>
      <w:r w:rsidRPr="00A571BB">
        <w:rPr>
          <w:rFonts w:ascii="Arial" w:hAnsi="Arial" w:cs="Arial"/>
          <w:sz w:val="24"/>
          <w:szCs w:val="24"/>
          <w:lang w:val="en-GB"/>
        </w:rPr>
        <w:t xml:space="preserve">, H., </w:t>
      </w:r>
      <w:proofErr w:type="spellStart"/>
      <w:r w:rsidRPr="00A571BB">
        <w:rPr>
          <w:rFonts w:ascii="Arial" w:hAnsi="Arial" w:cs="Arial"/>
          <w:sz w:val="24"/>
          <w:szCs w:val="24"/>
          <w:lang w:val="en-GB"/>
        </w:rPr>
        <w:t>Lindström</w:t>
      </w:r>
      <w:proofErr w:type="spellEnd"/>
      <w:r w:rsidRPr="00A571BB">
        <w:rPr>
          <w:rFonts w:ascii="Arial" w:hAnsi="Arial" w:cs="Arial"/>
          <w:sz w:val="24"/>
          <w:szCs w:val="24"/>
          <w:lang w:val="en-GB"/>
        </w:rPr>
        <w:t xml:space="preserve">, K., </w:t>
      </w:r>
      <w:proofErr w:type="spellStart"/>
      <w:r w:rsidRPr="00A571BB">
        <w:rPr>
          <w:rFonts w:ascii="Arial" w:hAnsi="Arial" w:cs="Arial"/>
          <w:sz w:val="24"/>
          <w:szCs w:val="24"/>
          <w:lang w:val="en-GB"/>
        </w:rPr>
        <w:t>Mustonen</w:t>
      </w:r>
      <w:proofErr w:type="spellEnd"/>
      <w:r w:rsidRPr="00A571BB">
        <w:rPr>
          <w:rFonts w:ascii="Arial" w:hAnsi="Arial" w:cs="Arial"/>
          <w:sz w:val="24"/>
          <w:szCs w:val="24"/>
          <w:lang w:val="en-GB"/>
        </w:rPr>
        <w:t xml:space="preserve">, E., </w:t>
      </w:r>
      <w:proofErr w:type="spellStart"/>
      <w:r w:rsidRPr="00A571BB">
        <w:rPr>
          <w:rFonts w:ascii="Arial" w:hAnsi="Arial" w:cs="Arial"/>
          <w:sz w:val="24"/>
          <w:szCs w:val="24"/>
          <w:lang w:val="en-GB"/>
        </w:rPr>
        <w:t>Riihelä</w:t>
      </w:r>
      <w:proofErr w:type="spellEnd"/>
      <w:r w:rsidRPr="00A571BB">
        <w:rPr>
          <w:rFonts w:ascii="Arial" w:hAnsi="Arial" w:cs="Arial"/>
          <w:sz w:val="24"/>
          <w:szCs w:val="24"/>
          <w:lang w:val="en-GB"/>
        </w:rPr>
        <w:t xml:space="preserve">, M., &amp; </w:t>
      </w:r>
      <w:proofErr w:type="spellStart"/>
      <w:r w:rsidRPr="00A571BB">
        <w:rPr>
          <w:rFonts w:ascii="Arial" w:hAnsi="Arial" w:cs="Arial"/>
          <w:sz w:val="24"/>
          <w:szCs w:val="24"/>
          <w:lang w:val="en-GB"/>
        </w:rPr>
        <w:t>Viitamäki</w:t>
      </w:r>
      <w:proofErr w:type="spellEnd"/>
      <w:r w:rsidRPr="00A571BB">
        <w:rPr>
          <w:rFonts w:ascii="Arial" w:hAnsi="Arial" w:cs="Arial"/>
          <w:sz w:val="24"/>
          <w:szCs w:val="24"/>
          <w:lang w:val="en-GB"/>
        </w:rPr>
        <w:t>, H. (2005c).</w:t>
      </w:r>
      <w:proofErr w:type="gramEnd"/>
      <w:r w:rsidRPr="00A571BB">
        <w:rPr>
          <w:rFonts w:ascii="Arial" w:hAnsi="Arial" w:cs="Arial"/>
          <w:sz w:val="24"/>
          <w:szCs w:val="24"/>
          <w:lang w:val="en-GB"/>
        </w:rPr>
        <w:t xml:space="preserve"> </w:t>
      </w:r>
      <w:proofErr w:type="gramStart"/>
      <w:r w:rsidRPr="009B75F0">
        <w:rPr>
          <w:rFonts w:ascii="Arial" w:hAnsi="Arial" w:cs="Arial"/>
          <w:sz w:val="24"/>
          <w:szCs w:val="24"/>
          <w:lang w:val="en-GB"/>
        </w:rPr>
        <w:t>Static data “ageing” techniques.</w:t>
      </w:r>
      <w:proofErr w:type="gramEnd"/>
      <w:r w:rsidRPr="009B75F0">
        <w:rPr>
          <w:rFonts w:ascii="Arial" w:hAnsi="Arial" w:cs="Arial"/>
          <w:sz w:val="24"/>
          <w:szCs w:val="24"/>
          <w:lang w:val="en-GB"/>
        </w:rPr>
        <w:t xml:space="preserve"> </w:t>
      </w:r>
      <w:proofErr w:type="gramStart"/>
      <w:r w:rsidRPr="009B75F0">
        <w:rPr>
          <w:rFonts w:ascii="Arial" w:hAnsi="Arial" w:cs="Arial"/>
          <w:sz w:val="24"/>
          <w:szCs w:val="24"/>
          <w:lang w:val="en-GB"/>
        </w:rPr>
        <w:t>Accounting for population changes in tax-benefit microsimulation.</w:t>
      </w:r>
      <w:proofErr w:type="gramEnd"/>
      <w:r w:rsidRPr="009B75F0">
        <w:rPr>
          <w:rFonts w:ascii="Arial" w:hAnsi="Arial" w:cs="Arial"/>
          <w:sz w:val="24"/>
          <w:szCs w:val="24"/>
          <w:lang w:val="en-GB"/>
        </w:rPr>
        <w:t xml:space="preserve"> </w:t>
      </w:r>
      <w:proofErr w:type="gramStart"/>
      <w:r w:rsidRPr="009B75F0">
        <w:rPr>
          <w:rFonts w:ascii="Arial" w:hAnsi="Arial" w:cs="Arial"/>
          <w:sz w:val="24"/>
          <w:szCs w:val="24"/>
          <w:lang w:val="en-GB"/>
        </w:rPr>
        <w:t>EUROMOD Working Paper, EM7/05.</w:t>
      </w:r>
      <w:proofErr w:type="gramEnd"/>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Immervoll</w:t>
      </w:r>
      <w:proofErr w:type="spellEnd"/>
      <w:r w:rsidRPr="009B75F0">
        <w:rPr>
          <w:rFonts w:ascii="Arial" w:hAnsi="Arial" w:cs="Arial"/>
          <w:sz w:val="24"/>
          <w:szCs w:val="24"/>
          <w:lang w:val="en-GB"/>
        </w:rPr>
        <w:t xml:space="preserve">, H., Levy, H., </w:t>
      </w:r>
      <w:proofErr w:type="spellStart"/>
      <w:r w:rsidRPr="009B75F0">
        <w:rPr>
          <w:rFonts w:ascii="Arial" w:hAnsi="Arial" w:cs="Arial"/>
          <w:sz w:val="24"/>
          <w:szCs w:val="24"/>
          <w:lang w:val="en-GB"/>
        </w:rPr>
        <w:t>Lietz</w:t>
      </w:r>
      <w:proofErr w:type="spellEnd"/>
      <w:r w:rsidRPr="009B75F0">
        <w:rPr>
          <w:rFonts w:ascii="Arial" w:hAnsi="Arial" w:cs="Arial"/>
          <w:sz w:val="24"/>
          <w:szCs w:val="24"/>
          <w:lang w:val="en-GB"/>
        </w:rPr>
        <w:t xml:space="preserve">, C., </w:t>
      </w:r>
      <w:proofErr w:type="spellStart"/>
      <w:r w:rsidRPr="009B75F0">
        <w:rPr>
          <w:rFonts w:ascii="Arial" w:hAnsi="Arial" w:cs="Arial"/>
          <w:sz w:val="24"/>
          <w:szCs w:val="24"/>
          <w:lang w:val="en-GB"/>
        </w:rPr>
        <w:t>Mantovani</w:t>
      </w:r>
      <w:proofErr w:type="spellEnd"/>
      <w:r w:rsidRPr="009B75F0">
        <w:rPr>
          <w:rFonts w:ascii="Arial" w:hAnsi="Arial" w:cs="Arial"/>
          <w:sz w:val="24"/>
          <w:szCs w:val="24"/>
          <w:lang w:val="en-GB"/>
        </w:rPr>
        <w:t xml:space="preserve">, D. and Sutherland, H. (2006) </w:t>
      </w:r>
      <w:proofErr w:type="gramStart"/>
      <w:r w:rsidRPr="009B75F0">
        <w:rPr>
          <w:rFonts w:ascii="Arial" w:hAnsi="Arial" w:cs="Arial"/>
          <w:sz w:val="24"/>
          <w:szCs w:val="24"/>
          <w:lang w:val="en-GB"/>
        </w:rPr>
        <w:t>The</w:t>
      </w:r>
      <w:proofErr w:type="gramEnd"/>
      <w:r w:rsidRPr="009B75F0">
        <w:rPr>
          <w:rFonts w:ascii="Arial" w:hAnsi="Arial" w:cs="Arial"/>
          <w:sz w:val="24"/>
          <w:szCs w:val="24"/>
          <w:lang w:val="en-GB"/>
        </w:rPr>
        <w:t xml:space="preserve"> sensitivity of poverty rates in the European Union to macro-level changes, Cambridge Journal of Economics</w:t>
      </w:r>
      <w:r w:rsidR="00F43BD0">
        <w:rPr>
          <w:rFonts w:ascii="Arial" w:hAnsi="Arial" w:cs="Arial"/>
          <w:sz w:val="24"/>
          <w:szCs w:val="24"/>
          <w:lang w:val="en-GB"/>
        </w:rPr>
        <w:t>, 30, pp.</w:t>
      </w:r>
      <w:r w:rsidRPr="009B75F0">
        <w:rPr>
          <w:rFonts w:ascii="Arial" w:hAnsi="Arial" w:cs="Arial"/>
          <w:sz w:val="24"/>
          <w:szCs w:val="24"/>
          <w:lang w:val="en-GB"/>
        </w:rPr>
        <w:t xml:space="preserve"> 181-199.</w:t>
      </w:r>
    </w:p>
    <w:p w:rsidR="009B75F0" w:rsidRPr="009B75F0" w:rsidRDefault="009B75F0" w:rsidP="009B75F0">
      <w:pPr>
        <w:spacing w:before="120" w:after="0" w:line="360" w:lineRule="auto"/>
        <w:jc w:val="both"/>
        <w:rPr>
          <w:rFonts w:ascii="Arial" w:hAnsi="Arial" w:cs="Arial"/>
          <w:sz w:val="24"/>
          <w:szCs w:val="24"/>
          <w:lang w:val="en-GB"/>
        </w:rPr>
      </w:pPr>
      <w:r w:rsidRPr="009B75F0">
        <w:rPr>
          <w:rFonts w:ascii="Arial" w:hAnsi="Arial" w:cs="Arial"/>
          <w:sz w:val="24"/>
          <w:szCs w:val="24"/>
          <w:lang w:val="en-GB"/>
        </w:rPr>
        <w:t xml:space="preserve">Keane C., Callan, T., Savage, M., Walsh, J.R. and </w:t>
      </w:r>
      <w:proofErr w:type="spellStart"/>
      <w:r w:rsidRPr="009B75F0">
        <w:rPr>
          <w:rFonts w:ascii="Arial" w:hAnsi="Arial" w:cs="Arial"/>
          <w:sz w:val="24"/>
          <w:szCs w:val="24"/>
          <w:lang w:val="en-GB"/>
        </w:rPr>
        <w:t>Timoney</w:t>
      </w:r>
      <w:proofErr w:type="spellEnd"/>
      <w:r w:rsidRPr="009B75F0">
        <w:rPr>
          <w:rFonts w:ascii="Arial" w:hAnsi="Arial" w:cs="Arial"/>
          <w:sz w:val="24"/>
          <w:szCs w:val="24"/>
          <w:lang w:val="en-GB"/>
        </w:rPr>
        <w:t>, K. (2013) Identifying Policy Impacts in the Crisis: Microsimulation Evidence on Tax and Welfare, Journal of the Statistical and Social I</w:t>
      </w:r>
      <w:r w:rsidR="00F43BD0">
        <w:rPr>
          <w:rFonts w:ascii="Arial" w:hAnsi="Arial" w:cs="Arial"/>
          <w:sz w:val="24"/>
          <w:szCs w:val="24"/>
          <w:lang w:val="en-GB"/>
        </w:rPr>
        <w:t>nquiry Society of Ireland, XLII, pp.</w:t>
      </w:r>
      <w:r w:rsidRPr="009B75F0">
        <w:rPr>
          <w:rFonts w:ascii="Arial" w:hAnsi="Arial" w:cs="Arial"/>
          <w:sz w:val="24"/>
          <w:szCs w:val="24"/>
          <w:lang w:val="en-GB"/>
        </w:rPr>
        <w:t xml:space="preserve"> 1-14.</w:t>
      </w:r>
    </w:p>
    <w:p w:rsidR="009B75F0" w:rsidRPr="009B75F0" w:rsidRDefault="009B75F0" w:rsidP="009B75F0">
      <w:pPr>
        <w:spacing w:before="120" w:after="0" w:line="360" w:lineRule="auto"/>
        <w:jc w:val="both"/>
        <w:rPr>
          <w:rFonts w:ascii="Arial" w:hAnsi="Arial" w:cs="Arial"/>
          <w:sz w:val="24"/>
          <w:szCs w:val="24"/>
          <w:lang w:val="en-GB"/>
        </w:rPr>
      </w:pPr>
      <w:r w:rsidRPr="009B75F0">
        <w:rPr>
          <w:rFonts w:ascii="Arial" w:hAnsi="Arial" w:cs="Arial"/>
          <w:sz w:val="24"/>
          <w:szCs w:val="24"/>
          <w:lang w:val="en-GB"/>
        </w:rPr>
        <w:t>Narayan, A. and Sánchez-</w:t>
      </w:r>
      <w:proofErr w:type="spellStart"/>
      <w:r w:rsidRPr="009B75F0">
        <w:rPr>
          <w:rFonts w:ascii="Arial" w:hAnsi="Arial" w:cs="Arial"/>
          <w:sz w:val="24"/>
          <w:szCs w:val="24"/>
          <w:lang w:val="en-GB"/>
        </w:rPr>
        <w:t>Páramo</w:t>
      </w:r>
      <w:proofErr w:type="spellEnd"/>
      <w:r w:rsidRPr="009B75F0">
        <w:rPr>
          <w:rFonts w:ascii="Arial" w:hAnsi="Arial" w:cs="Arial"/>
          <w:sz w:val="24"/>
          <w:szCs w:val="24"/>
          <w:lang w:val="en-GB"/>
        </w:rPr>
        <w:t xml:space="preserve"> C. (2012) Knowing, when you don't know: using microsimulation models to assess the poverty and distributional impacts of macroeconomic shocks, The World Bank, Washington DC.   </w:t>
      </w:r>
    </w:p>
    <w:p w:rsidR="009B75F0" w:rsidRPr="009B75F0" w:rsidRDefault="00F43BD0" w:rsidP="009B75F0">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O'Donoghue</w:t>
      </w:r>
      <w:proofErr w:type="spellEnd"/>
      <w:r>
        <w:rPr>
          <w:rFonts w:ascii="Arial" w:hAnsi="Arial" w:cs="Arial"/>
          <w:sz w:val="24"/>
          <w:szCs w:val="24"/>
          <w:lang w:val="en-GB"/>
        </w:rPr>
        <w:t xml:space="preserve">, </w:t>
      </w:r>
      <w:r w:rsidR="009B75F0" w:rsidRPr="009B75F0">
        <w:rPr>
          <w:rFonts w:ascii="Arial" w:hAnsi="Arial" w:cs="Arial"/>
          <w:sz w:val="24"/>
          <w:szCs w:val="24"/>
          <w:lang w:val="en-GB"/>
        </w:rPr>
        <w:t xml:space="preserve">C., </w:t>
      </w:r>
      <w:proofErr w:type="spellStart"/>
      <w:r>
        <w:rPr>
          <w:rFonts w:ascii="Arial" w:hAnsi="Arial" w:cs="Arial"/>
          <w:sz w:val="24"/>
          <w:szCs w:val="24"/>
          <w:lang w:val="en-GB"/>
        </w:rPr>
        <w:t>Loughrey</w:t>
      </w:r>
      <w:proofErr w:type="spellEnd"/>
      <w:r>
        <w:rPr>
          <w:rFonts w:ascii="Arial" w:hAnsi="Arial" w:cs="Arial"/>
          <w:sz w:val="24"/>
          <w:szCs w:val="24"/>
          <w:lang w:val="en-GB"/>
        </w:rPr>
        <w:t>,</w:t>
      </w:r>
      <w:r w:rsidR="009B75F0" w:rsidRPr="009B75F0">
        <w:rPr>
          <w:rFonts w:ascii="Arial" w:hAnsi="Arial" w:cs="Arial"/>
          <w:sz w:val="24"/>
          <w:szCs w:val="24"/>
          <w:lang w:val="en-GB"/>
        </w:rPr>
        <w:t xml:space="preserve"> J. (2014) </w:t>
      </w:r>
      <w:proofErr w:type="spellStart"/>
      <w:r w:rsidR="009B75F0" w:rsidRPr="009B75F0">
        <w:rPr>
          <w:rFonts w:ascii="Arial" w:hAnsi="Arial" w:cs="Arial"/>
          <w:sz w:val="24"/>
          <w:szCs w:val="24"/>
          <w:lang w:val="en-GB"/>
        </w:rPr>
        <w:t>Nowcasting</w:t>
      </w:r>
      <w:proofErr w:type="spellEnd"/>
      <w:r w:rsidR="009B75F0" w:rsidRPr="009B75F0">
        <w:rPr>
          <w:rFonts w:ascii="Arial" w:hAnsi="Arial" w:cs="Arial"/>
          <w:sz w:val="24"/>
          <w:szCs w:val="24"/>
          <w:lang w:val="en-GB"/>
        </w:rPr>
        <w:t xml:space="preserve"> in Microsimulation Models: A Methodological Survey, Journal of Artificial Societies and Social Simulation 17 (4) 12.</w:t>
      </w:r>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Peichl</w:t>
      </w:r>
      <w:proofErr w:type="spellEnd"/>
      <w:r w:rsidRPr="009B75F0">
        <w:rPr>
          <w:rFonts w:ascii="Arial" w:hAnsi="Arial" w:cs="Arial"/>
          <w:sz w:val="24"/>
          <w:szCs w:val="24"/>
          <w:lang w:val="en-GB"/>
        </w:rPr>
        <w:t>, A. (2008) The Benefits of Linking CGE and Microsimulation Models: Evidence from a Flat Tax Analysis, IZA Discussion Paper No. 3715.</w:t>
      </w:r>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Rastrigina</w:t>
      </w:r>
      <w:proofErr w:type="spellEnd"/>
      <w:r w:rsidRPr="009B75F0">
        <w:rPr>
          <w:rFonts w:ascii="Arial" w:hAnsi="Arial" w:cs="Arial"/>
          <w:sz w:val="24"/>
          <w:szCs w:val="24"/>
          <w:lang w:val="en-GB"/>
        </w:rPr>
        <w:t xml:space="preserve">, O., </w:t>
      </w:r>
      <w:proofErr w:type="spellStart"/>
      <w:r w:rsidRPr="009B75F0">
        <w:rPr>
          <w:rFonts w:ascii="Arial" w:hAnsi="Arial" w:cs="Arial"/>
          <w:sz w:val="24"/>
          <w:szCs w:val="24"/>
          <w:lang w:val="en-GB"/>
        </w:rPr>
        <w:t>Leventi</w:t>
      </w:r>
      <w:proofErr w:type="spellEnd"/>
      <w:r w:rsidRPr="009B75F0">
        <w:rPr>
          <w:rFonts w:ascii="Arial" w:hAnsi="Arial" w:cs="Arial"/>
          <w:sz w:val="24"/>
          <w:szCs w:val="24"/>
          <w:lang w:val="en-GB"/>
        </w:rPr>
        <w:t xml:space="preserve">, C., </w:t>
      </w:r>
      <w:proofErr w:type="spellStart"/>
      <w:r w:rsidRPr="009B75F0">
        <w:rPr>
          <w:rFonts w:ascii="Arial" w:hAnsi="Arial" w:cs="Arial"/>
          <w:sz w:val="24"/>
          <w:szCs w:val="24"/>
          <w:lang w:val="en-GB"/>
        </w:rPr>
        <w:t>Vujackov</w:t>
      </w:r>
      <w:proofErr w:type="spellEnd"/>
      <w:r w:rsidRPr="009B75F0">
        <w:rPr>
          <w:rFonts w:ascii="Arial" w:hAnsi="Arial" w:cs="Arial"/>
          <w:sz w:val="24"/>
          <w:szCs w:val="24"/>
          <w:lang w:val="en-GB"/>
        </w:rPr>
        <w:t xml:space="preserve"> S. and Sutherland, H. (2016) </w:t>
      </w:r>
      <w:proofErr w:type="spellStart"/>
      <w:r w:rsidRPr="009B75F0">
        <w:rPr>
          <w:rFonts w:ascii="Arial" w:hAnsi="Arial" w:cs="Arial"/>
          <w:sz w:val="24"/>
          <w:szCs w:val="24"/>
          <w:lang w:val="en-GB"/>
        </w:rPr>
        <w:t>Nowcasting</w:t>
      </w:r>
      <w:proofErr w:type="spellEnd"/>
      <w:r w:rsidRPr="009B75F0">
        <w:rPr>
          <w:rFonts w:ascii="Arial" w:hAnsi="Arial" w:cs="Arial"/>
          <w:sz w:val="24"/>
          <w:szCs w:val="24"/>
          <w:lang w:val="en-GB"/>
        </w:rPr>
        <w:t>: estimating developments in median household income and risk of poverty in 2014 and 2015, Research Note 1/2015, Social Situation Monitor, European Commission.</w:t>
      </w:r>
    </w:p>
    <w:p w:rsidR="009B75F0" w:rsidRPr="009B75F0" w:rsidRDefault="009B75F0" w:rsidP="009B75F0">
      <w:pPr>
        <w:spacing w:before="120" w:after="0" w:line="360" w:lineRule="auto"/>
        <w:jc w:val="both"/>
        <w:rPr>
          <w:rFonts w:ascii="Arial" w:hAnsi="Arial" w:cs="Arial"/>
          <w:sz w:val="24"/>
          <w:szCs w:val="24"/>
          <w:lang w:val="en-GB"/>
        </w:rPr>
      </w:pPr>
      <w:proofErr w:type="spellStart"/>
      <w:r w:rsidRPr="009B75F0">
        <w:rPr>
          <w:rFonts w:ascii="Arial" w:hAnsi="Arial" w:cs="Arial"/>
          <w:sz w:val="24"/>
          <w:szCs w:val="24"/>
          <w:lang w:val="en-GB"/>
        </w:rPr>
        <w:t>Shmueli</w:t>
      </w:r>
      <w:proofErr w:type="spellEnd"/>
      <w:r w:rsidRPr="009B75F0">
        <w:rPr>
          <w:rFonts w:ascii="Arial" w:hAnsi="Arial" w:cs="Arial"/>
          <w:sz w:val="24"/>
          <w:szCs w:val="24"/>
          <w:lang w:val="en-GB"/>
        </w:rPr>
        <w:t xml:space="preserve">, G. (2010) To Explain or to Predict? Statistical Science 25, no. 3, </w:t>
      </w:r>
      <w:r w:rsidR="00F43BD0">
        <w:rPr>
          <w:rFonts w:ascii="Arial" w:hAnsi="Arial" w:cs="Arial"/>
          <w:sz w:val="24"/>
          <w:szCs w:val="24"/>
          <w:lang w:val="en-GB"/>
        </w:rPr>
        <w:t xml:space="preserve">pp. </w:t>
      </w:r>
      <w:r w:rsidRPr="009B75F0">
        <w:rPr>
          <w:rFonts w:ascii="Arial" w:hAnsi="Arial" w:cs="Arial"/>
          <w:sz w:val="24"/>
          <w:szCs w:val="24"/>
          <w:lang w:val="en-GB"/>
        </w:rPr>
        <w:t>289-310.</w:t>
      </w:r>
    </w:p>
    <w:p w:rsidR="009B75F0" w:rsidRPr="009B75F0" w:rsidRDefault="009B75F0" w:rsidP="009B75F0">
      <w:pPr>
        <w:spacing w:before="120" w:after="0" w:line="360" w:lineRule="auto"/>
        <w:jc w:val="both"/>
        <w:rPr>
          <w:rFonts w:ascii="Arial" w:hAnsi="Arial" w:cs="Arial"/>
          <w:sz w:val="24"/>
          <w:szCs w:val="24"/>
          <w:lang w:val="en-GB"/>
        </w:rPr>
      </w:pPr>
      <w:proofErr w:type="gramStart"/>
      <w:r w:rsidRPr="009B75F0">
        <w:rPr>
          <w:rFonts w:ascii="Arial" w:hAnsi="Arial" w:cs="Arial"/>
          <w:sz w:val="24"/>
          <w:szCs w:val="24"/>
          <w:lang w:val="en-GB"/>
        </w:rPr>
        <w:t xml:space="preserve">Sutherland, H. and </w:t>
      </w:r>
      <w:proofErr w:type="spellStart"/>
      <w:r w:rsidRPr="009B75F0">
        <w:rPr>
          <w:rFonts w:ascii="Arial" w:hAnsi="Arial" w:cs="Arial"/>
          <w:sz w:val="24"/>
          <w:szCs w:val="24"/>
          <w:lang w:val="en-GB"/>
        </w:rPr>
        <w:t>Figari</w:t>
      </w:r>
      <w:proofErr w:type="spellEnd"/>
      <w:r w:rsidRPr="009B75F0">
        <w:rPr>
          <w:rFonts w:ascii="Arial" w:hAnsi="Arial" w:cs="Arial"/>
          <w:sz w:val="24"/>
          <w:szCs w:val="24"/>
          <w:lang w:val="en-GB"/>
        </w:rPr>
        <w:t>, F. (2013) EUROMOD: the European Union tax-benefit microsimulation model, International J</w:t>
      </w:r>
      <w:r w:rsidR="00F43BD0">
        <w:rPr>
          <w:rFonts w:ascii="Arial" w:hAnsi="Arial" w:cs="Arial"/>
          <w:sz w:val="24"/>
          <w:szCs w:val="24"/>
          <w:lang w:val="en-GB"/>
        </w:rPr>
        <w:t>ournal of Microsimulation, 6(1), pp.</w:t>
      </w:r>
      <w:r w:rsidRPr="009B75F0">
        <w:rPr>
          <w:rFonts w:ascii="Arial" w:hAnsi="Arial" w:cs="Arial"/>
          <w:sz w:val="24"/>
          <w:szCs w:val="24"/>
          <w:lang w:val="en-GB"/>
        </w:rPr>
        <w:t xml:space="preserve"> 4-26.</w:t>
      </w:r>
      <w:proofErr w:type="gramEnd"/>
    </w:p>
    <w:p w:rsidR="004740F1" w:rsidRPr="00EC5F5A" w:rsidRDefault="009B75F0" w:rsidP="00F959BA">
      <w:pPr>
        <w:spacing w:before="120" w:after="0" w:line="360" w:lineRule="auto"/>
        <w:jc w:val="both"/>
        <w:rPr>
          <w:rFonts w:ascii="Arial" w:hAnsi="Arial" w:cs="Arial"/>
          <w:sz w:val="24"/>
          <w:szCs w:val="24"/>
          <w:lang w:val="en-GB"/>
        </w:rPr>
      </w:pPr>
      <w:proofErr w:type="gramStart"/>
      <w:r w:rsidRPr="009B75F0">
        <w:rPr>
          <w:rFonts w:ascii="Arial" w:hAnsi="Arial" w:cs="Arial"/>
          <w:sz w:val="24"/>
          <w:szCs w:val="24"/>
          <w:lang w:val="en-GB"/>
        </w:rPr>
        <w:t xml:space="preserve">United Nations Statistics Division (October 2016) </w:t>
      </w:r>
      <w:hyperlink r:id="rId13" w:history="1">
        <w:r w:rsidRPr="009B75F0">
          <w:rPr>
            <w:rStyle w:val="Hyperlink"/>
            <w:rFonts w:ascii="Arial" w:hAnsi="Arial" w:cs="Arial"/>
            <w:sz w:val="24"/>
            <w:szCs w:val="24"/>
            <w:lang w:val="en-GB"/>
          </w:rPr>
          <w:t>Handbook on Rapid Estimates</w:t>
        </w:r>
      </w:hyperlink>
      <w:r w:rsidRPr="009B75F0">
        <w:rPr>
          <w:rFonts w:ascii="Arial" w:hAnsi="Arial" w:cs="Arial"/>
          <w:sz w:val="24"/>
          <w:szCs w:val="24"/>
          <w:lang w:val="en-GB"/>
        </w:rPr>
        <w:t>.</w:t>
      </w:r>
      <w:proofErr w:type="gramEnd"/>
      <w:r w:rsidRPr="009B75F0">
        <w:rPr>
          <w:rFonts w:ascii="Arial" w:hAnsi="Arial" w:cs="Arial"/>
          <w:sz w:val="24"/>
          <w:szCs w:val="24"/>
          <w:lang w:val="en-GB"/>
        </w:rPr>
        <w:t xml:space="preserve"> </w:t>
      </w:r>
    </w:p>
    <w:sectPr w:rsidR="004740F1" w:rsidRPr="00EC5F5A"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BB" w:rsidRDefault="00A571BB" w:rsidP="00E82B25">
      <w:pPr>
        <w:spacing w:after="0" w:line="240" w:lineRule="auto"/>
      </w:pPr>
      <w:r>
        <w:separator/>
      </w:r>
    </w:p>
  </w:endnote>
  <w:endnote w:type="continuationSeparator" w:id="0">
    <w:p w:rsidR="00A571BB" w:rsidRDefault="00A571B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A571BB" w:rsidRPr="009378F5" w:rsidRDefault="00A571BB"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F14FD7">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BB" w:rsidRDefault="00A571BB" w:rsidP="00E82B25">
      <w:pPr>
        <w:spacing w:after="0" w:line="240" w:lineRule="auto"/>
      </w:pPr>
      <w:r>
        <w:separator/>
      </w:r>
    </w:p>
  </w:footnote>
  <w:footnote w:type="continuationSeparator" w:id="0">
    <w:p w:rsidR="00A571BB" w:rsidRDefault="00A571BB" w:rsidP="00E82B25">
      <w:pPr>
        <w:spacing w:after="0" w:line="240" w:lineRule="auto"/>
      </w:pPr>
      <w:r>
        <w:continuationSeparator/>
      </w:r>
    </w:p>
  </w:footnote>
  <w:footnote w:id="1">
    <w:p w:rsidR="00A571BB" w:rsidRPr="00C84418" w:rsidRDefault="00A571BB" w:rsidP="00754467">
      <w:pPr>
        <w:pStyle w:val="FootnoteText"/>
        <w:rPr>
          <w:rFonts w:ascii="Arial" w:hAnsi="Arial" w:cs="Arial"/>
          <w:lang w:val="en-GB"/>
        </w:rPr>
      </w:pPr>
      <w:r w:rsidRPr="00C84418">
        <w:rPr>
          <w:rStyle w:val="FootnoteReference"/>
          <w:rFonts w:ascii="Arial" w:hAnsi="Arial" w:cs="Arial"/>
        </w:rPr>
        <w:footnoteRef/>
      </w:r>
      <w:r w:rsidRPr="00C84418">
        <w:rPr>
          <w:rFonts w:ascii="Arial" w:hAnsi="Arial" w:cs="Arial"/>
          <w:lang w:val="en-GB"/>
        </w:rPr>
        <w:t xml:space="preserve"> Market incomes are wages and salaries, self-employment income, property income, income from capital, etc.</w:t>
      </w:r>
    </w:p>
  </w:footnote>
  <w:footnote w:id="2">
    <w:p w:rsidR="00A571BB" w:rsidRPr="008F086D" w:rsidRDefault="00A571BB" w:rsidP="00754467">
      <w:pPr>
        <w:pStyle w:val="FootnoteText"/>
        <w:spacing w:after="60"/>
        <w:ind w:left="142" w:hanging="142"/>
        <w:jc w:val="both"/>
        <w:rPr>
          <w:rFonts w:ascii="Times New Roman" w:hAnsi="Times New Roman" w:cs="Times New Roman"/>
          <w:sz w:val="18"/>
          <w:szCs w:val="18"/>
          <w:lang w:val="en-US"/>
        </w:rPr>
      </w:pPr>
      <w:r w:rsidRPr="00C84418">
        <w:rPr>
          <w:rStyle w:val="FootnoteReference"/>
          <w:rFonts w:ascii="Arial" w:hAnsi="Arial" w:cs="Arial"/>
        </w:rPr>
        <w:footnoteRef/>
      </w:r>
      <w:r w:rsidRPr="00C84418">
        <w:rPr>
          <w:rFonts w:ascii="Arial" w:hAnsi="Arial" w:cs="Arial"/>
          <w:lang w:val="en-US"/>
        </w:rPr>
        <w:t xml:space="preserve"> </w:t>
      </w:r>
      <w:r w:rsidRPr="00C84418">
        <w:rPr>
          <w:rFonts w:ascii="Arial" w:hAnsi="Arial" w:cs="Arial"/>
          <w:lang w:val="en-GB"/>
        </w:rPr>
        <w:t xml:space="preserve">Detailed information on the scope of simulations, updating factors, non-take-up and tax evasion adjustments is provided in the EUROMOD Country Reports (see: </w:t>
      </w:r>
      <w:hyperlink r:id="rId1" w:history="1">
        <w:r w:rsidRPr="00C84418">
          <w:rPr>
            <w:rStyle w:val="Hyperlink"/>
            <w:rFonts w:ascii="Arial" w:hAnsi="Arial" w:cs="Arial"/>
            <w:color w:val="1A3F7C"/>
            <w:lang w:val="en-GB"/>
          </w:rPr>
          <w:t>https://www.iser.essex.ac.uk/euromod/resources-for-euromod-users/country-reports</w:t>
        </w:r>
      </w:hyperlink>
      <w:r w:rsidRPr="00C84418">
        <w:rPr>
          <w:rFonts w:ascii="Arial" w:hAnsi="Arial" w:cs="Arial"/>
          <w:lang w:val="en-GB"/>
        </w:rPr>
        <w:t>).</w:t>
      </w:r>
      <w:r w:rsidRPr="008F086D">
        <w:rPr>
          <w:rFonts w:ascii="Times New Roman" w:hAnsi="Times New Roman" w:cs="Times New Roman"/>
          <w:sz w:val="18"/>
          <w:szCs w:val="18"/>
          <w:lang w:val="en-US"/>
        </w:rPr>
        <w:t xml:space="preserve">     </w:t>
      </w:r>
    </w:p>
  </w:footnote>
  <w:footnote w:id="3">
    <w:p w:rsidR="00A571BB" w:rsidRPr="00C84418" w:rsidRDefault="00A571BB" w:rsidP="003019A7">
      <w:pPr>
        <w:pStyle w:val="FootnoteText"/>
        <w:ind w:left="142" w:hanging="142"/>
        <w:jc w:val="both"/>
        <w:rPr>
          <w:rFonts w:ascii="Arial" w:hAnsi="Arial" w:cs="Arial"/>
          <w:lang w:val="en-GB"/>
        </w:rPr>
      </w:pPr>
      <w:r w:rsidRPr="00C84418">
        <w:rPr>
          <w:rStyle w:val="Hyperlink"/>
          <w:rFonts w:ascii="Arial" w:hAnsi="Arial" w:cs="Arial"/>
          <w:color w:val="auto"/>
          <w:u w:val="none"/>
          <w:lang w:val="pt-PT"/>
        </w:rPr>
        <w:footnoteRef/>
      </w:r>
      <w:r w:rsidRPr="00C84418">
        <w:rPr>
          <w:rStyle w:val="Hyperlink"/>
          <w:rFonts w:ascii="Arial" w:hAnsi="Arial" w:cs="Arial"/>
          <w:color w:val="auto"/>
          <w:u w:val="none"/>
          <w:lang w:val="en-GB"/>
        </w:rPr>
        <w:t xml:space="preserve"> The </w:t>
      </w:r>
      <w:proofErr w:type="spellStart"/>
      <w:r w:rsidRPr="00C84418">
        <w:rPr>
          <w:rStyle w:val="Hyperlink"/>
          <w:rFonts w:ascii="Arial" w:hAnsi="Arial" w:cs="Arial"/>
          <w:color w:val="auto"/>
          <w:u w:val="none"/>
          <w:lang w:val="en-GB"/>
        </w:rPr>
        <w:t>equivalised</w:t>
      </w:r>
      <w:proofErr w:type="spellEnd"/>
      <w:r w:rsidRPr="00C84418">
        <w:rPr>
          <w:rStyle w:val="Hyperlink"/>
          <w:rFonts w:ascii="Arial" w:hAnsi="Arial" w:cs="Arial"/>
          <w:color w:val="auto"/>
          <w:u w:val="none"/>
          <w:lang w:val="en-GB"/>
        </w:rPr>
        <w:t xml:space="preserve"> takes into account the structure of the household. The income is calculated by dividing the total household income by its size determined after applying the following weights: 1.0 to the first adult, 0.5 to each other household members aged 14 or over and 0.3 to each household member aged less than 14 years old.</w:t>
      </w:r>
    </w:p>
  </w:footnote>
  <w:footnote w:id="4">
    <w:p w:rsidR="00A571BB" w:rsidRPr="00C84418" w:rsidRDefault="00A571BB" w:rsidP="007E58B6">
      <w:pPr>
        <w:spacing w:after="0" w:line="240" w:lineRule="auto"/>
        <w:ind w:left="142" w:hanging="142"/>
        <w:jc w:val="both"/>
        <w:rPr>
          <w:rFonts w:ascii="Arial" w:hAnsi="Arial" w:cs="Arial"/>
          <w:sz w:val="20"/>
          <w:szCs w:val="20"/>
          <w:lang w:val="en-GB"/>
        </w:rPr>
      </w:pPr>
      <w:r w:rsidRPr="00C84418">
        <w:rPr>
          <w:rStyle w:val="FootnoteReference"/>
          <w:rFonts w:ascii="Arial" w:hAnsi="Arial" w:cs="Arial"/>
          <w:sz w:val="20"/>
          <w:szCs w:val="20"/>
        </w:rPr>
        <w:footnoteRef/>
      </w:r>
      <w:r w:rsidRPr="00C84418">
        <w:rPr>
          <w:rFonts w:ascii="Arial" w:hAnsi="Arial" w:cs="Arial"/>
          <w:sz w:val="20"/>
          <w:szCs w:val="20"/>
          <w:lang w:val="en-GB"/>
        </w:rPr>
        <w:t xml:space="preserve"> </w:t>
      </w:r>
      <w:hyperlink r:id="rId2" w:history="1">
        <w:r w:rsidRPr="00C84418">
          <w:rPr>
            <w:rStyle w:val="Hyperlink"/>
            <w:rFonts w:ascii="Arial" w:hAnsi="Arial" w:cs="Arial"/>
            <w:sz w:val="20"/>
            <w:szCs w:val="20"/>
            <w:lang w:val="en-GB"/>
          </w:rPr>
          <w:t>UNSD - Handbook on Rapid Estimates (Draft for Global Consultation, 28 October 2016)</w:t>
        </w:r>
      </w:hyperlink>
    </w:p>
  </w:footnote>
  <w:footnote w:id="5">
    <w:p w:rsidR="00A571BB" w:rsidRPr="004D0ADE" w:rsidRDefault="00A571BB" w:rsidP="007E58B6">
      <w:pPr>
        <w:pStyle w:val="FootnoteText"/>
        <w:ind w:left="142" w:hanging="142"/>
        <w:rPr>
          <w:rFonts w:ascii="Times New Roman" w:hAnsi="Times New Roman" w:cs="Times New Roman"/>
          <w:sz w:val="18"/>
          <w:szCs w:val="18"/>
          <w:lang w:val="en-GB"/>
        </w:rPr>
      </w:pPr>
      <w:r w:rsidRPr="00C84418">
        <w:rPr>
          <w:rStyle w:val="FootnoteReference"/>
          <w:rFonts w:ascii="Arial" w:hAnsi="Arial" w:cs="Arial"/>
        </w:rPr>
        <w:footnoteRef/>
      </w:r>
      <w:r w:rsidRPr="00C84418">
        <w:rPr>
          <w:rFonts w:ascii="Arial" w:hAnsi="Arial" w:cs="Arial"/>
          <w:lang w:val="en-GB"/>
        </w:rPr>
        <w:t xml:space="preserve"> The colour coding used for the QSR is there for readability purpose and does not imply judgements about the desirable level of inequality over the whole distribution.</w:t>
      </w:r>
    </w:p>
  </w:footnote>
  <w:footnote w:id="6">
    <w:p w:rsidR="00A571BB" w:rsidRPr="009D1B97" w:rsidRDefault="00A571BB" w:rsidP="009D0D89">
      <w:pPr>
        <w:pStyle w:val="FootnoteText"/>
        <w:rPr>
          <w:rFonts w:ascii="Arial" w:hAnsi="Arial" w:cs="Arial"/>
          <w:lang w:val="en-US"/>
        </w:rPr>
      </w:pPr>
      <w:r w:rsidRPr="009D1B97">
        <w:rPr>
          <w:rStyle w:val="FootnoteReference"/>
          <w:rFonts w:ascii="Arial" w:hAnsi="Arial" w:cs="Arial"/>
        </w:rPr>
        <w:footnoteRef/>
      </w:r>
      <w:r w:rsidRPr="009D1B97">
        <w:rPr>
          <w:rFonts w:ascii="Arial" w:hAnsi="Arial" w:cs="Arial"/>
          <w:lang w:val="en-GB"/>
        </w:rPr>
        <w:t xml:space="preserve"> An error double the size is twice as bad.</w:t>
      </w:r>
    </w:p>
  </w:footnote>
  <w:footnote w:id="7">
    <w:p w:rsidR="00A571BB" w:rsidRPr="009D1B97" w:rsidRDefault="00A571BB" w:rsidP="009D0D89">
      <w:pPr>
        <w:pStyle w:val="FootnoteText"/>
        <w:rPr>
          <w:rFonts w:ascii="Arial" w:hAnsi="Arial" w:cs="Arial"/>
          <w:lang w:val="en-US"/>
        </w:rPr>
      </w:pPr>
      <w:r w:rsidRPr="009D1B97">
        <w:rPr>
          <w:rStyle w:val="FootnoteReference"/>
          <w:rFonts w:ascii="Arial" w:hAnsi="Arial" w:cs="Arial"/>
        </w:rPr>
        <w:footnoteRef/>
      </w:r>
      <w:r w:rsidRPr="009D1B97">
        <w:rPr>
          <w:rFonts w:ascii="Arial" w:hAnsi="Arial" w:cs="Arial"/>
          <w:lang w:val="en-GB"/>
        </w:rPr>
        <w:t xml:space="preserve"> A positive error is equally good (or bad) as a negative error of the same size.</w:t>
      </w:r>
    </w:p>
  </w:footnote>
  <w:footnote w:id="8">
    <w:p w:rsidR="00A571BB" w:rsidRPr="0027548D" w:rsidRDefault="00A571BB" w:rsidP="009D0D89">
      <w:pPr>
        <w:pStyle w:val="FootnoteText"/>
        <w:rPr>
          <w:lang w:val="en-GB"/>
        </w:rPr>
      </w:pPr>
      <w:r w:rsidRPr="009D1B97">
        <w:rPr>
          <w:rStyle w:val="FootnoteReference"/>
          <w:rFonts w:ascii="Arial" w:hAnsi="Arial" w:cs="Arial"/>
        </w:rPr>
        <w:footnoteRef/>
      </w:r>
      <w:r w:rsidRPr="009D1B97">
        <w:rPr>
          <w:rFonts w:ascii="Arial" w:hAnsi="Arial" w:cs="Arial"/>
          <w:lang w:val="en-GB"/>
        </w:rPr>
        <w:t xml:space="preserve"> By using </w:t>
      </w:r>
      <w:r w:rsidRPr="009D1B97">
        <w:rPr>
          <w:rFonts w:ascii="Arial" w:hAnsi="Arial" w:cs="Arial"/>
          <w:i/>
          <w:lang w:val="en-GB"/>
        </w:rPr>
        <w:t>percentage</w:t>
      </w:r>
      <w:r w:rsidRPr="009D1B97">
        <w:rPr>
          <w:rFonts w:ascii="Arial" w:hAnsi="Arial" w:cs="Arial"/>
          <w:lang w:val="en-GB"/>
        </w:rPr>
        <w:t xml:space="preserve"> change in the indicator, we are able to combine the performance measures for estimates of indicators measured on vastly different scales, e.g. AROP (usual values between 5%÷30%), QSR (3÷9), median income (1 000÷50 000).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B" w:rsidRDefault="00A571BB">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B" w:rsidRDefault="00A571BB">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B" w:rsidRDefault="00A571BB">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3F"/>
    <w:multiLevelType w:val="hybridMultilevel"/>
    <w:tmpl w:val="B508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B2E92"/>
    <w:multiLevelType w:val="hybridMultilevel"/>
    <w:tmpl w:val="B39E2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A7B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DE3909"/>
    <w:multiLevelType w:val="hybridMultilevel"/>
    <w:tmpl w:val="7CB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9B63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A06CAF"/>
    <w:multiLevelType w:val="hybridMultilevel"/>
    <w:tmpl w:val="758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7859A7"/>
    <w:multiLevelType w:val="hybridMultilevel"/>
    <w:tmpl w:val="CA5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6660"/>
    <w:rsid w:val="00012DF8"/>
    <w:rsid w:val="00013991"/>
    <w:rsid w:val="00026CD3"/>
    <w:rsid w:val="00047C24"/>
    <w:rsid w:val="00070925"/>
    <w:rsid w:val="0007704A"/>
    <w:rsid w:val="000957CC"/>
    <w:rsid w:val="000C359C"/>
    <w:rsid w:val="000C6472"/>
    <w:rsid w:val="000D705A"/>
    <w:rsid w:val="000F337F"/>
    <w:rsid w:val="0012407D"/>
    <w:rsid w:val="00133E07"/>
    <w:rsid w:val="00142A8D"/>
    <w:rsid w:val="00157DAD"/>
    <w:rsid w:val="00160406"/>
    <w:rsid w:val="0016743D"/>
    <w:rsid w:val="00182357"/>
    <w:rsid w:val="001C1303"/>
    <w:rsid w:val="001D02EB"/>
    <w:rsid w:val="001D34A1"/>
    <w:rsid w:val="001E07C9"/>
    <w:rsid w:val="001E43DC"/>
    <w:rsid w:val="001F6578"/>
    <w:rsid w:val="00221F17"/>
    <w:rsid w:val="00234927"/>
    <w:rsid w:val="0023623C"/>
    <w:rsid w:val="002420C9"/>
    <w:rsid w:val="00242620"/>
    <w:rsid w:val="002506E6"/>
    <w:rsid w:val="002623A8"/>
    <w:rsid w:val="00272B60"/>
    <w:rsid w:val="0027548D"/>
    <w:rsid w:val="0028150C"/>
    <w:rsid w:val="00282B53"/>
    <w:rsid w:val="00286FE5"/>
    <w:rsid w:val="00293580"/>
    <w:rsid w:val="002B6D33"/>
    <w:rsid w:val="003019A7"/>
    <w:rsid w:val="00312553"/>
    <w:rsid w:val="003258A5"/>
    <w:rsid w:val="00326A20"/>
    <w:rsid w:val="00335939"/>
    <w:rsid w:val="00336E21"/>
    <w:rsid w:val="0034352C"/>
    <w:rsid w:val="0035694D"/>
    <w:rsid w:val="00362815"/>
    <w:rsid w:val="003724C1"/>
    <w:rsid w:val="003923C1"/>
    <w:rsid w:val="0039300E"/>
    <w:rsid w:val="003A1D16"/>
    <w:rsid w:val="003A1DC0"/>
    <w:rsid w:val="003B1557"/>
    <w:rsid w:val="003B50E6"/>
    <w:rsid w:val="003C089A"/>
    <w:rsid w:val="003F3995"/>
    <w:rsid w:val="004018A5"/>
    <w:rsid w:val="004150F5"/>
    <w:rsid w:val="004240F8"/>
    <w:rsid w:val="004601D1"/>
    <w:rsid w:val="004740F1"/>
    <w:rsid w:val="00493026"/>
    <w:rsid w:val="004A12A7"/>
    <w:rsid w:val="004A1A99"/>
    <w:rsid w:val="004B39C1"/>
    <w:rsid w:val="004B6729"/>
    <w:rsid w:val="004B7077"/>
    <w:rsid w:val="004C5048"/>
    <w:rsid w:val="004D0ADE"/>
    <w:rsid w:val="004F04B4"/>
    <w:rsid w:val="004F1DC4"/>
    <w:rsid w:val="00501263"/>
    <w:rsid w:val="005215E8"/>
    <w:rsid w:val="00530FD6"/>
    <w:rsid w:val="00554639"/>
    <w:rsid w:val="00560601"/>
    <w:rsid w:val="005754A1"/>
    <w:rsid w:val="00577FFD"/>
    <w:rsid w:val="005812C5"/>
    <w:rsid w:val="00592308"/>
    <w:rsid w:val="005A1F57"/>
    <w:rsid w:val="005A202B"/>
    <w:rsid w:val="005B4F5E"/>
    <w:rsid w:val="005B6971"/>
    <w:rsid w:val="005D17B0"/>
    <w:rsid w:val="005E5153"/>
    <w:rsid w:val="006052BF"/>
    <w:rsid w:val="00610DC2"/>
    <w:rsid w:val="00627E07"/>
    <w:rsid w:val="00637540"/>
    <w:rsid w:val="00653A20"/>
    <w:rsid w:val="00653D6C"/>
    <w:rsid w:val="00665321"/>
    <w:rsid w:val="00667788"/>
    <w:rsid w:val="006744F3"/>
    <w:rsid w:val="0069009D"/>
    <w:rsid w:val="00697934"/>
    <w:rsid w:val="006B44C3"/>
    <w:rsid w:val="006B5A4A"/>
    <w:rsid w:val="006C5879"/>
    <w:rsid w:val="0071143D"/>
    <w:rsid w:val="00741E26"/>
    <w:rsid w:val="00754467"/>
    <w:rsid w:val="007730C4"/>
    <w:rsid w:val="00776C97"/>
    <w:rsid w:val="007E58B6"/>
    <w:rsid w:val="007E6D8C"/>
    <w:rsid w:val="0082373C"/>
    <w:rsid w:val="00867B2C"/>
    <w:rsid w:val="00873330"/>
    <w:rsid w:val="00876DAF"/>
    <w:rsid w:val="00883326"/>
    <w:rsid w:val="0089351E"/>
    <w:rsid w:val="008A1A49"/>
    <w:rsid w:val="008A71D2"/>
    <w:rsid w:val="008B0935"/>
    <w:rsid w:val="008C6261"/>
    <w:rsid w:val="008D56E1"/>
    <w:rsid w:val="008D6094"/>
    <w:rsid w:val="008F6149"/>
    <w:rsid w:val="00902A7F"/>
    <w:rsid w:val="009128AF"/>
    <w:rsid w:val="00922FC9"/>
    <w:rsid w:val="009307FB"/>
    <w:rsid w:val="009378F5"/>
    <w:rsid w:val="00944DEA"/>
    <w:rsid w:val="00973B8D"/>
    <w:rsid w:val="00982B6B"/>
    <w:rsid w:val="009A2E21"/>
    <w:rsid w:val="009B04CA"/>
    <w:rsid w:val="009B75F0"/>
    <w:rsid w:val="009C647E"/>
    <w:rsid w:val="009D0D89"/>
    <w:rsid w:val="009D1B97"/>
    <w:rsid w:val="009E3FCE"/>
    <w:rsid w:val="009F4372"/>
    <w:rsid w:val="00A04750"/>
    <w:rsid w:val="00A06F03"/>
    <w:rsid w:val="00A23816"/>
    <w:rsid w:val="00A43822"/>
    <w:rsid w:val="00A454B6"/>
    <w:rsid w:val="00A531F2"/>
    <w:rsid w:val="00A571BB"/>
    <w:rsid w:val="00A6013E"/>
    <w:rsid w:val="00A650F9"/>
    <w:rsid w:val="00AA5370"/>
    <w:rsid w:val="00AB6A02"/>
    <w:rsid w:val="00AD1423"/>
    <w:rsid w:val="00AD421C"/>
    <w:rsid w:val="00AD4AEE"/>
    <w:rsid w:val="00AF1523"/>
    <w:rsid w:val="00B47197"/>
    <w:rsid w:val="00B72169"/>
    <w:rsid w:val="00B74218"/>
    <w:rsid w:val="00B77A7F"/>
    <w:rsid w:val="00B86FC7"/>
    <w:rsid w:val="00B912C3"/>
    <w:rsid w:val="00B92EBC"/>
    <w:rsid w:val="00B94982"/>
    <w:rsid w:val="00BA2C02"/>
    <w:rsid w:val="00BB19AC"/>
    <w:rsid w:val="00BB6211"/>
    <w:rsid w:val="00BC1838"/>
    <w:rsid w:val="00BC26CE"/>
    <w:rsid w:val="00BC32B3"/>
    <w:rsid w:val="00BF6DBC"/>
    <w:rsid w:val="00C16E8E"/>
    <w:rsid w:val="00C25DDD"/>
    <w:rsid w:val="00C261EA"/>
    <w:rsid w:val="00C4004D"/>
    <w:rsid w:val="00C40213"/>
    <w:rsid w:val="00C444A7"/>
    <w:rsid w:val="00C51398"/>
    <w:rsid w:val="00C55909"/>
    <w:rsid w:val="00C726EA"/>
    <w:rsid w:val="00C74A1D"/>
    <w:rsid w:val="00C74D44"/>
    <w:rsid w:val="00C80A5D"/>
    <w:rsid w:val="00C84418"/>
    <w:rsid w:val="00C97838"/>
    <w:rsid w:val="00CB2B44"/>
    <w:rsid w:val="00CB4074"/>
    <w:rsid w:val="00CC1C1D"/>
    <w:rsid w:val="00CC2747"/>
    <w:rsid w:val="00CF33AD"/>
    <w:rsid w:val="00CF656A"/>
    <w:rsid w:val="00D0258C"/>
    <w:rsid w:val="00D0270E"/>
    <w:rsid w:val="00D11BFF"/>
    <w:rsid w:val="00D20550"/>
    <w:rsid w:val="00D33AEB"/>
    <w:rsid w:val="00D3638C"/>
    <w:rsid w:val="00D52194"/>
    <w:rsid w:val="00D63A70"/>
    <w:rsid w:val="00D65C24"/>
    <w:rsid w:val="00D6610A"/>
    <w:rsid w:val="00D97FDE"/>
    <w:rsid w:val="00DA6C7D"/>
    <w:rsid w:val="00DA74F6"/>
    <w:rsid w:val="00DD4526"/>
    <w:rsid w:val="00DD4977"/>
    <w:rsid w:val="00DD59FB"/>
    <w:rsid w:val="00DE01B4"/>
    <w:rsid w:val="00DF27A8"/>
    <w:rsid w:val="00E261EB"/>
    <w:rsid w:val="00E61C75"/>
    <w:rsid w:val="00E6471B"/>
    <w:rsid w:val="00E668F4"/>
    <w:rsid w:val="00E7228E"/>
    <w:rsid w:val="00E82B25"/>
    <w:rsid w:val="00E92831"/>
    <w:rsid w:val="00E9313B"/>
    <w:rsid w:val="00EB7A63"/>
    <w:rsid w:val="00EC5F5A"/>
    <w:rsid w:val="00ED0901"/>
    <w:rsid w:val="00EE4A70"/>
    <w:rsid w:val="00F07932"/>
    <w:rsid w:val="00F14FD7"/>
    <w:rsid w:val="00F30C27"/>
    <w:rsid w:val="00F43BD0"/>
    <w:rsid w:val="00F47301"/>
    <w:rsid w:val="00F51570"/>
    <w:rsid w:val="00F74EA2"/>
    <w:rsid w:val="00F77EE5"/>
    <w:rsid w:val="00F959BA"/>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aliases w:val="Schriftart: 9 pt,Schriftart: 10 pt,Schriftart: 8 pt,WB-Fußnotentext,fn,footnote text,Footnotes,Footnote ak,Char1,footnote, Char1"/>
    <w:basedOn w:val="Normal"/>
    <w:link w:val="FootnoteTextChar"/>
    <w:uiPriority w:val="99"/>
    <w:unhideWhenUsed/>
    <w:rsid w:val="00F30C27"/>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Char1 Char,footnote Char, Char1 Char"/>
    <w:basedOn w:val="DefaultParagraphFont"/>
    <w:link w:val="FootnoteText"/>
    <w:uiPriority w:val="99"/>
    <w:rsid w:val="00F30C27"/>
    <w:rPr>
      <w:sz w:val="20"/>
      <w:szCs w:val="20"/>
    </w:rPr>
  </w:style>
  <w:style w:type="character" w:styleId="FootnoteReference">
    <w:name w:val="footnote reference"/>
    <w:aliases w:val="Footnote reference number,Footnote symbol,note TESI,-E Fußnotenzeichen,Footnotes refss,Fussnota"/>
    <w:basedOn w:val="DefaultParagraphFont"/>
    <w:uiPriority w:val="99"/>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CC2747"/>
    <w:pPr>
      <w:ind w:left="720"/>
      <w:contextualSpacing/>
    </w:pPr>
  </w:style>
  <w:style w:type="character" w:styleId="FollowedHyperlink">
    <w:name w:val="FollowedHyperlink"/>
    <w:basedOn w:val="DefaultParagraphFont"/>
    <w:uiPriority w:val="99"/>
    <w:semiHidden/>
    <w:unhideWhenUsed/>
    <w:rsid w:val="00C400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aliases w:val="Schriftart: 9 pt,Schriftart: 10 pt,Schriftart: 8 pt,WB-Fußnotentext,fn,footnote text,Footnotes,Footnote ak,Char1,footnote, Char1"/>
    <w:basedOn w:val="Normal"/>
    <w:link w:val="FootnoteTextChar"/>
    <w:uiPriority w:val="99"/>
    <w:unhideWhenUsed/>
    <w:rsid w:val="00F30C27"/>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Char1 Char,footnote Char, Char1 Char"/>
    <w:basedOn w:val="DefaultParagraphFont"/>
    <w:link w:val="FootnoteText"/>
    <w:uiPriority w:val="99"/>
    <w:rsid w:val="00F30C27"/>
    <w:rPr>
      <w:sz w:val="20"/>
      <w:szCs w:val="20"/>
    </w:rPr>
  </w:style>
  <w:style w:type="character" w:styleId="FootnoteReference">
    <w:name w:val="footnote reference"/>
    <w:aliases w:val="Footnote reference number,Footnote symbol,note TESI,-E Fußnotenzeichen,Footnotes refss,Fussnota"/>
    <w:basedOn w:val="DefaultParagraphFont"/>
    <w:uiPriority w:val="99"/>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CC2747"/>
    <w:pPr>
      <w:ind w:left="720"/>
      <w:contextualSpacing/>
    </w:pPr>
  </w:style>
  <w:style w:type="character" w:styleId="FollowedHyperlink">
    <w:name w:val="FollowedHyperlink"/>
    <w:basedOn w:val="DefaultParagraphFont"/>
    <w:uiPriority w:val="99"/>
    <w:semiHidden/>
    <w:unhideWhenUsed/>
    <w:rsid w:val="00C40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4633">
      <w:bodyDiv w:val="1"/>
      <w:marLeft w:val="0"/>
      <w:marRight w:val="0"/>
      <w:marTop w:val="0"/>
      <w:marBottom w:val="0"/>
      <w:divBdr>
        <w:top w:val="none" w:sz="0" w:space="0" w:color="auto"/>
        <w:left w:val="none" w:sz="0" w:space="0" w:color="auto"/>
        <w:bottom w:val="none" w:sz="0" w:space="0" w:color="auto"/>
        <w:right w:val="none" w:sz="0" w:space="0" w:color="auto"/>
      </w:divBdr>
    </w:div>
    <w:div w:id="342897360">
      <w:bodyDiv w:val="1"/>
      <w:marLeft w:val="0"/>
      <w:marRight w:val="0"/>
      <w:marTop w:val="0"/>
      <w:marBottom w:val="0"/>
      <w:divBdr>
        <w:top w:val="none" w:sz="0" w:space="0" w:color="auto"/>
        <w:left w:val="none" w:sz="0" w:space="0" w:color="auto"/>
        <w:bottom w:val="none" w:sz="0" w:space="0" w:color="auto"/>
        <w:right w:val="none" w:sz="0" w:space="0" w:color="auto"/>
      </w:divBdr>
      <w:divsChild>
        <w:div w:id="523400344">
          <w:marLeft w:val="0"/>
          <w:marRight w:val="0"/>
          <w:marTop w:val="0"/>
          <w:marBottom w:val="0"/>
          <w:divBdr>
            <w:top w:val="none" w:sz="0" w:space="0" w:color="auto"/>
            <w:left w:val="none" w:sz="0" w:space="0" w:color="auto"/>
            <w:bottom w:val="none" w:sz="0" w:space="0" w:color="auto"/>
            <w:right w:val="none" w:sz="0" w:space="0" w:color="auto"/>
          </w:divBdr>
          <w:divsChild>
            <w:div w:id="34963072">
              <w:marLeft w:val="0"/>
              <w:marRight w:val="0"/>
              <w:marTop w:val="0"/>
              <w:marBottom w:val="0"/>
              <w:divBdr>
                <w:top w:val="none" w:sz="0" w:space="0" w:color="auto"/>
                <w:left w:val="none" w:sz="0" w:space="0" w:color="auto"/>
                <w:bottom w:val="none" w:sz="0" w:space="0" w:color="auto"/>
                <w:right w:val="none" w:sz="0" w:space="0" w:color="auto"/>
              </w:divBdr>
              <w:divsChild>
                <w:div w:id="904949821">
                  <w:marLeft w:val="0"/>
                  <w:marRight w:val="0"/>
                  <w:marTop w:val="0"/>
                  <w:marBottom w:val="0"/>
                  <w:divBdr>
                    <w:top w:val="none" w:sz="0" w:space="0" w:color="auto"/>
                    <w:left w:val="none" w:sz="0" w:space="0" w:color="auto"/>
                    <w:bottom w:val="none" w:sz="0" w:space="0" w:color="auto"/>
                    <w:right w:val="none" w:sz="0" w:space="0" w:color="auto"/>
                  </w:divBdr>
                  <w:divsChild>
                    <w:div w:id="248582390">
                      <w:marLeft w:val="0"/>
                      <w:marRight w:val="0"/>
                      <w:marTop w:val="0"/>
                      <w:marBottom w:val="0"/>
                      <w:divBdr>
                        <w:top w:val="none" w:sz="0" w:space="0" w:color="auto"/>
                        <w:left w:val="none" w:sz="0" w:space="0" w:color="auto"/>
                        <w:bottom w:val="none" w:sz="0" w:space="0" w:color="auto"/>
                        <w:right w:val="none" w:sz="0" w:space="0" w:color="auto"/>
                      </w:divBdr>
                      <w:divsChild>
                        <w:div w:id="1780634957">
                          <w:marLeft w:val="0"/>
                          <w:marRight w:val="0"/>
                          <w:marTop w:val="0"/>
                          <w:marBottom w:val="0"/>
                          <w:divBdr>
                            <w:top w:val="none" w:sz="0" w:space="0" w:color="auto"/>
                            <w:left w:val="none" w:sz="0" w:space="0" w:color="auto"/>
                            <w:bottom w:val="none" w:sz="0" w:space="0" w:color="auto"/>
                            <w:right w:val="none" w:sz="0" w:space="0" w:color="auto"/>
                          </w:divBdr>
                          <w:divsChild>
                            <w:div w:id="1809933996">
                              <w:marLeft w:val="0"/>
                              <w:marRight w:val="0"/>
                              <w:marTop w:val="0"/>
                              <w:marBottom w:val="0"/>
                              <w:divBdr>
                                <w:top w:val="none" w:sz="0" w:space="0" w:color="auto"/>
                                <w:left w:val="none" w:sz="0" w:space="0" w:color="auto"/>
                                <w:bottom w:val="none" w:sz="0" w:space="0" w:color="auto"/>
                                <w:right w:val="none" w:sz="0" w:space="0" w:color="auto"/>
                              </w:divBdr>
                              <w:divsChild>
                                <w:div w:id="126821688">
                                  <w:marLeft w:val="0"/>
                                  <w:marRight w:val="0"/>
                                  <w:marTop w:val="0"/>
                                  <w:marBottom w:val="0"/>
                                  <w:divBdr>
                                    <w:top w:val="none" w:sz="0" w:space="0" w:color="auto"/>
                                    <w:left w:val="none" w:sz="0" w:space="0" w:color="auto"/>
                                    <w:bottom w:val="none" w:sz="0" w:space="0" w:color="auto"/>
                                    <w:right w:val="none" w:sz="0" w:space="0" w:color="auto"/>
                                  </w:divBdr>
                                  <w:divsChild>
                                    <w:div w:id="271060319">
                                      <w:marLeft w:val="0"/>
                                      <w:marRight w:val="0"/>
                                      <w:marTop w:val="0"/>
                                      <w:marBottom w:val="0"/>
                                      <w:divBdr>
                                        <w:top w:val="none" w:sz="0" w:space="0" w:color="auto"/>
                                        <w:left w:val="none" w:sz="0" w:space="0" w:color="auto"/>
                                        <w:bottom w:val="none" w:sz="0" w:space="0" w:color="auto"/>
                                        <w:right w:val="none" w:sz="0" w:space="0" w:color="auto"/>
                                      </w:divBdr>
                                      <w:divsChild>
                                        <w:div w:id="1530948422">
                                          <w:marLeft w:val="0"/>
                                          <w:marRight w:val="0"/>
                                          <w:marTop w:val="0"/>
                                          <w:marBottom w:val="0"/>
                                          <w:divBdr>
                                            <w:top w:val="none" w:sz="0" w:space="0" w:color="auto"/>
                                            <w:left w:val="none" w:sz="0" w:space="0" w:color="auto"/>
                                            <w:bottom w:val="none" w:sz="0" w:space="0" w:color="auto"/>
                                            <w:right w:val="none" w:sz="0" w:space="0" w:color="auto"/>
                                          </w:divBdr>
                                          <w:divsChild>
                                            <w:div w:id="1517958086">
                                              <w:marLeft w:val="0"/>
                                              <w:marRight w:val="0"/>
                                              <w:marTop w:val="0"/>
                                              <w:marBottom w:val="0"/>
                                              <w:divBdr>
                                                <w:top w:val="none" w:sz="0" w:space="0" w:color="auto"/>
                                                <w:left w:val="none" w:sz="0" w:space="0" w:color="auto"/>
                                                <w:bottom w:val="none" w:sz="0" w:space="0" w:color="auto"/>
                                                <w:right w:val="none" w:sz="0" w:space="0" w:color="auto"/>
                                              </w:divBdr>
                                              <w:divsChild>
                                                <w:div w:id="9280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20021009">
      <w:bodyDiv w:val="1"/>
      <w:marLeft w:val="0"/>
      <w:marRight w:val="0"/>
      <w:marTop w:val="0"/>
      <w:marBottom w:val="0"/>
      <w:divBdr>
        <w:top w:val="none" w:sz="0" w:space="0" w:color="auto"/>
        <w:left w:val="none" w:sz="0" w:space="0" w:color="auto"/>
        <w:bottom w:val="none" w:sz="0" w:space="0" w:color="auto"/>
        <w:right w:val="none" w:sz="0" w:space="0" w:color="auto"/>
      </w:divBdr>
    </w:div>
    <w:div w:id="981735533">
      <w:bodyDiv w:val="1"/>
      <w:marLeft w:val="0"/>
      <w:marRight w:val="0"/>
      <w:marTop w:val="0"/>
      <w:marBottom w:val="0"/>
      <w:divBdr>
        <w:top w:val="none" w:sz="0" w:space="0" w:color="auto"/>
        <w:left w:val="none" w:sz="0" w:space="0" w:color="auto"/>
        <w:bottom w:val="none" w:sz="0" w:space="0" w:color="auto"/>
        <w:right w:val="none" w:sz="0" w:space="0" w:color="auto"/>
      </w:divBdr>
    </w:div>
    <w:div w:id="1025063080">
      <w:bodyDiv w:val="1"/>
      <w:marLeft w:val="0"/>
      <w:marRight w:val="0"/>
      <w:marTop w:val="0"/>
      <w:marBottom w:val="0"/>
      <w:divBdr>
        <w:top w:val="none" w:sz="0" w:space="0" w:color="auto"/>
        <w:left w:val="none" w:sz="0" w:space="0" w:color="auto"/>
        <w:bottom w:val="none" w:sz="0" w:space="0" w:color="auto"/>
        <w:right w:val="none" w:sz="0" w:space="0" w:color="auto"/>
      </w:divBdr>
    </w:div>
    <w:div w:id="1209955779">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64273316">
      <w:bodyDiv w:val="1"/>
      <w:marLeft w:val="0"/>
      <w:marRight w:val="0"/>
      <w:marTop w:val="0"/>
      <w:marBottom w:val="0"/>
      <w:divBdr>
        <w:top w:val="none" w:sz="0" w:space="0" w:color="auto"/>
        <w:left w:val="none" w:sz="0" w:space="0" w:color="auto"/>
        <w:bottom w:val="none" w:sz="0" w:space="0" w:color="auto"/>
        <w:right w:val="none" w:sz="0" w:space="0" w:color="auto"/>
      </w:divBdr>
    </w:div>
    <w:div w:id="1546746635">
      <w:bodyDiv w:val="1"/>
      <w:marLeft w:val="0"/>
      <w:marRight w:val="0"/>
      <w:marTop w:val="0"/>
      <w:marBottom w:val="0"/>
      <w:divBdr>
        <w:top w:val="none" w:sz="0" w:space="0" w:color="auto"/>
        <w:left w:val="none" w:sz="0" w:space="0" w:color="auto"/>
        <w:bottom w:val="none" w:sz="0" w:space="0" w:color="auto"/>
        <w:right w:val="none" w:sz="0" w:space="0" w:color="auto"/>
      </w:divBdr>
      <w:divsChild>
        <w:div w:id="1266310973">
          <w:marLeft w:val="0"/>
          <w:marRight w:val="0"/>
          <w:marTop w:val="0"/>
          <w:marBottom w:val="0"/>
          <w:divBdr>
            <w:top w:val="none" w:sz="0" w:space="0" w:color="auto"/>
            <w:left w:val="none" w:sz="0" w:space="0" w:color="auto"/>
            <w:bottom w:val="none" w:sz="0" w:space="0" w:color="auto"/>
            <w:right w:val="none" w:sz="0" w:space="0" w:color="auto"/>
          </w:divBdr>
          <w:divsChild>
            <w:div w:id="1784612256">
              <w:marLeft w:val="0"/>
              <w:marRight w:val="0"/>
              <w:marTop w:val="0"/>
              <w:marBottom w:val="0"/>
              <w:divBdr>
                <w:top w:val="none" w:sz="0" w:space="0" w:color="auto"/>
                <w:left w:val="none" w:sz="0" w:space="0" w:color="auto"/>
                <w:bottom w:val="none" w:sz="0" w:space="0" w:color="auto"/>
                <w:right w:val="none" w:sz="0" w:space="0" w:color="auto"/>
              </w:divBdr>
              <w:divsChild>
                <w:div w:id="913009257">
                  <w:marLeft w:val="0"/>
                  <w:marRight w:val="0"/>
                  <w:marTop w:val="0"/>
                  <w:marBottom w:val="0"/>
                  <w:divBdr>
                    <w:top w:val="none" w:sz="0" w:space="0" w:color="auto"/>
                    <w:left w:val="none" w:sz="0" w:space="0" w:color="auto"/>
                    <w:bottom w:val="none" w:sz="0" w:space="0" w:color="auto"/>
                    <w:right w:val="none" w:sz="0" w:space="0" w:color="auto"/>
                  </w:divBdr>
                  <w:divsChild>
                    <w:div w:id="1602839630">
                      <w:marLeft w:val="0"/>
                      <w:marRight w:val="0"/>
                      <w:marTop w:val="0"/>
                      <w:marBottom w:val="0"/>
                      <w:divBdr>
                        <w:top w:val="none" w:sz="0" w:space="0" w:color="auto"/>
                        <w:left w:val="none" w:sz="0" w:space="0" w:color="auto"/>
                        <w:bottom w:val="none" w:sz="0" w:space="0" w:color="auto"/>
                        <w:right w:val="none" w:sz="0" w:space="0" w:color="auto"/>
                      </w:divBdr>
                      <w:divsChild>
                        <w:div w:id="731659951">
                          <w:marLeft w:val="0"/>
                          <w:marRight w:val="0"/>
                          <w:marTop w:val="0"/>
                          <w:marBottom w:val="0"/>
                          <w:divBdr>
                            <w:top w:val="none" w:sz="0" w:space="0" w:color="auto"/>
                            <w:left w:val="none" w:sz="0" w:space="0" w:color="auto"/>
                            <w:bottom w:val="none" w:sz="0" w:space="0" w:color="auto"/>
                            <w:right w:val="none" w:sz="0" w:space="0" w:color="auto"/>
                          </w:divBdr>
                          <w:divsChild>
                            <w:div w:id="859196262">
                              <w:marLeft w:val="0"/>
                              <w:marRight w:val="0"/>
                              <w:marTop w:val="0"/>
                              <w:marBottom w:val="0"/>
                              <w:divBdr>
                                <w:top w:val="none" w:sz="0" w:space="0" w:color="auto"/>
                                <w:left w:val="none" w:sz="0" w:space="0" w:color="auto"/>
                                <w:bottom w:val="none" w:sz="0" w:space="0" w:color="auto"/>
                                <w:right w:val="none" w:sz="0" w:space="0" w:color="auto"/>
                              </w:divBdr>
                              <w:divsChild>
                                <w:div w:id="479004277">
                                  <w:marLeft w:val="0"/>
                                  <w:marRight w:val="0"/>
                                  <w:marTop w:val="0"/>
                                  <w:marBottom w:val="0"/>
                                  <w:divBdr>
                                    <w:top w:val="none" w:sz="0" w:space="0" w:color="auto"/>
                                    <w:left w:val="none" w:sz="0" w:space="0" w:color="auto"/>
                                    <w:bottom w:val="none" w:sz="0" w:space="0" w:color="auto"/>
                                    <w:right w:val="none" w:sz="0" w:space="0" w:color="auto"/>
                                  </w:divBdr>
                                  <w:divsChild>
                                    <w:div w:id="469901712">
                                      <w:marLeft w:val="0"/>
                                      <w:marRight w:val="0"/>
                                      <w:marTop w:val="0"/>
                                      <w:marBottom w:val="0"/>
                                      <w:divBdr>
                                        <w:top w:val="none" w:sz="0" w:space="0" w:color="auto"/>
                                        <w:left w:val="none" w:sz="0" w:space="0" w:color="auto"/>
                                        <w:bottom w:val="none" w:sz="0" w:space="0" w:color="auto"/>
                                        <w:right w:val="none" w:sz="0" w:space="0" w:color="auto"/>
                                      </w:divBdr>
                                      <w:divsChild>
                                        <w:div w:id="230848431">
                                          <w:marLeft w:val="0"/>
                                          <w:marRight w:val="0"/>
                                          <w:marTop w:val="0"/>
                                          <w:marBottom w:val="0"/>
                                          <w:divBdr>
                                            <w:top w:val="none" w:sz="0" w:space="0" w:color="auto"/>
                                            <w:left w:val="none" w:sz="0" w:space="0" w:color="auto"/>
                                            <w:bottom w:val="none" w:sz="0" w:space="0" w:color="auto"/>
                                            <w:right w:val="none" w:sz="0" w:space="0" w:color="auto"/>
                                          </w:divBdr>
                                          <w:divsChild>
                                            <w:div w:id="1764254380">
                                              <w:marLeft w:val="0"/>
                                              <w:marRight w:val="0"/>
                                              <w:marTop w:val="0"/>
                                              <w:marBottom w:val="0"/>
                                              <w:divBdr>
                                                <w:top w:val="none" w:sz="0" w:space="0" w:color="auto"/>
                                                <w:left w:val="none" w:sz="0" w:space="0" w:color="auto"/>
                                                <w:bottom w:val="none" w:sz="0" w:space="0" w:color="auto"/>
                                                <w:right w:val="none" w:sz="0" w:space="0" w:color="auto"/>
                                              </w:divBdr>
                                              <w:divsChild>
                                                <w:div w:id="6096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2615">
      <w:bodyDiv w:val="1"/>
      <w:marLeft w:val="0"/>
      <w:marRight w:val="0"/>
      <w:marTop w:val="0"/>
      <w:marBottom w:val="0"/>
      <w:divBdr>
        <w:top w:val="none" w:sz="0" w:space="0" w:color="auto"/>
        <w:left w:val="none" w:sz="0" w:space="0" w:color="auto"/>
        <w:bottom w:val="none" w:sz="0" w:space="0" w:color="auto"/>
        <w:right w:val="none" w:sz="0" w:space="0" w:color="auto"/>
      </w:divBdr>
    </w:div>
    <w:div w:id="1736782488">
      <w:bodyDiv w:val="1"/>
      <w:marLeft w:val="0"/>
      <w:marRight w:val="0"/>
      <w:marTop w:val="0"/>
      <w:marBottom w:val="0"/>
      <w:divBdr>
        <w:top w:val="none" w:sz="0" w:space="0" w:color="auto"/>
        <w:left w:val="none" w:sz="0" w:space="0" w:color="auto"/>
        <w:bottom w:val="none" w:sz="0" w:space="0" w:color="auto"/>
        <w:right w:val="none" w:sz="0" w:space="0" w:color="auto"/>
      </w:divBdr>
    </w:div>
    <w:div w:id="1740323198">
      <w:bodyDiv w:val="1"/>
      <w:marLeft w:val="0"/>
      <w:marRight w:val="0"/>
      <w:marTop w:val="0"/>
      <w:marBottom w:val="0"/>
      <w:divBdr>
        <w:top w:val="none" w:sz="0" w:space="0" w:color="auto"/>
        <w:left w:val="none" w:sz="0" w:space="0" w:color="auto"/>
        <w:bottom w:val="none" w:sz="0" w:space="0" w:color="auto"/>
        <w:right w:val="none" w:sz="0" w:space="0" w:color="auto"/>
      </w:divBdr>
      <w:divsChild>
        <w:div w:id="1762949268">
          <w:marLeft w:val="0"/>
          <w:marRight w:val="0"/>
          <w:marTop w:val="0"/>
          <w:marBottom w:val="0"/>
          <w:divBdr>
            <w:top w:val="none" w:sz="0" w:space="0" w:color="auto"/>
            <w:left w:val="none" w:sz="0" w:space="0" w:color="auto"/>
            <w:bottom w:val="none" w:sz="0" w:space="0" w:color="auto"/>
            <w:right w:val="none" w:sz="0" w:space="0" w:color="auto"/>
          </w:divBdr>
          <w:divsChild>
            <w:div w:id="247812121">
              <w:marLeft w:val="0"/>
              <w:marRight w:val="0"/>
              <w:marTop w:val="0"/>
              <w:marBottom w:val="0"/>
              <w:divBdr>
                <w:top w:val="none" w:sz="0" w:space="0" w:color="auto"/>
                <w:left w:val="none" w:sz="0" w:space="0" w:color="auto"/>
                <w:bottom w:val="none" w:sz="0" w:space="0" w:color="auto"/>
                <w:right w:val="none" w:sz="0" w:space="0" w:color="auto"/>
              </w:divBdr>
              <w:divsChild>
                <w:div w:id="1048648429">
                  <w:marLeft w:val="0"/>
                  <w:marRight w:val="0"/>
                  <w:marTop w:val="0"/>
                  <w:marBottom w:val="0"/>
                  <w:divBdr>
                    <w:top w:val="none" w:sz="0" w:space="0" w:color="auto"/>
                    <w:left w:val="none" w:sz="0" w:space="0" w:color="auto"/>
                    <w:bottom w:val="none" w:sz="0" w:space="0" w:color="auto"/>
                    <w:right w:val="none" w:sz="0" w:space="0" w:color="auto"/>
                  </w:divBdr>
                  <w:divsChild>
                    <w:div w:id="1553073164">
                      <w:marLeft w:val="0"/>
                      <w:marRight w:val="0"/>
                      <w:marTop w:val="0"/>
                      <w:marBottom w:val="0"/>
                      <w:divBdr>
                        <w:top w:val="none" w:sz="0" w:space="0" w:color="auto"/>
                        <w:left w:val="none" w:sz="0" w:space="0" w:color="auto"/>
                        <w:bottom w:val="none" w:sz="0" w:space="0" w:color="auto"/>
                        <w:right w:val="none" w:sz="0" w:space="0" w:color="auto"/>
                      </w:divBdr>
                      <w:divsChild>
                        <w:div w:id="1349019788">
                          <w:marLeft w:val="0"/>
                          <w:marRight w:val="0"/>
                          <w:marTop w:val="0"/>
                          <w:marBottom w:val="0"/>
                          <w:divBdr>
                            <w:top w:val="none" w:sz="0" w:space="0" w:color="auto"/>
                            <w:left w:val="none" w:sz="0" w:space="0" w:color="auto"/>
                            <w:bottom w:val="none" w:sz="0" w:space="0" w:color="auto"/>
                            <w:right w:val="none" w:sz="0" w:space="0" w:color="auto"/>
                          </w:divBdr>
                          <w:divsChild>
                            <w:div w:id="74401702">
                              <w:marLeft w:val="0"/>
                              <w:marRight w:val="0"/>
                              <w:marTop w:val="0"/>
                              <w:marBottom w:val="0"/>
                              <w:divBdr>
                                <w:top w:val="none" w:sz="0" w:space="0" w:color="auto"/>
                                <w:left w:val="none" w:sz="0" w:space="0" w:color="auto"/>
                                <w:bottom w:val="none" w:sz="0" w:space="0" w:color="auto"/>
                                <w:right w:val="none" w:sz="0" w:space="0" w:color="auto"/>
                              </w:divBdr>
                              <w:divsChild>
                                <w:div w:id="1073773640">
                                  <w:marLeft w:val="0"/>
                                  <w:marRight w:val="0"/>
                                  <w:marTop w:val="0"/>
                                  <w:marBottom w:val="0"/>
                                  <w:divBdr>
                                    <w:top w:val="none" w:sz="0" w:space="0" w:color="auto"/>
                                    <w:left w:val="none" w:sz="0" w:space="0" w:color="auto"/>
                                    <w:bottom w:val="none" w:sz="0" w:space="0" w:color="auto"/>
                                    <w:right w:val="none" w:sz="0" w:space="0" w:color="auto"/>
                                  </w:divBdr>
                                  <w:divsChild>
                                    <w:div w:id="1825972048">
                                      <w:marLeft w:val="0"/>
                                      <w:marRight w:val="0"/>
                                      <w:marTop w:val="0"/>
                                      <w:marBottom w:val="0"/>
                                      <w:divBdr>
                                        <w:top w:val="none" w:sz="0" w:space="0" w:color="auto"/>
                                        <w:left w:val="none" w:sz="0" w:space="0" w:color="auto"/>
                                        <w:bottom w:val="none" w:sz="0" w:space="0" w:color="auto"/>
                                        <w:right w:val="none" w:sz="0" w:space="0" w:color="auto"/>
                                      </w:divBdr>
                                      <w:divsChild>
                                        <w:div w:id="316808547">
                                          <w:marLeft w:val="0"/>
                                          <w:marRight w:val="0"/>
                                          <w:marTop w:val="0"/>
                                          <w:marBottom w:val="0"/>
                                          <w:divBdr>
                                            <w:top w:val="none" w:sz="0" w:space="0" w:color="auto"/>
                                            <w:left w:val="none" w:sz="0" w:space="0" w:color="auto"/>
                                            <w:bottom w:val="none" w:sz="0" w:space="0" w:color="auto"/>
                                            <w:right w:val="none" w:sz="0" w:space="0" w:color="auto"/>
                                          </w:divBdr>
                                          <w:divsChild>
                                            <w:div w:id="991132531">
                                              <w:marLeft w:val="0"/>
                                              <w:marRight w:val="0"/>
                                              <w:marTop w:val="0"/>
                                              <w:marBottom w:val="0"/>
                                              <w:divBdr>
                                                <w:top w:val="none" w:sz="0" w:space="0" w:color="auto"/>
                                                <w:left w:val="none" w:sz="0" w:space="0" w:color="auto"/>
                                                <w:bottom w:val="none" w:sz="0" w:space="0" w:color="auto"/>
                                                <w:right w:val="none" w:sz="0" w:space="0" w:color="auto"/>
                                              </w:divBdr>
                                              <w:divsChild>
                                                <w:div w:id="923883331">
                                                  <w:marLeft w:val="0"/>
                                                  <w:marRight w:val="0"/>
                                                  <w:marTop w:val="0"/>
                                                  <w:marBottom w:val="0"/>
                                                  <w:divBdr>
                                                    <w:top w:val="none" w:sz="0" w:space="0" w:color="auto"/>
                                                    <w:left w:val="none" w:sz="0" w:space="0" w:color="auto"/>
                                                    <w:bottom w:val="none" w:sz="0" w:space="0" w:color="auto"/>
                                                    <w:right w:val="none" w:sz="0" w:space="0" w:color="auto"/>
                                                  </w:divBdr>
                                                  <w:divsChild>
                                                    <w:div w:id="16959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01782">
      <w:bodyDiv w:val="1"/>
      <w:marLeft w:val="0"/>
      <w:marRight w:val="0"/>
      <w:marTop w:val="0"/>
      <w:marBottom w:val="0"/>
      <w:divBdr>
        <w:top w:val="none" w:sz="0" w:space="0" w:color="auto"/>
        <w:left w:val="none" w:sz="0" w:space="0" w:color="auto"/>
        <w:bottom w:val="none" w:sz="0" w:space="0" w:color="auto"/>
        <w:right w:val="none" w:sz="0" w:space="0" w:color="auto"/>
      </w:divBdr>
    </w:div>
    <w:div w:id="1955555934">
      <w:bodyDiv w:val="1"/>
      <w:marLeft w:val="0"/>
      <w:marRight w:val="0"/>
      <w:marTop w:val="0"/>
      <w:marBottom w:val="0"/>
      <w:divBdr>
        <w:top w:val="none" w:sz="0" w:space="0" w:color="auto"/>
        <w:left w:val="none" w:sz="0" w:space="0" w:color="auto"/>
        <w:bottom w:val="none" w:sz="0" w:space="0" w:color="auto"/>
        <w:right w:val="none" w:sz="0" w:space="0" w:color="auto"/>
      </w:divBdr>
    </w:div>
    <w:div w:id="2042313576">
      <w:bodyDiv w:val="1"/>
      <w:marLeft w:val="0"/>
      <w:marRight w:val="0"/>
      <w:marTop w:val="0"/>
      <w:marBottom w:val="0"/>
      <w:divBdr>
        <w:top w:val="none" w:sz="0" w:space="0" w:color="auto"/>
        <w:left w:val="none" w:sz="0" w:space="0" w:color="auto"/>
        <w:bottom w:val="none" w:sz="0" w:space="0" w:color="auto"/>
        <w:right w:val="none" w:sz="0" w:space="0" w:color="auto"/>
      </w:divBdr>
      <w:divsChild>
        <w:div w:id="190802874">
          <w:marLeft w:val="0"/>
          <w:marRight w:val="0"/>
          <w:marTop w:val="0"/>
          <w:marBottom w:val="0"/>
          <w:divBdr>
            <w:top w:val="none" w:sz="0" w:space="0" w:color="auto"/>
            <w:left w:val="none" w:sz="0" w:space="0" w:color="auto"/>
            <w:bottom w:val="none" w:sz="0" w:space="0" w:color="auto"/>
            <w:right w:val="none" w:sz="0" w:space="0" w:color="auto"/>
          </w:divBdr>
          <w:divsChild>
            <w:div w:id="2115862187">
              <w:marLeft w:val="0"/>
              <w:marRight w:val="0"/>
              <w:marTop w:val="0"/>
              <w:marBottom w:val="0"/>
              <w:divBdr>
                <w:top w:val="none" w:sz="0" w:space="0" w:color="auto"/>
                <w:left w:val="none" w:sz="0" w:space="0" w:color="auto"/>
                <w:bottom w:val="none" w:sz="0" w:space="0" w:color="auto"/>
                <w:right w:val="none" w:sz="0" w:space="0" w:color="auto"/>
              </w:divBdr>
              <w:divsChild>
                <w:div w:id="1629436598">
                  <w:marLeft w:val="0"/>
                  <w:marRight w:val="0"/>
                  <w:marTop w:val="0"/>
                  <w:marBottom w:val="0"/>
                  <w:divBdr>
                    <w:top w:val="none" w:sz="0" w:space="0" w:color="auto"/>
                    <w:left w:val="none" w:sz="0" w:space="0" w:color="auto"/>
                    <w:bottom w:val="none" w:sz="0" w:space="0" w:color="auto"/>
                    <w:right w:val="none" w:sz="0" w:space="0" w:color="auto"/>
                  </w:divBdr>
                  <w:divsChild>
                    <w:div w:id="932779339">
                      <w:marLeft w:val="0"/>
                      <w:marRight w:val="0"/>
                      <w:marTop w:val="0"/>
                      <w:marBottom w:val="0"/>
                      <w:divBdr>
                        <w:top w:val="none" w:sz="0" w:space="0" w:color="auto"/>
                        <w:left w:val="none" w:sz="0" w:space="0" w:color="auto"/>
                        <w:bottom w:val="none" w:sz="0" w:space="0" w:color="auto"/>
                        <w:right w:val="none" w:sz="0" w:space="0" w:color="auto"/>
                      </w:divBdr>
                      <w:divsChild>
                        <w:div w:id="1143278824">
                          <w:marLeft w:val="0"/>
                          <w:marRight w:val="0"/>
                          <w:marTop w:val="0"/>
                          <w:marBottom w:val="0"/>
                          <w:divBdr>
                            <w:top w:val="none" w:sz="0" w:space="0" w:color="auto"/>
                            <w:left w:val="none" w:sz="0" w:space="0" w:color="auto"/>
                            <w:bottom w:val="none" w:sz="0" w:space="0" w:color="auto"/>
                            <w:right w:val="none" w:sz="0" w:space="0" w:color="auto"/>
                          </w:divBdr>
                          <w:divsChild>
                            <w:div w:id="1845900103">
                              <w:marLeft w:val="0"/>
                              <w:marRight w:val="0"/>
                              <w:marTop w:val="0"/>
                              <w:marBottom w:val="0"/>
                              <w:divBdr>
                                <w:top w:val="none" w:sz="0" w:space="0" w:color="auto"/>
                                <w:left w:val="none" w:sz="0" w:space="0" w:color="auto"/>
                                <w:bottom w:val="none" w:sz="0" w:space="0" w:color="auto"/>
                                <w:right w:val="none" w:sz="0" w:space="0" w:color="auto"/>
                              </w:divBdr>
                              <w:divsChild>
                                <w:div w:id="1106535721">
                                  <w:marLeft w:val="0"/>
                                  <w:marRight w:val="0"/>
                                  <w:marTop w:val="0"/>
                                  <w:marBottom w:val="0"/>
                                  <w:divBdr>
                                    <w:top w:val="none" w:sz="0" w:space="0" w:color="auto"/>
                                    <w:left w:val="none" w:sz="0" w:space="0" w:color="auto"/>
                                    <w:bottom w:val="none" w:sz="0" w:space="0" w:color="auto"/>
                                    <w:right w:val="none" w:sz="0" w:space="0" w:color="auto"/>
                                  </w:divBdr>
                                  <w:divsChild>
                                    <w:div w:id="324482771">
                                      <w:marLeft w:val="0"/>
                                      <w:marRight w:val="0"/>
                                      <w:marTop w:val="0"/>
                                      <w:marBottom w:val="0"/>
                                      <w:divBdr>
                                        <w:top w:val="none" w:sz="0" w:space="0" w:color="auto"/>
                                        <w:left w:val="none" w:sz="0" w:space="0" w:color="auto"/>
                                        <w:bottom w:val="none" w:sz="0" w:space="0" w:color="auto"/>
                                        <w:right w:val="none" w:sz="0" w:space="0" w:color="auto"/>
                                      </w:divBdr>
                                      <w:divsChild>
                                        <w:div w:id="79957517">
                                          <w:marLeft w:val="0"/>
                                          <w:marRight w:val="0"/>
                                          <w:marTop w:val="0"/>
                                          <w:marBottom w:val="0"/>
                                          <w:divBdr>
                                            <w:top w:val="none" w:sz="0" w:space="0" w:color="auto"/>
                                            <w:left w:val="none" w:sz="0" w:space="0" w:color="auto"/>
                                            <w:bottom w:val="none" w:sz="0" w:space="0" w:color="auto"/>
                                            <w:right w:val="none" w:sz="0" w:space="0" w:color="auto"/>
                                          </w:divBdr>
                                          <w:divsChild>
                                            <w:div w:id="1883857450">
                                              <w:marLeft w:val="0"/>
                                              <w:marRight w:val="0"/>
                                              <w:marTop w:val="0"/>
                                              <w:marBottom w:val="0"/>
                                              <w:divBdr>
                                                <w:top w:val="none" w:sz="0" w:space="0" w:color="auto"/>
                                                <w:left w:val="none" w:sz="0" w:space="0" w:color="auto"/>
                                                <w:bottom w:val="none" w:sz="0" w:space="0" w:color="auto"/>
                                                <w:right w:val="none" w:sz="0" w:space="0" w:color="auto"/>
                                              </w:divBdr>
                                              <w:divsChild>
                                                <w:div w:id="1130324778">
                                                  <w:marLeft w:val="0"/>
                                                  <w:marRight w:val="0"/>
                                                  <w:marTop w:val="0"/>
                                                  <w:marBottom w:val="0"/>
                                                  <w:divBdr>
                                                    <w:top w:val="none" w:sz="0" w:space="0" w:color="auto"/>
                                                    <w:left w:val="none" w:sz="0" w:space="0" w:color="auto"/>
                                                    <w:bottom w:val="none" w:sz="0" w:space="0" w:color="auto"/>
                                                    <w:right w:val="none" w:sz="0" w:space="0" w:color="auto"/>
                                                  </w:divBdr>
                                                  <w:divsChild>
                                                    <w:div w:id="679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UNSD/nationalaccount/consultationDocs/Handbook_R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documents/7894008/8256843/Flash-estimates-of-income-inequalities-and-poverty-indicators-experimental-result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statistics-explained/index.php?title=Glossary:Equivalised_disposable_inco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europa.eu/eurostat/documents/7894008/8256843/Methodological-not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europa.eu/eurostat/documents/7894008/8256843/Flash-estimates-of-income-inequalities-and-poverty-indicators-experimental-results.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UNSD/nationalaccount/consultationDocs/Handbook_RE.pdf" TargetMode="External"/><Relationship Id="rId1" Type="http://schemas.openxmlformats.org/officeDocument/2006/relationships/hyperlink" Target="https://www.iser.essex.ac.uk/euromod/resources-for-euromod-users/country-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4BE9-A515-4143-9108-EAB81BF2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3463</Words>
  <Characters>19743</Characters>
  <Application>Microsoft Office Word</Application>
  <DocSecurity>0</DocSecurity>
  <Lines>164</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LOPEZ VILAPLANA Cristina (ESTAT)</cp:lastModifiedBy>
  <cp:revision>3</cp:revision>
  <cp:lastPrinted>2018-04-30T13:29:00Z</cp:lastPrinted>
  <dcterms:created xsi:type="dcterms:W3CDTF">2018-05-02T10:07:00Z</dcterms:created>
  <dcterms:modified xsi:type="dcterms:W3CDTF">2018-05-02T13:17:00Z</dcterms:modified>
</cp:coreProperties>
</file>