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99" w:rsidRPr="00EC5F5A" w:rsidRDefault="005E1868" w:rsidP="005E1868">
      <w:pPr>
        <w:spacing w:before="480" w:after="480" w:line="360" w:lineRule="auto"/>
        <w:ind w:left="142" w:right="425" w:firstLine="142"/>
        <w:jc w:val="center"/>
        <w:rPr>
          <w:rFonts w:ascii="Arial" w:hAnsi="Arial" w:cs="Arial"/>
          <w:b/>
          <w:sz w:val="48"/>
          <w:szCs w:val="48"/>
          <w:lang w:val="en-GB"/>
        </w:rPr>
      </w:pPr>
      <w:r w:rsidRPr="005E1868">
        <w:rPr>
          <w:rFonts w:ascii="Arial" w:hAnsi="Arial" w:cs="Arial"/>
          <w:b/>
          <w:sz w:val="48"/>
          <w:szCs w:val="48"/>
          <w:lang w:val="en-GB"/>
        </w:rPr>
        <w:t>Quality indicators of the</w:t>
      </w:r>
      <w:r w:rsidR="00931474">
        <w:rPr>
          <w:rFonts w:ascii="Arial" w:hAnsi="Arial" w:cs="Arial"/>
          <w:b/>
          <w:sz w:val="48"/>
          <w:szCs w:val="48"/>
          <w:lang w:val="en-GB"/>
        </w:rPr>
        <w:t xml:space="preserve"> </w:t>
      </w:r>
      <w:r w:rsidRPr="005E1868">
        <w:rPr>
          <w:rFonts w:ascii="Arial" w:hAnsi="Arial" w:cs="Arial"/>
          <w:b/>
          <w:sz w:val="48"/>
          <w:szCs w:val="48"/>
          <w:lang w:val="en-GB"/>
        </w:rPr>
        <w:t>EuroGroups Register</w:t>
      </w:r>
    </w:p>
    <w:p w:rsidR="005E1868" w:rsidRDefault="005E1868" w:rsidP="00C726EA">
      <w:pPr>
        <w:spacing w:after="0" w:line="360" w:lineRule="auto"/>
        <w:jc w:val="both"/>
        <w:rPr>
          <w:rFonts w:ascii="Arial" w:hAnsi="Arial" w:cs="Arial"/>
          <w:sz w:val="24"/>
          <w:szCs w:val="24"/>
          <w:lang w:val="en-GB"/>
        </w:rPr>
      </w:pPr>
      <w:r>
        <w:rPr>
          <w:rFonts w:ascii="Arial" w:hAnsi="Arial" w:cs="Arial"/>
          <w:sz w:val="24"/>
          <w:szCs w:val="24"/>
          <w:lang w:val="en-GB"/>
        </w:rPr>
        <w:t xml:space="preserve">Zsolt Völfinger, Eurostat, </w:t>
      </w:r>
      <w:hyperlink r:id="rId9" w:history="1">
        <w:r w:rsidRPr="0075725F">
          <w:rPr>
            <w:rStyle w:val="Hyperlink"/>
            <w:rFonts w:ascii="Arial" w:hAnsi="Arial" w:cs="Arial"/>
            <w:sz w:val="24"/>
            <w:szCs w:val="24"/>
            <w:lang w:val="en-GB"/>
          </w:rPr>
          <w:t>zsolt.volfinger@ec.europa.eu</w:t>
        </w:r>
      </w:hyperlink>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5E1868" w:rsidRPr="005E1868" w:rsidRDefault="005E1868" w:rsidP="005E1868">
      <w:pPr>
        <w:spacing w:after="0" w:line="240" w:lineRule="auto"/>
        <w:jc w:val="both"/>
        <w:rPr>
          <w:rFonts w:ascii="Arial" w:hAnsi="Arial" w:cs="Arial"/>
          <w:i/>
          <w:sz w:val="20"/>
          <w:szCs w:val="20"/>
          <w:lang w:val="en-GB"/>
        </w:rPr>
      </w:pPr>
      <w:r w:rsidRPr="005E1868">
        <w:rPr>
          <w:rFonts w:ascii="Arial" w:hAnsi="Arial" w:cs="Arial"/>
          <w:i/>
          <w:sz w:val="20"/>
          <w:szCs w:val="20"/>
          <w:lang w:val="en-GB"/>
        </w:rPr>
        <w:t xml:space="preserve">The EuroGroups Register (EGR) is a statistical business register focused on multinational enterprise groups active in Europe. </w:t>
      </w:r>
    </w:p>
    <w:p w:rsidR="005E1868" w:rsidRPr="005E1868" w:rsidRDefault="005E1868" w:rsidP="005E1868">
      <w:pPr>
        <w:spacing w:after="0" w:line="240" w:lineRule="auto"/>
        <w:jc w:val="both"/>
        <w:rPr>
          <w:rFonts w:ascii="Arial" w:hAnsi="Arial" w:cs="Arial"/>
          <w:i/>
          <w:sz w:val="20"/>
          <w:szCs w:val="20"/>
          <w:lang w:val="en-GB"/>
        </w:rPr>
      </w:pPr>
      <w:r w:rsidRPr="005E1868">
        <w:rPr>
          <w:rFonts w:ascii="Arial" w:hAnsi="Arial" w:cs="Arial"/>
          <w:i/>
          <w:sz w:val="20"/>
          <w:szCs w:val="20"/>
          <w:lang w:val="en-GB"/>
        </w:rPr>
        <w:t>To create the EGR, Eurostat collects input information from the national statistical business registers and from commercial sources. After consolidation and validation, the register contains the global structure of the multinational enterprise groups</w:t>
      </w:r>
      <w:r>
        <w:rPr>
          <w:rFonts w:ascii="Arial" w:hAnsi="Arial" w:cs="Arial"/>
          <w:i/>
          <w:sz w:val="20"/>
          <w:szCs w:val="20"/>
          <w:lang w:val="en-GB"/>
        </w:rPr>
        <w:t xml:space="preserve"> for a given reference year</w:t>
      </w:r>
      <w:r w:rsidRPr="005E1868">
        <w:rPr>
          <w:rFonts w:ascii="Arial" w:hAnsi="Arial" w:cs="Arial"/>
          <w:i/>
          <w:sz w:val="20"/>
          <w:szCs w:val="20"/>
          <w:lang w:val="en-GB"/>
        </w:rPr>
        <w:t xml:space="preserve">. </w:t>
      </w:r>
    </w:p>
    <w:p w:rsidR="005E1868" w:rsidRPr="005E1868" w:rsidRDefault="005E1868" w:rsidP="005E1868">
      <w:pPr>
        <w:spacing w:after="0" w:line="240" w:lineRule="auto"/>
        <w:jc w:val="both"/>
        <w:rPr>
          <w:rFonts w:ascii="Arial" w:hAnsi="Arial" w:cs="Arial"/>
          <w:i/>
          <w:sz w:val="20"/>
          <w:szCs w:val="20"/>
          <w:lang w:val="en-GB"/>
        </w:rPr>
      </w:pPr>
      <w:r w:rsidRPr="005E1868">
        <w:rPr>
          <w:rFonts w:ascii="Arial" w:hAnsi="Arial" w:cs="Arial"/>
          <w:i/>
          <w:sz w:val="20"/>
          <w:szCs w:val="20"/>
          <w:lang w:val="en-GB"/>
        </w:rPr>
        <w:t xml:space="preserve">To monitor the </w:t>
      </w:r>
      <w:r>
        <w:rPr>
          <w:rFonts w:ascii="Arial" w:hAnsi="Arial" w:cs="Arial"/>
          <w:i/>
          <w:sz w:val="20"/>
          <w:szCs w:val="20"/>
          <w:lang w:val="en-GB"/>
        </w:rPr>
        <w:t xml:space="preserve">yearly </w:t>
      </w:r>
      <w:r w:rsidRPr="005E1868">
        <w:rPr>
          <w:rFonts w:ascii="Arial" w:hAnsi="Arial" w:cs="Arial"/>
          <w:i/>
          <w:sz w:val="20"/>
          <w:szCs w:val="20"/>
          <w:lang w:val="en-GB"/>
        </w:rPr>
        <w:t xml:space="preserve">production </w:t>
      </w:r>
      <w:r>
        <w:rPr>
          <w:rFonts w:ascii="Arial" w:hAnsi="Arial" w:cs="Arial"/>
          <w:i/>
          <w:sz w:val="20"/>
          <w:szCs w:val="20"/>
          <w:lang w:val="en-GB"/>
        </w:rPr>
        <w:t xml:space="preserve">cycles of the EGR </w:t>
      </w:r>
      <w:r w:rsidRPr="005E1868">
        <w:rPr>
          <w:rFonts w:ascii="Arial" w:hAnsi="Arial" w:cs="Arial"/>
          <w:i/>
          <w:sz w:val="20"/>
          <w:szCs w:val="20"/>
          <w:lang w:val="en-GB"/>
        </w:rPr>
        <w:t xml:space="preserve">and to evaluate the results of the register Eurostat developed a wide range of quality indicators for the EGR process. </w:t>
      </w:r>
    </w:p>
    <w:p w:rsidR="005E1868" w:rsidRDefault="005E1868" w:rsidP="005E1868">
      <w:pPr>
        <w:spacing w:after="0" w:line="240" w:lineRule="auto"/>
        <w:jc w:val="both"/>
        <w:rPr>
          <w:rFonts w:ascii="Arial" w:hAnsi="Arial" w:cs="Arial"/>
          <w:i/>
          <w:sz w:val="20"/>
          <w:szCs w:val="20"/>
          <w:lang w:val="en-GB"/>
        </w:rPr>
      </w:pPr>
      <w:r w:rsidRPr="005E1868">
        <w:rPr>
          <w:rFonts w:ascii="Arial" w:hAnsi="Arial" w:cs="Arial"/>
          <w:i/>
          <w:sz w:val="20"/>
          <w:szCs w:val="20"/>
          <w:lang w:val="en-GB"/>
        </w:rPr>
        <w:t>Th</w:t>
      </w:r>
      <w:r>
        <w:rPr>
          <w:rFonts w:ascii="Arial" w:hAnsi="Arial" w:cs="Arial"/>
          <w:i/>
          <w:sz w:val="20"/>
          <w:szCs w:val="20"/>
          <w:lang w:val="en-GB"/>
        </w:rPr>
        <w:t>is</w:t>
      </w:r>
      <w:r w:rsidRPr="005E1868">
        <w:rPr>
          <w:rFonts w:ascii="Arial" w:hAnsi="Arial" w:cs="Arial"/>
          <w:i/>
          <w:sz w:val="20"/>
          <w:szCs w:val="20"/>
          <w:lang w:val="en-GB"/>
        </w:rPr>
        <w:t xml:space="preserve"> paper present</w:t>
      </w:r>
      <w:r>
        <w:rPr>
          <w:rFonts w:ascii="Arial" w:hAnsi="Arial" w:cs="Arial"/>
          <w:i/>
          <w:sz w:val="20"/>
          <w:szCs w:val="20"/>
          <w:lang w:val="en-GB"/>
        </w:rPr>
        <w:t>s</w:t>
      </w:r>
      <w:r w:rsidRPr="005E1868">
        <w:rPr>
          <w:rFonts w:ascii="Arial" w:hAnsi="Arial" w:cs="Arial"/>
          <w:i/>
          <w:sz w:val="20"/>
          <w:szCs w:val="20"/>
          <w:lang w:val="en-GB"/>
        </w:rPr>
        <w:t xml:space="preserve"> the system of the quality indicators built behind the EGR production process:</w:t>
      </w:r>
    </w:p>
    <w:p w:rsidR="005E1868" w:rsidRPr="005E1868" w:rsidRDefault="005E1868" w:rsidP="005E1868">
      <w:pPr>
        <w:pStyle w:val="ListParagraph"/>
        <w:numPr>
          <w:ilvl w:val="0"/>
          <w:numId w:val="1"/>
        </w:numPr>
        <w:spacing w:after="0" w:line="240" w:lineRule="auto"/>
        <w:jc w:val="both"/>
        <w:rPr>
          <w:rFonts w:ascii="Arial" w:hAnsi="Arial" w:cs="Arial"/>
          <w:i/>
          <w:sz w:val="20"/>
          <w:szCs w:val="20"/>
          <w:lang w:val="en-GB"/>
        </w:rPr>
      </w:pPr>
      <w:r w:rsidRPr="005E1868">
        <w:rPr>
          <w:rFonts w:ascii="Arial" w:hAnsi="Arial" w:cs="Arial"/>
          <w:i/>
          <w:sz w:val="20"/>
          <w:szCs w:val="20"/>
          <w:lang w:val="en-GB"/>
        </w:rPr>
        <w:t>Input indicators to measure the completeness and consistency of the input data files</w:t>
      </w:r>
    </w:p>
    <w:p w:rsidR="005E1868" w:rsidRPr="005E1868" w:rsidRDefault="005E1868" w:rsidP="005E1868">
      <w:pPr>
        <w:pStyle w:val="ListParagraph"/>
        <w:numPr>
          <w:ilvl w:val="0"/>
          <w:numId w:val="1"/>
        </w:numPr>
        <w:spacing w:after="0" w:line="240" w:lineRule="auto"/>
        <w:jc w:val="both"/>
        <w:rPr>
          <w:rFonts w:ascii="Arial" w:hAnsi="Arial" w:cs="Arial"/>
          <w:i/>
          <w:sz w:val="20"/>
          <w:szCs w:val="20"/>
          <w:lang w:val="en-GB"/>
        </w:rPr>
      </w:pPr>
      <w:r w:rsidRPr="005E1868">
        <w:rPr>
          <w:rFonts w:ascii="Arial" w:hAnsi="Arial" w:cs="Arial"/>
          <w:i/>
          <w:sz w:val="20"/>
          <w:szCs w:val="20"/>
          <w:lang w:val="en-GB"/>
        </w:rPr>
        <w:t>Throughput indicators evaluating the data processing results in the different steps of the EGR production process</w:t>
      </w:r>
    </w:p>
    <w:p w:rsidR="005E1868" w:rsidRPr="005E1868" w:rsidRDefault="003C5F7D" w:rsidP="005E1868">
      <w:pPr>
        <w:pStyle w:val="ListParagraph"/>
        <w:numPr>
          <w:ilvl w:val="0"/>
          <w:numId w:val="1"/>
        </w:numPr>
        <w:spacing w:after="0" w:line="240" w:lineRule="auto"/>
        <w:jc w:val="both"/>
        <w:rPr>
          <w:rFonts w:ascii="Arial" w:hAnsi="Arial" w:cs="Arial"/>
          <w:i/>
          <w:sz w:val="20"/>
          <w:szCs w:val="20"/>
          <w:lang w:val="en-GB"/>
        </w:rPr>
      </w:pPr>
      <w:r>
        <w:rPr>
          <w:rFonts w:ascii="Arial" w:hAnsi="Arial" w:cs="Arial"/>
          <w:i/>
          <w:sz w:val="20"/>
          <w:szCs w:val="20"/>
          <w:lang w:val="en-GB"/>
        </w:rPr>
        <w:t>O</w:t>
      </w:r>
      <w:r w:rsidR="005E1868" w:rsidRPr="005E1868">
        <w:rPr>
          <w:rFonts w:ascii="Arial" w:hAnsi="Arial" w:cs="Arial"/>
          <w:i/>
          <w:sz w:val="20"/>
          <w:szCs w:val="20"/>
          <w:lang w:val="en-GB"/>
        </w:rPr>
        <w:t>utput indicators measuring the completeness and consistency of EGR final data</w:t>
      </w:r>
    </w:p>
    <w:p w:rsidR="005E1868" w:rsidRPr="005E1868" w:rsidRDefault="005E1868" w:rsidP="005E1868">
      <w:pPr>
        <w:pStyle w:val="ListParagraph"/>
        <w:numPr>
          <w:ilvl w:val="0"/>
          <w:numId w:val="1"/>
        </w:numPr>
        <w:spacing w:after="0" w:line="240" w:lineRule="auto"/>
        <w:jc w:val="both"/>
        <w:rPr>
          <w:rFonts w:ascii="Arial" w:hAnsi="Arial" w:cs="Arial"/>
          <w:i/>
          <w:sz w:val="20"/>
          <w:szCs w:val="20"/>
          <w:lang w:val="en-GB"/>
        </w:rPr>
      </w:pPr>
      <w:r w:rsidRPr="005E1868">
        <w:rPr>
          <w:rFonts w:ascii="Arial" w:hAnsi="Arial" w:cs="Arial"/>
          <w:i/>
          <w:sz w:val="20"/>
          <w:szCs w:val="20"/>
          <w:lang w:val="en-GB"/>
        </w:rPr>
        <w:t xml:space="preserve">Micro-level output indicators comparing EGR data to official EU statistics on foreign affiliates </w:t>
      </w:r>
    </w:p>
    <w:p w:rsidR="005E1868" w:rsidRPr="005E1868" w:rsidRDefault="005E1868" w:rsidP="005E1868">
      <w:pPr>
        <w:pStyle w:val="ListParagraph"/>
        <w:numPr>
          <w:ilvl w:val="0"/>
          <w:numId w:val="1"/>
        </w:numPr>
        <w:spacing w:after="0" w:line="240" w:lineRule="auto"/>
        <w:jc w:val="both"/>
        <w:rPr>
          <w:rFonts w:ascii="Arial" w:hAnsi="Arial" w:cs="Arial"/>
          <w:i/>
          <w:sz w:val="20"/>
          <w:szCs w:val="20"/>
          <w:lang w:val="en-GB"/>
        </w:rPr>
      </w:pPr>
      <w:r w:rsidRPr="005E1868">
        <w:rPr>
          <w:rFonts w:ascii="Arial" w:hAnsi="Arial" w:cs="Arial"/>
          <w:i/>
          <w:sz w:val="20"/>
          <w:szCs w:val="20"/>
          <w:lang w:val="en-GB"/>
        </w:rPr>
        <w:t>Development of a composite indicator to report on the overall EGR quality</w:t>
      </w:r>
    </w:p>
    <w:p w:rsidR="00C726E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5E1868" w:rsidRPr="005E1868">
        <w:rPr>
          <w:rFonts w:ascii="Arial" w:hAnsi="Arial" w:cs="Arial"/>
          <w:sz w:val="20"/>
          <w:szCs w:val="20"/>
          <w:lang w:val="en-GB"/>
        </w:rPr>
        <w:t>business register, EuroGroups register, process quality indicators</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862EFB" w:rsidRPr="00862EFB">
        <w:rPr>
          <w:rFonts w:ascii="Arial" w:hAnsi="Arial" w:cs="Arial"/>
          <w:b/>
          <w:sz w:val="24"/>
          <w:szCs w:val="24"/>
          <w:lang w:val="en-GB"/>
        </w:rPr>
        <w:t>The EuroGroups Register</w:t>
      </w:r>
    </w:p>
    <w:p w:rsidR="00862EFB" w:rsidRPr="00862EFB" w:rsidRDefault="00862EFB" w:rsidP="00862EFB">
      <w:pPr>
        <w:spacing w:before="120" w:after="0" w:line="360" w:lineRule="auto"/>
        <w:jc w:val="both"/>
        <w:rPr>
          <w:rFonts w:ascii="Arial" w:hAnsi="Arial" w:cs="Arial"/>
          <w:sz w:val="24"/>
          <w:szCs w:val="24"/>
          <w:lang w:val="en-GB"/>
        </w:rPr>
      </w:pPr>
      <w:r w:rsidRPr="00862EFB">
        <w:rPr>
          <w:rFonts w:ascii="Arial" w:hAnsi="Arial" w:cs="Arial"/>
          <w:sz w:val="24"/>
          <w:szCs w:val="24"/>
          <w:lang w:val="en-GB"/>
        </w:rPr>
        <w:t>The EuroGroups Register (EGR) is a statistical register of Eurostat and national statistical authorities of the European Union (EU) and European Free Trade Association (EFTA) countries.</w:t>
      </w:r>
    </w:p>
    <w:p w:rsidR="00862EFB" w:rsidRDefault="00862EFB" w:rsidP="00862EFB">
      <w:pPr>
        <w:spacing w:before="120" w:after="0" w:line="360" w:lineRule="auto"/>
        <w:jc w:val="both"/>
        <w:rPr>
          <w:rFonts w:ascii="Arial" w:hAnsi="Arial" w:cs="Arial"/>
          <w:sz w:val="24"/>
          <w:szCs w:val="24"/>
          <w:lang w:val="en-GB"/>
        </w:rPr>
      </w:pPr>
      <w:r w:rsidRPr="00862EFB">
        <w:rPr>
          <w:rFonts w:ascii="Arial" w:hAnsi="Arial" w:cs="Arial"/>
          <w:sz w:val="24"/>
          <w:szCs w:val="24"/>
          <w:lang w:val="en-GB"/>
        </w:rPr>
        <w:t>The EGR covers the population and units of multinational enterprise groups present in the EU and EFTA countries. A multinational enterprise group is defined as an enterprise group comprising at least 2 enterprises or legal units located in different countries. If one legal unit of a</w:t>
      </w:r>
      <w:r w:rsidR="003C5F7D">
        <w:rPr>
          <w:rFonts w:ascii="Arial" w:hAnsi="Arial" w:cs="Arial"/>
          <w:sz w:val="24"/>
          <w:szCs w:val="24"/>
          <w:lang w:val="en-GB"/>
        </w:rPr>
        <w:t xml:space="preserve"> </w:t>
      </w:r>
      <w:r w:rsidR="003C5F7D" w:rsidRPr="00862EFB">
        <w:rPr>
          <w:rFonts w:ascii="Arial" w:hAnsi="Arial" w:cs="Arial"/>
          <w:sz w:val="24"/>
          <w:szCs w:val="24"/>
          <w:lang w:val="en-GB"/>
        </w:rPr>
        <w:t xml:space="preserve">multinational enterprise </w:t>
      </w:r>
      <w:r w:rsidRPr="00862EFB">
        <w:rPr>
          <w:rFonts w:ascii="Arial" w:hAnsi="Arial" w:cs="Arial"/>
          <w:sz w:val="24"/>
          <w:szCs w:val="24"/>
          <w:lang w:val="en-GB"/>
        </w:rPr>
        <w:t>group is in the EU or EFTA, the group is already in the scope of the EGR.</w:t>
      </w:r>
    </w:p>
    <w:p w:rsidR="00D0258C" w:rsidRPr="0028150C" w:rsidRDefault="00D0258C" w:rsidP="00CC1C1D">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862EFB">
        <w:rPr>
          <w:rFonts w:ascii="Arial" w:hAnsi="Arial" w:cs="Arial"/>
          <w:b/>
          <w:sz w:val="24"/>
          <w:szCs w:val="24"/>
          <w:lang w:val="en-GB"/>
        </w:rPr>
        <w:t>EGR production process</w:t>
      </w:r>
    </w:p>
    <w:p w:rsidR="00862EFB" w:rsidRDefault="00862EFB" w:rsidP="00862EFB">
      <w:pPr>
        <w:spacing w:before="120" w:after="0" w:line="360" w:lineRule="auto"/>
        <w:jc w:val="both"/>
        <w:rPr>
          <w:rFonts w:ascii="Arial" w:hAnsi="Arial" w:cs="Arial"/>
          <w:sz w:val="24"/>
          <w:szCs w:val="24"/>
          <w:lang w:val="en-GB"/>
        </w:rPr>
      </w:pPr>
      <w:r w:rsidRPr="00862EFB">
        <w:rPr>
          <w:rFonts w:ascii="Arial" w:hAnsi="Arial" w:cs="Arial"/>
          <w:sz w:val="24"/>
          <w:szCs w:val="24"/>
          <w:lang w:val="en-GB"/>
        </w:rPr>
        <w:t xml:space="preserve">The EGR produces annual data, reflecting the status of the registered enterprise groups as of 31st December of the reference year. The collection and validation of </w:t>
      </w:r>
      <w:r w:rsidRPr="00862EFB">
        <w:rPr>
          <w:rFonts w:ascii="Arial" w:hAnsi="Arial" w:cs="Arial"/>
          <w:sz w:val="24"/>
          <w:szCs w:val="24"/>
          <w:lang w:val="en-GB"/>
        </w:rPr>
        <w:lastRenderedPageBreak/>
        <w:t xml:space="preserve">the EGR data are complex and long processes. The EGR final data for </w:t>
      </w:r>
      <w:r>
        <w:rPr>
          <w:rFonts w:ascii="Arial" w:hAnsi="Arial" w:cs="Arial"/>
          <w:sz w:val="24"/>
          <w:szCs w:val="24"/>
          <w:lang w:val="en-GB"/>
        </w:rPr>
        <w:t xml:space="preserve">the </w:t>
      </w:r>
      <w:r w:rsidRPr="00862EFB">
        <w:rPr>
          <w:rFonts w:ascii="Arial" w:hAnsi="Arial" w:cs="Arial"/>
          <w:sz w:val="24"/>
          <w:szCs w:val="24"/>
          <w:lang w:val="en-GB"/>
        </w:rPr>
        <w:t>reference year</w:t>
      </w:r>
      <w:r>
        <w:rPr>
          <w:rFonts w:ascii="Arial" w:hAnsi="Arial" w:cs="Arial"/>
          <w:sz w:val="24"/>
          <w:szCs w:val="24"/>
          <w:lang w:val="en-GB"/>
        </w:rPr>
        <w:t>s</w:t>
      </w:r>
      <w:r w:rsidRPr="00862EFB">
        <w:rPr>
          <w:rFonts w:ascii="Arial" w:hAnsi="Arial" w:cs="Arial"/>
          <w:sz w:val="24"/>
          <w:szCs w:val="24"/>
          <w:lang w:val="en-GB"/>
        </w:rPr>
        <w:t xml:space="preserve"> are available for users 15 months after the end of </w:t>
      </w:r>
      <w:r>
        <w:rPr>
          <w:rFonts w:ascii="Arial" w:hAnsi="Arial" w:cs="Arial"/>
          <w:sz w:val="24"/>
          <w:szCs w:val="24"/>
          <w:lang w:val="en-GB"/>
        </w:rPr>
        <w:t xml:space="preserve">each </w:t>
      </w:r>
      <w:r w:rsidRPr="00862EFB">
        <w:rPr>
          <w:rFonts w:ascii="Arial" w:hAnsi="Arial" w:cs="Arial"/>
          <w:sz w:val="24"/>
          <w:szCs w:val="24"/>
          <w:lang w:val="en-GB"/>
        </w:rPr>
        <w:t>reference year</w:t>
      </w:r>
      <w:r>
        <w:rPr>
          <w:rFonts w:ascii="Arial" w:hAnsi="Arial" w:cs="Arial"/>
          <w:sz w:val="24"/>
          <w:szCs w:val="24"/>
          <w:lang w:val="en-GB"/>
        </w:rPr>
        <w:t>.</w:t>
      </w:r>
    </w:p>
    <w:p w:rsidR="00862EFB" w:rsidRPr="00862EFB" w:rsidRDefault="00862EFB" w:rsidP="00862EFB">
      <w:pPr>
        <w:spacing w:before="120" w:after="0" w:line="360" w:lineRule="auto"/>
        <w:jc w:val="both"/>
        <w:rPr>
          <w:rFonts w:ascii="Arial" w:hAnsi="Arial" w:cs="Arial"/>
          <w:sz w:val="24"/>
          <w:szCs w:val="24"/>
          <w:lang w:val="en-GB"/>
        </w:rPr>
      </w:pPr>
      <w:r w:rsidRPr="00862EFB">
        <w:rPr>
          <w:rFonts w:ascii="Arial" w:hAnsi="Arial" w:cs="Arial"/>
          <w:sz w:val="24"/>
          <w:szCs w:val="24"/>
          <w:lang w:val="en-GB"/>
        </w:rPr>
        <w:t>To create the EuroGroups Register, Eurostat collects input information on group members and on their relationships from the national statistical business registers of 28 EU and 4 EFTA countries, and from one commercial data source.</w:t>
      </w:r>
    </w:p>
    <w:p w:rsidR="00862EFB" w:rsidRDefault="00862EFB" w:rsidP="00862EFB">
      <w:pPr>
        <w:spacing w:before="120" w:after="0" w:line="360" w:lineRule="auto"/>
        <w:jc w:val="both"/>
        <w:rPr>
          <w:rFonts w:ascii="Arial" w:hAnsi="Arial" w:cs="Arial"/>
          <w:sz w:val="24"/>
          <w:szCs w:val="24"/>
          <w:lang w:val="en-GB"/>
        </w:rPr>
      </w:pPr>
      <w:r w:rsidRPr="00862EFB">
        <w:rPr>
          <w:rFonts w:ascii="Arial" w:hAnsi="Arial" w:cs="Arial"/>
          <w:sz w:val="24"/>
          <w:szCs w:val="24"/>
          <w:lang w:val="en-GB"/>
        </w:rPr>
        <w:t xml:space="preserve">The following </w:t>
      </w:r>
      <w:r w:rsidR="000A15BA">
        <w:rPr>
          <w:rFonts w:ascii="Arial" w:hAnsi="Arial" w:cs="Arial"/>
          <w:sz w:val="24"/>
          <w:szCs w:val="24"/>
          <w:lang w:val="en-GB"/>
        </w:rPr>
        <w:t>micro data</w:t>
      </w:r>
      <w:r w:rsidRPr="00862EFB">
        <w:rPr>
          <w:rFonts w:ascii="Arial" w:hAnsi="Arial" w:cs="Arial"/>
          <w:sz w:val="24"/>
          <w:szCs w:val="24"/>
          <w:lang w:val="en-GB"/>
        </w:rPr>
        <w:t xml:space="preserve"> </w:t>
      </w:r>
      <w:r w:rsidR="000A15BA">
        <w:rPr>
          <w:rFonts w:ascii="Arial" w:hAnsi="Arial" w:cs="Arial"/>
          <w:sz w:val="24"/>
          <w:szCs w:val="24"/>
          <w:lang w:val="en-GB"/>
        </w:rPr>
        <w:t>are</w:t>
      </w:r>
      <w:r w:rsidRPr="00862EFB">
        <w:rPr>
          <w:rFonts w:ascii="Arial" w:hAnsi="Arial" w:cs="Arial"/>
          <w:sz w:val="24"/>
          <w:szCs w:val="24"/>
          <w:lang w:val="en-GB"/>
        </w:rPr>
        <w:t xml:space="preserve"> collected from national statistical business registers on the constituent units of the </w:t>
      </w:r>
      <w:r w:rsidR="00EA7FD9" w:rsidRPr="00862EFB">
        <w:rPr>
          <w:rFonts w:ascii="Arial" w:hAnsi="Arial" w:cs="Arial"/>
          <w:sz w:val="24"/>
          <w:szCs w:val="24"/>
          <w:lang w:val="en-GB"/>
        </w:rPr>
        <w:t xml:space="preserve">multinational enterprise </w:t>
      </w:r>
      <w:r w:rsidRPr="00862EFB">
        <w:rPr>
          <w:rFonts w:ascii="Arial" w:hAnsi="Arial" w:cs="Arial"/>
          <w:sz w:val="24"/>
          <w:szCs w:val="24"/>
          <w:lang w:val="en-GB"/>
        </w:rPr>
        <w:t>groups:</w:t>
      </w:r>
    </w:p>
    <w:p w:rsidR="00862EFB" w:rsidRPr="00862EFB" w:rsidRDefault="00931474" w:rsidP="00862EFB">
      <w:pPr>
        <w:pStyle w:val="ListParagraph"/>
        <w:numPr>
          <w:ilvl w:val="0"/>
          <w:numId w:val="2"/>
        </w:numPr>
        <w:spacing w:before="120" w:after="0" w:line="360" w:lineRule="auto"/>
        <w:jc w:val="both"/>
        <w:rPr>
          <w:rFonts w:ascii="Arial" w:hAnsi="Arial" w:cs="Arial"/>
          <w:sz w:val="24"/>
          <w:szCs w:val="24"/>
          <w:lang w:val="en-GB"/>
        </w:rPr>
      </w:pPr>
      <w:r>
        <w:rPr>
          <w:rFonts w:ascii="Arial" w:hAnsi="Arial" w:cs="Arial"/>
          <w:sz w:val="24"/>
          <w:szCs w:val="24"/>
          <w:lang w:val="en-GB"/>
        </w:rPr>
        <w:t>L</w:t>
      </w:r>
      <w:r w:rsidR="00862EFB" w:rsidRPr="00862EFB">
        <w:rPr>
          <w:rFonts w:ascii="Arial" w:hAnsi="Arial" w:cs="Arial"/>
          <w:sz w:val="24"/>
          <w:szCs w:val="24"/>
          <w:lang w:val="en-GB"/>
        </w:rPr>
        <w:t>egal units (companies): identification number, name, address details, date of birth</w:t>
      </w:r>
      <w:r w:rsidR="00862EFB">
        <w:rPr>
          <w:rFonts w:ascii="Arial" w:hAnsi="Arial" w:cs="Arial"/>
          <w:sz w:val="24"/>
          <w:szCs w:val="24"/>
          <w:lang w:val="en-GB"/>
        </w:rPr>
        <w:t>;</w:t>
      </w:r>
    </w:p>
    <w:p w:rsidR="00862EFB" w:rsidRPr="00862EFB" w:rsidRDefault="00931474" w:rsidP="00862EFB">
      <w:pPr>
        <w:pStyle w:val="ListParagraph"/>
        <w:numPr>
          <w:ilvl w:val="0"/>
          <w:numId w:val="2"/>
        </w:numPr>
        <w:spacing w:before="120" w:after="0" w:line="360" w:lineRule="auto"/>
        <w:jc w:val="both"/>
        <w:rPr>
          <w:rFonts w:ascii="Arial" w:hAnsi="Arial" w:cs="Arial"/>
          <w:sz w:val="24"/>
          <w:szCs w:val="24"/>
          <w:lang w:val="en-GB"/>
        </w:rPr>
      </w:pPr>
      <w:r>
        <w:rPr>
          <w:rFonts w:ascii="Arial" w:hAnsi="Arial" w:cs="Arial"/>
          <w:sz w:val="24"/>
          <w:szCs w:val="24"/>
          <w:lang w:val="en-GB"/>
        </w:rPr>
        <w:t>R</w:t>
      </w:r>
      <w:r w:rsidR="00862EFB" w:rsidRPr="00862EFB">
        <w:rPr>
          <w:rFonts w:ascii="Arial" w:hAnsi="Arial" w:cs="Arial"/>
          <w:sz w:val="24"/>
          <w:szCs w:val="24"/>
          <w:lang w:val="en-GB"/>
        </w:rPr>
        <w:t>elationships between legal units: domestic and cross-border relationships of the resident legal units, including the identification number of the subsidiary</w:t>
      </w:r>
      <w:r w:rsidR="003C5F7D">
        <w:rPr>
          <w:rFonts w:ascii="Arial" w:hAnsi="Arial" w:cs="Arial"/>
          <w:sz w:val="24"/>
          <w:szCs w:val="24"/>
          <w:lang w:val="en-GB"/>
        </w:rPr>
        <w:t xml:space="preserve"> and the parent</w:t>
      </w:r>
      <w:r w:rsidR="00862EFB" w:rsidRPr="00862EFB">
        <w:rPr>
          <w:rFonts w:ascii="Arial" w:hAnsi="Arial" w:cs="Arial"/>
          <w:sz w:val="24"/>
          <w:szCs w:val="24"/>
          <w:lang w:val="en-GB"/>
        </w:rPr>
        <w:t>, type of the relationship (control or minority), percentage of the ownership and control</w:t>
      </w:r>
      <w:r w:rsidR="00862EFB">
        <w:rPr>
          <w:rFonts w:ascii="Arial" w:hAnsi="Arial" w:cs="Arial"/>
          <w:sz w:val="24"/>
          <w:szCs w:val="24"/>
          <w:lang w:val="en-GB"/>
        </w:rPr>
        <w:t>;</w:t>
      </w:r>
    </w:p>
    <w:p w:rsidR="00862EFB" w:rsidRPr="00862EFB" w:rsidRDefault="00931474" w:rsidP="00862EFB">
      <w:pPr>
        <w:pStyle w:val="ListParagraph"/>
        <w:numPr>
          <w:ilvl w:val="0"/>
          <w:numId w:val="2"/>
        </w:numPr>
        <w:spacing w:before="120" w:after="0" w:line="360" w:lineRule="auto"/>
        <w:jc w:val="both"/>
        <w:rPr>
          <w:rFonts w:ascii="Arial" w:hAnsi="Arial" w:cs="Arial"/>
          <w:sz w:val="24"/>
          <w:szCs w:val="24"/>
          <w:lang w:val="en-GB"/>
        </w:rPr>
      </w:pPr>
      <w:r>
        <w:rPr>
          <w:rFonts w:ascii="Arial" w:hAnsi="Arial" w:cs="Arial"/>
          <w:sz w:val="24"/>
          <w:szCs w:val="24"/>
          <w:lang w:val="en-GB"/>
        </w:rPr>
        <w:t>E</w:t>
      </w:r>
      <w:r w:rsidR="00862EFB" w:rsidRPr="00862EFB">
        <w:rPr>
          <w:rFonts w:ascii="Arial" w:hAnsi="Arial" w:cs="Arial"/>
          <w:sz w:val="24"/>
          <w:szCs w:val="24"/>
          <w:lang w:val="en-GB"/>
        </w:rPr>
        <w:t xml:space="preserve">nterprises </w:t>
      </w:r>
      <w:r w:rsidR="00EA7FD9" w:rsidRPr="00862EFB">
        <w:rPr>
          <w:rFonts w:ascii="Arial" w:hAnsi="Arial" w:cs="Arial"/>
          <w:sz w:val="24"/>
          <w:szCs w:val="24"/>
          <w:lang w:val="en-GB"/>
        </w:rPr>
        <w:t xml:space="preserve">of the delivered resident legal units </w:t>
      </w:r>
      <w:r w:rsidR="00862EFB" w:rsidRPr="00862EFB">
        <w:rPr>
          <w:rFonts w:ascii="Arial" w:hAnsi="Arial" w:cs="Arial"/>
          <w:sz w:val="24"/>
          <w:szCs w:val="24"/>
          <w:lang w:val="en-GB"/>
        </w:rPr>
        <w:t xml:space="preserve">(statistical representation of companies): identification number, name, address details, date of birth and economic characteristics as </w:t>
      </w:r>
      <w:r w:rsidR="003C5F7D">
        <w:rPr>
          <w:rFonts w:ascii="Arial" w:hAnsi="Arial" w:cs="Arial"/>
          <w:sz w:val="24"/>
          <w:szCs w:val="24"/>
          <w:lang w:val="en-GB"/>
        </w:rPr>
        <w:t xml:space="preserve">NACE </w:t>
      </w:r>
      <w:r w:rsidR="00862EFB" w:rsidRPr="00862EFB">
        <w:rPr>
          <w:rFonts w:ascii="Arial" w:hAnsi="Arial" w:cs="Arial"/>
          <w:sz w:val="24"/>
          <w:szCs w:val="24"/>
          <w:lang w:val="en-GB"/>
        </w:rPr>
        <w:t>main activity code, number of persons employed, turnover.</w:t>
      </w:r>
    </w:p>
    <w:p w:rsidR="00862EFB" w:rsidRPr="00862EFB" w:rsidRDefault="00862EFB" w:rsidP="00862EFB">
      <w:pPr>
        <w:spacing w:before="120" w:after="0" w:line="360" w:lineRule="auto"/>
        <w:jc w:val="both"/>
        <w:rPr>
          <w:rFonts w:ascii="Arial" w:hAnsi="Arial" w:cs="Arial"/>
          <w:sz w:val="24"/>
          <w:szCs w:val="24"/>
          <w:lang w:val="en-GB"/>
        </w:rPr>
      </w:pPr>
      <w:r w:rsidRPr="00862EFB">
        <w:rPr>
          <w:rFonts w:ascii="Arial" w:hAnsi="Arial" w:cs="Arial"/>
          <w:sz w:val="24"/>
          <w:szCs w:val="24"/>
          <w:lang w:val="en-GB"/>
        </w:rPr>
        <w:t xml:space="preserve">The EGR </w:t>
      </w:r>
      <w:r w:rsidR="003C5F7D">
        <w:rPr>
          <w:rFonts w:ascii="Arial" w:hAnsi="Arial" w:cs="Arial"/>
          <w:sz w:val="24"/>
          <w:szCs w:val="24"/>
          <w:lang w:val="en-GB"/>
        </w:rPr>
        <w:t xml:space="preserve">also </w:t>
      </w:r>
      <w:r w:rsidRPr="00862EFB">
        <w:rPr>
          <w:rFonts w:ascii="Arial" w:hAnsi="Arial" w:cs="Arial"/>
          <w:sz w:val="24"/>
          <w:szCs w:val="24"/>
          <w:lang w:val="en-GB"/>
        </w:rPr>
        <w:t xml:space="preserve">acquires data from </w:t>
      </w:r>
      <w:r w:rsidR="003C5F7D">
        <w:rPr>
          <w:rFonts w:ascii="Arial" w:hAnsi="Arial" w:cs="Arial"/>
          <w:sz w:val="24"/>
          <w:szCs w:val="24"/>
          <w:lang w:val="en-GB"/>
        </w:rPr>
        <w:t>one</w:t>
      </w:r>
      <w:r w:rsidRPr="00862EFB">
        <w:rPr>
          <w:rFonts w:ascii="Arial" w:hAnsi="Arial" w:cs="Arial"/>
          <w:sz w:val="24"/>
          <w:szCs w:val="24"/>
          <w:lang w:val="en-GB"/>
        </w:rPr>
        <w:t xml:space="preserve"> commercial data provider. This acquisition ensures </w:t>
      </w:r>
      <w:r w:rsidR="003C5F7D">
        <w:rPr>
          <w:rFonts w:ascii="Arial" w:hAnsi="Arial" w:cs="Arial"/>
          <w:sz w:val="24"/>
          <w:szCs w:val="24"/>
          <w:lang w:val="en-GB"/>
        </w:rPr>
        <w:t xml:space="preserve">coverage for units outside the EU+EFTA and </w:t>
      </w:r>
      <w:r w:rsidRPr="00862EFB">
        <w:rPr>
          <w:rFonts w:ascii="Arial" w:hAnsi="Arial" w:cs="Arial"/>
          <w:sz w:val="24"/>
          <w:szCs w:val="24"/>
          <w:lang w:val="en-GB"/>
        </w:rPr>
        <w:t>consistency of the largest enterprise groups.</w:t>
      </w:r>
    </w:p>
    <w:p w:rsidR="00862EFB" w:rsidRPr="00862EFB" w:rsidRDefault="00862EFB" w:rsidP="00862EFB">
      <w:pPr>
        <w:spacing w:before="120" w:after="0" w:line="360" w:lineRule="auto"/>
        <w:jc w:val="both"/>
        <w:rPr>
          <w:rFonts w:ascii="Arial" w:hAnsi="Arial" w:cs="Arial"/>
          <w:sz w:val="24"/>
          <w:szCs w:val="24"/>
          <w:lang w:val="en-GB"/>
        </w:rPr>
      </w:pPr>
      <w:r w:rsidRPr="00862EFB">
        <w:rPr>
          <w:rFonts w:ascii="Arial" w:hAnsi="Arial" w:cs="Arial"/>
          <w:sz w:val="24"/>
          <w:szCs w:val="24"/>
          <w:lang w:val="en-GB"/>
        </w:rPr>
        <w:t xml:space="preserve">After validation of input data from the </w:t>
      </w:r>
      <w:r w:rsidR="003C5F7D">
        <w:rPr>
          <w:rFonts w:ascii="Arial" w:hAnsi="Arial" w:cs="Arial"/>
          <w:sz w:val="24"/>
          <w:szCs w:val="24"/>
          <w:lang w:val="en-GB"/>
        </w:rPr>
        <w:t>different</w:t>
      </w:r>
      <w:r w:rsidRPr="00862EFB">
        <w:rPr>
          <w:rFonts w:ascii="Arial" w:hAnsi="Arial" w:cs="Arial"/>
          <w:sz w:val="24"/>
          <w:szCs w:val="24"/>
          <w:lang w:val="en-GB"/>
        </w:rPr>
        <w:t xml:space="preserve"> sources the EGR calculates the consolidated picture on the legal units, on their relationships and enterprises.</w:t>
      </w:r>
    </w:p>
    <w:p w:rsidR="00862EFB" w:rsidRPr="00862EFB" w:rsidRDefault="00862EFB" w:rsidP="00862EFB">
      <w:pPr>
        <w:spacing w:before="120" w:after="0" w:line="360" w:lineRule="auto"/>
        <w:jc w:val="both"/>
        <w:rPr>
          <w:rFonts w:ascii="Arial" w:hAnsi="Arial" w:cs="Arial"/>
          <w:sz w:val="24"/>
          <w:szCs w:val="24"/>
          <w:lang w:val="en-GB"/>
        </w:rPr>
      </w:pPr>
      <w:r w:rsidRPr="00862EFB">
        <w:rPr>
          <w:rFonts w:ascii="Arial" w:hAnsi="Arial" w:cs="Arial"/>
          <w:sz w:val="24"/>
          <w:szCs w:val="24"/>
          <w:lang w:val="en-GB"/>
        </w:rPr>
        <w:t xml:space="preserve">Complementary and conflicting information </w:t>
      </w:r>
      <w:r w:rsidR="003C5F7D">
        <w:rPr>
          <w:rFonts w:ascii="Arial" w:hAnsi="Arial" w:cs="Arial"/>
          <w:sz w:val="24"/>
          <w:szCs w:val="24"/>
          <w:lang w:val="en-GB"/>
        </w:rPr>
        <w:t>from</w:t>
      </w:r>
      <w:r w:rsidRPr="00862EFB">
        <w:rPr>
          <w:rFonts w:ascii="Arial" w:hAnsi="Arial" w:cs="Arial"/>
          <w:sz w:val="24"/>
          <w:szCs w:val="24"/>
          <w:lang w:val="en-GB"/>
        </w:rPr>
        <w:t xml:space="preserve"> the sources are treated in the EGR process with predefined priority settings and business rules. In the EGR production the highest priority data are the data from the country of the subsidiaries (bottom-up view), followed by the data from the country of the parent companies (top-down view), followed and complemented by data from commercial data provider.</w:t>
      </w:r>
    </w:p>
    <w:p w:rsidR="00862EFB" w:rsidRPr="00862EFB" w:rsidRDefault="00862EFB" w:rsidP="00862EFB">
      <w:pPr>
        <w:spacing w:before="120" w:after="0" w:line="360" w:lineRule="auto"/>
        <w:jc w:val="both"/>
        <w:rPr>
          <w:rFonts w:ascii="Arial" w:hAnsi="Arial" w:cs="Arial"/>
          <w:sz w:val="24"/>
          <w:szCs w:val="24"/>
          <w:lang w:val="en-GB"/>
        </w:rPr>
      </w:pPr>
      <w:r w:rsidRPr="00862EFB">
        <w:rPr>
          <w:rFonts w:ascii="Arial" w:hAnsi="Arial" w:cs="Arial"/>
          <w:sz w:val="24"/>
          <w:szCs w:val="24"/>
          <w:lang w:val="en-GB"/>
        </w:rPr>
        <w:t>Having final legal units and relationships for a reference year the EGR calculates the enterprise group structures. The enterprise groups are built on those legal units, which are linked together by control relationships, where the voting rights are above 50%.</w:t>
      </w:r>
    </w:p>
    <w:p w:rsidR="00862EFB" w:rsidRPr="00862EFB" w:rsidRDefault="00862EFB" w:rsidP="00862EFB">
      <w:pPr>
        <w:spacing w:before="120" w:after="0" w:line="360" w:lineRule="auto"/>
        <w:jc w:val="both"/>
        <w:rPr>
          <w:rFonts w:ascii="Arial" w:hAnsi="Arial" w:cs="Arial"/>
          <w:sz w:val="24"/>
          <w:szCs w:val="24"/>
          <w:lang w:val="en-GB"/>
        </w:rPr>
      </w:pPr>
      <w:r w:rsidRPr="00862EFB">
        <w:rPr>
          <w:rFonts w:ascii="Arial" w:hAnsi="Arial" w:cs="Arial"/>
          <w:sz w:val="24"/>
          <w:szCs w:val="24"/>
          <w:lang w:val="en-GB"/>
        </w:rPr>
        <w:lastRenderedPageBreak/>
        <w:t>The following enterprise group characteristics are calculated in the EGR process for each group: EGR identification number, group main activity code, group employment</w:t>
      </w:r>
      <w:r w:rsidR="000A15BA">
        <w:rPr>
          <w:rFonts w:ascii="Arial" w:hAnsi="Arial" w:cs="Arial"/>
          <w:sz w:val="24"/>
          <w:szCs w:val="24"/>
          <w:lang w:val="en-GB"/>
        </w:rPr>
        <w:t xml:space="preserve">, </w:t>
      </w:r>
      <w:r w:rsidRPr="00862EFB">
        <w:rPr>
          <w:rFonts w:ascii="Arial" w:hAnsi="Arial" w:cs="Arial"/>
          <w:sz w:val="24"/>
          <w:szCs w:val="24"/>
          <w:lang w:val="en-GB"/>
        </w:rPr>
        <w:t>group turnover</w:t>
      </w:r>
      <w:r w:rsidR="000A15BA">
        <w:rPr>
          <w:rFonts w:ascii="Arial" w:hAnsi="Arial" w:cs="Arial"/>
          <w:sz w:val="24"/>
          <w:szCs w:val="24"/>
          <w:lang w:val="en-GB"/>
        </w:rPr>
        <w:t xml:space="preserve"> and </w:t>
      </w:r>
      <w:r w:rsidR="000A15BA" w:rsidRPr="00862EFB">
        <w:rPr>
          <w:rFonts w:ascii="Arial" w:hAnsi="Arial" w:cs="Arial"/>
          <w:sz w:val="24"/>
          <w:szCs w:val="24"/>
          <w:lang w:val="en-GB"/>
        </w:rPr>
        <w:t>country of global decision centre (country of the group)</w:t>
      </w:r>
      <w:r w:rsidRPr="00862EFB">
        <w:rPr>
          <w:rFonts w:ascii="Arial" w:hAnsi="Arial" w:cs="Arial"/>
          <w:sz w:val="24"/>
          <w:szCs w:val="24"/>
          <w:lang w:val="en-GB"/>
        </w:rPr>
        <w:t>.</w:t>
      </w:r>
    </w:p>
    <w:p w:rsidR="00862EFB" w:rsidRDefault="00862EFB" w:rsidP="00862EFB">
      <w:pPr>
        <w:spacing w:before="120" w:after="0" w:line="360" w:lineRule="auto"/>
        <w:jc w:val="both"/>
        <w:rPr>
          <w:rFonts w:ascii="Arial" w:hAnsi="Arial" w:cs="Arial"/>
          <w:sz w:val="24"/>
          <w:szCs w:val="24"/>
          <w:lang w:val="en-GB"/>
        </w:rPr>
      </w:pPr>
      <w:r w:rsidRPr="00862EFB">
        <w:rPr>
          <w:rFonts w:ascii="Arial" w:hAnsi="Arial" w:cs="Arial"/>
          <w:sz w:val="24"/>
          <w:szCs w:val="24"/>
          <w:lang w:val="en-GB"/>
        </w:rPr>
        <w:t>Before publishing the final data on the groups, the calculated group structures and group characteristics are revised and validated by the participating countries and Eurostat.</w:t>
      </w:r>
    </w:p>
    <w:p w:rsidR="002B6901" w:rsidRDefault="002B6901" w:rsidP="002B6901">
      <w:pPr>
        <w:spacing w:before="120" w:after="0" w:line="360" w:lineRule="auto"/>
        <w:jc w:val="both"/>
        <w:rPr>
          <w:rFonts w:ascii="Arial" w:hAnsi="Arial" w:cs="Arial"/>
          <w:sz w:val="24"/>
          <w:szCs w:val="24"/>
          <w:lang w:val="en-GB"/>
        </w:rPr>
      </w:pPr>
      <w:r>
        <w:rPr>
          <w:rFonts w:ascii="Arial" w:hAnsi="Arial" w:cs="Arial"/>
          <w:sz w:val="24"/>
          <w:szCs w:val="24"/>
          <w:lang w:val="en-GB"/>
        </w:rPr>
        <w:t>The EGR process was redesigned to EGR 2.0 from 2012</w:t>
      </w:r>
      <w:r w:rsidR="003C5F7D">
        <w:rPr>
          <w:rFonts w:ascii="Arial" w:hAnsi="Arial" w:cs="Arial"/>
          <w:sz w:val="24"/>
          <w:szCs w:val="24"/>
          <w:lang w:val="en-GB"/>
        </w:rPr>
        <w:t xml:space="preserve">, the new process </w:t>
      </w:r>
      <w:r>
        <w:rPr>
          <w:rFonts w:ascii="Arial" w:hAnsi="Arial" w:cs="Arial"/>
          <w:sz w:val="24"/>
          <w:szCs w:val="24"/>
          <w:lang w:val="en-GB"/>
        </w:rPr>
        <w:t xml:space="preserve">was fully implemented in 2015. </w:t>
      </w:r>
      <w:r w:rsidRPr="00BB0E30">
        <w:rPr>
          <w:rFonts w:ascii="Arial" w:hAnsi="Arial" w:cs="Arial"/>
          <w:sz w:val="24"/>
          <w:szCs w:val="24"/>
          <w:lang w:val="en-GB"/>
        </w:rPr>
        <w:t>The switch to EGR 2.0 improved both the EGR process and the IT system.</w:t>
      </w:r>
      <w:r w:rsidR="00446445">
        <w:rPr>
          <w:rFonts w:ascii="Arial" w:hAnsi="Arial" w:cs="Arial"/>
          <w:sz w:val="24"/>
          <w:szCs w:val="24"/>
          <w:lang w:val="en-GB"/>
        </w:rPr>
        <w:t xml:space="preserve"> </w:t>
      </w:r>
      <w:r>
        <w:rPr>
          <w:rFonts w:ascii="Arial" w:hAnsi="Arial" w:cs="Arial"/>
          <w:sz w:val="24"/>
          <w:szCs w:val="24"/>
          <w:lang w:val="en-GB"/>
        </w:rPr>
        <w:t>Data for reference years 2014, 2015 and 2016 were produced completely with the EGR 2.0 system.</w:t>
      </w:r>
    </w:p>
    <w:p w:rsidR="000A15BA" w:rsidRDefault="000A15BA" w:rsidP="002B6901">
      <w:pPr>
        <w:spacing w:before="120" w:after="0" w:line="360" w:lineRule="auto"/>
        <w:jc w:val="both"/>
        <w:rPr>
          <w:rFonts w:ascii="Arial" w:hAnsi="Arial" w:cs="Arial"/>
          <w:sz w:val="24"/>
          <w:szCs w:val="24"/>
          <w:lang w:val="en-GB"/>
        </w:rPr>
      </w:pPr>
      <w:r w:rsidRPr="000A15BA">
        <w:rPr>
          <w:rFonts w:ascii="Arial" w:hAnsi="Arial" w:cs="Arial"/>
          <w:sz w:val="24"/>
          <w:szCs w:val="24"/>
          <w:lang w:val="en-GB"/>
        </w:rPr>
        <w:t xml:space="preserve">EGR 2.0 aims to cover all relevant multinational enterprise groups active in </w:t>
      </w:r>
      <w:r>
        <w:rPr>
          <w:rFonts w:ascii="Arial" w:hAnsi="Arial" w:cs="Arial"/>
          <w:sz w:val="24"/>
          <w:szCs w:val="24"/>
          <w:lang w:val="en-GB"/>
        </w:rPr>
        <w:t>the EU</w:t>
      </w:r>
      <w:r w:rsidRPr="000A15BA">
        <w:rPr>
          <w:rFonts w:ascii="Arial" w:hAnsi="Arial" w:cs="Arial"/>
          <w:sz w:val="24"/>
          <w:szCs w:val="24"/>
          <w:lang w:val="en-GB"/>
        </w:rPr>
        <w:t xml:space="preserve">. For </w:t>
      </w:r>
      <w:r>
        <w:rPr>
          <w:rFonts w:ascii="Arial" w:hAnsi="Arial" w:cs="Arial"/>
          <w:sz w:val="24"/>
          <w:szCs w:val="24"/>
          <w:lang w:val="en-GB"/>
        </w:rPr>
        <w:t xml:space="preserve">reference year </w:t>
      </w:r>
      <w:r w:rsidRPr="000A15BA">
        <w:rPr>
          <w:rFonts w:ascii="Arial" w:hAnsi="Arial" w:cs="Arial"/>
          <w:sz w:val="24"/>
          <w:szCs w:val="24"/>
          <w:lang w:val="en-GB"/>
        </w:rPr>
        <w:t>201</w:t>
      </w:r>
      <w:r>
        <w:rPr>
          <w:rFonts w:ascii="Arial" w:hAnsi="Arial" w:cs="Arial"/>
          <w:sz w:val="24"/>
          <w:szCs w:val="24"/>
          <w:lang w:val="en-GB"/>
        </w:rPr>
        <w:t>4</w:t>
      </w:r>
      <w:r w:rsidRPr="000A15BA">
        <w:rPr>
          <w:rFonts w:ascii="Arial" w:hAnsi="Arial" w:cs="Arial"/>
          <w:sz w:val="24"/>
          <w:szCs w:val="24"/>
          <w:lang w:val="en-GB"/>
        </w:rPr>
        <w:t xml:space="preserve"> EGR produced data of 61 000 multinational enterprise groups</w:t>
      </w:r>
      <w:r>
        <w:rPr>
          <w:rFonts w:ascii="Arial" w:hAnsi="Arial" w:cs="Arial"/>
          <w:sz w:val="24"/>
          <w:szCs w:val="24"/>
          <w:lang w:val="en-GB"/>
        </w:rPr>
        <w:t xml:space="preserve">, for 2015 data of </w:t>
      </w:r>
      <w:r w:rsidRPr="000A15BA">
        <w:rPr>
          <w:rFonts w:ascii="Arial" w:hAnsi="Arial" w:cs="Arial"/>
          <w:sz w:val="24"/>
          <w:szCs w:val="24"/>
          <w:lang w:val="en-GB"/>
        </w:rPr>
        <w:t>80 000 groups</w:t>
      </w:r>
      <w:r>
        <w:rPr>
          <w:rFonts w:ascii="Arial" w:hAnsi="Arial" w:cs="Arial"/>
          <w:sz w:val="24"/>
          <w:szCs w:val="24"/>
          <w:lang w:val="en-GB"/>
        </w:rPr>
        <w:t xml:space="preserve">. For the last available </w:t>
      </w:r>
      <w:r w:rsidRPr="000A15BA">
        <w:rPr>
          <w:rFonts w:ascii="Arial" w:hAnsi="Arial" w:cs="Arial"/>
          <w:sz w:val="24"/>
          <w:szCs w:val="24"/>
          <w:lang w:val="en-GB"/>
        </w:rPr>
        <w:t>reference year</w:t>
      </w:r>
      <w:r>
        <w:rPr>
          <w:rFonts w:ascii="Arial" w:hAnsi="Arial" w:cs="Arial"/>
          <w:sz w:val="24"/>
          <w:szCs w:val="24"/>
          <w:lang w:val="en-GB"/>
        </w:rPr>
        <w:t>, 2016</w:t>
      </w:r>
      <w:r w:rsidRPr="000A15BA">
        <w:rPr>
          <w:rFonts w:ascii="Arial" w:hAnsi="Arial" w:cs="Arial"/>
          <w:sz w:val="24"/>
          <w:szCs w:val="24"/>
          <w:lang w:val="en-GB"/>
        </w:rPr>
        <w:t xml:space="preserve"> EGR produced data on </w:t>
      </w:r>
      <w:r>
        <w:rPr>
          <w:rFonts w:ascii="Arial" w:hAnsi="Arial" w:cs="Arial"/>
          <w:sz w:val="24"/>
          <w:szCs w:val="24"/>
          <w:lang w:val="en-GB"/>
        </w:rPr>
        <w:t>111 000</w:t>
      </w:r>
      <w:r w:rsidRPr="000A15BA">
        <w:rPr>
          <w:rFonts w:ascii="Arial" w:hAnsi="Arial" w:cs="Arial"/>
          <w:sz w:val="24"/>
          <w:szCs w:val="24"/>
          <w:lang w:val="en-GB"/>
        </w:rPr>
        <w:t xml:space="preserve"> groups covering </w:t>
      </w:r>
      <w:r>
        <w:rPr>
          <w:rFonts w:ascii="Arial" w:hAnsi="Arial" w:cs="Arial"/>
          <w:sz w:val="24"/>
          <w:szCs w:val="24"/>
          <w:lang w:val="en-GB"/>
        </w:rPr>
        <w:t>779</w:t>
      </w:r>
      <w:r w:rsidRPr="000A15BA">
        <w:rPr>
          <w:rFonts w:ascii="Arial" w:hAnsi="Arial" w:cs="Arial"/>
          <w:sz w:val="24"/>
          <w:szCs w:val="24"/>
          <w:lang w:val="en-GB"/>
        </w:rPr>
        <w:t xml:space="preserve"> 000 enterprises</w:t>
      </w:r>
      <w:r>
        <w:rPr>
          <w:rFonts w:ascii="Arial" w:hAnsi="Arial" w:cs="Arial"/>
          <w:sz w:val="24"/>
          <w:szCs w:val="24"/>
          <w:lang w:val="en-GB"/>
        </w:rPr>
        <w:t>.</w:t>
      </w:r>
    </w:p>
    <w:p w:rsidR="00A366C1" w:rsidRPr="00EC5F5A" w:rsidRDefault="00A366C1" w:rsidP="00A366C1">
      <w:pPr>
        <w:spacing w:before="360" w:after="0" w:line="360" w:lineRule="auto"/>
        <w:jc w:val="both"/>
        <w:rPr>
          <w:rFonts w:ascii="Arial" w:hAnsi="Arial" w:cs="Arial"/>
          <w:b/>
          <w:sz w:val="24"/>
          <w:szCs w:val="24"/>
          <w:lang w:val="en-GB"/>
        </w:rPr>
      </w:pPr>
      <w:r>
        <w:rPr>
          <w:rFonts w:ascii="Arial" w:hAnsi="Arial" w:cs="Arial"/>
          <w:b/>
          <w:sz w:val="24"/>
          <w:szCs w:val="24"/>
          <w:lang w:val="en-GB"/>
        </w:rPr>
        <w:t>3</w:t>
      </w:r>
      <w:r w:rsidRPr="00EC5F5A">
        <w:rPr>
          <w:rFonts w:ascii="Arial" w:hAnsi="Arial" w:cs="Arial"/>
          <w:b/>
          <w:sz w:val="24"/>
          <w:szCs w:val="24"/>
          <w:lang w:val="en-GB"/>
        </w:rPr>
        <w:t xml:space="preserve">. </w:t>
      </w:r>
      <w:r>
        <w:rPr>
          <w:rFonts w:ascii="Arial" w:hAnsi="Arial" w:cs="Arial"/>
          <w:b/>
          <w:sz w:val="24"/>
          <w:szCs w:val="24"/>
          <w:lang w:val="en-GB"/>
        </w:rPr>
        <w:t>Quality indicators in the EGR process</w:t>
      </w:r>
    </w:p>
    <w:p w:rsidR="00465077" w:rsidRDefault="000A15BA" w:rsidP="00862EFB">
      <w:pPr>
        <w:spacing w:before="120" w:after="0" w:line="360" w:lineRule="auto"/>
        <w:jc w:val="both"/>
        <w:rPr>
          <w:rFonts w:ascii="Arial" w:hAnsi="Arial" w:cs="Arial"/>
          <w:sz w:val="24"/>
          <w:szCs w:val="24"/>
          <w:lang w:val="en-GB"/>
        </w:rPr>
      </w:pPr>
      <w:r>
        <w:rPr>
          <w:rFonts w:ascii="Arial" w:hAnsi="Arial" w:cs="Arial"/>
          <w:sz w:val="24"/>
          <w:szCs w:val="24"/>
          <w:lang w:val="en-GB"/>
        </w:rPr>
        <w:t xml:space="preserve">EGR 2.0 processes every year big volume of data from multiple sources. In order to </w:t>
      </w:r>
      <w:r w:rsidR="00EA7FD9">
        <w:rPr>
          <w:rFonts w:ascii="Arial" w:hAnsi="Arial" w:cs="Arial"/>
          <w:sz w:val="24"/>
          <w:szCs w:val="24"/>
          <w:lang w:val="en-GB"/>
        </w:rPr>
        <w:t xml:space="preserve">facilitate and </w:t>
      </w:r>
      <w:r>
        <w:rPr>
          <w:rFonts w:ascii="Arial" w:hAnsi="Arial" w:cs="Arial"/>
          <w:sz w:val="24"/>
          <w:szCs w:val="24"/>
          <w:lang w:val="en-GB"/>
        </w:rPr>
        <w:t xml:space="preserve">to </w:t>
      </w:r>
      <w:r w:rsidR="00EA7FD9">
        <w:rPr>
          <w:rFonts w:ascii="Arial" w:hAnsi="Arial" w:cs="Arial"/>
          <w:sz w:val="24"/>
          <w:szCs w:val="24"/>
          <w:lang w:val="en-GB"/>
        </w:rPr>
        <w:t>monitor the data processing</w:t>
      </w:r>
      <w:r>
        <w:rPr>
          <w:rFonts w:ascii="Arial" w:hAnsi="Arial" w:cs="Arial"/>
          <w:sz w:val="24"/>
          <w:szCs w:val="24"/>
          <w:lang w:val="en-GB"/>
        </w:rPr>
        <w:t>, t</w:t>
      </w:r>
      <w:r w:rsidRPr="00A366C1">
        <w:rPr>
          <w:rFonts w:ascii="Arial" w:hAnsi="Arial" w:cs="Arial"/>
          <w:sz w:val="24"/>
          <w:szCs w:val="24"/>
          <w:lang w:val="en-GB"/>
        </w:rPr>
        <w:t xml:space="preserve">hree types of </w:t>
      </w:r>
      <w:r>
        <w:rPr>
          <w:rFonts w:ascii="Arial" w:hAnsi="Arial" w:cs="Arial"/>
          <w:sz w:val="24"/>
          <w:szCs w:val="24"/>
          <w:lang w:val="en-GB"/>
        </w:rPr>
        <w:t>quality indicators were defined</w:t>
      </w:r>
      <w:r w:rsidR="001C1C4D">
        <w:rPr>
          <w:rFonts w:ascii="Arial" w:hAnsi="Arial" w:cs="Arial"/>
          <w:sz w:val="24"/>
          <w:szCs w:val="24"/>
          <w:lang w:val="en-GB"/>
        </w:rPr>
        <w:t xml:space="preserve"> for the EGR 2.0 system</w:t>
      </w:r>
      <w:r w:rsidR="002B6901">
        <w:rPr>
          <w:rFonts w:ascii="Arial" w:hAnsi="Arial" w:cs="Arial"/>
          <w:sz w:val="24"/>
          <w:szCs w:val="24"/>
          <w:lang w:val="en-GB"/>
        </w:rPr>
        <w:t>:</w:t>
      </w:r>
      <w:r w:rsidR="00A366C1" w:rsidRPr="00A366C1">
        <w:rPr>
          <w:rFonts w:ascii="Arial" w:hAnsi="Arial" w:cs="Arial"/>
          <w:sz w:val="24"/>
          <w:szCs w:val="24"/>
          <w:lang w:val="en-GB"/>
        </w:rPr>
        <w:t xml:space="preserve"> input indicators, throughput indicators (process indicators) and output indicators.</w:t>
      </w:r>
    </w:p>
    <w:p w:rsidR="00A366C1" w:rsidRDefault="00A366C1" w:rsidP="00862EFB">
      <w:pPr>
        <w:spacing w:before="120" w:after="0" w:line="360" w:lineRule="auto"/>
        <w:jc w:val="both"/>
        <w:rPr>
          <w:rFonts w:ascii="Arial" w:hAnsi="Arial" w:cs="Arial"/>
          <w:sz w:val="24"/>
          <w:szCs w:val="24"/>
          <w:lang w:val="en-GB"/>
        </w:rPr>
      </w:pPr>
      <w:r w:rsidRPr="00016B7E">
        <w:rPr>
          <w:rFonts w:ascii="Arial" w:hAnsi="Arial" w:cs="Arial"/>
          <w:sz w:val="24"/>
          <w:szCs w:val="24"/>
          <w:lang w:val="en-GB"/>
        </w:rPr>
        <w:t xml:space="preserve">The input </w:t>
      </w:r>
      <w:r>
        <w:rPr>
          <w:rFonts w:ascii="Arial" w:hAnsi="Arial" w:cs="Arial"/>
          <w:sz w:val="24"/>
          <w:szCs w:val="24"/>
          <w:lang w:val="en-GB"/>
        </w:rPr>
        <w:t xml:space="preserve">quality </w:t>
      </w:r>
      <w:r w:rsidRPr="00016B7E">
        <w:rPr>
          <w:rFonts w:ascii="Arial" w:hAnsi="Arial" w:cs="Arial"/>
          <w:sz w:val="24"/>
          <w:szCs w:val="24"/>
          <w:lang w:val="en-GB"/>
        </w:rPr>
        <w:t xml:space="preserve">indicators measure the completeness and consistency of the </w:t>
      </w:r>
      <w:r w:rsidR="009010DD">
        <w:rPr>
          <w:rFonts w:ascii="Arial" w:hAnsi="Arial" w:cs="Arial"/>
          <w:sz w:val="24"/>
          <w:szCs w:val="24"/>
          <w:lang w:val="en-GB"/>
        </w:rPr>
        <w:t xml:space="preserve">national </w:t>
      </w:r>
      <w:r w:rsidRPr="00016B7E">
        <w:rPr>
          <w:rFonts w:ascii="Arial" w:hAnsi="Arial" w:cs="Arial"/>
          <w:sz w:val="24"/>
          <w:szCs w:val="24"/>
          <w:lang w:val="en-GB"/>
        </w:rPr>
        <w:t>input files</w:t>
      </w:r>
      <w:r>
        <w:rPr>
          <w:rFonts w:ascii="Arial" w:hAnsi="Arial" w:cs="Arial"/>
          <w:sz w:val="24"/>
          <w:szCs w:val="24"/>
          <w:lang w:val="en-GB"/>
        </w:rPr>
        <w:t xml:space="preserve">, the </w:t>
      </w:r>
      <w:r w:rsidRPr="00A366C1">
        <w:rPr>
          <w:rFonts w:ascii="Arial" w:hAnsi="Arial" w:cs="Arial"/>
          <w:sz w:val="24"/>
          <w:szCs w:val="24"/>
          <w:lang w:val="en-GB"/>
        </w:rPr>
        <w:t>throughput indicators measure the changes of source dat</w:t>
      </w:r>
      <w:r>
        <w:rPr>
          <w:rFonts w:ascii="Arial" w:hAnsi="Arial" w:cs="Arial"/>
          <w:sz w:val="24"/>
          <w:szCs w:val="24"/>
          <w:lang w:val="en-GB"/>
        </w:rPr>
        <w:t xml:space="preserve">a during the EGR data processing, the </w:t>
      </w:r>
      <w:r w:rsidRPr="00A366C1">
        <w:rPr>
          <w:rFonts w:ascii="Arial" w:hAnsi="Arial" w:cs="Arial"/>
          <w:sz w:val="24"/>
          <w:szCs w:val="24"/>
          <w:lang w:val="en-GB"/>
        </w:rPr>
        <w:t>output quality indicators are calculated for measuring the completeness of the EGR output data</w:t>
      </w:r>
      <w:r>
        <w:rPr>
          <w:rFonts w:ascii="Arial" w:hAnsi="Arial" w:cs="Arial"/>
          <w:sz w:val="24"/>
          <w:szCs w:val="24"/>
          <w:lang w:val="en-GB"/>
        </w:rPr>
        <w:t xml:space="preserve"> which </w:t>
      </w:r>
      <w:r w:rsidRPr="00A366C1">
        <w:rPr>
          <w:rFonts w:ascii="Arial" w:hAnsi="Arial" w:cs="Arial"/>
          <w:sz w:val="24"/>
          <w:szCs w:val="24"/>
          <w:lang w:val="en-GB"/>
        </w:rPr>
        <w:t xml:space="preserve">are disseminated </w:t>
      </w:r>
      <w:r>
        <w:rPr>
          <w:rFonts w:ascii="Arial" w:hAnsi="Arial" w:cs="Arial"/>
          <w:sz w:val="24"/>
          <w:szCs w:val="24"/>
          <w:lang w:val="en-GB"/>
        </w:rPr>
        <w:t>for users.</w:t>
      </w:r>
    </w:p>
    <w:p w:rsidR="00862EFB" w:rsidRPr="00A366C1" w:rsidRDefault="00862EFB" w:rsidP="00862EFB">
      <w:pPr>
        <w:spacing w:before="360" w:after="0" w:line="360" w:lineRule="auto"/>
        <w:jc w:val="both"/>
        <w:rPr>
          <w:rFonts w:ascii="Arial" w:hAnsi="Arial" w:cs="Arial"/>
          <w:i/>
          <w:sz w:val="24"/>
          <w:szCs w:val="24"/>
          <w:lang w:val="en-GB"/>
        </w:rPr>
      </w:pPr>
      <w:r w:rsidRPr="00A366C1">
        <w:rPr>
          <w:rFonts w:ascii="Arial" w:hAnsi="Arial" w:cs="Arial"/>
          <w:i/>
          <w:sz w:val="24"/>
          <w:szCs w:val="24"/>
          <w:lang w:val="en-GB"/>
        </w:rPr>
        <w:t>3.</w:t>
      </w:r>
      <w:r w:rsidR="00A366C1">
        <w:rPr>
          <w:rFonts w:ascii="Arial" w:hAnsi="Arial" w:cs="Arial"/>
          <w:i/>
          <w:sz w:val="24"/>
          <w:szCs w:val="24"/>
          <w:lang w:val="en-GB"/>
        </w:rPr>
        <w:t>1.</w:t>
      </w:r>
      <w:r w:rsidRPr="00A366C1">
        <w:rPr>
          <w:rFonts w:ascii="Arial" w:hAnsi="Arial" w:cs="Arial"/>
          <w:i/>
          <w:sz w:val="24"/>
          <w:szCs w:val="24"/>
          <w:lang w:val="en-GB"/>
        </w:rPr>
        <w:t xml:space="preserve"> Input data and their </w:t>
      </w:r>
      <w:r w:rsidR="00A366C1" w:rsidRPr="00A366C1">
        <w:rPr>
          <w:rFonts w:ascii="Arial" w:hAnsi="Arial" w:cs="Arial"/>
          <w:i/>
          <w:sz w:val="24"/>
          <w:szCs w:val="24"/>
          <w:lang w:val="en-GB"/>
        </w:rPr>
        <w:t>indicators</w:t>
      </w:r>
    </w:p>
    <w:p w:rsidR="0089651A" w:rsidRDefault="00016B7E" w:rsidP="00016B7E">
      <w:pPr>
        <w:spacing w:before="120" w:after="0" w:line="360" w:lineRule="auto"/>
        <w:jc w:val="both"/>
        <w:rPr>
          <w:rFonts w:ascii="Arial" w:hAnsi="Arial" w:cs="Arial"/>
          <w:sz w:val="24"/>
          <w:szCs w:val="24"/>
          <w:lang w:val="en-GB"/>
        </w:rPr>
      </w:pPr>
      <w:r w:rsidRPr="00016B7E">
        <w:rPr>
          <w:rFonts w:ascii="Arial" w:hAnsi="Arial" w:cs="Arial"/>
          <w:sz w:val="24"/>
          <w:szCs w:val="24"/>
          <w:lang w:val="en-GB"/>
        </w:rPr>
        <w:t xml:space="preserve">The EGR input quality indicators measure the completeness and consistency of the </w:t>
      </w:r>
      <w:r w:rsidR="009010DD">
        <w:rPr>
          <w:rFonts w:ascii="Arial" w:hAnsi="Arial" w:cs="Arial"/>
          <w:sz w:val="24"/>
          <w:szCs w:val="24"/>
          <w:lang w:val="en-GB"/>
        </w:rPr>
        <w:t>national</w:t>
      </w:r>
      <w:r w:rsidRPr="00016B7E">
        <w:rPr>
          <w:rFonts w:ascii="Arial" w:hAnsi="Arial" w:cs="Arial"/>
          <w:sz w:val="24"/>
          <w:szCs w:val="24"/>
          <w:lang w:val="en-GB"/>
        </w:rPr>
        <w:t xml:space="preserve"> input files (legal units, relationships, enterprises, enterprise groups). All input indicators are calculated by </w:t>
      </w:r>
      <w:r w:rsidR="00E26476">
        <w:rPr>
          <w:rFonts w:ascii="Arial" w:hAnsi="Arial" w:cs="Arial"/>
          <w:sz w:val="24"/>
          <w:szCs w:val="24"/>
          <w:lang w:val="en-GB"/>
        </w:rPr>
        <w:t>the EGR system</w:t>
      </w:r>
      <w:r w:rsidRPr="00016B7E">
        <w:rPr>
          <w:rFonts w:ascii="Arial" w:hAnsi="Arial" w:cs="Arial"/>
          <w:sz w:val="24"/>
          <w:szCs w:val="24"/>
          <w:lang w:val="en-GB"/>
        </w:rPr>
        <w:t xml:space="preserve"> based on the </w:t>
      </w:r>
      <w:r>
        <w:rPr>
          <w:rFonts w:ascii="Arial" w:hAnsi="Arial" w:cs="Arial"/>
          <w:sz w:val="24"/>
          <w:szCs w:val="24"/>
          <w:lang w:val="en-GB"/>
        </w:rPr>
        <w:t xml:space="preserve">national </w:t>
      </w:r>
      <w:r w:rsidRPr="00016B7E">
        <w:rPr>
          <w:rFonts w:ascii="Arial" w:hAnsi="Arial" w:cs="Arial"/>
          <w:sz w:val="24"/>
          <w:szCs w:val="24"/>
          <w:lang w:val="en-GB"/>
        </w:rPr>
        <w:t>input files data.</w:t>
      </w:r>
      <w:r w:rsidR="0089651A">
        <w:rPr>
          <w:rFonts w:ascii="Arial" w:hAnsi="Arial" w:cs="Arial"/>
          <w:sz w:val="24"/>
          <w:szCs w:val="24"/>
          <w:lang w:val="en-GB"/>
        </w:rPr>
        <w:t xml:space="preserve"> </w:t>
      </w:r>
    </w:p>
    <w:p w:rsidR="000A15BA" w:rsidRDefault="000A15BA" w:rsidP="00016B7E">
      <w:pPr>
        <w:spacing w:before="120" w:after="0" w:line="360" w:lineRule="auto"/>
        <w:jc w:val="both"/>
        <w:rPr>
          <w:rFonts w:ascii="Arial" w:hAnsi="Arial" w:cs="Arial"/>
          <w:sz w:val="24"/>
          <w:szCs w:val="24"/>
          <w:lang w:val="en-GB"/>
        </w:rPr>
      </w:pPr>
    </w:p>
    <w:p w:rsidR="000A15BA" w:rsidRDefault="000A15BA" w:rsidP="00016B7E">
      <w:pPr>
        <w:spacing w:before="120" w:after="0" w:line="360" w:lineRule="auto"/>
        <w:jc w:val="both"/>
        <w:rPr>
          <w:rFonts w:ascii="Arial" w:hAnsi="Arial" w:cs="Arial"/>
          <w:sz w:val="24"/>
          <w:szCs w:val="24"/>
          <w:lang w:val="en-GB"/>
        </w:rPr>
      </w:pPr>
    </w:p>
    <w:p w:rsidR="00016B7E" w:rsidRPr="00016B7E" w:rsidRDefault="00E26476" w:rsidP="00016B7E">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I</w:t>
      </w:r>
      <w:r w:rsidR="0089651A">
        <w:rPr>
          <w:rFonts w:ascii="Arial" w:hAnsi="Arial" w:cs="Arial"/>
          <w:sz w:val="24"/>
          <w:szCs w:val="24"/>
          <w:lang w:val="en-GB"/>
        </w:rPr>
        <w:t>nput indicators calculated</w:t>
      </w:r>
      <w:r>
        <w:rPr>
          <w:rFonts w:ascii="Arial" w:hAnsi="Arial" w:cs="Arial"/>
          <w:sz w:val="24"/>
          <w:szCs w:val="24"/>
          <w:lang w:val="en-GB"/>
        </w:rPr>
        <w:t xml:space="preserve"> in </w:t>
      </w:r>
      <w:r w:rsidR="000A15BA">
        <w:rPr>
          <w:rFonts w:ascii="Arial" w:hAnsi="Arial" w:cs="Arial"/>
          <w:sz w:val="24"/>
          <w:szCs w:val="24"/>
          <w:lang w:val="en-GB"/>
        </w:rPr>
        <w:t xml:space="preserve">the </w:t>
      </w:r>
      <w:r>
        <w:rPr>
          <w:rFonts w:ascii="Arial" w:hAnsi="Arial" w:cs="Arial"/>
          <w:sz w:val="24"/>
          <w:szCs w:val="24"/>
          <w:lang w:val="en-GB"/>
        </w:rPr>
        <w:t>EGR</w:t>
      </w:r>
      <w:r w:rsidR="0089651A">
        <w:rPr>
          <w:rFonts w:ascii="Arial" w:hAnsi="Arial" w:cs="Arial"/>
          <w:sz w:val="24"/>
          <w:szCs w:val="24"/>
          <w:lang w:val="en-GB"/>
        </w:rPr>
        <w:t>:</w:t>
      </w:r>
    </w:p>
    <w:p w:rsidR="00016B7E" w:rsidRDefault="00016B7E" w:rsidP="00016B7E">
      <w:pPr>
        <w:pStyle w:val="ListParagraph"/>
        <w:numPr>
          <w:ilvl w:val="0"/>
          <w:numId w:val="3"/>
        </w:numPr>
        <w:spacing w:before="120" w:after="0" w:line="360" w:lineRule="auto"/>
        <w:jc w:val="both"/>
        <w:rPr>
          <w:rFonts w:ascii="Arial" w:hAnsi="Arial" w:cs="Arial"/>
          <w:sz w:val="24"/>
          <w:szCs w:val="24"/>
          <w:lang w:val="en-GB"/>
        </w:rPr>
      </w:pPr>
      <w:r w:rsidRPr="00016B7E">
        <w:rPr>
          <w:rFonts w:ascii="Arial" w:hAnsi="Arial" w:cs="Arial"/>
          <w:sz w:val="24"/>
          <w:szCs w:val="24"/>
          <w:lang w:val="en-GB"/>
        </w:rPr>
        <w:t xml:space="preserve">Number of distinct </w:t>
      </w:r>
      <w:r>
        <w:rPr>
          <w:rFonts w:ascii="Arial" w:hAnsi="Arial" w:cs="Arial"/>
          <w:sz w:val="24"/>
          <w:szCs w:val="24"/>
          <w:lang w:val="en-GB"/>
        </w:rPr>
        <w:t xml:space="preserve">legal units </w:t>
      </w:r>
      <w:r w:rsidR="00E26476">
        <w:rPr>
          <w:rFonts w:ascii="Arial" w:hAnsi="Arial" w:cs="Arial"/>
          <w:sz w:val="24"/>
          <w:szCs w:val="24"/>
          <w:lang w:val="en-GB"/>
        </w:rPr>
        <w:t>received for the</w:t>
      </w:r>
      <w:r w:rsidRPr="00016B7E">
        <w:rPr>
          <w:rFonts w:ascii="Arial" w:hAnsi="Arial" w:cs="Arial"/>
          <w:sz w:val="24"/>
          <w:szCs w:val="24"/>
          <w:lang w:val="en-GB"/>
        </w:rPr>
        <w:t xml:space="preserve"> reference year</w:t>
      </w:r>
      <w:r w:rsidR="00E26476">
        <w:rPr>
          <w:rFonts w:ascii="Arial" w:hAnsi="Arial" w:cs="Arial"/>
          <w:sz w:val="24"/>
          <w:szCs w:val="24"/>
          <w:lang w:val="en-GB"/>
        </w:rPr>
        <w:t xml:space="preserve">, </w:t>
      </w:r>
      <w:r>
        <w:rPr>
          <w:rFonts w:ascii="Arial" w:hAnsi="Arial" w:cs="Arial"/>
          <w:sz w:val="24"/>
          <w:szCs w:val="24"/>
          <w:lang w:val="en-GB"/>
        </w:rPr>
        <w:t xml:space="preserve">for the previous </w:t>
      </w:r>
      <w:r w:rsidRPr="00016B7E">
        <w:rPr>
          <w:rFonts w:ascii="Arial" w:hAnsi="Arial" w:cs="Arial"/>
          <w:sz w:val="24"/>
          <w:szCs w:val="24"/>
          <w:lang w:val="en-GB"/>
        </w:rPr>
        <w:t>year</w:t>
      </w:r>
      <w:r>
        <w:rPr>
          <w:rFonts w:ascii="Arial" w:hAnsi="Arial" w:cs="Arial"/>
          <w:sz w:val="24"/>
          <w:szCs w:val="24"/>
          <w:lang w:val="en-GB"/>
        </w:rPr>
        <w:t xml:space="preserve"> and their ratio</w:t>
      </w:r>
      <w:r w:rsidR="0089651A">
        <w:rPr>
          <w:rFonts w:ascii="Arial" w:hAnsi="Arial" w:cs="Arial"/>
          <w:sz w:val="24"/>
          <w:szCs w:val="24"/>
          <w:lang w:val="en-GB"/>
        </w:rPr>
        <w:t>.</w:t>
      </w:r>
    </w:p>
    <w:p w:rsidR="003C5F7D" w:rsidRDefault="00016B7E" w:rsidP="009723D4">
      <w:pPr>
        <w:pStyle w:val="ListParagraph"/>
        <w:numPr>
          <w:ilvl w:val="0"/>
          <w:numId w:val="3"/>
        </w:numPr>
        <w:spacing w:before="120" w:after="0" w:line="360" w:lineRule="auto"/>
        <w:jc w:val="both"/>
        <w:rPr>
          <w:rFonts w:ascii="Arial" w:hAnsi="Arial" w:cs="Arial"/>
          <w:sz w:val="24"/>
          <w:szCs w:val="24"/>
          <w:lang w:val="en-GB"/>
        </w:rPr>
      </w:pPr>
      <w:r w:rsidRPr="003C5F7D">
        <w:rPr>
          <w:rFonts w:ascii="Arial" w:hAnsi="Arial" w:cs="Arial"/>
          <w:sz w:val="24"/>
          <w:szCs w:val="24"/>
          <w:lang w:val="en-GB"/>
        </w:rPr>
        <w:t xml:space="preserve">How key indicators on foreign ownership or foreign control are filled in the </w:t>
      </w:r>
      <w:r w:rsidR="002B6901" w:rsidRPr="003C5F7D">
        <w:rPr>
          <w:rFonts w:ascii="Arial" w:hAnsi="Arial" w:cs="Arial"/>
          <w:sz w:val="24"/>
          <w:szCs w:val="24"/>
          <w:lang w:val="en-GB"/>
        </w:rPr>
        <w:t xml:space="preserve">national </w:t>
      </w:r>
      <w:r w:rsidRPr="003C5F7D">
        <w:rPr>
          <w:rFonts w:ascii="Arial" w:hAnsi="Arial" w:cs="Arial"/>
          <w:sz w:val="24"/>
          <w:szCs w:val="24"/>
          <w:lang w:val="en-GB"/>
        </w:rPr>
        <w:t>files on legal units</w:t>
      </w:r>
      <w:r w:rsidR="0089651A" w:rsidRPr="003C5F7D">
        <w:rPr>
          <w:rFonts w:ascii="Arial" w:hAnsi="Arial" w:cs="Arial"/>
          <w:sz w:val="24"/>
          <w:szCs w:val="24"/>
          <w:lang w:val="en-GB"/>
        </w:rPr>
        <w:t>.</w:t>
      </w:r>
    </w:p>
    <w:p w:rsidR="009723D4" w:rsidRPr="003C5F7D" w:rsidRDefault="009723D4" w:rsidP="009723D4">
      <w:pPr>
        <w:pStyle w:val="ListParagraph"/>
        <w:numPr>
          <w:ilvl w:val="0"/>
          <w:numId w:val="3"/>
        </w:numPr>
        <w:spacing w:before="120" w:after="0" w:line="360" w:lineRule="auto"/>
        <w:jc w:val="both"/>
        <w:rPr>
          <w:rFonts w:ascii="Arial" w:hAnsi="Arial" w:cs="Arial"/>
          <w:sz w:val="24"/>
          <w:szCs w:val="24"/>
          <w:lang w:val="en-GB"/>
        </w:rPr>
      </w:pPr>
      <w:r w:rsidRPr="003C5F7D">
        <w:rPr>
          <w:rFonts w:ascii="Arial" w:hAnsi="Arial" w:cs="Arial"/>
          <w:sz w:val="24"/>
          <w:szCs w:val="24"/>
          <w:lang w:val="en-GB"/>
        </w:rPr>
        <w:t xml:space="preserve">Number of distinct relationships </w:t>
      </w:r>
      <w:r w:rsidR="00E26476">
        <w:rPr>
          <w:rFonts w:ascii="Arial" w:hAnsi="Arial" w:cs="Arial"/>
          <w:sz w:val="24"/>
          <w:szCs w:val="24"/>
          <w:lang w:val="en-GB"/>
        </w:rPr>
        <w:t xml:space="preserve">received for the </w:t>
      </w:r>
      <w:r w:rsidRPr="003C5F7D">
        <w:rPr>
          <w:rFonts w:ascii="Arial" w:hAnsi="Arial" w:cs="Arial"/>
          <w:sz w:val="24"/>
          <w:szCs w:val="24"/>
          <w:lang w:val="en-GB"/>
        </w:rPr>
        <w:t>reference year</w:t>
      </w:r>
      <w:r w:rsidR="00E26476">
        <w:rPr>
          <w:rFonts w:ascii="Arial" w:hAnsi="Arial" w:cs="Arial"/>
          <w:sz w:val="24"/>
          <w:szCs w:val="24"/>
          <w:lang w:val="en-GB"/>
        </w:rPr>
        <w:t xml:space="preserve">, </w:t>
      </w:r>
      <w:r w:rsidRPr="003C5F7D">
        <w:rPr>
          <w:rFonts w:ascii="Arial" w:hAnsi="Arial" w:cs="Arial"/>
          <w:sz w:val="24"/>
          <w:szCs w:val="24"/>
          <w:lang w:val="en-GB"/>
        </w:rPr>
        <w:t>for the previous year and their ratio</w:t>
      </w:r>
      <w:r w:rsidR="00E26476">
        <w:rPr>
          <w:rFonts w:ascii="Arial" w:hAnsi="Arial" w:cs="Arial"/>
          <w:sz w:val="24"/>
          <w:szCs w:val="24"/>
          <w:lang w:val="en-GB"/>
        </w:rPr>
        <w:t xml:space="preserve"> (see Table 1 </w:t>
      </w:r>
      <w:r w:rsidR="00457858">
        <w:rPr>
          <w:rFonts w:ascii="Arial" w:hAnsi="Arial" w:cs="Arial"/>
          <w:sz w:val="24"/>
          <w:szCs w:val="24"/>
          <w:lang w:val="en-GB"/>
        </w:rPr>
        <w:t>as</w:t>
      </w:r>
      <w:r w:rsidR="00E26476">
        <w:rPr>
          <w:rFonts w:ascii="Arial" w:hAnsi="Arial" w:cs="Arial"/>
          <w:sz w:val="24"/>
          <w:szCs w:val="24"/>
          <w:lang w:val="en-GB"/>
        </w:rPr>
        <w:t xml:space="preserve"> example)</w:t>
      </w:r>
      <w:r w:rsidR="0089651A" w:rsidRPr="003C5F7D">
        <w:rPr>
          <w:rFonts w:ascii="Arial" w:hAnsi="Arial" w:cs="Arial"/>
          <w:sz w:val="24"/>
          <w:szCs w:val="24"/>
          <w:lang w:val="en-GB"/>
        </w:rPr>
        <w:t>.</w:t>
      </w:r>
    </w:p>
    <w:p w:rsidR="009723D4" w:rsidRDefault="009723D4" w:rsidP="009723D4">
      <w:pPr>
        <w:pStyle w:val="ListParagraph"/>
        <w:numPr>
          <w:ilvl w:val="0"/>
          <w:numId w:val="3"/>
        </w:numPr>
        <w:spacing w:before="120" w:after="0" w:line="360" w:lineRule="auto"/>
        <w:jc w:val="both"/>
        <w:rPr>
          <w:rFonts w:ascii="Arial" w:hAnsi="Arial" w:cs="Arial"/>
          <w:sz w:val="24"/>
          <w:szCs w:val="24"/>
          <w:lang w:val="en-GB"/>
        </w:rPr>
      </w:pPr>
      <w:r w:rsidRPr="00016B7E">
        <w:rPr>
          <w:rFonts w:ascii="Arial" w:hAnsi="Arial" w:cs="Arial"/>
          <w:sz w:val="24"/>
          <w:szCs w:val="24"/>
          <w:lang w:val="en-GB"/>
        </w:rPr>
        <w:t xml:space="preserve">Number of </w:t>
      </w:r>
      <w:r>
        <w:rPr>
          <w:rFonts w:ascii="Arial" w:hAnsi="Arial" w:cs="Arial"/>
          <w:sz w:val="24"/>
          <w:szCs w:val="24"/>
          <w:lang w:val="en-GB"/>
        </w:rPr>
        <w:t xml:space="preserve">enterprises </w:t>
      </w:r>
      <w:r w:rsidRPr="00016B7E">
        <w:rPr>
          <w:rFonts w:ascii="Arial" w:hAnsi="Arial" w:cs="Arial"/>
          <w:sz w:val="24"/>
          <w:szCs w:val="24"/>
          <w:lang w:val="en-GB"/>
        </w:rPr>
        <w:t xml:space="preserve">received for </w:t>
      </w:r>
      <w:r w:rsidR="00E26476">
        <w:rPr>
          <w:rFonts w:ascii="Arial" w:hAnsi="Arial" w:cs="Arial"/>
          <w:sz w:val="24"/>
          <w:szCs w:val="24"/>
          <w:lang w:val="en-GB"/>
        </w:rPr>
        <w:t>the</w:t>
      </w:r>
      <w:r w:rsidRPr="00016B7E">
        <w:rPr>
          <w:rFonts w:ascii="Arial" w:hAnsi="Arial" w:cs="Arial"/>
          <w:sz w:val="24"/>
          <w:szCs w:val="24"/>
          <w:lang w:val="en-GB"/>
        </w:rPr>
        <w:t xml:space="preserve"> reference year</w:t>
      </w:r>
      <w:r w:rsidR="00E26476">
        <w:rPr>
          <w:rFonts w:ascii="Arial" w:hAnsi="Arial" w:cs="Arial"/>
          <w:sz w:val="24"/>
          <w:szCs w:val="24"/>
          <w:lang w:val="en-GB"/>
        </w:rPr>
        <w:t xml:space="preserve">, </w:t>
      </w:r>
      <w:r>
        <w:rPr>
          <w:rFonts w:ascii="Arial" w:hAnsi="Arial" w:cs="Arial"/>
          <w:sz w:val="24"/>
          <w:szCs w:val="24"/>
          <w:lang w:val="en-GB"/>
        </w:rPr>
        <w:t xml:space="preserve">for the previous </w:t>
      </w:r>
      <w:r w:rsidRPr="00016B7E">
        <w:rPr>
          <w:rFonts w:ascii="Arial" w:hAnsi="Arial" w:cs="Arial"/>
          <w:sz w:val="24"/>
          <w:szCs w:val="24"/>
          <w:lang w:val="en-GB"/>
        </w:rPr>
        <w:t>year</w:t>
      </w:r>
      <w:r>
        <w:rPr>
          <w:rFonts w:ascii="Arial" w:hAnsi="Arial" w:cs="Arial"/>
          <w:sz w:val="24"/>
          <w:szCs w:val="24"/>
          <w:lang w:val="en-GB"/>
        </w:rPr>
        <w:t xml:space="preserve"> and their ratio</w:t>
      </w:r>
      <w:r w:rsidR="0089651A">
        <w:rPr>
          <w:rFonts w:ascii="Arial" w:hAnsi="Arial" w:cs="Arial"/>
          <w:sz w:val="24"/>
          <w:szCs w:val="24"/>
          <w:lang w:val="en-GB"/>
        </w:rPr>
        <w:t>.</w:t>
      </w:r>
    </w:p>
    <w:p w:rsidR="009723D4" w:rsidRDefault="009723D4" w:rsidP="009723D4">
      <w:pPr>
        <w:pStyle w:val="ListParagraph"/>
        <w:numPr>
          <w:ilvl w:val="0"/>
          <w:numId w:val="3"/>
        </w:numPr>
        <w:spacing w:before="120" w:after="0" w:line="360" w:lineRule="auto"/>
        <w:jc w:val="both"/>
        <w:rPr>
          <w:rFonts w:ascii="Arial" w:hAnsi="Arial" w:cs="Arial"/>
          <w:sz w:val="24"/>
          <w:szCs w:val="24"/>
          <w:lang w:val="en-GB"/>
        </w:rPr>
      </w:pPr>
      <w:r>
        <w:rPr>
          <w:rFonts w:ascii="Arial" w:hAnsi="Arial" w:cs="Arial"/>
          <w:sz w:val="24"/>
          <w:szCs w:val="24"/>
          <w:lang w:val="en-GB"/>
        </w:rPr>
        <w:t xml:space="preserve">How main variables (employment, turnover, main activity code) are filled in the </w:t>
      </w:r>
      <w:r w:rsidR="002B6901">
        <w:rPr>
          <w:rFonts w:ascii="Arial" w:hAnsi="Arial" w:cs="Arial"/>
          <w:sz w:val="24"/>
          <w:szCs w:val="24"/>
          <w:lang w:val="en-GB"/>
        </w:rPr>
        <w:t xml:space="preserve">national </w:t>
      </w:r>
      <w:r>
        <w:rPr>
          <w:rFonts w:ascii="Arial" w:hAnsi="Arial" w:cs="Arial"/>
          <w:sz w:val="24"/>
          <w:szCs w:val="24"/>
          <w:lang w:val="en-GB"/>
        </w:rPr>
        <w:t>files on enterprises</w:t>
      </w:r>
      <w:r w:rsidR="00E26476">
        <w:rPr>
          <w:rFonts w:ascii="Arial" w:hAnsi="Arial" w:cs="Arial"/>
          <w:sz w:val="24"/>
          <w:szCs w:val="24"/>
          <w:lang w:val="en-GB"/>
        </w:rPr>
        <w:t xml:space="preserve"> (see Table 2 </w:t>
      </w:r>
      <w:r w:rsidR="00457858">
        <w:rPr>
          <w:rFonts w:ascii="Arial" w:hAnsi="Arial" w:cs="Arial"/>
          <w:sz w:val="24"/>
          <w:szCs w:val="24"/>
          <w:lang w:val="en-GB"/>
        </w:rPr>
        <w:t>as</w:t>
      </w:r>
      <w:r w:rsidR="00E26476">
        <w:rPr>
          <w:rFonts w:ascii="Arial" w:hAnsi="Arial" w:cs="Arial"/>
          <w:sz w:val="24"/>
          <w:szCs w:val="24"/>
          <w:lang w:val="en-GB"/>
        </w:rPr>
        <w:t xml:space="preserve"> example)</w:t>
      </w:r>
      <w:r w:rsidR="00E26476" w:rsidRPr="003C5F7D">
        <w:rPr>
          <w:rFonts w:ascii="Arial" w:hAnsi="Arial" w:cs="Arial"/>
          <w:sz w:val="24"/>
          <w:szCs w:val="24"/>
          <w:lang w:val="en-GB"/>
        </w:rPr>
        <w:t>.</w:t>
      </w:r>
    </w:p>
    <w:p w:rsidR="00446445" w:rsidRDefault="00016B7E" w:rsidP="00446445">
      <w:pPr>
        <w:spacing w:before="120" w:after="0" w:line="360" w:lineRule="auto"/>
        <w:jc w:val="both"/>
        <w:rPr>
          <w:rFonts w:ascii="Arial" w:hAnsi="Arial" w:cs="Arial"/>
          <w:sz w:val="24"/>
          <w:szCs w:val="24"/>
          <w:lang w:val="en-GB"/>
        </w:rPr>
      </w:pPr>
      <w:r w:rsidRPr="00016B7E">
        <w:rPr>
          <w:rFonts w:ascii="Arial" w:hAnsi="Arial" w:cs="Arial"/>
          <w:sz w:val="24"/>
          <w:szCs w:val="24"/>
          <w:lang w:val="en-GB"/>
        </w:rPr>
        <w:t>Eurostat monitor</w:t>
      </w:r>
      <w:r w:rsidR="009723D4">
        <w:rPr>
          <w:rFonts w:ascii="Arial" w:hAnsi="Arial" w:cs="Arial"/>
          <w:sz w:val="24"/>
          <w:szCs w:val="24"/>
          <w:lang w:val="en-GB"/>
        </w:rPr>
        <w:t>s</w:t>
      </w:r>
      <w:r w:rsidRPr="00016B7E">
        <w:rPr>
          <w:rFonts w:ascii="Arial" w:hAnsi="Arial" w:cs="Arial"/>
          <w:sz w:val="24"/>
          <w:szCs w:val="24"/>
          <w:lang w:val="en-GB"/>
        </w:rPr>
        <w:t xml:space="preserve"> the input indicators during the process and contact</w:t>
      </w:r>
      <w:r w:rsidR="009723D4">
        <w:rPr>
          <w:rFonts w:ascii="Arial" w:hAnsi="Arial" w:cs="Arial"/>
          <w:sz w:val="24"/>
          <w:szCs w:val="24"/>
          <w:lang w:val="en-GB"/>
        </w:rPr>
        <w:t xml:space="preserve">s </w:t>
      </w:r>
      <w:r w:rsidRPr="00016B7E">
        <w:rPr>
          <w:rFonts w:ascii="Arial" w:hAnsi="Arial" w:cs="Arial"/>
          <w:sz w:val="24"/>
          <w:szCs w:val="24"/>
          <w:lang w:val="en-GB"/>
        </w:rPr>
        <w:t>the</w:t>
      </w:r>
      <w:r w:rsidR="002B6901">
        <w:rPr>
          <w:rFonts w:ascii="Arial" w:hAnsi="Arial" w:cs="Arial"/>
          <w:sz w:val="24"/>
          <w:szCs w:val="24"/>
          <w:lang w:val="en-GB"/>
        </w:rPr>
        <w:t xml:space="preserve"> contributing national statistical institutes</w:t>
      </w:r>
      <w:r w:rsidRPr="00016B7E">
        <w:rPr>
          <w:rFonts w:ascii="Arial" w:hAnsi="Arial" w:cs="Arial"/>
          <w:sz w:val="24"/>
          <w:szCs w:val="24"/>
          <w:lang w:val="en-GB"/>
        </w:rPr>
        <w:t xml:space="preserve"> </w:t>
      </w:r>
      <w:r w:rsidR="002B6901">
        <w:rPr>
          <w:rFonts w:ascii="Arial" w:hAnsi="Arial" w:cs="Arial"/>
          <w:sz w:val="24"/>
          <w:szCs w:val="24"/>
          <w:lang w:val="en-GB"/>
        </w:rPr>
        <w:t>(</w:t>
      </w:r>
      <w:r w:rsidRPr="00016B7E">
        <w:rPr>
          <w:rFonts w:ascii="Arial" w:hAnsi="Arial" w:cs="Arial"/>
          <w:sz w:val="24"/>
          <w:szCs w:val="24"/>
          <w:lang w:val="en-GB"/>
        </w:rPr>
        <w:t>NSIs</w:t>
      </w:r>
      <w:r w:rsidR="002B6901">
        <w:rPr>
          <w:rFonts w:ascii="Arial" w:hAnsi="Arial" w:cs="Arial"/>
          <w:sz w:val="24"/>
          <w:szCs w:val="24"/>
          <w:lang w:val="en-GB"/>
        </w:rPr>
        <w:t>)</w:t>
      </w:r>
      <w:r w:rsidRPr="00016B7E">
        <w:rPr>
          <w:rFonts w:ascii="Arial" w:hAnsi="Arial" w:cs="Arial"/>
          <w:sz w:val="24"/>
          <w:szCs w:val="24"/>
          <w:lang w:val="en-GB"/>
        </w:rPr>
        <w:t xml:space="preserve"> where </w:t>
      </w:r>
      <w:r w:rsidR="009723D4">
        <w:rPr>
          <w:rFonts w:ascii="Arial" w:hAnsi="Arial" w:cs="Arial"/>
          <w:sz w:val="24"/>
          <w:szCs w:val="24"/>
          <w:lang w:val="en-GB"/>
        </w:rPr>
        <w:t xml:space="preserve">issues </w:t>
      </w:r>
      <w:r w:rsidRPr="00016B7E">
        <w:rPr>
          <w:rFonts w:ascii="Arial" w:hAnsi="Arial" w:cs="Arial"/>
          <w:sz w:val="24"/>
          <w:szCs w:val="24"/>
          <w:lang w:val="en-GB"/>
        </w:rPr>
        <w:t>are detected</w:t>
      </w:r>
      <w:r w:rsidR="009723D4">
        <w:rPr>
          <w:rFonts w:ascii="Arial" w:hAnsi="Arial" w:cs="Arial"/>
          <w:sz w:val="24"/>
          <w:szCs w:val="24"/>
          <w:lang w:val="en-GB"/>
        </w:rPr>
        <w:t>, for example the number of received records significantly decreases between two years or where the key variables of the input files (e.g</w:t>
      </w:r>
      <w:r w:rsidR="00981CDA">
        <w:rPr>
          <w:rFonts w:ascii="Arial" w:hAnsi="Arial" w:cs="Arial"/>
          <w:sz w:val="24"/>
          <w:szCs w:val="24"/>
          <w:lang w:val="en-GB"/>
        </w:rPr>
        <w:t>.</w:t>
      </w:r>
      <w:r w:rsidR="009723D4">
        <w:rPr>
          <w:rFonts w:ascii="Arial" w:hAnsi="Arial" w:cs="Arial"/>
          <w:sz w:val="24"/>
          <w:szCs w:val="24"/>
          <w:lang w:val="en-GB"/>
        </w:rPr>
        <w:t xml:space="preserve"> employment</w:t>
      </w:r>
      <w:r w:rsidR="00E26476">
        <w:rPr>
          <w:rFonts w:ascii="Arial" w:hAnsi="Arial" w:cs="Arial"/>
          <w:sz w:val="24"/>
          <w:szCs w:val="24"/>
          <w:lang w:val="en-GB"/>
        </w:rPr>
        <w:t xml:space="preserve">) </w:t>
      </w:r>
      <w:r w:rsidR="009723D4">
        <w:rPr>
          <w:rFonts w:ascii="Arial" w:hAnsi="Arial" w:cs="Arial"/>
          <w:sz w:val="24"/>
          <w:szCs w:val="24"/>
          <w:lang w:val="en-GB"/>
        </w:rPr>
        <w:t>are not sufficiently populated</w:t>
      </w:r>
      <w:r w:rsidRPr="00016B7E">
        <w:rPr>
          <w:rFonts w:ascii="Arial" w:hAnsi="Arial" w:cs="Arial"/>
          <w:sz w:val="24"/>
          <w:szCs w:val="24"/>
          <w:lang w:val="en-GB"/>
        </w:rPr>
        <w:t>.</w:t>
      </w:r>
    </w:p>
    <w:p w:rsidR="009723D4" w:rsidRDefault="00446445" w:rsidP="00446445">
      <w:pPr>
        <w:spacing w:before="120" w:after="240" w:line="360" w:lineRule="auto"/>
        <w:jc w:val="both"/>
        <w:rPr>
          <w:rFonts w:ascii="Arial" w:hAnsi="Arial" w:cs="Arial"/>
          <w:sz w:val="24"/>
          <w:szCs w:val="24"/>
          <w:lang w:val="en-GB"/>
        </w:rPr>
      </w:pPr>
      <w:r>
        <w:rPr>
          <w:rFonts w:ascii="Arial" w:hAnsi="Arial" w:cs="Arial"/>
          <w:sz w:val="24"/>
          <w:szCs w:val="24"/>
          <w:lang w:val="en-GB"/>
        </w:rPr>
        <w:t>The monitoring of the indicators result</w:t>
      </w:r>
      <w:r w:rsidR="00E26476">
        <w:rPr>
          <w:rFonts w:ascii="Arial" w:hAnsi="Arial" w:cs="Arial"/>
          <w:sz w:val="24"/>
          <w:szCs w:val="24"/>
          <w:lang w:val="en-GB"/>
        </w:rPr>
        <w:t>s</w:t>
      </w:r>
      <w:r>
        <w:rPr>
          <w:rFonts w:ascii="Arial" w:hAnsi="Arial" w:cs="Arial"/>
          <w:sz w:val="24"/>
          <w:szCs w:val="24"/>
          <w:lang w:val="en-GB"/>
        </w:rPr>
        <w:t xml:space="preserve"> more </w:t>
      </w:r>
      <w:r w:rsidRPr="002B6901">
        <w:rPr>
          <w:rFonts w:ascii="Arial" w:hAnsi="Arial" w:cs="Arial"/>
          <w:sz w:val="24"/>
          <w:szCs w:val="24"/>
          <w:lang w:val="en-GB"/>
        </w:rPr>
        <w:t>complete</w:t>
      </w:r>
      <w:r>
        <w:rPr>
          <w:rFonts w:ascii="Arial" w:hAnsi="Arial" w:cs="Arial"/>
          <w:sz w:val="24"/>
          <w:szCs w:val="24"/>
          <w:lang w:val="en-GB"/>
        </w:rPr>
        <w:t xml:space="preserve"> input data</w:t>
      </w:r>
      <w:r w:rsidR="00E26476">
        <w:rPr>
          <w:rFonts w:ascii="Arial" w:hAnsi="Arial" w:cs="Arial"/>
          <w:sz w:val="24"/>
          <w:szCs w:val="24"/>
          <w:lang w:val="en-GB"/>
        </w:rPr>
        <w:t xml:space="preserve"> for EGR</w:t>
      </w:r>
      <w:r>
        <w:rPr>
          <w:rFonts w:ascii="Arial" w:hAnsi="Arial" w:cs="Arial"/>
          <w:sz w:val="24"/>
          <w:szCs w:val="24"/>
          <w:lang w:val="en-GB"/>
        </w:rPr>
        <w:t xml:space="preserve">, e.g. for </w:t>
      </w:r>
      <w:r w:rsidRPr="002B6901">
        <w:rPr>
          <w:rFonts w:ascii="Arial" w:hAnsi="Arial" w:cs="Arial"/>
          <w:sz w:val="24"/>
          <w:szCs w:val="24"/>
          <w:lang w:val="en-GB"/>
        </w:rPr>
        <w:t xml:space="preserve">EU </w:t>
      </w:r>
      <w:r>
        <w:rPr>
          <w:rFonts w:ascii="Arial" w:hAnsi="Arial" w:cs="Arial"/>
          <w:sz w:val="24"/>
          <w:szCs w:val="24"/>
          <w:lang w:val="en-GB"/>
        </w:rPr>
        <w:t>e</w:t>
      </w:r>
      <w:r w:rsidRPr="002B6901">
        <w:rPr>
          <w:rFonts w:ascii="Arial" w:hAnsi="Arial" w:cs="Arial"/>
          <w:sz w:val="24"/>
          <w:szCs w:val="24"/>
          <w:lang w:val="en-GB"/>
        </w:rPr>
        <w:t>nterprises</w:t>
      </w:r>
      <w:r>
        <w:rPr>
          <w:rFonts w:ascii="Arial" w:hAnsi="Arial" w:cs="Arial"/>
          <w:sz w:val="24"/>
          <w:szCs w:val="24"/>
          <w:lang w:val="en-GB"/>
        </w:rPr>
        <w:t xml:space="preserve"> in </w:t>
      </w:r>
      <w:r w:rsidRPr="002B6901">
        <w:rPr>
          <w:rFonts w:ascii="Arial" w:hAnsi="Arial" w:cs="Arial"/>
          <w:sz w:val="24"/>
          <w:szCs w:val="24"/>
          <w:lang w:val="en-GB"/>
        </w:rPr>
        <w:t>2015</w:t>
      </w:r>
      <w:r>
        <w:rPr>
          <w:rFonts w:ascii="Arial" w:hAnsi="Arial" w:cs="Arial"/>
          <w:sz w:val="24"/>
          <w:szCs w:val="24"/>
          <w:lang w:val="en-GB"/>
        </w:rPr>
        <w:t xml:space="preserve"> the main activity code was filled for </w:t>
      </w:r>
      <w:r w:rsidRPr="002B6901">
        <w:rPr>
          <w:rFonts w:ascii="Arial" w:hAnsi="Arial" w:cs="Arial"/>
          <w:sz w:val="24"/>
          <w:szCs w:val="24"/>
          <w:lang w:val="en-GB"/>
        </w:rPr>
        <w:t>91%</w:t>
      </w:r>
      <w:r>
        <w:rPr>
          <w:rFonts w:ascii="Arial" w:hAnsi="Arial" w:cs="Arial"/>
          <w:sz w:val="24"/>
          <w:szCs w:val="24"/>
          <w:lang w:val="en-GB"/>
        </w:rPr>
        <w:t xml:space="preserve"> in 2016 for 99%.</w:t>
      </w:r>
    </w:p>
    <w:p w:rsidR="00D26CF6" w:rsidRPr="00D26CF6" w:rsidRDefault="00981CDA" w:rsidP="00D26CF6">
      <w:pPr>
        <w:pStyle w:val="Caption"/>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Pr="00EC5F5A">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00BB0E30">
        <w:rPr>
          <w:rFonts w:ascii="Arial" w:hAnsi="Arial" w:cs="Arial"/>
          <w:b/>
          <w:i w:val="0"/>
          <w:color w:val="auto"/>
          <w:sz w:val="20"/>
          <w:szCs w:val="20"/>
          <w:lang w:val="en-GB"/>
        </w:rPr>
        <w:t>:</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Input quality indicator</w:t>
      </w:r>
      <w:r w:rsidR="00BB0E30">
        <w:rPr>
          <w:rFonts w:ascii="Arial" w:hAnsi="Arial" w:cs="Arial"/>
          <w:b/>
          <w:i w:val="0"/>
          <w:color w:val="auto"/>
          <w:sz w:val="20"/>
          <w:szCs w:val="20"/>
          <w:lang w:val="en-GB"/>
        </w:rPr>
        <w:t>s on EGR relationship data</w:t>
      </w:r>
      <w:r>
        <w:rPr>
          <w:noProof/>
          <w:lang w:val="en-GB" w:eastAsia="en-GB"/>
        </w:rPr>
        <w:drawing>
          <wp:inline distT="0" distB="0" distL="0" distR="0" wp14:anchorId="450C79FC" wp14:editId="0AB07EFC">
            <wp:extent cx="5760720" cy="75637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756378"/>
                    </a:xfrm>
                    <a:prstGeom prst="rect">
                      <a:avLst/>
                    </a:prstGeom>
                  </pic:spPr>
                </pic:pic>
              </a:graphicData>
            </a:graphic>
          </wp:inline>
        </w:drawing>
      </w:r>
    </w:p>
    <w:p w:rsidR="00BB0E30" w:rsidRPr="002B6901" w:rsidRDefault="00BB0E30" w:rsidP="00BB0E30">
      <w:pPr>
        <w:spacing w:after="0" w:line="240" w:lineRule="auto"/>
        <w:jc w:val="both"/>
        <w:rPr>
          <w:rFonts w:ascii="Arial" w:hAnsi="Arial" w:cs="Arial"/>
          <w:sz w:val="20"/>
          <w:szCs w:val="24"/>
          <w:lang w:val="en-GB"/>
        </w:rPr>
      </w:pPr>
      <w:r w:rsidRPr="002B6901">
        <w:rPr>
          <w:rFonts w:ascii="Arial" w:hAnsi="Arial" w:cs="Arial"/>
          <w:sz w:val="20"/>
          <w:szCs w:val="24"/>
          <w:lang w:val="en-GB"/>
        </w:rPr>
        <w:t>Source: EuroGroups Register 2016 data</w:t>
      </w:r>
    </w:p>
    <w:p w:rsidR="00EA7FD9" w:rsidRPr="002B6901" w:rsidRDefault="00BB0E30" w:rsidP="00BB0E30">
      <w:pPr>
        <w:spacing w:after="0" w:line="240" w:lineRule="auto"/>
        <w:jc w:val="both"/>
        <w:rPr>
          <w:rFonts w:ascii="Arial" w:hAnsi="Arial" w:cs="Arial"/>
          <w:sz w:val="20"/>
          <w:szCs w:val="24"/>
          <w:lang w:val="en-GB"/>
        </w:rPr>
      </w:pPr>
      <w:r w:rsidRPr="002B6901">
        <w:rPr>
          <w:rFonts w:ascii="Arial" w:hAnsi="Arial" w:cs="Arial"/>
          <w:sz w:val="20"/>
          <w:szCs w:val="24"/>
          <w:lang w:val="en-GB"/>
        </w:rPr>
        <w:t>Notes: Columns of the table: source of data, reference year (T), number of all relationships received for year T, number of al</w:t>
      </w:r>
      <w:r w:rsidR="00BF6381">
        <w:rPr>
          <w:rFonts w:ascii="Arial" w:hAnsi="Arial" w:cs="Arial"/>
          <w:sz w:val="20"/>
          <w:szCs w:val="24"/>
          <w:lang w:val="en-GB"/>
        </w:rPr>
        <w:t xml:space="preserve">l relationships for year T-1, % </w:t>
      </w:r>
      <w:r w:rsidRPr="002B6901">
        <w:rPr>
          <w:rFonts w:ascii="Arial" w:hAnsi="Arial" w:cs="Arial"/>
          <w:sz w:val="20"/>
          <w:szCs w:val="24"/>
          <w:lang w:val="en-GB"/>
        </w:rPr>
        <w:t>T/T-1, number of cross-border relationships received for year T, number of cross-border relationships for year T-1, % T/T-1</w:t>
      </w:r>
    </w:p>
    <w:p w:rsidR="00BB0E30" w:rsidRPr="00446445" w:rsidRDefault="00BB0E30" w:rsidP="00465077">
      <w:pPr>
        <w:spacing w:after="120" w:line="360" w:lineRule="auto"/>
        <w:jc w:val="both"/>
        <w:rPr>
          <w:rFonts w:ascii="Arial" w:hAnsi="Arial" w:cs="Arial"/>
          <w:szCs w:val="24"/>
          <w:lang w:val="en-GB"/>
        </w:rPr>
      </w:pPr>
    </w:p>
    <w:p w:rsidR="00BB0E30" w:rsidRDefault="00BB0E30" w:rsidP="00BB0E30">
      <w:pPr>
        <w:pStyle w:val="Caption"/>
        <w:keepNext/>
        <w:rPr>
          <w:rFonts w:ascii="Arial" w:hAnsi="Arial" w:cs="Arial"/>
          <w:sz w:val="24"/>
          <w:szCs w:val="24"/>
          <w:lang w:val="en-GB"/>
        </w:rPr>
      </w:pPr>
      <w:r>
        <w:rPr>
          <w:rFonts w:ascii="Arial" w:hAnsi="Arial" w:cs="Arial"/>
          <w:b/>
          <w:i w:val="0"/>
          <w:color w:val="auto"/>
          <w:sz w:val="20"/>
          <w:szCs w:val="20"/>
          <w:lang w:val="en-GB"/>
        </w:rPr>
        <w:t>T</w:t>
      </w:r>
      <w:r w:rsidRPr="00EC5F5A">
        <w:rPr>
          <w:rFonts w:ascii="Arial" w:hAnsi="Arial" w:cs="Arial"/>
          <w:b/>
          <w:i w:val="0"/>
          <w:color w:val="auto"/>
          <w:sz w:val="20"/>
          <w:szCs w:val="20"/>
          <w:lang w:val="en-GB"/>
        </w:rPr>
        <w:t xml:space="preserve">able </w:t>
      </w:r>
      <w:r>
        <w:rPr>
          <w:rFonts w:ascii="Arial" w:hAnsi="Arial" w:cs="Arial"/>
          <w:b/>
          <w:i w:val="0"/>
          <w:color w:val="auto"/>
          <w:sz w:val="20"/>
          <w:szCs w:val="20"/>
          <w:lang w:val="en-GB"/>
        </w:rPr>
        <w:t>2:</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Input quality indicators on EGR enterprise data</w:t>
      </w:r>
    </w:p>
    <w:p w:rsidR="00BB0E30" w:rsidRDefault="00BB0E30" w:rsidP="00BB0E30">
      <w:pPr>
        <w:spacing w:after="0" w:line="240" w:lineRule="auto"/>
        <w:jc w:val="both"/>
        <w:rPr>
          <w:rFonts w:ascii="Arial" w:hAnsi="Arial" w:cs="Arial"/>
          <w:i/>
          <w:sz w:val="20"/>
          <w:szCs w:val="24"/>
          <w:lang w:val="en-GB"/>
        </w:rPr>
      </w:pPr>
      <w:r>
        <w:rPr>
          <w:noProof/>
          <w:lang w:val="en-GB" w:eastAsia="en-GB"/>
        </w:rPr>
        <w:drawing>
          <wp:inline distT="0" distB="0" distL="0" distR="0" wp14:anchorId="01426308" wp14:editId="2C7C912C">
            <wp:extent cx="5760720" cy="6761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676147"/>
                    </a:xfrm>
                    <a:prstGeom prst="rect">
                      <a:avLst/>
                    </a:prstGeom>
                  </pic:spPr>
                </pic:pic>
              </a:graphicData>
            </a:graphic>
          </wp:inline>
        </w:drawing>
      </w:r>
    </w:p>
    <w:p w:rsidR="00465077" w:rsidRDefault="00465077" w:rsidP="00BB0E30">
      <w:pPr>
        <w:spacing w:after="0" w:line="240" w:lineRule="auto"/>
        <w:jc w:val="both"/>
        <w:rPr>
          <w:rFonts w:ascii="Arial" w:hAnsi="Arial" w:cs="Arial"/>
          <w:i/>
          <w:sz w:val="20"/>
          <w:szCs w:val="24"/>
          <w:lang w:val="en-GB"/>
        </w:rPr>
      </w:pPr>
    </w:p>
    <w:p w:rsidR="00BB0E30" w:rsidRPr="002B6901" w:rsidRDefault="00BB0E30" w:rsidP="00BB0E30">
      <w:pPr>
        <w:spacing w:after="0" w:line="240" w:lineRule="auto"/>
        <w:jc w:val="both"/>
        <w:rPr>
          <w:rFonts w:ascii="Arial" w:hAnsi="Arial" w:cs="Arial"/>
          <w:sz w:val="20"/>
          <w:szCs w:val="24"/>
          <w:lang w:val="en-GB"/>
        </w:rPr>
      </w:pPr>
      <w:r w:rsidRPr="002B6901">
        <w:rPr>
          <w:rFonts w:ascii="Arial" w:hAnsi="Arial" w:cs="Arial"/>
          <w:sz w:val="20"/>
          <w:szCs w:val="24"/>
          <w:lang w:val="en-GB"/>
        </w:rPr>
        <w:t>Source: EuroGroups Register 2016 data</w:t>
      </w:r>
    </w:p>
    <w:p w:rsidR="00BB0E30" w:rsidRPr="002B6901" w:rsidRDefault="00BB0E30" w:rsidP="00BB0E30">
      <w:pPr>
        <w:spacing w:after="0" w:line="240" w:lineRule="auto"/>
        <w:jc w:val="both"/>
        <w:rPr>
          <w:rFonts w:ascii="Arial" w:hAnsi="Arial" w:cs="Arial"/>
          <w:sz w:val="20"/>
          <w:szCs w:val="24"/>
          <w:lang w:val="en-GB"/>
        </w:rPr>
      </w:pPr>
      <w:r w:rsidRPr="002B6901">
        <w:rPr>
          <w:rFonts w:ascii="Arial" w:hAnsi="Arial" w:cs="Arial"/>
          <w:sz w:val="20"/>
          <w:szCs w:val="24"/>
          <w:lang w:val="en-GB"/>
        </w:rPr>
        <w:t xml:space="preserve">Notes: Columns of the table: source of data, reference year (T), number of </w:t>
      </w:r>
      <w:r w:rsidR="00465077" w:rsidRPr="002B6901">
        <w:rPr>
          <w:rFonts w:ascii="Arial" w:hAnsi="Arial" w:cs="Arial"/>
          <w:sz w:val="20"/>
          <w:szCs w:val="24"/>
          <w:lang w:val="en-GB"/>
        </w:rPr>
        <w:t>enterprises</w:t>
      </w:r>
      <w:r w:rsidRPr="002B6901">
        <w:rPr>
          <w:rFonts w:ascii="Arial" w:hAnsi="Arial" w:cs="Arial"/>
          <w:sz w:val="20"/>
          <w:szCs w:val="24"/>
          <w:lang w:val="en-GB"/>
        </w:rPr>
        <w:t xml:space="preserve"> received for year T, number of </w:t>
      </w:r>
      <w:r w:rsidR="00465077" w:rsidRPr="002B6901">
        <w:rPr>
          <w:rFonts w:ascii="Arial" w:hAnsi="Arial" w:cs="Arial"/>
          <w:sz w:val="20"/>
          <w:szCs w:val="24"/>
          <w:lang w:val="en-GB"/>
        </w:rPr>
        <w:t xml:space="preserve">enterprises </w:t>
      </w:r>
      <w:r w:rsidRPr="002B6901">
        <w:rPr>
          <w:rFonts w:ascii="Arial" w:hAnsi="Arial" w:cs="Arial"/>
          <w:sz w:val="20"/>
          <w:szCs w:val="24"/>
          <w:lang w:val="en-GB"/>
        </w:rPr>
        <w:t xml:space="preserve">for year T-1, % T/T-1, </w:t>
      </w:r>
      <w:r w:rsidR="00465077" w:rsidRPr="002B6901">
        <w:rPr>
          <w:rFonts w:ascii="Arial" w:hAnsi="Arial" w:cs="Arial"/>
          <w:sz w:val="20"/>
          <w:szCs w:val="24"/>
          <w:lang w:val="en-GB"/>
        </w:rPr>
        <w:t>% of records with NACE main activity code, % of records with employment data, % of records with turnover data</w:t>
      </w:r>
      <w:r w:rsidRPr="002B6901">
        <w:rPr>
          <w:rFonts w:ascii="Arial" w:hAnsi="Arial" w:cs="Arial"/>
          <w:sz w:val="20"/>
          <w:szCs w:val="24"/>
          <w:lang w:val="en-GB"/>
        </w:rPr>
        <w:t xml:space="preserve"> </w:t>
      </w:r>
    </w:p>
    <w:p w:rsidR="00446445" w:rsidRDefault="00446445" w:rsidP="00446445">
      <w:pPr>
        <w:spacing w:after="0" w:line="360" w:lineRule="auto"/>
        <w:jc w:val="both"/>
        <w:rPr>
          <w:rFonts w:ascii="Arial" w:hAnsi="Arial" w:cs="Arial"/>
          <w:sz w:val="24"/>
          <w:szCs w:val="24"/>
          <w:lang w:val="en-GB"/>
        </w:rPr>
      </w:pPr>
    </w:p>
    <w:p w:rsidR="00465077" w:rsidRPr="00446445" w:rsidRDefault="009723D4" w:rsidP="00446445">
      <w:pPr>
        <w:spacing w:before="120" w:after="0" w:line="360" w:lineRule="auto"/>
        <w:jc w:val="both"/>
        <w:rPr>
          <w:rFonts w:ascii="Arial" w:hAnsi="Arial" w:cs="Arial"/>
          <w:sz w:val="24"/>
          <w:szCs w:val="24"/>
          <w:lang w:val="en-GB"/>
        </w:rPr>
      </w:pPr>
      <w:r w:rsidRPr="00016B7E">
        <w:rPr>
          <w:rFonts w:ascii="Arial" w:hAnsi="Arial" w:cs="Arial"/>
          <w:sz w:val="24"/>
          <w:szCs w:val="24"/>
          <w:lang w:val="en-GB"/>
        </w:rPr>
        <w:t xml:space="preserve">Eurostat </w:t>
      </w:r>
      <w:r>
        <w:rPr>
          <w:rFonts w:ascii="Arial" w:hAnsi="Arial" w:cs="Arial"/>
          <w:sz w:val="24"/>
          <w:szCs w:val="24"/>
          <w:lang w:val="en-GB"/>
        </w:rPr>
        <w:t xml:space="preserve">and the </w:t>
      </w:r>
      <w:r w:rsidR="002B6901">
        <w:rPr>
          <w:rFonts w:ascii="Arial" w:hAnsi="Arial" w:cs="Arial"/>
          <w:sz w:val="24"/>
          <w:szCs w:val="24"/>
          <w:lang w:val="en-GB"/>
        </w:rPr>
        <w:t xml:space="preserve">contributing NSIs </w:t>
      </w:r>
      <w:r>
        <w:rPr>
          <w:rFonts w:ascii="Arial" w:hAnsi="Arial" w:cs="Arial"/>
          <w:sz w:val="24"/>
          <w:szCs w:val="24"/>
          <w:lang w:val="en-GB"/>
        </w:rPr>
        <w:t>are working on defining t</w:t>
      </w:r>
      <w:r w:rsidR="00016B7E" w:rsidRPr="00016B7E">
        <w:rPr>
          <w:rFonts w:ascii="Arial" w:hAnsi="Arial" w:cs="Arial"/>
          <w:sz w:val="24"/>
          <w:szCs w:val="24"/>
          <w:lang w:val="en-GB"/>
        </w:rPr>
        <w:t>hresholds as minimum criteria for acceptance of input data.</w:t>
      </w:r>
      <w:r>
        <w:rPr>
          <w:rFonts w:ascii="Arial" w:hAnsi="Arial" w:cs="Arial"/>
          <w:sz w:val="24"/>
          <w:szCs w:val="24"/>
          <w:lang w:val="en-GB"/>
        </w:rPr>
        <w:t xml:space="preserve"> Below th</w:t>
      </w:r>
      <w:r w:rsidR="00BF6381">
        <w:rPr>
          <w:rFonts w:ascii="Arial" w:hAnsi="Arial" w:cs="Arial"/>
          <w:sz w:val="24"/>
          <w:szCs w:val="24"/>
          <w:lang w:val="en-GB"/>
        </w:rPr>
        <w:t>e</w:t>
      </w:r>
      <w:r>
        <w:rPr>
          <w:rFonts w:ascii="Arial" w:hAnsi="Arial" w:cs="Arial"/>
          <w:sz w:val="24"/>
          <w:szCs w:val="24"/>
          <w:lang w:val="en-GB"/>
        </w:rPr>
        <w:t>s</w:t>
      </w:r>
      <w:r w:rsidR="00BF6381">
        <w:rPr>
          <w:rFonts w:ascii="Arial" w:hAnsi="Arial" w:cs="Arial"/>
          <w:sz w:val="24"/>
          <w:szCs w:val="24"/>
          <w:lang w:val="en-GB"/>
        </w:rPr>
        <w:t>e</w:t>
      </w:r>
      <w:r>
        <w:rPr>
          <w:rFonts w:ascii="Arial" w:hAnsi="Arial" w:cs="Arial"/>
          <w:sz w:val="24"/>
          <w:szCs w:val="24"/>
          <w:lang w:val="en-GB"/>
        </w:rPr>
        <w:t xml:space="preserve"> threshold</w:t>
      </w:r>
      <w:r w:rsidR="00BF6381">
        <w:rPr>
          <w:rFonts w:ascii="Arial" w:hAnsi="Arial" w:cs="Arial"/>
          <w:sz w:val="24"/>
          <w:szCs w:val="24"/>
          <w:lang w:val="en-GB"/>
        </w:rPr>
        <w:t>s</w:t>
      </w:r>
      <w:r>
        <w:rPr>
          <w:rFonts w:ascii="Arial" w:hAnsi="Arial" w:cs="Arial"/>
          <w:sz w:val="24"/>
          <w:szCs w:val="24"/>
          <w:lang w:val="en-GB"/>
        </w:rPr>
        <w:t xml:space="preserve"> </w:t>
      </w:r>
      <w:r w:rsidR="002B6901">
        <w:rPr>
          <w:rFonts w:ascii="Arial" w:hAnsi="Arial" w:cs="Arial"/>
          <w:sz w:val="24"/>
          <w:szCs w:val="24"/>
          <w:lang w:val="en-GB"/>
        </w:rPr>
        <w:t xml:space="preserve">national </w:t>
      </w:r>
      <w:r>
        <w:rPr>
          <w:rFonts w:ascii="Arial" w:hAnsi="Arial" w:cs="Arial"/>
          <w:sz w:val="24"/>
          <w:szCs w:val="24"/>
          <w:lang w:val="en-GB"/>
        </w:rPr>
        <w:t>data will be declared as of insufficient quality and new file delivery</w:t>
      </w:r>
      <w:r w:rsidR="00862EFB" w:rsidRPr="00862EFB">
        <w:rPr>
          <w:rFonts w:ascii="Arial" w:hAnsi="Arial" w:cs="Arial"/>
          <w:sz w:val="24"/>
          <w:szCs w:val="24"/>
          <w:lang w:val="en-GB"/>
        </w:rPr>
        <w:t xml:space="preserve"> </w:t>
      </w:r>
      <w:r>
        <w:rPr>
          <w:rFonts w:ascii="Arial" w:hAnsi="Arial" w:cs="Arial"/>
          <w:sz w:val="24"/>
          <w:szCs w:val="24"/>
          <w:lang w:val="en-GB"/>
        </w:rPr>
        <w:t>will be requested from the NSI</w:t>
      </w:r>
      <w:r w:rsidR="002B6901">
        <w:rPr>
          <w:rFonts w:ascii="Arial" w:hAnsi="Arial" w:cs="Arial"/>
          <w:sz w:val="24"/>
          <w:szCs w:val="24"/>
          <w:lang w:val="en-GB"/>
        </w:rPr>
        <w:t>s</w:t>
      </w:r>
      <w:r>
        <w:rPr>
          <w:rFonts w:ascii="Arial" w:hAnsi="Arial" w:cs="Arial"/>
          <w:sz w:val="24"/>
          <w:szCs w:val="24"/>
          <w:lang w:val="en-GB"/>
        </w:rPr>
        <w:t>.</w:t>
      </w:r>
    </w:p>
    <w:p w:rsidR="00862EFB" w:rsidRPr="00A366C1" w:rsidRDefault="00A366C1" w:rsidP="00862EFB">
      <w:pPr>
        <w:spacing w:before="360" w:after="0" w:line="360" w:lineRule="auto"/>
        <w:jc w:val="both"/>
        <w:rPr>
          <w:rFonts w:ascii="Arial" w:hAnsi="Arial" w:cs="Arial"/>
          <w:i/>
          <w:sz w:val="24"/>
          <w:szCs w:val="24"/>
          <w:lang w:val="en-GB"/>
        </w:rPr>
      </w:pPr>
      <w:r>
        <w:rPr>
          <w:rFonts w:ascii="Arial" w:hAnsi="Arial" w:cs="Arial"/>
          <w:i/>
          <w:sz w:val="24"/>
          <w:szCs w:val="24"/>
          <w:lang w:val="en-GB"/>
        </w:rPr>
        <w:t>3</w:t>
      </w:r>
      <w:r w:rsidR="00862EFB" w:rsidRPr="00A366C1">
        <w:rPr>
          <w:rFonts w:ascii="Arial" w:hAnsi="Arial" w:cs="Arial"/>
          <w:i/>
          <w:sz w:val="24"/>
          <w:szCs w:val="24"/>
          <w:lang w:val="en-GB"/>
        </w:rPr>
        <w:t>.</w:t>
      </w:r>
      <w:r>
        <w:rPr>
          <w:rFonts w:ascii="Arial" w:hAnsi="Arial" w:cs="Arial"/>
          <w:i/>
          <w:sz w:val="24"/>
          <w:szCs w:val="24"/>
          <w:lang w:val="en-GB"/>
        </w:rPr>
        <w:t>2.</w:t>
      </w:r>
      <w:r w:rsidR="00862EFB" w:rsidRPr="00A366C1">
        <w:rPr>
          <w:rFonts w:ascii="Arial" w:hAnsi="Arial" w:cs="Arial"/>
          <w:i/>
          <w:sz w:val="24"/>
          <w:szCs w:val="24"/>
          <w:lang w:val="en-GB"/>
        </w:rPr>
        <w:t xml:space="preserve"> </w:t>
      </w:r>
      <w:r>
        <w:rPr>
          <w:rFonts w:ascii="Arial" w:hAnsi="Arial" w:cs="Arial"/>
          <w:i/>
          <w:sz w:val="24"/>
          <w:szCs w:val="24"/>
          <w:lang w:val="en-GB"/>
        </w:rPr>
        <w:t>Indicators on d</w:t>
      </w:r>
      <w:r w:rsidR="00862EFB" w:rsidRPr="00A366C1">
        <w:rPr>
          <w:rFonts w:ascii="Arial" w:hAnsi="Arial" w:cs="Arial"/>
          <w:i/>
          <w:sz w:val="24"/>
          <w:szCs w:val="24"/>
          <w:lang w:val="en-GB"/>
        </w:rPr>
        <w:t>ata in the EGR production</w:t>
      </w:r>
    </w:p>
    <w:p w:rsidR="00A366C1" w:rsidRDefault="00A366C1" w:rsidP="00A366C1">
      <w:pPr>
        <w:spacing w:before="120" w:after="0" w:line="360" w:lineRule="auto"/>
        <w:jc w:val="both"/>
        <w:rPr>
          <w:rFonts w:ascii="Arial" w:hAnsi="Arial" w:cs="Arial"/>
          <w:sz w:val="24"/>
          <w:szCs w:val="24"/>
          <w:lang w:val="en-GB"/>
        </w:rPr>
      </w:pPr>
      <w:r w:rsidRPr="00A366C1">
        <w:rPr>
          <w:rFonts w:ascii="Arial" w:hAnsi="Arial" w:cs="Arial"/>
          <w:sz w:val="24"/>
          <w:szCs w:val="24"/>
          <w:lang w:val="en-GB"/>
        </w:rPr>
        <w:t>The throughput indicators</w:t>
      </w:r>
      <w:r w:rsidR="00445AF7">
        <w:rPr>
          <w:rFonts w:ascii="Arial" w:hAnsi="Arial" w:cs="Arial"/>
          <w:sz w:val="24"/>
          <w:szCs w:val="24"/>
          <w:lang w:val="en-GB"/>
        </w:rPr>
        <w:t xml:space="preserve"> </w:t>
      </w:r>
      <w:r w:rsidRPr="00A366C1">
        <w:rPr>
          <w:rFonts w:ascii="Arial" w:hAnsi="Arial" w:cs="Arial"/>
          <w:sz w:val="24"/>
          <w:szCs w:val="24"/>
          <w:lang w:val="en-GB"/>
        </w:rPr>
        <w:t>measure the changes of source data during the EGR data processing</w:t>
      </w:r>
      <w:r>
        <w:rPr>
          <w:rFonts w:ascii="Arial" w:hAnsi="Arial" w:cs="Arial"/>
          <w:sz w:val="24"/>
          <w:szCs w:val="24"/>
          <w:lang w:val="en-GB"/>
        </w:rPr>
        <w:t>.</w:t>
      </w:r>
      <w:r w:rsidR="003D4092">
        <w:rPr>
          <w:rFonts w:ascii="Arial" w:hAnsi="Arial" w:cs="Arial"/>
          <w:sz w:val="24"/>
          <w:szCs w:val="24"/>
          <w:lang w:val="en-GB"/>
        </w:rPr>
        <w:t xml:space="preserve"> </w:t>
      </w:r>
      <w:r w:rsidR="003D4092" w:rsidRPr="00A366C1">
        <w:rPr>
          <w:rFonts w:ascii="Arial" w:hAnsi="Arial" w:cs="Arial"/>
          <w:sz w:val="24"/>
          <w:szCs w:val="24"/>
          <w:lang w:val="en-GB"/>
        </w:rPr>
        <w:t>Data on legal units, relationships, enterprises and enterprise groups are monitored.</w:t>
      </w:r>
    </w:p>
    <w:p w:rsidR="00465077" w:rsidRDefault="00A366C1" w:rsidP="00A366C1">
      <w:pPr>
        <w:spacing w:before="120" w:after="0" w:line="360" w:lineRule="auto"/>
        <w:jc w:val="both"/>
        <w:rPr>
          <w:rFonts w:ascii="Arial" w:hAnsi="Arial" w:cs="Arial"/>
          <w:sz w:val="24"/>
          <w:szCs w:val="24"/>
          <w:lang w:val="en-GB"/>
        </w:rPr>
      </w:pPr>
      <w:r w:rsidRPr="00A366C1">
        <w:rPr>
          <w:rFonts w:ascii="Arial" w:hAnsi="Arial" w:cs="Arial"/>
          <w:sz w:val="24"/>
          <w:szCs w:val="24"/>
          <w:lang w:val="en-GB"/>
        </w:rPr>
        <w:t xml:space="preserve">These indicators follow the data in the EGR system from the source area, </w:t>
      </w:r>
      <w:r>
        <w:rPr>
          <w:rFonts w:ascii="Arial" w:hAnsi="Arial" w:cs="Arial"/>
          <w:sz w:val="24"/>
          <w:szCs w:val="24"/>
          <w:lang w:val="en-GB"/>
        </w:rPr>
        <w:t xml:space="preserve">where the input data are loaded, via the transformation area, where the </w:t>
      </w:r>
      <w:r w:rsidR="003D4092">
        <w:rPr>
          <w:rFonts w:ascii="Arial" w:hAnsi="Arial" w:cs="Arial"/>
          <w:sz w:val="24"/>
          <w:szCs w:val="24"/>
          <w:lang w:val="en-GB"/>
        </w:rPr>
        <w:t xml:space="preserve">input data are </w:t>
      </w:r>
      <w:r w:rsidR="00457858">
        <w:rPr>
          <w:rFonts w:ascii="Arial" w:hAnsi="Arial" w:cs="Arial"/>
          <w:sz w:val="24"/>
          <w:szCs w:val="24"/>
          <w:lang w:val="en-GB"/>
        </w:rPr>
        <w:t xml:space="preserve">standardised and </w:t>
      </w:r>
      <w:r w:rsidR="003D4092">
        <w:rPr>
          <w:rFonts w:ascii="Arial" w:hAnsi="Arial" w:cs="Arial"/>
          <w:sz w:val="24"/>
          <w:szCs w:val="24"/>
          <w:lang w:val="en-GB"/>
        </w:rPr>
        <w:t>transformed</w:t>
      </w:r>
      <w:r>
        <w:rPr>
          <w:rFonts w:ascii="Arial" w:hAnsi="Arial" w:cs="Arial"/>
          <w:sz w:val="24"/>
          <w:szCs w:val="24"/>
          <w:lang w:val="en-GB"/>
        </w:rPr>
        <w:t xml:space="preserve"> </w:t>
      </w:r>
      <w:r w:rsidRPr="00A366C1">
        <w:rPr>
          <w:rFonts w:ascii="Arial" w:hAnsi="Arial" w:cs="Arial"/>
          <w:sz w:val="24"/>
          <w:szCs w:val="24"/>
          <w:lang w:val="en-GB"/>
        </w:rPr>
        <w:t>until the consolidation area</w:t>
      </w:r>
      <w:r w:rsidR="003D4092">
        <w:rPr>
          <w:rFonts w:ascii="Arial" w:hAnsi="Arial" w:cs="Arial"/>
          <w:sz w:val="24"/>
          <w:szCs w:val="24"/>
          <w:lang w:val="en-GB"/>
        </w:rPr>
        <w:t xml:space="preserve"> with final data on EGR units</w:t>
      </w:r>
      <w:r w:rsidRPr="00A366C1">
        <w:rPr>
          <w:rFonts w:ascii="Arial" w:hAnsi="Arial" w:cs="Arial"/>
          <w:sz w:val="24"/>
          <w:szCs w:val="24"/>
          <w:lang w:val="en-GB"/>
        </w:rPr>
        <w:t xml:space="preserve">. </w:t>
      </w:r>
    </w:p>
    <w:p w:rsidR="00465077" w:rsidRDefault="00465077" w:rsidP="00465077">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the EGR process the data of the units are stored in three different statuses: </w:t>
      </w:r>
    </w:p>
    <w:p w:rsidR="00465077" w:rsidRPr="003D4092" w:rsidRDefault="00465077" w:rsidP="00465077">
      <w:pPr>
        <w:pStyle w:val="ListParagraph"/>
        <w:numPr>
          <w:ilvl w:val="0"/>
          <w:numId w:val="4"/>
        </w:numPr>
        <w:spacing w:before="120" w:after="0" w:line="360" w:lineRule="auto"/>
        <w:jc w:val="both"/>
        <w:rPr>
          <w:rFonts w:ascii="Arial" w:hAnsi="Arial" w:cs="Arial"/>
          <w:sz w:val="24"/>
          <w:szCs w:val="24"/>
          <w:lang w:val="en-GB"/>
        </w:rPr>
      </w:pPr>
      <w:r w:rsidRPr="003D4092">
        <w:rPr>
          <w:rFonts w:ascii="Arial" w:hAnsi="Arial" w:cs="Arial"/>
          <w:sz w:val="24"/>
          <w:szCs w:val="24"/>
          <w:lang w:val="en-GB"/>
        </w:rPr>
        <w:t xml:space="preserve">The input data of EGR are stored in the input area of the database, as they were delivered by the sources. </w:t>
      </w:r>
    </w:p>
    <w:p w:rsidR="00465077" w:rsidRPr="003D4092" w:rsidRDefault="00465077" w:rsidP="00465077">
      <w:pPr>
        <w:pStyle w:val="ListParagraph"/>
        <w:numPr>
          <w:ilvl w:val="0"/>
          <w:numId w:val="4"/>
        </w:numPr>
        <w:spacing w:before="120" w:after="0" w:line="360" w:lineRule="auto"/>
        <w:jc w:val="both"/>
        <w:rPr>
          <w:rFonts w:ascii="Arial" w:hAnsi="Arial" w:cs="Arial"/>
          <w:sz w:val="24"/>
          <w:szCs w:val="24"/>
          <w:lang w:val="en-GB"/>
        </w:rPr>
      </w:pPr>
      <w:r w:rsidRPr="003D4092">
        <w:rPr>
          <w:rFonts w:ascii="Arial" w:hAnsi="Arial" w:cs="Arial"/>
          <w:sz w:val="24"/>
          <w:szCs w:val="24"/>
          <w:lang w:val="en-GB"/>
        </w:rPr>
        <w:t xml:space="preserve">In the transformation area the input data are transformed and standardised, all records are identified, all values and codes are transformed according to the EGR standards. The transformation area is the location where the standardised records wait for further processing in the consolidation. </w:t>
      </w:r>
    </w:p>
    <w:p w:rsidR="00465077" w:rsidRDefault="00465077" w:rsidP="00465077">
      <w:pPr>
        <w:pStyle w:val="ListParagraph"/>
        <w:numPr>
          <w:ilvl w:val="0"/>
          <w:numId w:val="4"/>
        </w:numPr>
        <w:spacing w:before="120" w:after="0" w:line="360" w:lineRule="auto"/>
        <w:jc w:val="both"/>
        <w:rPr>
          <w:rFonts w:ascii="Arial" w:hAnsi="Arial" w:cs="Arial"/>
          <w:sz w:val="24"/>
          <w:szCs w:val="24"/>
          <w:lang w:val="en-GB"/>
        </w:rPr>
      </w:pPr>
      <w:r w:rsidRPr="003D4092">
        <w:rPr>
          <w:rFonts w:ascii="Arial" w:hAnsi="Arial" w:cs="Arial"/>
          <w:sz w:val="24"/>
          <w:szCs w:val="24"/>
          <w:lang w:val="en-GB"/>
        </w:rPr>
        <w:t>In the consolidation process all the data from the different data providers are combined to create final entities for the reference year. The consolidation area is the final view on EGR units after processing, where the only information from the highest ranked source is stored on the units.</w:t>
      </w:r>
    </w:p>
    <w:p w:rsidR="00A366C1" w:rsidRDefault="0089651A" w:rsidP="00A366C1">
      <w:pPr>
        <w:spacing w:before="120" w:after="0" w:line="360" w:lineRule="auto"/>
        <w:jc w:val="both"/>
        <w:rPr>
          <w:rFonts w:ascii="Arial" w:hAnsi="Arial" w:cs="Arial"/>
          <w:sz w:val="24"/>
          <w:szCs w:val="24"/>
          <w:lang w:val="en-GB"/>
        </w:rPr>
      </w:pPr>
      <w:r w:rsidRPr="0089651A">
        <w:rPr>
          <w:rFonts w:ascii="Arial" w:hAnsi="Arial" w:cs="Arial"/>
          <w:sz w:val="24"/>
          <w:szCs w:val="24"/>
          <w:lang w:val="en-GB"/>
        </w:rPr>
        <w:t>The throughput indicators measure the proportion of the records which reach the consecutive steps of the EGR process, ideally all</w:t>
      </w:r>
      <w:r w:rsidR="00457858">
        <w:rPr>
          <w:rFonts w:ascii="Arial" w:hAnsi="Arial" w:cs="Arial"/>
          <w:sz w:val="24"/>
          <w:szCs w:val="24"/>
          <w:lang w:val="en-GB"/>
        </w:rPr>
        <w:t xml:space="preserve">, </w:t>
      </w:r>
      <w:r w:rsidRPr="0089651A">
        <w:rPr>
          <w:rFonts w:ascii="Arial" w:hAnsi="Arial" w:cs="Arial"/>
          <w:sz w:val="24"/>
          <w:szCs w:val="24"/>
          <w:lang w:val="en-GB"/>
        </w:rPr>
        <w:t>or in some cases most of them should reach the consolidation area.</w:t>
      </w:r>
      <w:r>
        <w:rPr>
          <w:rFonts w:ascii="Arial" w:hAnsi="Arial" w:cs="Arial"/>
          <w:sz w:val="24"/>
          <w:szCs w:val="24"/>
          <w:lang w:val="en-GB"/>
        </w:rPr>
        <w:t xml:space="preserve"> </w:t>
      </w:r>
      <w:r w:rsidR="00A366C1" w:rsidRPr="00A366C1">
        <w:rPr>
          <w:rFonts w:ascii="Arial" w:hAnsi="Arial" w:cs="Arial"/>
          <w:sz w:val="24"/>
          <w:szCs w:val="24"/>
          <w:lang w:val="en-GB"/>
        </w:rPr>
        <w:t xml:space="preserve">All throughput indicators are calculated by </w:t>
      </w:r>
      <w:r w:rsidR="00457858">
        <w:rPr>
          <w:rFonts w:ascii="Arial" w:hAnsi="Arial" w:cs="Arial"/>
          <w:sz w:val="24"/>
          <w:szCs w:val="24"/>
          <w:lang w:val="en-GB"/>
        </w:rPr>
        <w:t>the EGR system</w:t>
      </w:r>
      <w:r w:rsidR="00A366C1" w:rsidRPr="00A366C1">
        <w:rPr>
          <w:rFonts w:ascii="Arial" w:hAnsi="Arial" w:cs="Arial"/>
          <w:sz w:val="24"/>
          <w:szCs w:val="24"/>
          <w:lang w:val="en-GB"/>
        </w:rPr>
        <w:t>.</w:t>
      </w:r>
    </w:p>
    <w:p w:rsidR="000A15BA" w:rsidRDefault="000A15BA" w:rsidP="00A366C1">
      <w:pPr>
        <w:spacing w:before="120" w:after="0" w:line="360" w:lineRule="auto"/>
        <w:jc w:val="both"/>
        <w:rPr>
          <w:rFonts w:ascii="Arial" w:hAnsi="Arial" w:cs="Arial"/>
          <w:sz w:val="24"/>
          <w:szCs w:val="24"/>
          <w:lang w:val="en-GB"/>
        </w:rPr>
      </w:pPr>
    </w:p>
    <w:p w:rsidR="000A15BA" w:rsidRPr="00A366C1" w:rsidRDefault="000A15BA" w:rsidP="00A366C1">
      <w:pPr>
        <w:spacing w:before="120" w:after="0" w:line="360" w:lineRule="auto"/>
        <w:jc w:val="both"/>
        <w:rPr>
          <w:rFonts w:ascii="Arial" w:hAnsi="Arial" w:cs="Arial"/>
          <w:sz w:val="24"/>
          <w:szCs w:val="24"/>
          <w:lang w:val="en-GB"/>
        </w:rPr>
      </w:pPr>
    </w:p>
    <w:p w:rsidR="00A366C1" w:rsidRDefault="0089651A" w:rsidP="00A366C1">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 xml:space="preserve">The following </w:t>
      </w:r>
      <w:r w:rsidRPr="0089651A">
        <w:rPr>
          <w:rFonts w:ascii="Arial" w:hAnsi="Arial" w:cs="Arial"/>
          <w:sz w:val="24"/>
          <w:szCs w:val="24"/>
          <w:lang w:val="en-GB"/>
        </w:rPr>
        <w:t>throughput indicators are calculated</w:t>
      </w:r>
      <w:r>
        <w:rPr>
          <w:rFonts w:ascii="Arial" w:hAnsi="Arial" w:cs="Arial"/>
          <w:sz w:val="24"/>
          <w:szCs w:val="24"/>
          <w:lang w:val="en-GB"/>
        </w:rPr>
        <w:t xml:space="preserve"> </w:t>
      </w:r>
      <w:r w:rsidR="00457858">
        <w:rPr>
          <w:rFonts w:ascii="Arial" w:hAnsi="Arial" w:cs="Arial"/>
          <w:sz w:val="24"/>
          <w:szCs w:val="24"/>
          <w:lang w:val="en-GB"/>
        </w:rPr>
        <w:t>in</w:t>
      </w:r>
      <w:r>
        <w:rPr>
          <w:rFonts w:ascii="Arial" w:hAnsi="Arial" w:cs="Arial"/>
          <w:sz w:val="24"/>
          <w:szCs w:val="24"/>
          <w:lang w:val="en-GB"/>
        </w:rPr>
        <w:t xml:space="preserve"> the process:</w:t>
      </w:r>
    </w:p>
    <w:p w:rsidR="0089651A" w:rsidRPr="0089651A" w:rsidRDefault="0089651A" w:rsidP="0089651A">
      <w:pPr>
        <w:pStyle w:val="ListParagraph"/>
        <w:numPr>
          <w:ilvl w:val="0"/>
          <w:numId w:val="5"/>
        </w:numPr>
        <w:spacing w:before="120" w:after="0" w:line="360" w:lineRule="auto"/>
        <w:jc w:val="both"/>
        <w:rPr>
          <w:rFonts w:ascii="Arial" w:hAnsi="Arial" w:cs="Arial"/>
          <w:sz w:val="24"/>
          <w:szCs w:val="24"/>
          <w:lang w:val="en-GB"/>
        </w:rPr>
      </w:pPr>
      <w:r w:rsidRPr="0089651A">
        <w:rPr>
          <w:rFonts w:ascii="Arial" w:hAnsi="Arial" w:cs="Arial"/>
          <w:sz w:val="24"/>
          <w:szCs w:val="24"/>
          <w:lang w:val="en-GB"/>
        </w:rPr>
        <w:t>Legal units in the source area; transformation area; consolidation area and difference of consolidated legal units and transformed legal units.</w:t>
      </w:r>
    </w:p>
    <w:p w:rsidR="0089651A" w:rsidRPr="0089651A" w:rsidRDefault="0089651A" w:rsidP="0089651A">
      <w:pPr>
        <w:pStyle w:val="ListParagraph"/>
        <w:numPr>
          <w:ilvl w:val="0"/>
          <w:numId w:val="5"/>
        </w:numPr>
        <w:spacing w:before="120" w:after="0" w:line="360" w:lineRule="auto"/>
        <w:jc w:val="both"/>
        <w:rPr>
          <w:rFonts w:ascii="Arial" w:hAnsi="Arial" w:cs="Arial"/>
          <w:sz w:val="24"/>
          <w:szCs w:val="24"/>
          <w:lang w:val="en-GB"/>
        </w:rPr>
      </w:pPr>
      <w:r w:rsidRPr="0089651A">
        <w:rPr>
          <w:rFonts w:ascii="Arial" w:hAnsi="Arial" w:cs="Arial"/>
          <w:sz w:val="24"/>
          <w:szCs w:val="24"/>
          <w:lang w:val="en-GB"/>
        </w:rPr>
        <w:t>Legal units in the consolidation area in the reference year; in the previous year and the difference.</w:t>
      </w:r>
    </w:p>
    <w:p w:rsidR="0089651A" w:rsidRPr="0089651A" w:rsidRDefault="0089651A" w:rsidP="0089651A">
      <w:pPr>
        <w:pStyle w:val="ListParagraph"/>
        <w:numPr>
          <w:ilvl w:val="0"/>
          <w:numId w:val="5"/>
        </w:numPr>
        <w:spacing w:before="120" w:after="0" w:line="360" w:lineRule="auto"/>
        <w:jc w:val="both"/>
        <w:rPr>
          <w:rFonts w:ascii="Arial" w:hAnsi="Arial" w:cs="Arial"/>
          <w:sz w:val="24"/>
          <w:szCs w:val="24"/>
          <w:lang w:val="en-GB"/>
        </w:rPr>
      </w:pPr>
      <w:r w:rsidRPr="0089651A">
        <w:rPr>
          <w:rFonts w:ascii="Arial" w:hAnsi="Arial" w:cs="Arial"/>
          <w:sz w:val="24"/>
          <w:szCs w:val="24"/>
          <w:lang w:val="en-GB"/>
        </w:rPr>
        <w:t>For relationships similar indicators are calculated, with a split between all and resident relationships</w:t>
      </w:r>
      <w:r w:rsidR="00457858">
        <w:rPr>
          <w:rFonts w:ascii="Arial" w:hAnsi="Arial" w:cs="Arial"/>
          <w:sz w:val="24"/>
          <w:szCs w:val="24"/>
          <w:lang w:val="en-GB"/>
        </w:rPr>
        <w:t xml:space="preserve"> (see Table 3 as example)</w:t>
      </w:r>
      <w:r w:rsidRPr="0089651A">
        <w:rPr>
          <w:rFonts w:ascii="Arial" w:hAnsi="Arial" w:cs="Arial"/>
          <w:sz w:val="24"/>
          <w:szCs w:val="24"/>
          <w:lang w:val="en-GB"/>
        </w:rPr>
        <w:t>.</w:t>
      </w:r>
    </w:p>
    <w:p w:rsidR="0089651A" w:rsidRPr="0089651A" w:rsidRDefault="0089651A" w:rsidP="0089651A">
      <w:pPr>
        <w:pStyle w:val="ListParagraph"/>
        <w:numPr>
          <w:ilvl w:val="0"/>
          <w:numId w:val="5"/>
        </w:numPr>
        <w:spacing w:before="120" w:after="0" w:line="360" w:lineRule="auto"/>
        <w:jc w:val="both"/>
        <w:rPr>
          <w:rFonts w:ascii="Arial" w:hAnsi="Arial" w:cs="Arial"/>
          <w:sz w:val="24"/>
          <w:szCs w:val="24"/>
          <w:lang w:val="en-GB"/>
        </w:rPr>
      </w:pPr>
      <w:r w:rsidRPr="0089651A">
        <w:rPr>
          <w:rFonts w:ascii="Arial" w:hAnsi="Arial" w:cs="Arial"/>
          <w:sz w:val="24"/>
          <w:szCs w:val="24"/>
          <w:lang w:val="en-GB"/>
        </w:rPr>
        <w:t>For enterprises the quality indicators measure the number of enterprises in the different stages of the EGR process.</w:t>
      </w:r>
    </w:p>
    <w:p w:rsidR="0089651A" w:rsidRPr="0089651A" w:rsidRDefault="0089651A" w:rsidP="0089651A">
      <w:pPr>
        <w:pStyle w:val="ListParagraph"/>
        <w:numPr>
          <w:ilvl w:val="0"/>
          <w:numId w:val="5"/>
        </w:numPr>
        <w:spacing w:before="120" w:after="0" w:line="360" w:lineRule="auto"/>
        <w:jc w:val="both"/>
        <w:rPr>
          <w:rFonts w:ascii="Arial" w:hAnsi="Arial" w:cs="Arial"/>
          <w:sz w:val="24"/>
          <w:szCs w:val="24"/>
          <w:lang w:val="en-GB"/>
        </w:rPr>
      </w:pPr>
      <w:r w:rsidRPr="0089651A">
        <w:rPr>
          <w:rFonts w:ascii="Arial" w:hAnsi="Arial" w:cs="Arial"/>
          <w:sz w:val="24"/>
          <w:szCs w:val="24"/>
          <w:lang w:val="en-GB"/>
        </w:rPr>
        <w:t xml:space="preserve">For enterprise groups the indicators monitor the number of groups between two reference years and the cases where continuity exists between the </w:t>
      </w:r>
      <w:r w:rsidR="00457858">
        <w:rPr>
          <w:rFonts w:ascii="Arial" w:hAnsi="Arial" w:cs="Arial"/>
          <w:sz w:val="24"/>
          <w:szCs w:val="24"/>
          <w:lang w:val="en-GB"/>
        </w:rPr>
        <w:t xml:space="preserve">two </w:t>
      </w:r>
      <w:r w:rsidRPr="0089651A">
        <w:rPr>
          <w:rFonts w:ascii="Arial" w:hAnsi="Arial" w:cs="Arial"/>
          <w:sz w:val="24"/>
          <w:szCs w:val="24"/>
          <w:lang w:val="en-GB"/>
        </w:rPr>
        <w:t>year</w:t>
      </w:r>
      <w:r w:rsidR="00457858">
        <w:rPr>
          <w:rFonts w:ascii="Arial" w:hAnsi="Arial" w:cs="Arial"/>
          <w:sz w:val="24"/>
          <w:szCs w:val="24"/>
          <w:lang w:val="en-GB"/>
        </w:rPr>
        <w:t>s (see Table 4 as example)</w:t>
      </w:r>
      <w:r w:rsidRPr="0089651A">
        <w:rPr>
          <w:rFonts w:ascii="Arial" w:hAnsi="Arial" w:cs="Arial"/>
          <w:sz w:val="24"/>
          <w:szCs w:val="24"/>
          <w:lang w:val="en-GB"/>
        </w:rPr>
        <w:t>.</w:t>
      </w:r>
    </w:p>
    <w:p w:rsidR="0089651A" w:rsidRDefault="0089651A" w:rsidP="0089651A">
      <w:pPr>
        <w:spacing w:before="120" w:after="0" w:line="360" w:lineRule="auto"/>
        <w:jc w:val="both"/>
        <w:rPr>
          <w:rFonts w:ascii="Arial" w:hAnsi="Arial" w:cs="Arial"/>
          <w:sz w:val="24"/>
          <w:szCs w:val="24"/>
          <w:lang w:val="en-GB"/>
        </w:rPr>
      </w:pPr>
      <w:r w:rsidRPr="00A366C1">
        <w:rPr>
          <w:rFonts w:ascii="Arial" w:hAnsi="Arial" w:cs="Arial"/>
          <w:sz w:val="24"/>
          <w:szCs w:val="24"/>
          <w:lang w:val="en-GB"/>
        </w:rPr>
        <w:t>Eurostat monitor</w:t>
      </w:r>
      <w:r>
        <w:rPr>
          <w:rFonts w:ascii="Arial" w:hAnsi="Arial" w:cs="Arial"/>
          <w:sz w:val="24"/>
          <w:szCs w:val="24"/>
          <w:lang w:val="en-GB"/>
        </w:rPr>
        <w:t>s</w:t>
      </w:r>
      <w:r w:rsidRPr="00A366C1">
        <w:rPr>
          <w:rFonts w:ascii="Arial" w:hAnsi="Arial" w:cs="Arial"/>
          <w:sz w:val="24"/>
          <w:szCs w:val="24"/>
          <w:lang w:val="en-GB"/>
        </w:rPr>
        <w:t xml:space="preserve"> the throughput indicators during the process and react</w:t>
      </w:r>
      <w:r>
        <w:rPr>
          <w:rFonts w:ascii="Arial" w:hAnsi="Arial" w:cs="Arial"/>
          <w:sz w:val="24"/>
          <w:szCs w:val="24"/>
          <w:lang w:val="en-GB"/>
        </w:rPr>
        <w:t>s</w:t>
      </w:r>
      <w:r w:rsidRPr="00A366C1">
        <w:rPr>
          <w:rFonts w:ascii="Arial" w:hAnsi="Arial" w:cs="Arial"/>
          <w:sz w:val="24"/>
          <w:szCs w:val="24"/>
          <w:lang w:val="en-GB"/>
        </w:rPr>
        <w:t xml:space="preserve"> on eventual problems in the process flow. Where needed, </w:t>
      </w:r>
      <w:r>
        <w:rPr>
          <w:rFonts w:ascii="Arial" w:hAnsi="Arial" w:cs="Arial"/>
          <w:sz w:val="24"/>
          <w:szCs w:val="24"/>
          <w:lang w:val="en-GB"/>
        </w:rPr>
        <w:t xml:space="preserve">the </w:t>
      </w:r>
      <w:r w:rsidRPr="00A366C1">
        <w:rPr>
          <w:rFonts w:ascii="Arial" w:hAnsi="Arial" w:cs="Arial"/>
          <w:sz w:val="24"/>
          <w:szCs w:val="24"/>
          <w:lang w:val="en-GB"/>
        </w:rPr>
        <w:t xml:space="preserve">concerned NSIs </w:t>
      </w:r>
      <w:r>
        <w:rPr>
          <w:rFonts w:ascii="Arial" w:hAnsi="Arial" w:cs="Arial"/>
          <w:sz w:val="24"/>
          <w:szCs w:val="24"/>
          <w:lang w:val="en-GB"/>
        </w:rPr>
        <w:t xml:space="preserve">are </w:t>
      </w:r>
      <w:r w:rsidRPr="00A366C1">
        <w:rPr>
          <w:rFonts w:ascii="Arial" w:hAnsi="Arial" w:cs="Arial"/>
          <w:sz w:val="24"/>
          <w:szCs w:val="24"/>
          <w:lang w:val="en-GB"/>
        </w:rPr>
        <w:t xml:space="preserve">contacted </w:t>
      </w:r>
      <w:r>
        <w:rPr>
          <w:rFonts w:ascii="Arial" w:hAnsi="Arial" w:cs="Arial"/>
          <w:sz w:val="24"/>
          <w:szCs w:val="24"/>
          <w:lang w:val="en-GB"/>
        </w:rPr>
        <w:t xml:space="preserve">by Eurostat </w:t>
      </w:r>
      <w:r w:rsidRPr="00A366C1">
        <w:rPr>
          <w:rFonts w:ascii="Arial" w:hAnsi="Arial" w:cs="Arial"/>
          <w:sz w:val="24"/>
          <w:szCs w:val="24"/>
          <w:lang w:val="en-GB"/>
        </w:rPr>
        <w:t>during the process.</w:t>
      </w:r>
      <w:r>
        <w:rPr>
          <w:rFonts w:ascii="Arial" w:hAnsi="Arial" w:cs="Arial"/>
          <w:sz w:val="24"/>
          <w:szCs w:val="24"/>
          <w:lang w:val="en-GB"/>
        </w:rPr>
        <w:t xml:space="preserve"> </w:t>
      </w:r>
    </w:p>
    <w:p w:rsidR="00465077" w:rsidRDefault="00465077" w:rsidP="00465077">
      <w:pPr>
        <w:pStyle w:val="Caption"/>
        <w:keepNext/>
        <w:spacing w:after="120"/>
        <w:rPr>
          <w:rFonts w:ascii="Arial" w:hAnsi="Arial" w:cs="Arial"/>
          <w:b/>
          <w:i w:val="0"/>
          <w:color w:val="auto"/>
          <w:sz w:val="20"/>
          <w:szCs w:val="20"/>
          <w:lang w:val="en-GB"/>
        </w:rPr>
      </w:pPr>
    </w:p>
    <w:p w:rsidR="00F64829" w:rsidRDefault="00465077" w:rsidP="00D26CF6">
      <w:pPr>
        <w:pStyle w:val="Caption"/>
        <w:keepNext/>
        <w:spacing w:after="120"/>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Pr>
          <w:rFonts w:ascii="Arial" w:hAnsi="Arial" w:cs="Arial"/>
          <w:b/>
          <w:i w:val="0"/>
          <w:color w:val="auto"/>
          <w:sz w:val="20"/>
          <w:szCs w:val="20"/>
          <w:lang w:val="en-GB"/>
        </w:rPr>
        <w:t>3:</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Throughput quality indicators on EGR relationship data</w:t>
      </w:r>
    </w:p>
    <w:p w:rsidR="00465077" w:rsidRDefault="00F64829" w:rsidP="00465077">
      <w:pPr>
        <w:pStyle w:val="Caption"/>
        <w:keepNext/>
        <w:rPr>
          <w:rFonts w:ascii="Arial" w:hAnsi="Arial" w:cs="Arial"/>
          <w:sz w:val="24"/>
          <w:szCs w:val="24"/>
          <w:lang w:val="en-GB"/>
        </w:rPr>
      </w:pPr>
      <w:r>
        <w:rPr>
          <w:noProof/>
          <w:lang w:val="en-GB" w:eastAsia="en-GB"/>
        </w:rPr>
        <w:drawing>
          <wp:inline distT="0" distB="0" distL="0" distR="0" wp14:anchorId="10DE2FD9" wp14:editId="36DE3F05">
            <wp:extent cx="1519200" cy="80280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19200" cy="802800"/>
                    </a:xfrm>
                    <a:prstGeom prst="rect">
                      <a:avLst/>
                    </a:prstGeom>
                  </pic:spPr>
                </pic:pic>
              </a:graphicData>
            </a:graphic>
          </wp:inline>
        </w:drawing>
      </w:r>
      <w:r>
        <w:rPr>
          <w:noProof/>
          <w:lang w:val="en-GB" w:eastAsia="en-GB"/>
        </w:rPr>
        <w:drawing>
          <wp:inline distT="0" distB="0" distL="0" distR="0" wp14:anchorId="72429223" wp14:editId="7EED3236">
            <wp:extent cx="4173780" cy="837979"/>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73780" cy="837979"/>
                    </a:xfrm>
                    <a:prstGeom prst="rect">
                      <a:avLst/>
                    </a:prstGeom>
                  </pic:spPr>
                </pic:pic>
              </a:graphicData>
            </a:graphic>
          </wp:inline>
        </w:drawing>
      </w:r>
    </w:p>
    <w:p w:rsidR="00465077" w:rsidRPr="002B6901" w:rsidRDefault="00465077" w:rsidP="00465077">
      <w:pPr>
        <w:spacing w:after="0" w:line="240" w:lineRule="auto"/>
        <w:jc w:val="both"/>
        <w:rPr>
          <w:rFonts w:ascii="Arial" w:hAnsi="Arial" w:cs="Arial"/>
          <w:sz w:val="20"/>
          <w:szCs w:val="24"/>
          <w:lang w:val="en-GB"/>
        </w:rPr>
      </w:pPr>
      <w:r w:rsidRPr="002B6901">
        <w:rPr>
          <w:rFonts w:ascii="Arial" w:hAnsi="Arial" w:cs="Arial"/>
          <w:sz w:val="20"/>
          <w:szCs w:val="24"/>
          <w:lang w:val="en-GB"/>
        </w:rPr>
        <w:t>Source: EuroGroups Register 2016 data</w:t>
      </w:r>
    </w:p>
    <w:p w:rsidR="00465077" w:rsidRPr="002B6901" w:rsidRDefault="00465077" w:rsidP="00465077">
      <w:pPr>
        <w:spacing w:after="0" w:line="240" w:lineRule="auto"/>
        <w:jc w:val="both"/>
        <w:rPr>
          <w:rFonts w:ascii="Arial" w:hAnsi="Arial" w:cs="Arial"/>
          <w:sz w:val="20"/>
          <w:szCs w:val="24"/>
          <w:lang w:val="en-GB"/>
        </w:rPr>
      </w:pPr>
      <w:r w:rsidRPr="002B6901">
        <w:rPr>
          <w:rFonts w:ascii="Arial" w:hAnsi="Arial" w:cs="Arial"/>
          <w:sz w:val="20"/>
          <w:szCs w:val="24"/>
          <w:lang w:val="en-GB"/>
        </w:rPr>
        <w:t xml:space="preserve">Notes: Columns of the table: source of data, reference year, number of </w:t>
      </w:r>
      <w:r w:rsidR="00F64829" w:rsidRPr="002B6901">
        <w:rPr>
          <w:rFonts w:ascii="Arial" w:hAnsi="Arial" w:cs="Arial"/>
          <w:sz w:val="20"/>
          <w:szCs w:val="24"/>
          <w:lang w:val="en-GB"/>
        </w:rPr>
        <w:t xml:space="preserve">resident </w:t>
      </w:r>
      <w:r w:rsidRPr="002B6901">
        <w:rPr>
          <w:rFonts w:ascii="Arial" w:hAnsi="Arial" w:cs="Arial"/>
          <w:sz w:val="20"/>
          <w:szCs w:val="24"/>
          <w:lang w:val="en-GB"/>
        </w:rPr>
        <w:t xml:space="preserve">relationships </w:t>
      </w:r>
      <w:r w:rsidR="00F64829" w:rsidRPr="002B6901">
        <w:rPr>
          <w:rFonts w:ascii="Arial" w:hAnsi="Arial" w:cs="Arial"/>
          <w:sz w:val="20"/>
          <w:szCs w:val="24"/>
          <w:lang w:val="en-GB"/>
        </w:rPr>
        <w:t>received and imported</w:t>
      </w:r>
      <w:r w:rsidRPr="002B6901">
        <w:rPr>
          <w:rFonts w:ascii="Arial" w:hAnsi="Arial" w:cs="Arial"/>
          <w:sz w:val="20"/>
          <w:szCs w:val="24"/>
          <w:lang w:val="en-GB"/>
        </w:rPr>
        <w:t xml:space="preserve">, </w:t>
      </w:r>
      <w:r w:rsidR="00F64829" w:rsidRPr="002B6901">
        <w:rPr>
          <w:rFonts w:ascii="Arial" w:hAnsi="Arial" w:cs="Arial"/>
          <w:sz w:val="20"/>
          <w:szCs w:val="24"/>
          <w:lang w:val="en-GB"/>
        </w:rPr>
        <w:t xml:space="preserve">number of resident relationships transformed, </w:t>
      </w:r>
      <w:r w:rsidRPr="002B6901">
        <w:rPr>
          <w:rFonts w:ascii="Arial" w:hAnsi="Arial" w:cs="Arial"/>
          <w:sz w:val="20"/>
          <w:szCs w:val="24"/>
          <w:lang w:val="en-GB"/>
        </w:rPr>
        <w:t xml:space="preserve">number of </w:t>
      </w:r>
      <w:r w:rsidR="00F64829" w:rsidRPr="002B6901">
        <w:rPr>
          <w:rFonts w:ascii="Arial" w:hAnsi="Arial" w:cs="Arial"/>
          <w:sz w:val="20"/>
          <w:szCs w:val="24"/>
          <w:lang w:val="en-GB"/>
        </w:rPr>
        <w:t xml:space="preserve">resident </w:t>
      </w:r>
      <w:r w:rsidRPr="002B6901">
        <w:rPr>
          <w:rFonts w:ascii="Arial" w:hAnsi="Arial" w:cs="Arial"/>
          <w:sz w:val="20"/>
          <w:szCs w:val="24"/>
          <w:lang w:val="en-GB"/>
        </w:rPr>
        <w:t xml:space="preserve">relationships </w:t>
      </w:r>
      <w:r w:rsidR="00F64829" w:rsidRPr="002B6901">
        <w:rPr>
          <w:rFonts w:ascii="Arial" w:hAnsi="Arial" w:cs="Arial"/>
          <w:sz w:val="20"/>
          <w:szCs w:val="24"/>
          <w:lang w:val="en-GB"/>
        </w:rPr>
        <w:t>consolidated, difference of consolidated and imported resident relationships, % of consolidated and imported resident relationships (records reaching the consolidation area)</w:t>
      </w:r>
    </w:p>
    <w:p w:rsidR="00465077" w:rsidRDefault="00465077" w:rsidP="00465077">
      <w:pPr>
        <w:pStyle w:val="Caption"/>
        <w:keepNext/>
        <w:spacing w:before="120" w:after="120"/>
        <w:rPr>
          <w:rFonts w:ascii="Arial" w:hAnsi="Arial" w:cs="Arial"/>
          <w:b/>
          <w:i w:val="0"/>
          <w:color w:val="auto"/>
          <w:sz w:val="20"/>
          <w:szCs w:val="20"/>
          <w:lang w:val="en-GB"/>
        </w:rPr>
      </w:pPr>
    </w:p>
    <w:p w:rsidR="00465077" w:rsidRDefault="00465077" w:rsidP="00D26CF6">
      <w:pPr>
        <w:pStyle w:val="Caption"/>
        <w:keepNext/>
        <w:spacing w:after="120"/>
        <w:rPr>
          <w:noProof/>
          <w:lang w:val="en-GB" w:eastAsia="en-GB"/>
        </w:rPr>
      </w:pPr>
      <w:r w:rsidRPr="00EC5F5A">
        <w:rPr>
          <w:rFonts w:ascii="Arial" w:hAnsi="Arial" w:cs="Arial"/>
          <w:b/>
          <w:i w:val="0"/>
          <w:color w:val="auto"/>
          <w:sz w:val="20"/>
          <w:szCs w:val="20"/>
          <w:lang w:val="en-GB"/>
        </w:rPr>
        <w:t xml:space="preserve">Table </w:t>
      </w:r>
      <w:r>
        <w:rPr>
          <w:rFonts w:ascii="Arial" w:hAnsi="Arial" w:cs="Arial"/>
          <w:b/>
          <w:i w:val="0"/>
          <w:color w:val="auto"/>
          <w:sz w:val="20"/>
          <w:szCs w:val="20"/>
          <w:lang w:val="en-GB"/>
        </w:rPr>
        <w:t>4:</w:t>
      </w:r>
      <w:r w:rsidRPr="00EC5F5A">
        <w:rPr>
          <w:rFonts w:ascii="Arial" w:hAnsi="Arial" w:cs="Arial"/>
          <w:b/>
          <w:i w:val="0"/>
          <w:color w:val="auto"/>
          <w:sz w:val="20"/>
          <w:szCs w:val="20"/>
          <w:lang w:val="en-GB"/>
        </w:rPr>
        <w:t xml:space="preserve"> </w:t>
      </w:r>
      <w:r w:rsidR="00F64829">
        <w:rPr>
          <w:rFonts w:ascii="Arial" w:hAnsi="Arial" w:cs="Arial"/>
          <w:b/>
          <w:i w:val="0"/>
          <w:color w:val="auto"/>
          <w:sz w:val="20"/>
          <w:szCs w:val="20"/>
          <w:lang w:val="en-GB"/>
        </w:rPr>
        <w:t xml:space="preserve">Throughput </w:t>
      </w:r>
      <w:r>
        <w:rPr>
          <w:rFonts w:ascii="Arial" w:hAnsi="Arial" w:cs="Arial"/>
          <w:b/>
          <w:i w:val="0"/>
          <w:color w:val="auto"/>
          <w:sz w:val="20"/>
          <w:szCs w:val="20"/>
          <w:lang w:val="en-GB"/>
        </w:rPr>
        <w:t xml:space="preserve">quality indicators on EGR </w:t>
      </w:r>
      <w:r w:rsidR="00533E1F">
        <w:rPr>
          <w:rFonts w:ascii="Arial" w:hAnsi="Arial" w:cs="Arial"/>
          <w:b/>
          <w:i w:val="0"/>
          <w:color w:val="auto"/>
          <w:sz w:val="20"/>
          <w:szCs w:val="20"/>
          <w:lang w:val="en-GB"/>
        </w:rPr>
        <w:t>enterprise group data</w:t>
      </w:r>
      <w:r w:rsidR="00F64829" w:rsidRPr="00F64829">
        <w:rPr>
          <w:noProof/>
          <w:lang w:val="en-GB" w:eastAsia="en-GB"/>
        </w:rPr>
        <w:t xml:space="preserve"> </w:t>
      </w:r>
    </w:p>
    <w:p w:rsidR="00D26CF6" w:rsidRPr="00D26CF6" w:rsidRDefault="00457858" w:rsidP="00D26CF6">
      <w:pPr>
        <w:rPr>
          <w:lang w:val="en-GB" w:eastAsia="en-GB"/>
        </w:rPr>
      </w:pPr>
      <w:r>
        <w:rPr>
          <w:noProof/>
          <w:lang w:val="en-GB" w:eastAsia="en-GB"/>
        </w:rPr>
        <w:drawing>
          <wp:inline distT="0" distB="0" distL="0" distR="0" wp14:anchorId="300A3A3D" wp14:editId="228A5F49">
            <wp:extent cx="5760720" cy="7692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769239"/>
                    </a:xfrm>
                    <a:prstGeom prst="rect">
                      <a:avLst/>
                    </a:prstGeom>
                  </pic:spPr>
                </pic:pic>
              </a:graphicData>
            </a:graphic>
          </wp:inline>
        </w:drawing>
      </w:r>
    </w:p>
    <w:p w:rsidR="00465077" w:rsidRPr="002B6901" w:rsidRDefault="00465077" w:rsidP="00465077">
      <w:pPr>
        <w:spacing w:after="0" w:line="240" w:lineRule="auto"/>
        <w:jc w:val="both"/>
        <w:rPr>
          <w:rFonts w:ascii="Arial" w:hAnsi="Arial" w:cs="Arial"/>
          <w:sz w:val="20"/>
          <w:szCs w:val="24"/>
          <w:lang w:val="en-GB"/>
        </w:rPr>
      </w:pPr>
      <w:r w:rsidRPr="002B6901">
        <w:rPr>
          <w:rFonts w:ascii="Arial" w:hAnsi="Arial" w:cs="Arial"/>
          <w:sz w:val="20"/>
          <w:szCs w:val="24"/>
          <w:lang w:val="en-GB"/>
        </w:rPr>
        <w:t>Source: EuroGroups Register 2016 data</w:t>
      </w:r>
    </w:p>
    <w:p w:rsidR="00465077" w:rsidRDefault="00465077" w:rsidP="009010DD">
      <w:pPr>
        <w:spacing w:after="0" w:line="240" w:lineRule="auto"/>
        <w:jc w:val="both"/>
        <w:rPr>
          <w:rFonts w:ascii="Arial" w:hAnsi="Arial" w:cs="Arial"/>
          <w:sz w:val="20"/>
          <w:szCs w:val="24"/>
          <w:lang w:val="en-GB"/>
        </w:rPr>
      </w:pPr>
      <w:r w:rsidRPr="002B6901">
        <w:rPr>
          <w:rFonts w:ascii="Arial" w:hAnsi="Arial" w:cs="Arial"/>
          <w:sz w:val="20"/>
          <w:szCs w:val="24"/>
          <w:lang w:val="en-GB"/>
        </w:rPr>
        <w:t xml:space="preserve">Notes: Columns of the table: </w:t>
      </w:r>
      <w:r w:rsidR="00533E1F" w:rsidRPr="002B6901">
        <w:rPr>
          <w:rFonts w:ascii="Arial" w:hAnsi="Arial" w:cs="Arial"/>
          <w:sz w:val="20"/>
          <w:szCs w:val="24"/>
          <w:lang w:val="en-GB"/>
        </w:rPr>
        <w:t>country of the group</w:t>
      </w:r>
      <w:r w:rsidRPr="002B6901">
        <w:rPr>
          <w:rFonts w:ascii="Arial" w:hAnsi="Arial" w:cs="Arial"/>
          <w:sz w:val="20"/>
          <w:szCs w:val="24"/>
          <w:lang w:val="en-GB"/>
        </w:rPr>
        <w:t>, reference year</w:t>
      </w:r>
      <w:r w:rsidR="00533E1F" w:rsidRPr="002B6901">
        <w:rPr>
          <w:rFonts w:ascii="Arial" w:hAnsi="Arial" w:cs="Arial"/>
          <w:sz w:val="20"/>
          <w:szCs w:val="24"/>
          <w:lang w:val="en-GB"/>
        </w:rPr>
        <w:t xml:space="preserve"> (T)</w:t>
      </w:r>
      <w:r w:rsidRPr="002B6901">
        <w:rPr>
          <w:rFonts w:ascii="Arial" w:hAnsi="Arial" w:cs="Arial"/>
          <w:sz w:val="20"/>
          <w:szCs w:val="24"/>
          <w:lang w:val="en-GB"/>
        </w:rPr>
        <w:t>, number of</w:t>
      </w:r>
      <w:r w:rsidR="00533E1F" w:rsidRPr="002B6901">
        <w:rPr>
          <w:rFonts w:ascii="Arial" w:hAnsi="Arial" w:cs="Arial"/>
          <w:sz w:val="20"/>
          <w:szCs w:val="24"/>
          <w:lang w:val="en-GB"/>
        </w:rPr>
        <w:t xml:space="preserve"> enterprise groups in year T, number of enterprise groups in year T-1</w:t>
      </w:r>
      <w:r w:rsidR="009010DD" w:rsidRPr="002B6901">
        <w:rPr>
          <w:rFonts w:ascii="Arial" w:hAnsi="Arial" w:cs="Arial"/>
          <w:sz w:val="20"/>
          <w:szCs w:val="24"/>
          <w:lang w:val="en-GB"/>
        </w:rPr>
        <w:t>, difference of year T and T-1, % T</w:t>
      </w:r>
      <w:r w:rsidR="00457858">
        <w:rPr>
          <w:rFonts w:ascii="Arial" w:hAnsi="Arial" w:cs="Arial"/>
          <w:sz w:val="20"/>
          <w:szCs w:val="24"/>
          <w:lang w:val="en-GB"/>
        </w:rPr>
        <w:t>/</w:t>
      </w:r>
      <w:r w:rsidR="009010DD" w:rsidRPr="002B6901">
        <w:rPr>
          <w:rFonts w:ascii="Arial" w:hAnsi="Arial" w:cs="Arial"/>
          <w:sz w:val="20"/>
          <w:szCs w:val="24"/>
          <w:lang w:val="en-GB"/>
        </w:rPr>
        <w:t>T-1, groups with continuity, % of groups with continuity</w:t>
      </w:r>
    </w:p>
    <w:p w:rsidR="00BA49E6" w:rsidRPr="002B6901" w:rsidRDefault="00BA49E6" w:rsidP="009010DD">
      <w:pPr>
        <w:spacing w:after="0" w:line="240" w:lineRule="auto"/>
        <w:jc w:val="both"/>
        <w:rPr>
          <w:rFonts w:ascii="Arial" w:hAnsi="Arial" w:cs="Arial"/>
          <w:sz w:val="20"/>
          <w:szCs w:val="24"/>
          <w:lang w:val="en-GB"/>
        </w:rPr>
      </w:pPr>
    </w:p>
    <w:p w:rsidR="0089651A" w:rsidRPr="0089651A" w:rsidRDefault="0089651A" w:rsidP="0089651A">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 xml:space="preserve">Also for the </w:t>
      </w:r>
      <w:r w:rsidRPr="00A366C1">
        <w:rPr>
          <w:rFonts w:ascii="Arial" w:hAnsi="Arial" w:cs="Arial"/>
          <w:sz w:val="24"/>
          <w:szCs w:val="24"/>
          <w:lang w:val="en-GB"/>
        </w:rPr>
        <w:t xml:space="preserve">throughput indicators </w:t>
      </w:r>
      <w:r w:rsidRPr="0089651A">
        <w:rPr>
          <w:rFonts w:ascii="Arial" w:hAnsi="Arial" w:cs="Arial"/>
          <w:sz w:val="24"/>
          <w:szCs w:val="24"/>
          <w:lang w:val="en-GB"/>
        </w:rPr>
        <w:t xml:space="preserve">Eurostat and the NSIs are working on defining thresholds as minimum criteria for acceptance of </w:t>
      </w:r>
      <w:r>
        <w:rPr>
          <w:rFonts w:ascii="Arial" w:hAnsi="Arial" w:cs="Arial"/>
          <w:sz w:val="24"/>
          <w:szCs w:val="24"/>
          <w:lang w:val="en-GB"/>
        </w:rPr>
        <w:t>process results in EGR. Below th</w:t>
      </w:r>
      <w:r w:rsidR="00457858">
        <w:rPr>
          <w:rFonts w:ascii="Arial" w:hAnsi="Arial" w:cs="Arial"/>
          <w:sz w:val="24"/>
          <w:szCs w:val="24"/>
          <w:lang w:val="en-GB"/>
        </w:rPr>
        <w:t>e</w:t>
      </w:r>
      <w:r>
        <w:rPr>
          <w:rFonts w:ascii="Arial" w:hAnsi="Arial" w:cs="Arial"/>
          <w:sz w:val="24"/>
          <w:szCs w:val="24"/>
          <w:lang w:val="en-GB"/>
        </w:rPr>
        <w:t>s</w:t>
      </w:r>
      <w:r w:rsidR="00457858">
        <w:rPr>
          <w:rFonts w:ascii="Arial" w:hAnsi="Arial" w:cs="Arial"/>
          <w:sz w:val="24"/>
          <w:szCs w:val="24"/>
          <w:lang w:val="en-GB"/>
        </w:rPr>
        <w:t>e</w:t>
      </w:r>
      <w:r>
        <w:rPr>
          <w:rFonts w:ascii="Arial" w:hAnsi="Arial" w:cs="Arial"/>
          <w:sz w:val="24"/>
          <w:szCs w:val="24"/>
          <w:lang w:val="en-GB"/>
        </w:rPr>
        <w:t xml:space="preserve"> threshold</w:t>
      </w:r>
      <w:r w:rsidR="00457858">
        <w:rPr>
          <w:rFonts w:ascii="Arial" w:hAnsi="Arial" w:cs="Arial"/>
          <w:sz w:val="24"/>
          <w:szCs w:val="24"/>
          <w:lang w:val="en-GB"/>
        </w:rPr>
        <w:t>s</w:t>
      </w:r>
      <w:r>
        <w:rPr>
          <w:rFonts w:ascii="Arial" w:hAnsi="Arial" w:cs="Arial"/>
          <w:sz w:val="24"/>
          <w:szCs w:val="24"/>
          <w:lang w:val="en-GB"/>
        </w:rPr>
        <w:t xml:space="preserve"> new input data should be collected to meet the process requirements.</w:t>
      </w:r>
    </w:p>
    <w:p w:rsidR="00862EFB" w:rsidRPr="00A366C1" w:rsidRDefault="00A366C1" w:rsidP="00862EFB">
      <w:pPr>
        <w:spacing w:before="360" w:after="0" w:line="360" w:lineRule="auto"/>
        <w:jc w:val="both"/>
        <w:rPr>
          <w:rFonts w:ascii="Arial" w:hAnsi="Arial" w:cs="Arial"/>
          <w:i/>
          <w:sz w:val="24"/>
          <w:szCs w:val="24"/>
          <w:lang w:val="en-GB"/>
        </w:rPr>
      </w:pPr>
      <w:r>
        <w:rPr>
          <w:rFonts w:ascii="Arial" w:hAnsi="Arial" w:cs="Arial"/>
          <w:i/>
          <w:sz w:val="24"/>
          <w:szCs w:val="24"/>
          <w:lang w:val="en-GB"/>
        </w:rPr>
        <w:t>3</w:t>
      </w:r>
      <w:r w:rsidR="00862EFB" w:rsidRPr="00A366C1">
        <w:rPr>
          <w:rFonts w:ascii="Arial" w:hAnsi="Arial" w:cs="Arial"/>
          <w:i/>
          <w:sz w:val="24"/>
          <w:szCs w:val="24"/>
          <w:lang w:val="en-GB"/>
        </w:rPr>
        <w:t>.</w:t>
      </w:r>
      <w:r>
        <w:rPr>
          <w:rFonts w:ascii="Arial" w:hAnsi="Arial" w:cs="Arial"/>
          <w:i/>
          <w:sz w:val="24"/>
          <w:szCs w:val="24"/>
          <w:lang w:val="en-GB"/>
        </w:rPr>
        <w:t>3</w:t>
      </w:r>
      <w:r w:rsidR="00862EFB" w:rsidRPr="00A366C1">
        <w:rPr>
          <w:rFonts w:ascii="Arial" w:hAnsi="Arial" w:cs="Arial"/>
          <w:i/>
          <w:sz w:val="24"/>
          <w:szCs w:val="24"/>
          <w:lang w:val="en-GB"/>
        </w:rPr>
        <w:t xml:space="preserve"> EGR output data and their quality indicators</w:t>
      </w:r>
    </w:p>
    <w:p w:rsidR="0089651A" w:rsidRDefault="0089651A" w:rsidP="00862EFB">
      <w:pPr>
        <w:spacing w:before="120" w:after="0" w:line="360" w:lineRule="auto"/>
        <w:jc w:val="both"/>
        <w:rPr>
          <w:rFonts w:ascii="Arial" w:hAnsi="Arial" w:cs="Arial"/>
          <w:sz w:val="24"/>
          <w:szCs w:val="24"/>
          <w:lang w:val="en-GB"/>
        </w:rPr>
      </w:pPr>
      <w:r w:rsidRPr="0089651A">
        <w:rPr>
          <w:rFonts w:ascii="Arial" w:hAnsi="Arial" w:cs="Arial"/>
          <w:sz w:val="24"/>
          <w:szCs w:val="24"/>
          <w:lang w:val="en-GB"/>
        </w:rPr>
        <w:t xml:space="preserve">In the EGR database </w:t>
      </w:r>
      <w:r w:rsidR="00457858">
        <w:rPr>
          <w:rFonts w:ascii="Arial" w:hAnsi="Arial" w:cs="Arial"/>
          <w:sz w:val="24"/>
          <w:szCs w:val="24"/>
          <w:lang w:val="en-GB"/>
        </w:rPr>
        <w:t xml:space="preserve">the </w:t>
      </w:r>
      <w:r w:rsidRPr="0089651A">
        <w:rPr>
          <w:rFonts w:ascii="Arial" w:hAnsi="Arial" w:cs="Arial"/>
          <w:sz w:val="24"/>
          <w:szCs w:val="24"/>
          <w:lang w:val="en-GB"/>
        </w:rPr>
        <w:t xml:space="preserve">output indicators measure the completeness of the EGR output data, as they are disseminated </w:t>
      </w:r>
      <w:r>
        <w:rPr>
          <w:rFonts w:ascii="Arial" w:hAnsi="Arial" w:cs="Arial"/>
          <w:sz w:val="24"/>
          <w:szCs w:val="24"/>
          <w:lang w:val="en-GB"/>
        </w:rPr>
        <w:t>to users after closing the EGR yearly cycles</w:t>
      </w:r>
      <w:r w:rsidRPr="0089651A">
        <w:rPr>
          <w:rFonts w:ascii="Arial" w:hAnsi="Arial" w:cs="Arial"/>
          <w:sz w:val="24"/>
          <w:szCs w:val="24"/>
          <w:lang w:val="en-GB"/>
        </w:rPr>
        <w:t>. Eurostat calculate</w:t>
      </w:r>
      <w:r>
        <w:rPr>
          <w:rFonts w:ascii="Arial" w:hAnsi="Arial" w:cs="Arial"/>
          <w:sz w:val="24"/>
          <w:szCs w:val="24"/>
          <w:lang w:val="en-GB"/>
        </w:rPr>
        <w:t>s</w:t>
      </w:r>
      <w:r w:rsidRPr="0089651A">
        <w:rPr>
          <w:rFonts w:ascii="Arial" w:hAnsi="Arial" w:cs="Arial"/>
          <w:sz w:val="24"/>
          <w:szCs w:val="24"/>
          <w:lang w:val="en-GB"/>
        </w:rPr>
        <w:t xml:space="preserve"> these indicators based on the </w:t>
      </w:r>
      <w:r>
        <w:rPr>
          <w:rFonts w:ascii="Arial" w:hAnsi="Arial" w:cs="Arial"/>
          <w:sz w:val="24"/>
          <w:szCs w:val="24"/>
          <w:lang w:val="en-GB"/>
        </w:rPr>
        <w:t>yearly E</w:t>
      </w:r>
      <w:r w:rsidRPr="0089651A">
        <w:rPr>
          <w:rFonts w:ascii="Arial" w:hAnsi="Arial" w:cs="Arial"/>
          <w:sz w:val="24"/>
          <w:szCs w:val="24"/>
          <w:lang w:val="en-GB"/>
        </w:rPr>
        <w:t xml:space="preserve">GR final data. </w:t>
      </w:r>
    </w:p>
    <w:p w:rsidR="00862EFB" w:rsidRDefault="0089651A" w:rsidP="00862EFB">
      <w:pPr>
        <w:spacing w:before="120" w:after="0" w:line="360" w:lineRule="auto"/>
        <w:jc w:val="both"/>
        <w:rPr>
          <w:rFonts w:ascii="Arial" w:hAnsi="Arial" w:cs="Arial"/>
          <w:sz w:val="24"/>
          <w:szCs w:val="24"/>
          <w:lang w:val="en-GB"/>
        </w:rPr>
      </w:pPr>
      <w:r w:rsidRPr="0089651A">
        <w:rPr>
          <w:rFonts w:ascii="Arial" w:hAnsi="Arial" w:cs="Arial"/>
          <w:sz w:val="24"/>
          <w:szCs w:val="24"/>
          <w:lang w:val="en-GB"/>
        </w:rPr>
        <w:t xml:space="preserve">The indicators </w:t>
      </w:r>
      <w:r>
        <w:rPr>
          <w:rFonts w:ascii="Arial" w:hAnsi="Arial" w:cs="Arial"/>
          <w:sz w:val="24"/>
          <w:szCs w:val="24"/>
          <w:lang w:val="en-GB"/>
        </w:rPr>
        <w:t xml:space="preserve">are </w:t>
      </w:r>
      <w:r w:rsidRPr="0089651A">
        <w:rPr>
          <w:rFonts w:ascii="Arial" w:hAnsi="Arial" w:cs="Arial"/>
          <w:sz w:val="24"/>
          <w:szCs w:val="24"/>
          <w:lang w:val="en-GB"/>
        </w:rPr>
        <w:t>calculated per country</w:t>
      </w:r>
      <w:r>
        <w:rPr>
          <w:rFonts w:ascii="Arial" w:hAnsi="Arial" w:cs="Arial"/>
          <w:sz w:val="24"/>
          <w:szCs w:val="24"/>
          <w:lang w:val="en-GB"/>
        </w:rPr>
        <w:t xml:space="preserve"> and </w:t>
      </w:r>
      <w:r w:rsidRPr="0089651A">
        <w:rPr>
          <w:rFonts w:ascii="Arial" w:hAnsi="Arial" w:cs="Arial"/>
          <w:sz w:val="24"/>
          <w:szCs w:val="24"/>
          <w:lang w:val="en-GB"/>
        </w:rPr>
        <w:t xml:space="preserve">measure the completeness of the legal unit, enterprise </w:t>
      </w:r>
      <w:r w:rsidR="00457858">
        <w:rPr>
          <w:rFonts w:ascii="Arial" w:hAnsi="Arial" w:cs="Arial"/>
          <w:sz w:val="24"/>
          <w:szCs w:val="24"/>
          <w:lang w:val="en-GB"/>
        </w:rPr>
        <w:t xml:space="preserve">(see Table 5 as example) </w:t>
      </w:r>
      <w:r w:rsidRPr="0089651A">
        <w:rPr>
          <w:rFonts w:ascii="Arial" w:hAnsi="Arial" w:cs="Arial"/>
          <w:sz w:val="24"/>
          <w:szCs w:val="24"/>
          <w:lang w:val="en-GB"/>
        </w:rPr>
        <w:t>and enterprise group data in EGR final frame.</w:t>
      </w:r>
    </w:p>
    <w:p w:rsidR="009010DD" w:rsidRDefault="009010DD" w:rsidP="00D26CF6">
      <w:pPr>
        <w:spacing w:before="120" w:after="0" w:line="240" w:lineRule="auto"/>
        <w:jc w:val="both"/>
        <w:rPr>
          <w:rFonts w:ascii="Arial" w:hAnsi="Arial" w:cs="Arial"/>
          <w:b/>
          <w:sz w:val="20"/>
          <w:szCs w:val="20"/>
          <w:lang w:val="en-GB"/>
        </w:rPr>
      </w:pPr>
      <w:r w:rsidRPr="00EC5F5A">
        <w:rPr>
          <w:rFonts w:ascii="Arial" w:hAnsi="Arial" w:cs="Arial"/>
          <w:b/>
          <w:sz w:val="20"/>
          <w:szCs w:val="20"/>
          <w:lang w:val="en-GB"/>
        </w:rPr>
        <w:t xml:space="preserve">Table </w:t>
      </w:r>
      <w:r>
        <w:rPr>
          <w:rFonts w:ascii="Arial" w:hAnsi="Arial" w:cs="Arial"/>
          <w:b/>
          <w:sz w:val="20"/>
          <w:szCs w:val="20"/>
          <w:lang w:val="en-GB"/>
        </w:rPr>
        <w:t>5</w:t>
      </w:r>
      <w:r>
        <w:rPr>
          <w:rFonts w:ascii="Arial" w:hAnsi="Arial" w:cs="Arial"/>
          <w:b/>
          <w:i/>
          <w:sz w:val="20"/>
          <w:szCs w:val="20"/>
          <w:lang w:val="en-GB"/>
        </w:rPr>
        <w:t>:</w:t>
      </w:r>
      <w:r w:rsidRPr="00EC5F5A">
        <w:rPr>
          <w:rFonts w:ascii="Arial" w:hAnsi="Arial" w:cs="Arial"/>
          <w:b/>
          <w:sz w:val="20"/>
          <w:szCs w:val="20"/>
          <w:lang w:val="en-GB"/>
        </w:rPr>
        <w:t xml:space="preserve"> </w:t>
      </w:r>
      <w:r>
        <w:rPr>
          <w:rFonts w:ascii="Arial" w:hAnsi="Arial" w:cs="Arial"/>
          <w:b/>
          <w:sz w:val="20"/>
          <w:szCs w:val="20"/>
          <w:lang w:val="en-GB"/>
        </w:rPr>
        <w:t>Output</w:t>
      </w:r>
      <w:r w:rsidRPr="009010DD">
        <w:rPr>
          <w:rFonts w:ascii="Arial" w:hAnsi="Arial" w:cs="Arial"/>
          <w:b/>
          <w:sz w:val="20"/>
          <w:szCs w:val="20"/>
          <w:lang w:val="en-GB"/>
        </w:rPr>
        <w:t xml:space="preserve"> quality indicators on EGR enterprise data</w:t>
      </w:r>
    </w:p>
    <w:p w:rsidR="00D26CF6" w:rsidRDefault="00D26CF6" w:rsidP="00862EFB">
      <w:pPr>
        <w:spacing w:before="120" w:after="0" w:line="360" w:lineRule="auto"/>
        <w:jc w:val="both"/>
        <w:rPr>
          <w:rFonts w:ascii="Arial" w:hAnsi="Arial" w:cs="Arial"/>
          <w:sz w:val="24"/>
          <w:szCs w:val="24"/>
          <w:lang w:val="en-GB"/>
        </w:rPr>
      </w:pPr>
      <w:r>
        <w:rPr>
          <w:noProof/>
          <w:lang w:val="en-GB" w:eastAsia="en-GB"/>
        </w:rPr>
        <w:drawing>
          <wp:inline distT="0" distB="0" distL="0" distR="0" wp14:anchorId="4C99CB14" wp14:editId="43109927">
            <wp:extent cx="5760720" cy="6216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621665"/>
                    </a:xfrm>
                    <a:prstGeom prst="rect">
                      <a:avLst/>
                    </a:prstGeom>
                  </pic:spPr>
                </pic:pic>
              </a:graphicData>
            </a:graphic>
          </wp:inline>
        </w:drawing>
      </w:r>
    </w:p>
    <w:p w:rsidR="009010DD" w:rsidRPr="002B6901" w:rsidRDefault="009010DD" w:rsidP="009010DD">
      <w:pPr>
        <w:spacing w:after="0" w:line="240" w:lineRule="auto"/>
        <w:jc w:val="both"/>
        <w:rPr>
          <w:rFonts w:ascii="Arial" w:hAnsi="Arial" w:cs="Arial"/>
          <w:sz w:val="20"/>
          <w:szCs w:val="24"/>
          <w:lang w:val="en-GB"/>
        </w:rPr>
      </w:pPr>
      <w:r w:rsidRPr="002B6901">
        <w:rPr>
          <w:rFonts w:ascii="Arial" w:hAnsi="Arial" w:cs="Arial"/>
          <w:sz w:val="20"/>
          <w:szCs w:val="24"/>
          <w:lang w:val="en-GB"/>
        </w:rPr>
        <w:t>Source: EuroGroups Register 2016 data</w:t>
      </w:r>
    </w:p>
    <w:p w:rsidR="009010DD" w:rsidRPr="002B6901" w:rsidRDefault="009010DD" w:rsidP="009010DD">
      <w:pPr>
        <w:spacing w:after="0" w:line="240" w:lineRule="auto"/>
        <w:jc w:val="both"/>
        <w:rPr>
          <w:rFonts w:ascii="Arial" w:hAnsi="Arial" w:cs="Arial"/>
          <w:sz w:val="20"/>
          <w:szCs w:val="24"/>
          <w:lang w:val="en-GB"/>
        </w:rPr>
      </w:pPr>
      <w:r w:rsidRPr="002B6901">
        <w:rPr>
          <w:rFonts w:ascii="Arial" w:hAnsi="Arial" w:cs="Arial"/>
          <w:sz w:val="20"/>
          <w:szCs w:val="24"/>
          <w:lang w:val="en-GB"/>
        </w:rPr>
        <w:t>Notes: Columns of the table: country of the enterprise, reference year, % of enterprises with</w:t>
      </w:r>
      <w:r w:rsidR="00457858">
        <w:rPr>
          <w:rFonts w:ascii="Arial" w:hAnsi="Arial" w:cs="Arial"/>
          <w:sz w:val="20"/>
          <w:szCs w:val="24"/>
          <w:lang w:val="en-GB"/>
        </w:rPr>
        <w:t>:</w:t>
      </w:r>
      <w:r w:rsidRPr="002B6901">
        <w:rPr>
          <w:rFonts w:ascii="Arial" w:hAnsi="Arial" w:cs="Arial"/>
          <w:sz w:val="20"/>
          <w:szCs w:val="24"/>
          <w:lang w:val="en-GB"/>
        </w:rPr>
        <w:t xml:space="preserve"> EGR ID number, national ID number, name, address, city name, country code, NACE main activity code, employment data, turnover data</w:t>
      </w:r>
    </w:p>
    <w:p w:rsidR="009010DD" w:rsidRPr="002B6901" w:rsidRDefault="009010DD" w:rsidP="009010DD">
      <w:pPr>
        <w:spacing w:after="0" w:line="240" w:lineRule="auto"/>
        <w:jc w:val="both"/>
        <w:rPr>
          <w:rFonts w:ascii="Arial" w:hAnsi="Arial" w:cs="Arial"/>
          <w:sz w:val="24"/>
          <w:szCs w:val="24"/>
          <w:lang w:val="en-GB"/>
        </w:rPr>
      </w:pPr>
    </w:p>
    <w:p w:rsidR="00862EFB" w:rsidRPr="00EC5F5A" w:rsidRDefault="00931474" w:rsidP="00862EFB">
      <w:pPr>
        <w:spacing w:before="360" w:after="0" w:line="360" w:lineRule="auto"/>
        <w:jc w:val="both"/>
        <w:rPr>
          <w:rFonts w:ascii="Arial" w:hAnsi="Arial" w:cs="Arial"/>
          <w:b/>
          <w:sz w:val="24"/>
          <w:szCs w:val="24"/>
          <w:lang w:val="en-GB"/>
        </w:rPr>
      </w:pPr>
      <w:r>
        <w:rPr>
          <w:rFonts w:ascii="Arial" w:hAnsi="Arial" w:cs="Arial"/>
          <w:b/>
          <w:sz w:val="24"/>
          <w:szCs w:val="24"/>
          <w:lang w:val="en-GB"/>
        </w:rPr>
        <w:t>4</w:t>
      </w:r>
      <w:r w:rsidR="00862EFB" w:rsidRPr="00EC5F5A">
        <w:rPr>
          <w:rFonts w:ascii="Arial" w:hAnsi="Arial" w:cs="Arial"/>
          <w:b/>
          <w:sz w:val="24"/>
          <w:szCs w:val="24"/>
          <w:lang w:val="en-GB"/>
        </w:rPr>
        <w:t xml:space="preserve">. </w:t>
      </w:r>
      <w:r w:rsidR="00862EFB">
        <w:rPr>
          <w:rFonts w:ascii="Arial" w:hAnsi="Arial" w:cs="Arial"/>
          <w:b/>
          <w:sz w:val="24"/>
          <w:szCs w:val="24"/>
          <w:lang w:val="en-GB"/>
        </w:rPr>
        <w:t xml:space="preserve">Measuring EGR quality compared to </w:t>
      </w:r>
      <w:r w:rsidR="000A15BA">
        <w:rPr>
          <w:rFonts w:ascii="Arial" w:hAnsi="Arial" w:cs="Arial"/>
          <w:b/>
          <w:sz w:val="24"/>
          <w:szCs w:val="24"/>
          <w:lang w:val="en-GB"/>
        </w:rPr>
        <w:t xml:space="preserve">other </w:t>
      </w:r>
      <w:r w:rsidR="00862EFB">
        <w:rPr>
          <w:rFonts w:ascii="Arial" w:hAnsi="Arial" w:cs="Arial"/>
          <w:b/>
          <w:sz w:val="24"/>
          <w:szCs w:val="24"/>
          <w:lang w:val="en-GB"/>
        </w:rPr>
        <w:t>official statistics</w:t>
      </w:r>
    </w:p>
    <w:p w:rsidR="00BD5446" w:rsidRDefault="00BD5446" w:rsidP="00862EFB">
      <w:pPr>
        <w:spacing w:before="120" w:after="0" w:line="360" w:lineRule="auto"/>
        <w:jc w:val="both"/>
        <w:rPr>
          <w:rFonts w:ascii="Arial" w:hAnsi="Arial" w:cs="Arial"/>
          <w:sz w:val="24"/>
          <w:szCs w:val="24"/>
          <w:lang w:val="en-GB"/>
        </w:rPr>
      </w:pPr>
      <w:r>
        <w:rPr>
          <w:rFonts w:ascii="Arial" w:hAnsi="Arial" w:cs="Arial"/>
          <w:sz w:val="24"/>
          <w:szCs w:val="24"/>
          <w:lang w:val="en-GB"/>
        </w:rPr>
        <w:t xml:space="preserve">After completion of the EGR cycles </w:t>
      </w:r>
      <w:r w:rsidR="009010DD">
        <w:rPr>
          <w:rFonts w:ascii="Arial" w:hAnsi="Arial" w:cs="Arial"/>
          <w:sz w:val="24"/>
          <w:szCs w:val="24"/>
          <w:lang w:val="en-GB"/>
        </w:rPr>
        <w:t xml:space="preserve">the contributing </w:t>
      </w:r>
      <w:r w:rsidR="0089651A" w:rsidRPr="0089651A">
        <w:rPr>
          <w:rFonts w:ascii="Arial" w:hAnsi="Arial" w:cs="Arial"/>
          <w:sz w:val="24"/>
          <w:szCs w:val="24"/>
          <w:lang w:val="en-GB"/>
        </w:rPr>
        <w:t xml:space="preserve">NSIs calculate micro level quality indicators on the EGR output for comparing national EGR </w:t>
      </w:r>
      <w:r>
        <w:rPr>
          <w:rFonts w:ascii="Arial" w:hAnsi="Arial" w:cs="Arial"/>
          <w:sz w:val="24"/>
          <w:szCs w:val="24"/>
          <w:lang w:val="en-GB"/>
        </w:rPr>
        <w:t xml:space="preserve">data </w:t>
      </w:r>
      <w:r w:rsidR="0089651A" w:rsidRPr="0089651A">
        <w:rPr>
          <w:rFonts w:ascii="Arial" w:hAnsi="Arial" w:cs="Arial"/>
          <w:sz w:val="24"/>
          <w:szCs w:val="24"/>
          <w:lang w:val="en-GB"/>
        </w:rPr>
        <w:t xml:space="preserve">and </w:t>
      </w:r>
      <w:r>
        <w:rPr>
          <w:rFonts w:ascii="Arial" w:hAnsi="Arial" w:cs="Arial"/>
          <w:sz w:val="24"/>
          <w:szCs w:val="24"/>
          <w:lang w:val="en-GB"/>
        </w:rPr>
        <w:t xml:space="preserve">national </w:t>
      </w:r>
      <w:r w:rsidR="0089651A" w:rsidRPr="0089651A">
        <w:rPr>
          <w:rFonts w:ascii="Arial" w:hAnsi="Arial" w:cs="Arial"/>
          <w:sz w:val="24"/>
          <w:szCs w:val="24"/>
          <w:lang w:val="en-GB"/>
        </w:rPr>
        <w:t>populations</w:t>
      </w:r>
      <w:r>
        <w:rPr>
          <w:rFonts w:ascii="Arial" w:hAnsi="Arial" w:cs="Arial"/>
          <w:sz w:val="24"/>
          <w:szCs w:val="24"/>
          <w:lang w:val="en-GB"/>
        </w:rPr>
        <w:t xml:space="preserve"> of Foreign Affiliates Statistics (FATS). </w:t>
      </w:r>
    </w:p>
    <w:p w:rsidR="00BD5446" w:rsidRDefault="00BD5446" w:rsidP="00862EFB">
      <w:pPr>
        <w:spacing w:before="120" w:after="0" w:line="360" w:lineRule="auto"/>
        <w:jc w:val="both"/>
        <w:rPr>
          <w:rFonts w:ascii="Arial" w:hAnsi="Arial" w:cs="Arial"/>
          <w:sz w:val="24"/>
          <w:szCs w:val="24"/>
          <w:lang w:val="en-GB"/>
        </w:rPr>
      </w:pPr>
      <w:r w:rsidRPr="00BD5446">
        <w:rPr>
          <w:rFonts w:ascii="Arial" w:hAnsi="Arial" w:cs="Arial"/>
          <w:sz w:val="24"/>
          <w:szCs w:val="24"/>
          <w:lang w:val="en-GB"/>
        </w:rPr>
        <w:t xml:space="preserve">The objective of these </w:t>
      </w:r>
      <w:r w:rsidR="00BA49E6">
        <w:rPr>
          <w:rFonts w:ascii="Arial" w:hAnsi="Arial" w:cs="Arial"/>
          <w:sz w:val="24"/>
          <w:szCs w:val="24"/>
          <w:lang w:val="en-GB"/>
        </w:rPr>
        <w:t xml:space="preserve">EGR-FATS </w:t>
      </w:r>
      <w:r w:rsidRPr="00BD5446">
        <w:rPr>
          <w:rFonts w:ascii="Arial" w:hAnsi="Arial" w:cs="Arial"/>
          <w:sz w:val="24"/>
          <w:szCs w:val="24"/>
          <w:lang w:val="en-GB"/>
        </w:rPr>
        <w:t xml:space="preserve">indicators is to test the quality of the EGR as a statistical frame population with respect to FATS. </w:t>
      </w:r>
      <w:r>
        <w:rPr>
          <w:rFonts w:ascii="Arial" w:hAnsi="Arial" w:cs="Arial"/>
          <w:sz w:val="24"/>
          <w:szCs w:val="24"/>
          <w:lang w:val="en-GB"/>
        </w:rPr>
        <w:t>C</w:t>
      </w:r>
      <w:r w:rsidRPr="00BD5446">
        <w:rPr>
          <w:rFonts w:ascii="Arial" w:hAnsi="Arial" w:cs="Arial"/>
          <w:sz w:val="24"/>
          <w:szCs w:val="24"/>
          <w:lang w:val="en-GB"/>
        </w:rPr>
        <w:t xml:space="preserve">ompleteness </w:t>
      </w:r>
      <w:r>
        <w:rPr>
          <w:rFonts w:ascii="Arial" w:hAnsi="Arial" w:cs="Arial"/>
          <w:sz w:val="24"/>
          <w:szCs w:val="24"/>
          <w:lang w:val="en-GB"/>
        </w:rPr>
        <w:t xml:space="preserve">and accuracy of the </w:t>
      </w:r>
      <w:r w:rsidRPr="00BD5446">
        <w:rPr>
          <w:rFonts w:ascii="Arial" w:hAnsi="Arial" w:cs="Arial"/>
          <w:sz w:val="24"/>
          <w:szCs w:val="24"/>
          <w:lang w:val="en-GB"/>
        </w:rPr>
        <w:t>two frames</w:t>
      </w:r>
      <w:r>
        <w:rPr>
          <w:rFonts w:ascii="Arial" w:hAnsi="Arial" w:cs="Arial"/>
          <w:sz w:val="24"/>
          <w:szCs w:val="24"/>
          <w:lang w:val="en-GB"/>
        </w:rPr>
        <w:t xml:space="preserve"> are measured. </w:t>
      </w:r>
    </w:p>
    <w:p w:rsidR="00BD5446" w:rsidRDefault="00BD5446" w:rsidP="00862EFB">
      <w:pPr>
        <w:spacing w:before="120" w:after="0" w:line="360" w:lineRule="auto"/>
        <w:jc w:val="both"/>
        <w:rPr>
          <w:rFonts w:ascii="Arial" w:hAnsi="Arial" w:cs="Arial"/>
          <w:sz w:val="24"/>
          <w:szCs w:val="24"/>
          <w:lang w:val="en-GB"/>
        </w:rPr>
      </w:pPr>
      <w:r w:rsidRPr="00BD5446">
        <w:rPr>
          <w:rFonts w:ascii="Arial" w:hAnsi="Arial" w:cs="Arial"/>
          <w:sz w:val="24"/>
          <w:szCs w:val="24"/>
          <w:lang w:val="en-GB"/>
        </w:rPr>
        <w:t xml:space="preserve">The indicators </w:t>
      </w:r>
      <w:r>
        <w:rPr>
          <w:rFonts w:ascii="Arial" w:hAnsi="Arial" w:cs="Arial"/>
          <w:sz w:val="24"/>
          <w:szCs w:val="24"/>
          <w:lang w:val="en-GB"/>
        </w:rPr>
        <w:t xml:space="preserve">are </w:t>
      </w:r>
      <w:r w:rsidRPr="00BD5446">
        <w:rPr>
          <w:rFonts w:ascii="Arial" w:hAnsi="Arial" w:cs="Arial"/>
          <w:sz w:val="24"/>
          <w:szCs w:val="24"/>
          <w:lang w:val="en-GB"/>
        </w:rPr>
        <w:t>calcu</w:t>
      </w:r>
      <w:r>
        <w:rPr>
          <w:rFonts w:ascii="Arial" w:hAnsi="Arial" w:cs="Arial"/>
          <w:sz w:val="24"/>
          <w:szCs w:val="24"/>
          <w:lang w:val="en-GB"/>
        </w:rPr>
        <w:t>l</w:t>
      </w:r>
      <w:r w:rsidRPr="00BD5446">
        <w:rPr>
          <w:rFonts w:ascii="Arial" w:hAnsi="Arial" w:cs="Arial"/>
          <w:sz w:val="24"/>
          <w:szCs w:val="24"/>
          <w:lang w:val="en-GB"/>
        </w:rPr>
        <w:t xml:space="preserve">ated by NSIs with record-level comparison of the national EGR and </w:t>
      </w:r>
      <w:r>
        <w:rPr>
          <w:rFonts w:ascii="Arial" w:hAnsi="Arial" w:cs="Arial"/>
          <w:sz w:val="24"/>
          <w:szCs w:val="24"/>
          <w:lang w:val="en-GB"/>
        </w:rPr>
        <w:t>FATS</w:t>
      </w:r>
      <w:r w:rsidRPr="00BD5446">
        <w:rPr>
          <w:rFonts w:ascii="Arial" w:hAnsi="Arial" w:cs="Arial"/>
          <w:sz w:val="24"/>
          <w:szCs w:val="24"/>
          <w:lang w:val="en-GB"/>
        </w:rPr>
        <w:t xml:space="preserve"> populations</w:t>
      </w:r>
      <w:r>
        <w:rPr>
          <w:rFonts w:ascii="Arial" w:hAnsi="Arial" w:cs="Arial"/>
          <w:sz w:val="24"/>
          <w:szCs w:val="24"/>
          <w:lang w:val="en-GB"/>
        </w:rPr>
        <w:t xml:space="preserve">, on one hand to the population of resident foreign-controlled </w:t>
      </w:r>
      <w:r w:rsidRPr="00BD5446">
        <w:rPr>
          <w:rFonts w:ascii="Arial" w:hAnsi="Arial" w:cs="Arial"/>
          <w:sz w:val="24"/>
          <w:szCs w:val="24"/>
          <w:lang w:val="en-GB"/>
        </w:rPr>
        <w:t>enterprises</w:t>
      </w:r>
      <w:r>
        <w:rPr>
          <w:rFonts w:ascii="Arial" w:hAnsi="Arial" w:cs="Arial"/>
          <w:sz w:val="24"/>
          <w:szCs w:val="24"/>
          <w:lang w:val="en-GB"/>
        </w:rPr>
        <w:t xml:space="preserve"> (n</w:t>
      </w:r>
      <w:r w:rsidRPr="00BD5446">
        <w:rPr>
          <w:rFonts w:ascii="Arial" w:hAnsi="Arial" w:cs="Arial"/>
          <w:sz w:val="24"/>
          <w:szCs w:val="24"/>
          <w:lang w:val="en-GB"/>
        </w:rPr>
        <w:t>ational IFATS population</w:t>
      </w:r>
      <w:r>
        <w:rPr>
          <w:rFonts w:ascii="Arial" w:hAnsi="Arial" w:cs="Arial"/>
          <w:sz w:val="24"/>
          <w:szCs w:val="24"/>
          <w:lang w:val="en-GB"/>
        </w:rPr>
        <w:t xml:space="preserve">), on the </w:t>
      </w:r>
      <w:bookmarkStart w:id="0" w:name="_GoBack"/>
      <w:bookmarkEnd w:id="0"/>
      <w:r>
        <w:rPr>
          <w:rFonts w:ascii="Arial" w:hAnsi="Arial" w:cs="Arial"/>
          <w:sz w:val="24"/>
          <w:szCs w:val="24"/>
          <w:lang w:val="en-GB"/>
        </w:rPr>
        <w:t>other hand to the resident units on top of multinational groups (n</w:t>
      </w:r>
      <w:r w:rsidRPr="00BD5446">
        <w:rPr>
          <w:rFonts w:ascii="Arial" w:hAnsi="Arial" w:cs="Arial"/>
          <w:sz w:val="24"/>
          <w:szCs w:val="24"/>
          <w:lang w:val="en-GB"/>
        </w:rPr>
        <w:t xml:space="preserve">ational </w:t>
      </w:r>
      <w:r>
        <w:rPr>
          <w:rFonts w:ascii="Arial" w:hAnsi="Arial" w:cs="Arial"/>
          <w:sz w:val="24"/>
          <w:szCs w:val="24"/>
          <w:lang w:val="en-GB"/>
        </w:rPr>
        <w:t>O</w:t>
      </w:r>
      <w:r w:rsidRPr="00BD5446">
        <w:rPr>
          <w:rFonts w:ascii="Arial" w:hAnsi="Arial" w:cs="Arial"/>
          <w:sz w:val="24"/>
          <w:szCs w:val="24"/>
          <w:lang w:val="en-GB"/>
        </w:rPr>
        <w:t>FATS population</w:t>
      </w:r>
      <w:r>
        <w:rPr>
          <w:rFonts w:ascii="Arial" w:hAnsi="Arial" w:cs="Arial"/>
          <w:sz w:val="24"/>
          <w:szCs w:val="24"/>
          <w:lang w:val="en-GB"/>
        </w:rPr>
        <w:t>).</w:t>
      </w:r>
    </w:p>
    <w:p w:rsidR="00BD5446" w:rsidRDefault="00BD5446" w:rsidP="00862EFB">
      <w:pPr>
        <w:spacing w:before="120" w:after="0" w:line="360" w:lineRule="auto"/>
        <w:jc w:val="both"/>
        <w:rPr>
          <w:rFonts w:ascii="Arial" w:hAnsi="Arial" w:cs="Arial"/>
          <w:sz w:val="24"/>
          <w:szCs w:val="24"/>
          <w:lang w:val="en-GB"/>
        </w:rPr>
      </w:pPr>
      <w:r>
        <w:rPr>
          <w:rFonts w:ascii="Arial" w:hAnsi="Arial" w:cs="Arial"/>
          <w:sz w:val="24"/>
          <w:szCs w:val="24"/>
          <w:lang w:val="en-GB"/>
        </w:rPr>
        <w:t>Four indicators are calculated for the EGR frames:</w:t>
      </w:r>
    </w:p>
    <w:p w:rsidR="00BD5446" w:rsidRPr="00DB162E" w:rsidRDefault="00BD5446" w:rsidP="00DB162E">
      <w:pPr>
        <w:pStyle w:val="ListParagraph"/>
        <w:numPr>
          <w:ilvl w:val="0"/>
          <w:numId w:val="6"/>
        </w:numPr>
        <w:spacing w:before="120" w:after="0" w:line="360" w:lineRule="auto"/>
        <w:jc w:val="both"/>
        <w:rPr>
          <w:rFonts w:ascii="Arial" w:hAnsi="Arial" w:cs="Arial"/>
          <w:sz w:val="24"/>
          <w:szCs w:val="24"/>
          <w:lang w:val="en-GB"/>
        </w:rPr>
      </w:pPr>
      <w:r w:rsidRPr="00DB162E">
        <w:rPr>
          <w:rFonts w:ascii="Arial" w:hAnsi="Arial" w:cs="Arial"/>
          <w:sz w:val="24"/>
          <w:szCs w:val="24"/>
          <w:lang w:val="en-GB"/>
        </w:rPr>
        <w:lastRenderedPageBreak/>
        <w:t xml:space="preserve">Completeness of EGR </w:t>
      </w:r>
      <w:r w:rsidR="00DB162E" w:rsidRPr="00DB162E">
        <w:rPr>
          <w:rFonts w:ascii="Arial" w:hAnsi="Arial" w:cs="Arial"/>
          <w:sz w:val="24"/>
          <w:szCs w:val="24"/>
          <w:lang w:val="en-GB"/>
        </w:rPr>
        <w:t>- c</w:t>
      </w:r>
      <w:r w:rsidRPr="00DB162E">
        <w:rPr>
          <w:rFonts w:ascii="Arial" w:hAnsi="Arial" w:cs="Arial"/>
          <w:sz w:val="24"/>
          <w:szCs w:val="24"/>
          <w:lang w:val="en-GB"/>
        </w:rPr>
        <w:t>ompleteness of EGR enterprises compared to the enterprises covered by IFATS</w:t>
      </w:r>
      <w:r w:rsidR="00DB162E" w:rsidRPr="00DB162E">
        <w:rPr>
          <w:rFonts w:ascii="Arial" w:hAnsi="Arial" w:cs="Arial"/>
          <w:sz w:val="24"/>
          <w:szCs w:val="24"/>
          <w:lang w:val="en-GB"/>
        </w:rPr>
        <w:t>.</w:t>
      </w:r>
    </w:p>
    <w:p w:rsidR="00DB162E" w:rsidRPr="00DB162E" w:rsidRDefault="00DB162E" w:rsidP="00DB162E">
      <w:pPr>
        <w:pStyle w:val="ListParagraph"/>
        <w:numPr>
          <w:ilvl w:val="0"/>
          <w:numId w:val="6"/>
        </w:numPr>
        <w:spacing w:before="120" w:after="0" w:line="360" w:lineRule="auto"/>
        <w:jc w:val="both"/>
        <w:rPr>
          <w:rFonts w:ascii="Arial" w:hAnsi="Arial" w:cs="Arial"/>
          <w:sz w:val="24"/>
          <w:szCs w:val="24"/>
          <w:lang w:val="en-GB"/>
        </w:rPr>
      </w:pPr>
      <w:r w:rsidRPr="00DB162E">
        <w:rPr>
          <w:rFonts w:ascii="Arial" w:hAnsi="Arial" w:cs="Arial"/>
          <w:sz w:val="24"/>
          <w:szCs w:val="24"/>
          <w:lang w:val="en-GB"/>
        </w:rPr>
        <w:t xml:space="preserve">Completeness of EGR on employment - completeness of EGR on employment of the enterprises compared to the employment </w:t>
      </w:r>
      <w:r w:rsidR="00573B12">
        <w:rPr>
          <w:rFonts w:ascii="Arial" w:hAnsi="Arial" w:cs="Arial"/>
          <w:sz w:val="24"/>
          <w:szCs w:val="24"/>
          <w:lang w:val="en-GB"/>
        </w:rPr>
        <w:t xml:space="preserve">of </w:t>
      </w:r>
      <w:r w:rsidR="00573B12" w:rsidRPr="00DB162E">
        <w:rPr>
          <w:rFonts w:ascii="Arial" w:hAnsi="Arial" w:cs="Arial"/>
          <w:sz w:val="24"/>
          <w:szCs w:val="24"/>
          <w:lang w:val="en-GB"/>
        </w:rPr>
        <w:t xml:space="preserve">enterprises </w:t>
      </w:r>
      <w:r w:rsidRPr="00DB162E">
        <w:rPr>
          <w:rFonts w:ascii="Arial" w:hAnsi="Arial" w:cs="Arial"/>
          <w:sz w:val="24"/>
          <w:szCs w:val="24"/>
          <w:lang w:val="en-GB"/>
        </w:rPr>
        <w:t>covered by IFATS.</w:t>
      </w:r>
    </w:p>
    <w:p w:rsidR="00BD5446" w:rsidRPr="00DB162E" w:rsidRDefault="00BD5446" w:rsidP="00DB162E">
      <w:pPr>
        <w:pStyle w:val="ListParagraph"/>
        <w:numPr>
          <w:ilvl w:val="0"/>
          <w:numId w:val="6"/>
        </w:numPr>
        <w:spacing w:before="120" w:after="0" w:line="360" w:lineRule="auto"/>
        <w:jc w:val="both"/>
        <w:rPr>
          <w:rFonts w:ascii="Arial" w:hAnsi="Arial" w:cs="Arial"/>
          <w:sz w:val="24"/>
          <w:szCs w:val="24"/>
          <w:lang w:val="en-GB"/>
        </w:rPr>
      </w:pPr>
      <w:r w:rsidRPr="00DB162E">
        <w:rPr>
          <w:rFonts w:ascii="Arial" w:hAnsi="Arial" w:cs="Arial"/>
          <w:sz w:val="24"/>
          <w:szCs w:val="24"/>
          <w:lang w:val="en-GB"/>
        </w:rPr>
        <w:t xml:space="preserve">Accuracy of the UCI </w:t>
      </w:r>
      <w:r w:rsidR="00DB162E" w:rsidRPr="00DB162E">
        <w:rPr>
          <w:rFonts w:ascii="Arial" w:hAnsi="Arial" w:cs="Arial"/>
          <w:sz w:val="24"/>
          <w:szCs w:val="24"/>
          <w:lang w:val="en-GB"/>
        </w:rPr>
        <w:t>-</w:t>
      </w:r>
      <w:r w:rsidRPr="00DB162E">
        <w:rPr>
          <w:rFonts w:ascii="Arial" w:hAnsi="Arial" w:cs="Arial"/>
          <w:sz w:val="24"/>
          <w:szCs w:val="24"/>
          <w:lang w:val="en-GB"/>
        </w:rPr>
        <w:t xml:space="preserve"> accuracy of the group </w:t>
      </w:r>
      <w:r w:rsidR="00DB162E" w:rsidRPr="00DB162E">
        <w:rPr>
          <w:rFonts w:ascii="Arial" w:hAnsi="Arial" w:cs="Arial"/>
          <w:sz w:val="24"/>
          <w:szCs w:val="24"/>
          <w:lang w:val="en-GB"/>
        </w:rPr>
        <w:t>of</w:t>
      </w:r>
      <w:r w:rsidRPr="00DB162E">
        <w:rPr>
          <w:rFonts w:ascii="Arial" w:hAnsi="Arial" w:cs="Arial"/>
          <w:sz w:val="24"/>
          <w:szCs w:val="24"/>
          <w:lang w:val="en-GB"/>
        </w:rPr>
        <w:t xml:space="preserve"> units present both in EGR and in IFATS populations (whether they are members of the right group</w:t>
      </w:r>
      <w:r w:rsidR="00DB162E" w:rsidRPr="00DB162E">
        <w:rPr>
          <w:rFonts w:ascii="Arial" w:hAnsi="Arial" w:cs="Arial"/>
          <w:sz w:val="24"/>
          <w:szCs w:val="24"/>
          <w:lang w:val="en-GB"/>
        </w:rPr>
        <w:t xml:space="preserve"> or not</w:t>
      </w:r>
      <w:r w:rsidRPr="00DB162E">
        <w:rPr>
          <w:rFonts w:ascii="Arial" w:hAnsi="Arial" w:cs="Arial"/>
          <w:sz w:val="24"/>
          <w:szCs w:val="24"/>
          <w:lang w:val="en-GB"/>
        </w:rPr>
        <w:t>)</w:t>
      </w:r>
      <w:r w:rsidR="00DB162E" w:rsidRPr="00DB162E">
        <w:rPr>
          <w:rFonts w:ascii="Arial" w:hAnsi="Arial" w:cs="Arial"/>
          <w:sz w:val="24"/>
          <w:szCs w:val="24"/>
          <w:lang w:val="en-GB"/>
        </w:rPr>
        <w:t>.</w:t>
      </w:r>
    </w:p>
    <w:p w:rsidR="00DB162E" w:rsidRDefault="00DB162E" w:rsidP="00DB162E">
      <w:pPr>
        <w:pStyle w:val="ListParagraph"/>
        <w:numPr>
          <w:ilvl w:val="0"/>
          <w:numId w:val="6"/>
        </w:numPr>
        <w:spacing w:before="120" w:after="0" w:line="360" w:lineRule="auto"/>
        <w:jc w:val="both"/>
        <w:rPr>
          <w:rFonts w:ascii="Arial" w:hAnsi="Arial" w:cs="Arial"/>
          <w:sz w:val="24"/>
          <w:szCs w:val="24"/>
          <w:lang w:val="en-GB"/>
        </w:rPr>
      </w:pPr>
      <w:r w:rsidRPr="00DB162E">
        <w:rPr>
          <w:rFonts w:ascii="Arial" w:hAnsi="Arial" w:cs="Arial"/>
          <w:sz w:val="24"/>
          <w:szCs w:val="24"/>
          <w:lang w:val="en-GB"/>
        </w:rPr>
        <w:t xml:space="preserve">Completeness of resident groups in EGR </w:t>
      </w:r>
      <w:r w:rsidR="00DD7270">
        <w:rPr>
          <w:rFonts w:ascii="Arial" w:hAnsi="Arial" w:cs="Arial"/>
          <w:sz w:val="24"/>
          <w:szCs w:val="24"/>
          <w:lang w:val="en-GB"/>
        </w:rPr>
        <w:t>-</w:t>
      </w:r>
      <w:r w:rsidRPr="00DB162E">
        <w:rPr>
          <w:rFonts w:ascii="Arial" w:hAnsi="Arial" w:cs="Arial"/>
          <w:sz w:val="24"/>
          <w:szCs w:val="24"/>
          <w:lang w:val="en-GB"/>
        </w:rPr>
        <w:t xml:space="preserve"> comparison </w:t>
      </w:r>
      <w:r w:rsidR="00573B12">
        <w:rPr>
          <w:rFonts w:ascii="Arial" w:hAnsi="Arial" w:cs="Arial"/>
          <w:sz w:val="24"/>
          <w:szCs w:val="24"/>
          <w:lang w:val="en-GB"/>
        </w:rPr>
        <w:t xml:space="preserve">of EGR's resident groups to </w:t>
      </w:r>
      <w:r w:rsidRPr="00DB162E">
        <w:rPr>
          <w:rFonts w:ascii="Arial" w:hAnsi="Arial" w:cs="Arial"/>
          <w:sz w:val="24"/>
          <w:szCs w:val="24"/>
          <w:lang w:val="en-GB"/>
        </w:rPr>
        <w:t>national OFATS population.</w:t>
      </w:r>
    </w:p>
    <w:p w:rsidR="00DD7270" w:rsidRDefault="00DD7270" w:rsidP="00DD7270">
      <w:pPr>
        <w:spacing w:before="120" w:after="0" w:line="360" w:lineRule="auto"/>
        <w:jc w:val="both"/>
        <w:rPr>
          <w:rFonts w:ascii="Arial" w:hAnsi="Arial" w:cs="Arial"/>
          <w:sz w:val="24"/>
          <w:szCs w:val="24"/>
          <w:lang w:val="en-GB"/>
        </w:rPr>
      </w:pPr>
      <w:r w:rsidRPr="00DD7270">
        <w:rPr>
          <w:rFonts w:ascii="Arial" w:hAnsi="Arial" w:cs="Arial"/>
          <w:sz w:val="24"/>
          <w:szCs w:val="24"/>
          <w:lang w:val="en-GB"/>
        </w:rPr>
        <w:t xml:space="preserve">Table 6 </w:t>
      </w:r>
      <w:r>
        <w:rPr>
          <w:rFonts w:ascii="Arial" w:hAnsi="Arial" w:cs="Arial"/>
          <w:sz w:val="24"/>
          <w:szCs w:val="24"/>
          <w:lang w:val="en-GB"/>
        </w:rPr>
        <w:t xml:space="preserve">presents the results of the </w:t>
      </w:r>
      <w:r w:rsidRPr="00DD7270">
        <w:rPr>
          <w:rFonts w:ascii="Arial" w:hAnsi="Arial" w:cs="Arial"/>
          <w:sz w:val="24"/>
          <w:szCs w:val="24"/>
          <w:lang w:val="en-GB"/>
        </w:rPr>
        <w:t xml:space="preserve">EGR-FATS quality indicators for </w:t>
      </w:r>
      <w:r>
        <w:rPr>
          <w:rFonts w:ascii="Arial" w:hAnsi="Arial" w:cs="Arial"/>
          <w:sz w:val="24"/>
          <w:szCs w:val="24"/>
          <w:lang w:val="en-GB"/>
        </w:rPr>
        <w:t xml:space="preserve">reference year </w:t>
      </w:r>
      <w:r w:rsidRPr="00DD7270">
        <w:rPr>
          <w:rFonts w:ascii="Arial" w:hAnsi="Arial" w:cs="Arial"/>
          <w:sz w:val="24"/>
          <w:szCs w:val="24"/>
          <w:lang w:val="en-GB"/>
        </w:rPr>
        <w:t>2015</w:t>
      </w:r>
      <w:r>
        <w:rPr>
          <w:rFonts w:ascii="Arial" w:hAnsi="Arial" w:cs="Arial"/>
          <w:sz w:val="24"/>
          <w:szCs w:val="24"/>
          <w:lang w:val="en-GB"/>
        </w:rPr>
        <w:t>.</w:t>
      </w:r>
    </w:p>
    <w:p w:rsidR="002B6901" w:rsidRPr="00EC5F5A" w:rsidRDefault="002B6901" w:rsidP="00DD7270">
      <w:pPr>
        <w:spacing w:before="120" w:after="0" w:line="360" w:lineRule="auto"/>
        <w:jc w:val="both"/>
        <w:rPr>
          <w:rFonts w:ascii="Arial" w:hAnsi="Arial" w:cs="Arial"/>
          <w:b/>
          <w:i/>
          <w:sz w:val="20"/>
          <w:szCs w:val="20"/>
          <w:lang w:val="en-GB"/>
        </w:rPr>
      </w:pPr>
      <w:r w:rsidRPr="00EC5F5A">
        <w:rPr>
          <w:rFonts w:ascii="Arial" w:hAnsi="Arial" w:cs="Arial"/>
          <w:b/>
          <w:sz w:val="20"/>
          <w:szCs w:val="20"/>
          <w:lang w:val="en-GB"/>
        </w:rPr>
        <w:t xml:space="preserve">Table </w:t>
      </w:r>
      <w:r>
        <w:rPr>
          <w:rFonts w:ascii="Arial" w:hAnsi="Arial" w:cs="Arial"/>
          <w:b/>
          <w:sz w:val="20"/>
          <w:szCs w:val="20"/>
          <w:lang w:val="en-GB"/>
        </w:rPr>
        <w:t>6:</w:t>
      </w:r>
      <w:r w:rsidRPr="00EC5F5A">
        <w:rPr>
          <w:rFonts w:ascii="Arial" w:hAnsi="Arial" w:cs="Arial"/>
          <w:b/>
          <w:sz w:val="20"/>
          <w:szCs w:val="20"/>
          <w:lang w:val="en-GB"/>
        </w:rPr>
        <w:t xml:space="preserve"> </w:t>
      </w:r>
      <w:r w:rsidR="00446445" w:rsidRPr="00446445">
        <w:rPr>
          <w:rFonts w:ascii="Arial" w:hAnsi="Arial" w:cs="Arial"/>
          <w:b/>
          <w:sz w:val="20"/>
          <w:szCs w:val="20"/>
          <w:lang w:val="en-GB"/>
        </w:rPr>
        <w:t xml:space="preserve">Results of the EGR-FATS quality indicators for </w:t>
      </w:r>
      <w:r w:rsidR="00BA49E6">
        <w:rPr>
          <w:rFonts w:ascii="Arial" w:hAnsi="Arial" w:cs="Arial"/>
          <w:b/>
          <w:sz w:val="20"/>
          <w:szCs w:val="20"/>
          <w:lang w:val="en-GB"/>
        </w:rPr>
        <w:t xml:space="preserve">EGR </w:t>
      </w:r>
      <w:r w:rsidR="00446445" w:rsidRPr="00446445">
        <w:rPr>
          <w:rFonts w:ascii="Arial" w:hAnsi="Arial" w:cs="Arial"/>
          <w:b/>
          <w:sz w:val="20"/>
          <w:szCs w:val="20"/>
          <w:lang w:val="en-GB"/>
        </w:rPr>
        <w:t>2015</w:t>
      </w:r>
      <w:r w:rsidR="00BA49E6">
        <w:rPr>
          <w:rFonts w:ascii="Arial" w:hAnsi="Arial" w:cs="Arial"/>
          <w:b/>
          <w:sz w:val="20"/>
          <w:szCs w:val="20"/>
          <w:lang w:val="en-GB"/>
        </w:rPr>
        <w:t xml:space="preserve"> data</w:t>
      </w:r>
    </w:p>
    <w:tbl>
      <w:tblPr>
        <w:tblStyle w:val="TableGrid"/>
        <w:tblW w:w="9322" w:type="dxa"/>
        <w:tblLook w:val="04A0" w:firstRow="1" w:lastRow="0" w:firstColumn="1" w:lastColumn="0" w:noHBand="0" w:noVBand="1"/>
      </w:tblPr>
      <w:tblGrid>
        <w:gridCol w:w="2265"/>
        <w:gridCol w:w="2265"/>
        <w:gridCol w:w="2099"/>
        <w:gridCol w:w="2693"/>
      </w:tblGrid>
      <w:tr w:rsidR="002B6901" w:rsidRPr="005034FF" w:rsidTr="00BA49E6">
        <w:trPr>
          <w:cantSplit/>
        </w:trPr>
        <w:tc>
          <w:tcPr>
            <w:tcW w:w="2265" w:type="dxa"/>
          </w:tcPr>
          <w:p w:rsidR="002B6901" w:rsidRPr="00EC5F5A" w:rsidRDefault="00446445" w:rsidP="00554797">
            <w:pPr>
              <w:spacing w:before="120" w:line="360" w:lineRule="auto"/>
              <w:jc w:val="center"/>
              <w:rPr>
                <w:rFonts w:ascii="Arial" w:hAnsi="Arial" w:cs="Arial"/>
                <w:sz w:val="20"/>
                <w:szCs w:val="20"/>
                <w:lang w:val="en-GB"/>
              </w:rPr>
            </w:pPr>
            <w:r w:rsidRPr="00446445">
              <w:rPr>
                <w:rFonts w:ascii="Arial" w:hAnsi="Arial" w:cs="Arial"/>
                <w:b/>
                <w:sz w:val="20"/>
                <w:szCs w:val="20"/>
                <w:lang w:val="en-GB"/>
              </w:rPr>
              <w:t>Completeness of EGR</w:t>
            </w:r>
          </w:p>
        </w:tc>
        <w:tc>
          <w:tcPr>
            <w:tcW w:w="2265" w:type="dxa"/>
          </w:tcPr>
          <w:p w:rsidR="002B6901" w:rsidRPr="00EC5F5A" w:rsidRDefault="00446445" w:rsidP="00554797">
            <w:pPr>
              <w:spacing w:before="120" w:line="360" w:lineRule="auto"/>
              <w:jc w:val="center"/>
              <w:rPr>
                <w:rFonts w:ascii="Arial" w:hAnsi="Arial" w:cs="Arial"/>
                <w:sz w:val="20"/>
                <w:szCs w:val="20"/>
                <w:lang w:val="en-GB"/>
              </w:rPr>
            </w:pPr>
            <w:r w:rsidRPr="00446445">
              <w:rPr>
                <w:rFonts w:ascii="Arial" w:hAnsi="Arial" w:cs="Arial"/>
                <w:b/>
                <w:sz w:val="20"/>
                <w:szCs w:val="20"/>
                <w:lang w:val="en-GB"/>
              </w:rPr>
              <w:t>Completeness of EGR</w:t>
            </w:r>
            <w:r>
              <w:rPr>
                <w:rFonts w:ascii="Arial" w:hAnsi="Arial" w:cs="Arial"/>
                <w:b/>
                <w:sz w:val="20"/>
                <w:szCs w:val="20"/>
                <w:lang w:val="en-GB"/>
              </w:rPr>
              <w:t xml:space="preserve"> on employment</w:t>
            </w:r>
          </w:p>
        </w:tc>
        <w:tc>
          <w:tcPr>
            <w:tcW w:w="2099" w:type="dxa"/>
          </w:tcPr>
          <w:p w:rsidR="002B6901" w:rsidRPr="00EC5F5A" w:rsidRDefault="00446445" w:rsidP="00554797">
            <w:pPr>
              <w:spacing w:before="120" w:line="360" w:lineRule="auto"/>
              <w:jc w:val="center"/>
              <w:rPr>
                <w:rFonts w:ascii="Arial" w:hAnsi="Arial" w:cs="Arial"/>
                <w:sz w:val="20"/>
                <w:szCs w:val="20"/>
                <w:lang w:val="en-GB"/>
              </w:rPr>
            </w:pPr>
            <w:r w:rsidRPr="00446445">
              <w:rPr>
                <w:rFonts w:ascii="Arial" w:hAnsi="Arial" w:cs="Arial"/>
                <w:b/>
                <w:sz w:val="20"/>
                <w:szCs w:val="20"/>
                <w:lang w:val="en-GB"/>
              </w:rPr>
              <w:t>Accuracy of the UCI</w:t>
            </w:r>
          </w:p>
        </w:tc>
        <w:tc>
          <w:tcPr>
            <w:tcW w:w="2693" w:type="dxa"/>
          </w:tcPr>
          <w:p w:rsidR="002B6901" w:rsidRPr="00EC5F5A" w:rsidRDefault="00446445" w:rsidP="00554797">
            <w:pPr>
              <w:spacing w:before="120" w:line="360" w:lineRule="auto"/>
              <w:jc w:val="center"/>
              <w:rPr>
                <w:rFonts w:ascii="Arial" w:hAnsi="Arial" w:cs="Arial"/>
                <w:sz w:val="20"/>
                <w:szCs w:val="20"/>
                <w:lang w:val="en-GB"/>
              </w:rPr>
            </w:pPr>
            <w:r w:rsidRPr="00446445">
              <w:rPr>
                <w:rFonts w:ascii="Arial" w:hAnsi="Arial" w:cs="Arial"/>
                <w:b/>
                <w:sz w:val="20"/>
                <w:szCs w:val="20"/>
                <w:lang w:val="en-GB"/>
              </w:rPr>
              <w:t>Completeness of resident groups in EGR</w:t>
            </w:r>
          </w:p>
        </w:tc>
      </w:tr>
      <w:tr w:rsidR="002B6901" w:rsidRPr="00EC5F5A" w:rsidTr="00BA49E6">
        <w:trPr>
          <w:cantSplit/>
        </w:trPr>
        <w:tc>
          <w:tcPr>
            <w:tcW w:w="2265" w:type="dxa"/>
          </w:tcPr>
          <w:p w:rsidR="002B6901" w:rsidRPr="00EC5F5A" w:rsidRDefault="00BA49E6" w:rsidP="00554797">
            <w:pPr>
              <w:spacing w:before="120" w:line="360" w:lineRule="auto"/>
              <w:jc w:val="center"/>
              <w:rPr>
                <w:rFonts w:ascii="Arial" w:hAnsi="Arial" w:cs="Arial"/>
                <w:sz w:val="20"/>
                <w:szCs w:val="20"/>
                <w:lang w:val="en-GB"/>
              </w:rPr>
            </w:pPr>
            <w:r>
              <w:rPr>
                <w:rFonts w:ascii="Arial" w:hAnsi="Arial" w:cs="Arial"/>
                <w:sz w:val="20"/>
                <w:szCs w:val="20"/>
                <w:lang w:val="en-GB"/>
              </w:rPr>
              <w:t>0.59</w:t>
            </w:r>
          </w:p>
        </w:tc>
        <w:tc>
          <w:tcPr>
            <w:tcW w:w="2265" w:type="dxa"/>
          </w:tcPr>
          <w:p w:rsidR="002B6901" w:rsidRPr="00EC5F5A" w:rsidRDefault="00BA49E6" w:rsidP="00554797">
            <w:pPr>
              <w:spacing w:before="120" w:line="360" w:lineRule="auto"/>
              <w:jc w:val="center"/>
              <w:rPr>
                <w:rFonts w:ascii="Arial" w:hAnsi="Arial" w:cs="Arial"/>
                <w:sz w:val="20"/>
                <w:szCs w:val="20"/>
                <w:lang w:val="en-GB"/>
              </w:rPr>
            </w:pPr>
            <w:r>
              <w:rPr>
                <w:rFonts w:ascii="Arial" w:hAnsi="Arial" w:cs="Arial"/>
                <w:sz w:val="20"/>
                <w:szCs w:val="20"/>
                <w:lang w:val="en-GB"/>
              </w:rPr>
              <w:t>0.84</w:t>
            </w:r>
          </w:p>
        </w:tc>
        <w:tc>
          <w:tcPr>
            <w:tcW w:w="2099" w:type="dxa"/>
          </w:tcPr>
          <w:p w:rsidR="002B6901" w:rsidRPr="00EC5F5A" w:rsidRDefault="00BA49E6" w:rsidP="00554797">
            <w:pPr>
              <w:spacing w:before="120" w:line="360" w:lineRule="auto"/>
              <w:jc w:val="center"/>
              <w:rPr>
                <w:rFonts w:ascii="Arial" w:hAnsi="Arial" w:cs="Arial"/>
                <w:sz w:val="20"/>
                <w:szCs w:val="20"/>
                <w:lang w:val="en-GB"/>
              </w:rPr>
            </w:pPr>
            <w:r>
              <w:rPr>
                <w:rFonts w:ascii="Arial" w:hAnsi="Arial" w:cs="Arial"/>
                <w:sz w:val="20"/>
                <w:szCs w:val="20"/>
                <w:lang w:val="en-GB"/>
              </w:rPr>
              <w:t>0.82</w:t>
            </w:r>
          </w:p>
        </w:tc>
        <w:tc>
          <w:tcPr>
            <w:tcW w:w="2693" w:type="dxa"/>
          </w:tcPr>
          <w:p w:rsidR="002B6901" w:rsidRPr="00EC5F5A" w:rsidRDefault="00BA49E6" w:rsidP="00554797">
            <w:pPr>
              <w:spacing w:before="120" w:line="360" w:lineRule="auto"/>
              <w:jc w:val="center"/>
              <w:rPr>
                <w:rFonts w:ascii="Arial" w:hAnsi="Arial" w:cs="Arial"/>
                <w:sz w:val="20"/>
                <w:szCs w:val="20"/>
                <w:lang w:val="en-GB"/>
              </w:rPr>
            </w:pPr>
            <w:r>
              <w:rPr>
                <w:rFonts w:ascii="Arial" w:hAnsi="Arial" w:cs="Arial"/>
                <w:sz w:val="20"/>
                <w:szCs w:val="20"/>
                <w:lang w:val="en-GB"/>
              </w:rPr>
              <w:t>0.45</w:t>
            </w:r>
          </w:p>
        </w:tc>
      </w:tr>
    </w:tbl>
    <w:p w:rsidR="002B6901" w:rsidRPr="00EC5F5A" w:rsidRDefault="002B6901" w:rsidP="00BA49E6">
      <w:pPr>
        <w:spacing w:before="60" w:after="0" w:line="360" w:lineRule="auto"/>
        <w:jc w:val="both"/>
        <w:rPr>
          <w:rFonts w:ascii="Arial" w:hAnsi="Arial" w:cs="Arial"/>
          <w:sz w:val="20"/>
          <w:szCs w:val="20"/>
          <w:lang w:val="en-GB"/>
        </w:rPr>
      </w:pPr>
      <w:r w:rsidRPr="00EC5F5A">
        <w:rPr>
          <w:rFonts w:ascii="Arial" w:hAnsi="Arial" w:cs="Arial"/>
          <w:sz w:val="20"/>
          <w:szCs w:val="20"/>
          <w:lang w:val="en-GB"/>
        </w:rPr>
        <w:t>Source:</w:t>
      </w:r>
      <w:r w:rsidR="00446445">
        <w:rPr>
          <w:rFonts w:ascii="Arial" w:hAnsi="Arial" w:cs="Arial"/>
          <w:sz w:val="20"/>
          <w:szCs w:val="20"/>
          <w:lang w:val="en-GB"/>
        </w:rPr>
        <w:t xml:space="preserve"> </w:t>
      </w:r>
      <w:r w:rsidR="00446445" w:rsidRPr="002B6901">
        <w:rPr>
          <w:rFonts w:ascii="Arial" w:hAnsi="Arial" w:cs="Arial"/>
          <w:sz w:val="20"/>
          <w:szCs w:val="24"/>
          <w:lang w:val="en-GB"/>
        </w:rPr>
        <w:t>EuroGroups Register 201</w:t>
      </w:r>
      <w:r w:rsidR="00446445">
        <w:rPr>
          <w:rFonts w:ascii="Arial" w:hAnsi="Arial" w:cs="Arial"/>
          <w:sz w:val="20"/>
          <w:szCs w:val="24"/>
          <w:lang w:val="en-GB"/>
        </w:rPr>
        <w:t>5</w:t>
      </w:r>
      <w:r w:rsidR="00446445" w:rsidRPr="002B6901">
        <w:rPr>
          <w:rFonts w:ascii="Arial" w:hAnsi="Arial" w:cs="Arial"/>
          <w:sz w:val="20"/>
          <w:szCs w:val="24"/>
          <w:lang w:val="en-GB"/>
        </w:rPr>
        <w:t xml:space="preserve"> data</w:t>
      </w:r>
      <w:r w:rsidR="00446445">
        <w:rPr>
          <w:rFonts w:ascii="Arial" w:hAnsi="Arial" w:cs="Arial"/>
          <w:sz w:val="20"/>
          <w:szCs w:val="24"/>
          <w:lang w:val="en-GB"/>
        </w:rPr>
        <w:t xml:space="preserve"> and national FATS 2015 data </w:t>
      </w:r>
    </w:p>
    <w:p w:rsidR="00BA49E6" w:rsidRPr="00BA49E6" w:rsidRDefault="00BA49E6" w:rsidP="00BA49E6">
      <w:pPr>
        <w:spacing w:before="120" w:after="0" w:line="360" w:lineRule="auto"/>
        <w:jc w:val="both"/>
        <w:rPr>
          <w:rFonts w:ascii="Arial" w:hAnsi="Arial" w:cs="Arial"/>
          <w:sz w:val="24"/>
          <w:szCs w:val="24"/>
          <w:lang w:val="en-GB"/>
        </w:rPr>
      </w:pPr>
      <w:r w:rsidRPr="00BA49E6">
        <w:rPr>
          <w:rFonts w:ascii="Arial" w:hAnsi="Arial" w:cs="Arial"/>
          <w:sz w:val="24"/>
          <w:szCs w:val="24"/>
          <w:lang w:val="en-GB"/>
        </w:rPr>
        <w:t xml:space="preserve">In </w:t>
      </w:r>
      <w:r>
        <w:rPr>
          <w:rFonts w:ascii="Arial" w:hAnsi="Arial" w:cs="Arial"/>
          <w:sz w:val="24"/>
          <w:szCs w:val="24"/>
          <w:lang w:val="en-GB"/>
        </w:rPr>
        <w:t xml:space="preserve">Q4 </w:t>
      </w:r>
      <w:r w:rsidRPr="00BA49E6">
        <w:rPr>
          <w:rFonts w:ascii="Arial" w:hAnsi="Arial" w:cs="Arial"/>
          <w:sz w:val="24"/>
          <w:szCs w:val="24"/>
          <w:lang w:val="en-GB"/>
        </w:rPr>
        <w:t>2018 the above listed quality indicat</w:t>
      </w:r>
      <w:r>
        <w:rPr>
          <w:rFonts w:ascii="Arial" w:hAnsi="Arial" w:cs="Arial"/>
          <w:sz w:val="24"/>
          <w:szCs w:val="24"/>
          <w:lang w:val="en-GB"/>
        </w:rPr>
        <w:t>ors</w:t>
      </w:r>
      <w:r w:rsidRPr="00BA49E6">
        <w:rPr>
          <w:rFonts w:ascii="Arial" w:hAnsi="Arial" w:cs="Arial"/>
          <w:sz w:val="24"/>
          <w:szCs w:val="24"/>
          <w:lang w:val="en-GB"/>
        </w:rPr>
        <w:t xml:space="preserve"> will be calculated for 2016 EGR </w:t>
      </w:r>
      <w:r>
        <w:rPr>
          <w:rFonts w:ascii="Arial" w:hAnsi="Arial" w:cs="Arial"/>
          <w:sz w:val="24"/>
          <w:szCs w:val="24"/>
          <w:lang w:val="en-GB"/>
        </w:rPr>
        <w:t>data</w:t>
      </w:r>
      <w:r w:rsidRPr="00BA49E6">
        <w:rPr>
          <w:rFonts w:ascii="Arial" w:hAnsi="Arial" w:cs="Arial"/>
          <w:sz w:val="24"/>
          <w:szCs w:val="24"/>
          <w:lang w:val="en-GB"/>
        </w:rPr>
        <w:t xml:space="preserve">. Based on the 2015 and 2016 results </w:t>
      </w:r>
      <w:r>
        <w:rPr>
          <w:rFonts w:ascii="Arial" w:hAnsi="Arial" w:cs="Arial"/>
          <w:sz w:val="24"/>
          <w:szCs w:val="24"/>
          <w:lang w:val="en-GB"/>
        </w:rPr>
        <w:t xml:space="preserve">NSIs </w:t>
      </w:r>
      <w:r w:rsidRPr="00BA49E6">
        <w:rPr>
          <w:rFonts w:ascii="Arial" w:hAnsi="Arial" w:cs="Arial"/>
          <w:sz w:val="24"/>
          <w:szCs w:val="24"/>
          <w:lang w:val="en-GB"/>
        </w:rPr>
        <w:t>and Eurostat will analyse</w:t>
      </w:r>
      <w:r>
        <w:rPr>
          <w:rFonts w:ascii="Arial" w:hAnsi="Arial" w:cs="Arial"/>
          <w:sz w:val="24"/>
          <w:szCs w:val="24"/>
          <w:lang w:val="en-GB"/>
        </w:rPr>
        <w:t>, w</w:t>
      </w:r>
      <w:r w:rsidRPr="00BA49E6">
        <w:rPr>
          <w:rFonts w:ascii="Arial" w:hAnsi="Arial" w:cs="Arial"/>
          <w:sz w:val="24"/>
          <w:szCs w:val="24"/>
          <w:lang w:val="en-GB"/>
        </w:rPr>
        <w:t>hat are the differences in the national populations</w:t>
      </w:r>
      <w:r>
        <w:rPr>
          <w:rFonts w:ascii="Arial" w:hAnsi="Arial" w:cs="Arial"/>
          <w:sz w:val="24"/>
          <w:szCs w:val="24"/>
          <w:lang w:val="en-GB"/>
        </w:rPr>
        <w:t>, w</w:t>
      </w:r>
      <w:r w:rsidRPr="00BA49E6">
        <w:rPr>
          <w:rFonts w:ascii="Arial" w:hAnsi="Arial" w:cs="Arial"/>
          <w:sz w:val="24"/>
          <w:szCs w:val="24"/>
          <w:lang w:val="en-GB"/>
        </w:rPr>
        <w:t>hat is missing from EGR</w:t>
      </w:r>
      <w:r>
        <w:rPr>
          <w:rFonts w:ascii="Arial" w:hAnsi="Arial" w:cs="Arial"/>
          <w:sz w:val="24"/>
          <w:szCs w:val="24"/>
          <w:lang w:val="en-GB"/>
        </w:rPr>
        <w:t xml:space="preserve"> and ho</w:t>
      </w:r>
      <w:r w:rsidRPr="00BA49E6">
        <w:rPr>
          <w:rFonts w:ascii="Arial" w:hAnsi="Arial" w:cs="Arial"/>
          <w:sz w:val="24"/>
          <w:szCs w:val="24"/>
          <w:lang w:val="en-GB"/>
        </w:rPr>
        <w:t>w can they be added to later EGR frames</w:t>
      </w:r>
      <w:r>
        <w:rPr>
          <w:rFonts w:ascii="Arial" w:hAnsi="Arial" w:cs="Arial"/>
          <w:sz w:val="24"/>
          <w:szCs w:val="24"/>
          <w:lang w:val="en-GB"/>
        </w:rPr>
        <w:t>.</w:t>
      </w:r>
    </w:p>
    <w:p w:rsidR="00862EFB" w:rsidRPr="00EC5F5A" w:rsidRDefault="00931474" w:rsidP="00862EFB">
      <w:pPr>
        <w:spacing w:before="360" w:after="0" w:line="360" w:lineRule="auto"/>
        <w:jc w:val="both"/>
        <w:rPr>
          <w:rFonts w:ascii="Arial" w:hAnsi="Arial" w:cs="Arial"/>
          <w:b/>
          <w:sz w:val="24"/>
          <w:szCs w:val="24"/>
          <w:lang w:val="en-GB"/>
        </w:rPr>
      </w:pPr>
      <w:r>
        <w:rPr>
          <w:rFonts w:ascii="Arial" w:hAnsi="Arial" w:cs="Arial"/>
          <w:b/>
          <w:sz w:val="24"/>
          <w:szCs w:val="24"/>
          <w:lang w:val="en-GB"/>
        </w:rPr>
        <w:t>5</w:t>
      </w:r>
      <w:r w:rsidR="00862EFB" w:rsidRPr="00EC5F5A">
        <w:rPr>
          <w:rFonts w:ascii="Arial" w:hAnsi="Arial" w:cs="Arial"/>
          <w:b/>
          <w:sz w:val="24"/>
          <w:szCs w:val="24"/>
          <w:lang w:val="en-GB"/>
        </w:rPr>
        <w:t xml:space="preserve">. </w:t>
      </w:r>
      <w:r w:rsidR="00740E92">
        <w:rPr>
          <w:rFonts w:ascii="Arial" w:hAnsi="Arial" w:cs="Arial"/>
          <w:b/>
          <w:sz w:val="24"/>
          <w:szCs w:val="24"/>
          <w:lang w:val="en-GB"/>
        </w:rPr>
        <w:t>C</w:t>
      </w:r>
      <w:r w:rsidR="00862EFB">
        <w:rPr>
          <w:rFonts w:ascii="Arial" w:hAnsi="Arial" w:cs="Arial"/>
          <w:b/>
          <w:sz w:val="24"/>
          <w:szCs w:val="24"/>
          <w:lang w:val="en-GB"/>
        </w:rPr>
        <w:t xml:space="preserve">omposite indicator on </w:t>
      </w:r>
      <w:r w:rsidR="00740E92">
        <w:rPr>
          <w:rFonts w:ascii="Arial" w:hAnsi="Arial" w:cs="Arial"/>
          <w:b/>
          <w:sz w:val="24"/>
          <w:szCs w:val="24"/>
          <w:lang w:val="en-GB"/>
        </w:rPr>
        <w:t xml:space="preserve">the EGR </w:t>
      </w:r>
      <w:r w:rsidR="00862EFB">
        <w:rPr>
          <w:rFonts w:ascii="Arial" w:hAnsi="Arial" w:cs="Arial"/>
          <w:b/>
          <w:sz w:val="24"/>
          <w:szCs w:val="24"/>
          <w:lang w:val="en-GB"/>
        </w:rPr>
        <w:t>quality</w:t>
      </w:r>
    </w:p>
    <w:p w:rsidR="002418BD" w:rsidRDefault="00BA49E6" w:rsidP="00862EFB">
      <w:pPr>
        <w:spacing w:before="120" w:after="0" w:line="360" w:lineRule="auto"/>
        <w:jc w:val="both"/>
        <w:rPr>
          <w:rFonts w:ascii="Arial" w:hAnsi="Arial" w:cs="Arial"/>
          <w:sz w:val="24"/>
          <w:szCs w:val="24"/>
          <w:lang w:val="en-GB"/>
        </w:rPr>
      </w:pPr>
      <w:r>
        <w:rPr>
          <w:rFonts w:ascii="Arial" w:hAnsi="Arial" w:cs="Arial"/>
          <w:sz w:val="24"/>
          <w:szCs w:val="24"/>
          <w:lang w:val="en-GB"/>
        </w:rPr>
        <w:t>Mainly</w:t>
      </w:r>
      <w:r w:rsidR="002418BD">
        <w:rPr>
          <w:rFonts w:ascii="Arial" w:hAnsi="Arial" w:cs="Arial"/>
          <w:sz w:val="24"/>
          <w:szCs w:val="24"/>
          <w:lang w:val="en-GB"/>
        </w:rPr>
        <w:t xml:space="preserve"> for project management purposes but also for simp</w:t>
      </w:r>
      <w:r>
        <w:rPr>
          <w:rFonts w:ascii="Arial" w:hAnsi="Arial" w:cs="Arial"/>
          <w:sz w:val="24"/>
          <w:szCs w:val="24"/>
          <w:lang w:val="en-GB"/>
        </w:rPr>
        <w:t>lified</w:t>
      </w:r>
      <w:r w:rsidR="002418BD">
        <w:rPr>
          <w:rFonts w:ascii="Arial" w:hAnsi="Arial" w:cs="Arial"/>
          <w:sz w:val="24"/>
          <w:szCs w:val="24"/>
          <w:lang w:val="en-GB"/>
        </w:rPr>
        <w:t xml:space="preserve"> visualisation of the EGR quality Eurostat started to develop a composite indicator on EGR quality.</w:t>
      </w:r>
    </w:p>
    <w:p w:rsidR="00573B12" w:rsidRDefault="009D6B19" w:rsidP="002418BD">
      <w:pPr>
        <w:spacing w:before="120" w:after="0" w:line="360" w:lineRule="auto"/>
        <w:jc w:val="both"/>
        <w:rPr>
          <w:rFonts w:ascii="Arial" w:hAnsi="Arial" w:cs="Arial"/>
          <w:sz w:val="24"/>
          <w:szCs w:val="24"/>
          <w:lang w:val="en-GB"/>
        </w:rPr>
      </w:pPr>
      <w:r>
        <w:rPr>
          <w:rFonts w:ascii="Arial" w:hAnsi="Arial" w:cs="Arial"/>
          <w:sz w:val="24"/>
          <w:szCs w:val="24"/>
          <w:lang w:val="en-GB"/>
        </w:rPr>
        <w:t xml:space="preserve">Eurostat decided to use </w:t>
      </w:r>
      <w:r w:rsidR="00BA49E6">
        <w:rPr>
          <w:rFonts w:ascii="Arial" w:hAnsi="Arial" w:cs="Arial"/>
          <w:sz w:val="24"/>
          <w:szCs w:val="24"/>
          <w:lang w:val="en-GB"/>
        </w:rPr>
        <w:t xml:space="preserve">the four EGR-FATS </w:t>
      </w:r>
      <w:r>
        <w:rPr>
          <w:rFonts w:ascii="Arial" w:hAnsi="Arial" w:cs="Arial"/>
          <w:sz w:val="24"/>
          <w:szCs w:val="24"/>
          <w:lang w:val="en-GB"/>
        </w:rPr>
        <w:t xml:space="preserve">quantitative indicators for </w:t>
      </w:r>
      <w:r w:rsidR="00BA49E6">
        <w:rPr>
          <w:rFonts w:ascii="Arial" w:hAnsi="Arial" w:cs="Arial"/>
          <w:sz w:val="24"/>
          <w:szCs w:val="24"/>
          <w:lang w:val="en-GB"/>
        </w:rPr>
        <w:t xml:space="preserve">an </w:t>
      </w:r>
      <w:r>
        <w:rPr>
          <w:rFonts w:ascii="Arial" w:hAnsi="Arial" w:cs="Arial"/>
          <w:sz w:val="24"/>
          <w:szCs w:val="24"/>
          <w:lang w:val="en-GB"/>
        </w:rPr>
        <w:t>overall quality measurement</w:t>
      </w:r>
      <w:r w:rsidR="00573B12">
        <w:rPr>
          <w:rFonts w:ascii="Arial" w:hAnsi="Arial" w:cs="Arial"/>
          <w:sz w:val="24"/>
          <w:szCs w:val="24"/>
          <w:lang w:val="en-GB"/>
        </w:rPr>
        <w:t>: c</w:t>
      </w:r>
      <w:r w:rsidR="00573B12" w:rsidRPr="002418BD">
        <w:rPr>
          <w:rFonts w:ascii="Arial" w:hAnsi="Arial" w:cs="Arial"/>
          <w:sz w:val="24"/>
          <w:szCs w:val="24"/>
          <w:lang w:val="en-GB"/>
        </w:rPr>
        <w:t>ompleteness of EGR</w:t>
      </w:r>
      <w:r w:rsidR="00573B12">
        <w:rPr>
          <w:rFonts w:ascii="Arial" w:hAnsi="Arial" w:cs="Arial"/>
          <w:sz w:val="24"/>
          <w:szCs w:val="24"/>
          <w:lang w:val="en-GB"/>
        </w:rPr>
        <w:t xml:space="preserve"> on units and on employment, on a</w:t>
      </w:r>
      <w:r w:rsidR="00573B12" w:rsidRPr="002418BD">
        <w:rPr>
          <w:rFonts w:ascii="Arial" w:hAnsi="Arial" w:cs="Arial"/>
          <w:sz w:val="24"/>
          <w:szCs w:val="24"/>
          <w:lang w:val="en-GB"/>
        </w:rPr>
        <w:t xml:space="preserve">ccuracy of UCI </w:t>
      </w:r>
      <w:r w:rsidR="00573B12">
        <w:rPr>
          <w:rFonts w:ascii="Arial" w:hAnsi="Arial" w:cs="Arial"/>
          <w:sz w:val="24"/>
          <w:szCs w:val="24"/>
          <w:lang w:val="en-GB"/>
        </w:rPr>
        <w:t>and on c</w:t>
      </w:r>
      <w:r w:rsidR="00573B12" w:rsidRPr="002418BD">
        <w:rPr>
          <w:rFonts w:ascii="Arial" w:hAnsi="Arial" w:cs="Arial"/>
          <w:sz w:val="24"/>
          <w:szCs w:val="24"/>
          <w:lang w:val="en-GB"/>
        </w:rPr>
        <w:t xml:space="preserve">ompleteness </w:t>
      </w:r>
      <w:r w:rsidR="00573B12" w:rsidRPr="00DB162E">
        <w:rPr>
          <w:rFonts w:ascii="Arial" w:hAnsi="Arial" w:cs="Arial"/>
          <w:sz w:val="24"/>
          <w:szCs w:val="24"/>
          <w:lang w:val="en-GB"/>
        </w:rPr>
        <w:t>resident groups in EGR</w:t>
      </w:r>
      <w:r w:rsidR="00BA49E6">
        <w:rPr>
          <w:rFonts w:ascii="Arial" w:hAnsi="Arial" w:cs="Arial"/>
          <w:sz w:val="24"/>
          <w:szCs w:val="24"/>
          <w:lang w:val="en-GB"/>
        </w:rPr>
        <w:t>.</w:t>
      </w:r>
    </w:p>
    <w:p w:rsidR="009D6B19" w:rsidRDefault="00573B12" w:rsidP="002418BD">
      <w:pPr>
        <w:spacing w:before="120" w:after="0" w:line="360" w:lineRule="auto"/>
        <w:jc w:val="both"/>
        <w:rPr>
          <w:rFonts w:ascii="Arial" w:hAnsi="Arial" w:cs="Arial"/>
          <w:sz w:val="24"/>
          <w:szCs w:val="24"/>
          <w:lang w:val="en-GB"/>
        </w:rPr>
      </w:pPr>
      <w:r>
        <w:rPr>
          <w:rFonts w:ascii="Arial" w:hAnsi="Arial" w:cs="Arial"/>
          <w:sz w:val="24"/>
          <w:szCs w:val="24"/>
          <w:lang w:val="en-GB"/>
        </w:rPr>
        <w:t>The</w:t>
      </w:r>
      <w:r w:rsidRPr="002418BD">
        <w:rPr>
          <w:rFonts w:ascii="Arial" w:hAnsi="Arial" w:cs="Arial"/>
          <w:sz w:val="24"/>
          <w:szCs w:val="24"/>
          <w:lang w:val="en-GB"/>
        </w:rPr>
        <w:t xml:space="preserve"> </w:t>
      </w:r>
      <w:r>
        <w:rPr>
          <w:rFonts w:ascii="Arial" w:hAnsi="Arial" w:cs="Arial"/>
          <w:sz w:val="24"/>
          <w:szCs w:val="24"/>
          <w:lang w:val="en-GB"/>
        </w:rPr>
        <w:t>composite EGR quality indicator is the average of the four</w:t>
      </w:r>
      <w:r w:rsidRPr="002418BD">
        <w:rPr>
          <w:rFonts w:ascii="Arial" w:hAnsi="Arial" w:cs="Arial"/>
          <w:sz w:val="24"/>
          <w:szCs w:val="24"/>
          <w:lang w:val="en-GB"/>
        </w:rPr>
        <w:t xml:space="preserve"> available </w:t>
      </w:r>
      <w:r>
        <w:rPr>
          <w:rFonts w:ascii="Arial" w:hAnsi="Arial" w:cs="Arial"/>
          <w:sz w:val="24"/>
          <w:szCs w:val="24"/>
          <w:lang w:val="en-GB"/>
        </w:rPr>
        <w:t>micro-level EGR-FATS indicators. N</w:t>
      </w:r>
      <w:r w:rsidR="009D6B19" w:rsidRPr="002418BD">
        <w:rPr>
          <w:rFonts w:ascii="Arial" w:hAnsi="Arial" w:cs="Arial"/>
          <w:sz w:val="24"/>
          <w:szCs w:val="24"/>
          <w:lang w:val="en-GB"/>
        </w:rPr>
        <w:t xml:space="preserve">on-quantitative </w:t>
      </w:r>
      <w:r w:rsidR="009D6B19">
        <w:rPr>
          <w:rFonts w:ascii="Arial" w:hAnsi="Arial" w:cs="Arial"/>
          <w:sz w:val="24"/>
          <w:szCs w:val="24"/>
          <w:lang w:val="en-GB"/>
        </w:rPr>
        <w:t>quality criteria</w:t>
      </w:r>
      <w:r w:rsidR="00BA49E6">
        <w:rPr>
          <w:rFonts w:ascii="Arial" w:hAnsi="Arial" w:cs="Arial"/>
          <w:sz w:val="24"/>
          <w:szCs w:val="24"/>
          <w:lang w:val="en-GB"/>
        </w:rPr>
        <w:t xml:space="preserve"> </w:t>
      </w:r>
      <w:r w:rsidR="00BA49E6" w:rsidRPr="002418BD">
        <w:rPr>
          <w:rFonts w:ascii="Arial" w:hAnsi="Arial" w:cs="Arial"/>
          <w:sz w:val="24"/>
          <w:szCs w:val="24"/>
          <w:lang w:val="en-GB"/>
        </w:rPr>
        <w:t>like timeliness</w:t>
      </w:r>
      <w:r w:rsidR="00BA49E6">
        <w:rPr>
          <w:rFonts w:ascii="Arial" w:hAnsi="Arial" w:cs="Arial"/>
          <w:sz w:val="24"/>
          <w:szCs w:val="24"/>
          <w:lang w:val="en-GB"/>
        </w:rPr>
        <w:t xml:space="preserve"> of the final frame</w:t>
      </w:r>
      <w:r w:rsidR="00BA49E6" w:rsidRPr="002418BD">
        <w:rPr>
          <w:rFonts w:ascii="Arial" w:hAnsi="Arial" w:cs="Arial"/>
          <w:sz w:val="24"/>
          <w:szCs w:val="24"/>
          <w:lang w:val="en-GB"/>
        </w:rPr>
        <w:t>, accessibility, coherence</w:t>
      </w:r>
      <w:r w:rsidR="00BA49E6">
        <w:rPr>
          <w:rFonts w:ascii="Arial" w:hAnsi="Arial" w:cs="Arial"/>
          <w:sz w:val="24"/>
          <w:szCs w:val="24"/>
          <w:lang w:val="en-GB"/>
        </w:rPr>
        <w:t xml:space="preserve"> and clarity</w:t>
      </w:r>
      <w:r>
        <w:rPr>
          <w:rFonts w:ascii="Arial" w:hAnsi="Arial" w:cs="Arial"/>
          <w:sz w:val="24"/>
          <w:szCs w:val="24"/>
          <w:lang w:val="en-GB"/>
        </w:rPr>
        <w:t xml:space="preserve"> will be attached to the </w:t>
      </w:r>
      <w:r w:rsidRPr="009D6B19">
        <w:rPr>
          <w:rFonts w:ascii="Arial" w:hAnsi="Arial" w:cs="Arial"/>
          <w:sz w:val="24"/>
          <w:szCs w:val="24"/>
          <w:lang w:val="en-GB"/>
        </w:rPr>
        <w:t xml:space="preserve">composite </w:t>
      </w:r>
      <w:r>
        <w:rPr>
          <w:rFonts w:ascii="Arial" w:hAnsi="Arial" w:cs="Arial"/>
          <w:sz w:val="24"/>
          <w:szCs w:val="24"/>
          <w:lang w:val="en-GB"/>
        </w:rPr>
        <w:t xml:space="preserve">quality </w:t>
      </w:r>
      <w:r w:rsidRPr="009D6B19">
        <w:rPr>
          <w:rFonts w:ascii="Arial" w:hAnsi="Arial" w:cs="Arial"/>
          <w:sz w:val="24"/>
          <w:szCs w:val="24"/>
          <w:lang w:val="en-GB"/>
        </w:rPr>
        <w:t>indicator</w:t>
      </w:r>
      <w:r>
        <w:rPr>
          <w:rFonts w:ascii="Arial" w:hAnsi="Arial" w:cs="Arial"/>
          <w:sz w:val="24"/>
          <w:szCs w:val="24"/>
          <w:lang w:val="en-GB"/>
        </w:rPr>
        <w:t xml:space="preserve"> in</w:t>
      </w:r>
      <w:r w:rsidR="00BA49E6">
        <w:rPr>
          <w:rFonts w:ascii="Arial" w:hAnsi="Arial" w:cs="Arial"/>
          <w:sz w:val="24"/>
          <w:szCs w:val="24"/>
          <w:lang w:val="en-GB"/>
        </w:rPr>
        <w:t xml:space="preserve"> </w:t>
      </w:r>
      <w:r w:rsidR="009D6B19">
        <w:rPr>
          <w:rFonts w:ascii="Arial" w:hAnsi="Arial" w:cs="Arial"/>
          <w:sz w:val="24"/>
          <w:szCs w:val="24"/>
          <w:lang w:val="en-GB"/>
        </w:rPr>
        <w:t>a written evaluation.</w:t>
      </w:r>
    </w:p>
    <w:p w:rsidR="00BA49E6" w:rsidRDefault="002418BD" w:rsidP="00862EFB">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 xml:space="preserve">The average of </w:t>
      </w:r>
      <w:r w:rsidR="009D6B19">
        <w:rPr>
          <w:rFonts w:ascii="Arial" w:hAnsi="Arial" w:cs="Arial"/>
          <w:sz w:val="24"/>
          <w:szCs w:val="24"/>
          <w:lang w:val="en-GB"/>
        </w:rPr>
        <w:t xml:space="preserve">the </w:t>
      </w:r>
      <w:r>
        <w:rPr>
          <w:rFonts w:ascii="Arial" w:hAnsi="Arial" w:cs="Arial"/>
          <w:sz w:val="24"/>
          <w:szCs w:val="24"/>
          <w:lang w:val="en-GB"/>
        </w:rPr>
        <w:t xml:space="preserve">four </w:t>
      </w:r>
      <w:r w:rsidR="009D6B19">
        <w:rPr>
          <w:rFonts w:ascii="Arial" w:hAnsi="Arial" w:cs="Arial"/>
          <w:sz w:val="24"/>
          <w:szCs w:val="24"/>
          <w:lang w:val="en-GB"/>
        </w:rPr>
        <w:t xml:space="preserve">micro-level </w:t>
      </w:r>
      <w:r>
        <w:rPr>
          <w:rFonts w:ascii="Arial" w:hAnsi="Arial" w:cs="Arial"/>
          <w:sz w:val="24"/>
          <w:szCs w:val="24"/>
          <w:lang w:val="en-GB"/>
        </w:rPr>
        <w:t xml:space="preserve">indicators resulted </w:t>
      </w:r>
      <w:r w:rsidRPr="00D26CF6">
        <w:rPr>
          <w:rFonts w:ascii="Arial" w:hAnsi="Arial" w:cs="Arial"/>
          <w:b/>
          <w:sz w:val="24"/>
          <w:szCs w:val="24"/>
          <w:lang w:val="en-GB"/>
        </w:rPr>
        <w:t>68% as overall quality indicator for the EGR 2015 data</w:t>
      </w:r>
      <w:r>
        <w:rPr>
          <w:rFonts w:ascii="Arial" w:hAnsi="Arial" w:cs="Arial"/>
          <w:sz w:val="24"/>
          <w:szCs w:val="24"/>
          <w:lang w:val="en-GB"/>
        </w:rPr>
        <w:t xml:space="preserve">. These indicators will be calculated </w:t>
      </w:r>
      <w:r w:rsidR="009D6B19">
        <w:rPr>
          <w:rFonts w:ascii="Arial" w:hAnsi="Arial" w:cs="Arial"/>
          <w:sz w:val="24"/>
          <w:szCs w:val="24"/>
          <w:lang w:val="en-GB"/>
        </w:rPr>
        <w:t>also for the EGR 2016 cycle and EGR progress can be monitored also with this composite number.</w:t>
      </w:r>
    </w:p>
    <w:p w:rsidR="000A15BA" w:rsidRPr="000A15BA" w:rsidRDefault="000A15BA" w:rsidP="000A15BA">
      <w:pPr>
        <w:spacing w:before="360" w:after="0" w:line="360" w:lineRule="auto"/>
        <w:jc w:val="both"/>
        <w:rPr>
          <w:rFonts w:ascii="Arial" w:hAnsi="Arial" w:cs="Arial"/>
          <w:b/>
          <w:sz w:val="24"/>
          <w:szCs w:val="24"/>
          <w:lang w:val="en-GB"/>
        </w:rPr>
      </w:pPr>
      <w:r w:rsidRPr="000A15BA">
        <w:rPr>
          <w:rFonts w:ascii="Arial" w:hAnsi="Arial" w:cs="Arial"/>
          <w:b/>
          <w:sz w:val="24"/>
          <w:szCs w:val="24"/>
          <w:lang w:val="en-GB"/>
        </w:rPr>
        <w:t xml:space="preserve">6. Summary </w:t>
      </w:r>
      <w:r w:rsidR="007E4D49">
        <w:rPr>
          <w:rFonts w:ascii="Arial" w:hAnsi="Arial" w:cs="Arial"/>
          <w:b/>
          <w:sz w:val="24"/>
          <w:szCs w:val="24"/>
          <w:lang w:val="en-GB"/>
        </w:rPr>
        <w:t>and conclusion</w:t>
      </w:r>
      <w:r w:rsidR="001C1C4D">
        <w:rPr>
          <w:rFonts w:ascii="Arial" w:hAnsi="Arial" w:cs="Arial"/>
          <w:b/>
          <w:sz w:val="24"/>
          <w:szCs w:val="24"/>
          <w:lang w:val="en-GB"/>
        </w:rPr>
        <w:t>s</w:t>
      </w:r>
    </w:p>
    <w:p w:rsidR="00DD50FE" w:rsidRDefault="009D6B19" w:rsidP="00D26CF6">
      <w:pPr>
        <w:spacing w:before="120" w:after="0" w:line="360" w:lineRule="auto"/>
        <w:jc w:val="both"/>
        <w:rPr>
          <w:rFonts w:ascii="Arial" w:hAnsi="Arial" w:cs="Arial"/>
          <w:sz w:val="24"/>
          <w:szCs w:val="24"/>
          <w:lang w:val="en-GB"/>
        </w:rPr>
      </w:pPr>
      <w:r w:rsidRPr="009D6B19">
        <w:rPr>
          <w:rFonts w:ascii="Arial" w:hAnsi="Arial" w:cs="Arial"/>
          <w:sz w:val="24"/>
          <w:szCs w:val="24"/>
          <w:lang w:val="en-GB"/>
        </w:rPr>
        <w:t>Eurostat and the participating national statistical authorities are continuously working on the improvement of the EGR</w:t>
      </w:r>
      <w:r w:rsidR="00573B12">
        <w:rPr>
          <w:rFonts w:ascii="Arial" w:hAnsi="Arial" w:cs="Arial"/>
          <w:sz w:val="24"/>
          <w:szCs w:val="24"/>
          <w:lang w:val="en-GB"/>
        </w:rPr>
        <w:t xml:space="preserve"> 2.0</w:t>
      </w:r>
      <w:r w:rsidRPr="009D6B19">
        <w:rPr>
          <w:rFonts w:ascii="Arial" w:hAnsi="Arial" w:cs="Arial"/>
          <w:sz w:val="24"/>
          <w:szCs w:val="24"/>
          <w:lang w:val="en-GB"/>
        </w:rPr>
        <w:t xml:space="preserve"> quality.</w:t>
      </w:r>
      <w:r w:rsidR="00BA49E6">
        <w:rPr>
          <w:rFonts w:ascii="Arial" w:hAnsi="Arial" w:cs="Arial"/>
          <w:sz w:val="24"/>
          <w:szCs w:val="24"/>
          <w:lang w:val="en-GB"/>
        </w:rPr>
        <w:t xml:space="preserve"> </w:t>
      </w:r>
    </w:p>
    <w:p w:rsidR="00BA49E6" w:rsidRDefault="009D6B19" w:rsidP="00D26CF6">
      <w:pPr>
        <w:spacing w:before="120" w:after="0" w:line="360" w:lineRule="auto"/>
        <w:jc w:val="both"/>
        <w:rPr>
          <w:rFonts w:ascii="Arial" w:hAnsi="Arial" w:cs="Arial"/>
          <w:sz w:val="24"/>
          <w:szCs w:val="24"/>
          <w:lang w:val="en-GB"/>
        </w:rPr>
      </w:pPr>
      <w:r>
        <w:rPr>
          <w:rFonts w:ascii="Arial" w:hAnsi="Arial" w:cs="Arial"/>
          <w:sz w:val="24"/>
          <w:szCs w:val="24"/>
          <w:lang w:val="en-GB"/>
        </w:rPr>
        <w:t xml:space="preserve">With the support of the </w:t>
      </w:r>
      <w:r w:rsidR="007E4D49">
        <w:rPr>
          <w:rFonts w:ascii="Arial" w:hAnsi="Arial" w:cs="Arial"/>
          <w:sz w:val="24"/>
          <w:szCs w:val="24"/>
          <w:lang w:val="en-GB"/>
        </w:rPr>
        <w:t xml:space="preserve">EGR </w:t>
      </w:r>
      <w:r>
        <w:rPr>
          <w:rFonts w:ascii="Arial" w:hAnsi="Arial" w:cs="Arial"/>
          <w:sz w:val="24"/>
          <w:szCs w:val="24"/>
          <w:lang w:val="en-GB"/>
        </w:rPr>
        <w:t>quality indicators the actors can measure</w:t>
      </w:r>
      <w:r w:rsidR="00573B12">
        <w:rPr>
          <w:rFonts w:ascii="Arial" w:hAnsi="Arial" w:cs="Arial"/>
          <w:sz w:val="24"/>
          <w:szCs w:val="24"/>
          <w:lang w:val="en-GB"/>
        </w:rPr>
        <w:t xml:space="preserve"> in the system</w:t>
      </w:r>
      <w:r>
        <w:rPr>
          <w:rFonts w:ascii="Arial" w:hAnsi="Arial" w:cs="Arial"/>
          <w:sz w:val="24"/>
          <w:szCs w:val="24"/>
          <w:lang w:val="en-GB"/>
        </w:rPr>
        <w:t xml:space="preserve"> the quality of their contribution and the quality of the </w:t>
      </w:r>
      <w:r w:rsidR="005E4334">
        <w:rPr>
          <w:rFonts w:ascii="Arial" w:hAnsi="Arial" w:cs="Arial"/>
          <w:sz w:val="24"/>
          <w:szCs w:val="24"/>
          <w:lang w:val="en-GB"/>
        </w:rPr>
        <w:t xml:space="preserve">interim and </w:t>
      </w:r>
      <w:r>
        <w:rPr>
          <w:rFonts w:ascii="Arial" w:hAnsi="Arial" w:cs="Arial"/>
          <w:sz w:val="24"/>
          <w:szCs w:val="24"/>
          <w:lang w:val="en-GB"/>
        </w:rPr>
        <w:t>end results of the process.</w:t>
      </w:r>
    </w:p>
    <w:sectPr w:rsidR="00BA49E6" w:rsidSect="0023623C">
      <w:headerReference w:type="even" r:id="rId16"/>
      <w:headerReference w:type="default" r:id="rId17"/>
      <w:footerReference w:type="default" r:id="rId18"/>
      <w:headerReference w:type="first" r:id="rId19"/>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06" w:rsidRDefault="00160406" w:rsidP="00E82B25">
      <w:pPr>
        <w:spacing w:after="0" w:line="240" w:lineRule="auto"/>
      </w:pPr>
      <w:r>
        <w:separator/>
      </w:r>
    </w:p>
  </w:endnote>
  <w:endnote w:type="continuationSeparator" w:id="0">
    <w:p w:rsidR="00160406" w:rsidRDefault="00160406"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D879F1">
          <w:rPr>
            <w:rFonts w:ascii="Arial" w:hAnsi="Arial" w:cs="Arial"/>
            <w:noProof/>
            <w:sz w:val="24"/>
            <w:szCs w:val="24"/>
          </w:rPr>
          <w:t>9</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06" w:rsidRDefault="00160406" w:rsidP="00E82B25">
      <w:pPr>
        <w:spacing w:after="0" w:line="240" w:lineRule="auto"/>
      </w:pPr>
      <w:r>
        <w:separator/>
      </w:r>
    </w:p>
  </w:footnote>
  <w:footnote w:type="continuationSeparator" w:id="0">
    <w:p w:rsidR="00160406" w:rsidRDefault="00160406"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D879F1">
    <w:pPr>
      <w:pStyle w:val="Header"/>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D879F1">
    <w:pPr>
      <w:pStyle w:val="Header"/>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D879F1">
    <w:pPr>
      <w:pStyle w:val="Header"/>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F46A8"/>
    <w:multiLevelType w:val="hybridMultilevel"/>
    <w:tmpl w:val="B9A21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8B3A9B"/>
    <w:multiLevelType w:val="hybridMultilevel"/>
    <w:tmpl w:val="3CB2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6D7530"/>
    <w:multiLevelType w:val="hybridMultilevel"/>
    <w:tmpl w:val="1BB8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A46B28"/>
    <w:multiLevelType w:val="hybridMultilevel"/>
    <w:tmpl w:val="3BF2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241699"/>
    <w:multiLevelType w:val="hybridMultilevel"/>
    <w:tmpl w:val="2F70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102AAB"/>
    <w:multiLevelType w:val="hybridMultilevel"/>
    <w:tmpl w:val="5CAA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16B7E"/>
    <w:rsid w:val="00026CD3"/>
    <w:rsid w:val="00047C24"/>
    <w:rsid w:val="00070925"/>
    <w:rsid w:val="0007704A"/>
    <w:rsid w:val="000957CC"/>
    <w:rsid w:val="000A15BA"/>
    <w:rsid w:val="000C6472"/>
    <w:rsid w:val="000D705A"/>
    <w:rsid w:val="000F337F"/>
    <w:rsid w:val="00133E07"/>
    <w:rsid w:val="00141673"/>
    <w:rsid w:val="00142A8D"/>
    <w:rsid w:val="00157DAD"/>
    <w:rsid w:val="00160406"/>
    <w:rsid w:val="0016743D"/>
    <w:rsid w:val="00182357"/>
    <w:rsid w:val="001C1C4D"/>
    <w:rsid w:val="001E43DC"/>
    <w:rsid w:val="00221F17"/>
    <w:rsid w:val="00234927"/>
    <w:rsid w:val="0023623C"/>
    <w:rsid w:val="002418BD"/>
    <w:rsid w:val="00242620"/>
    <w:rsid w:val="0028150C"/>
    <w:rsid w:val="00282B53"/>
    <w:rsid w:val="00292B21"/>
    <w:rsid w:val="00293580"/>
    <w:rsid w:val="002B6901"/>
    <w:rsid w:val="002B6D33"/>
    <w:rsid w:val="00336E21"/>
    <w:rsid w:val="0035694D"/>
    <w:rsid w:val="00362815"/>
    <w:rsid w:val="003A1D16"/>
    <w:rsid w:val="003C5F7D"/>
    <w:rsid w:val="003D4092"/>
    <w:rsid w:val="004150F5"/>
    <w:rsid w:val="00445AF7"/>
    <w:rsid w:val="00446445"/>
    <w:rsid w:val="00457858"/>
    <w:rsid w:val="00465077"/>
    <w:rsid w:val="004740F1"/>
    <w:rsid w:val="00493026"/>
    <w:rsid w:val="004A12A7"/>
    <w:rsid w:val="004A1A99"/>
    <w:rsid w:val="004B39C1"/>
    <w:rsid w:val="004B6729"/>
    <w:rsid w:val="004C5048"/>
    <w:rsid w:val="004F04B4"/>
    <w:rsid w:val="005034FF"/>
    <w:rsid w:val="00516FA2"/>
    <w:rsid w:val="005215E8"/>
    <w:rsid w:val="00530FD6"/>
    <w:rsid w:val="00533E1F"/>
    <w:rsid w:val="00573B12"/>
    <w:rsid w:val="005812C5"/>
    <w:rsid w:val="005A1F57"/>
    <w:rsid w:val="005B6971"/>
    <w:rsid w:val="005E1868"/>
    <w:rsid w:val="005E4334"/>
    <w:rsid w:val="006052BF"/>
    <w:rsid w:val="00653D6C"/>
    <w:rsid w:val="00667788"/>
    <w:rsid w:val="006869E6"/>
    <w:rsid w:val="0069009D"/>
    <w:rsid w:val="00697934"/>
    <w:rsid w:val="006B5A4A"/>
    <w:rsid w:val="006C5879"/>
    <w:rsid w:val="00740E92"/>
    <w:rsid w:val="007730C4"/>
    <w:rsid w:val="00776C97"/>
    <w:rsid w:val="007E4D49"/>
    <w:rsid w:val="007E6D8C"/>
    <w:rsid w:val="008101FA"/>
    <w:rsid w:val="0082373C"/>
    <w:rsid w:val="00862EFB"/>
    <w:rsid w:val="00867B2C"/>
    <w:rsid w:val="00873330"/>
    <w:rsid w:val="00883326"/>
    <w:rsid w:val="0089651A"/>
    <w:rsid w:val="008A71D2"/>
    <w:rsid w:val="008B0935"/>
    <w:rsid w:val="008D56E1"/>
    <w:rsid w:val="008D6094"/>
    <w:rsid w:val="009010DD"/>
    <w:rsid w:val="00902A7F"/>
    <w:rsid w:val="00931474"/>
    <w:rsid w:val="009378F5"/>
    <w:rsid w:val="009723D4"/>
    <w:rsid w:val="00973B8D"/>
    <w:rsid w:val="00981CDA"/>
    <w:rsid w:val="009D6B19"/>
    <w:rsid w:val="00A23816"/>
    <w:rsid w:val="00A366C1"/>
    <w:rsid w:val="00A454B6"/>
    <w:rsid w:val="00A531F2"/>
    <w:rsid w:val="00A6013E"/>
    <w:rsid w:val="00AD1423"/>
    <w:rsid w:val="00AD4AEE"/>
    <w:rsid w:val="00B47197"/>
    <w:rsid w:val="00B72169"/>
    <w:rsid w:val="00B74218"/>
    <w:rsid w:val="00B77A7F"/>
    <w:rsid w:val="00B86FC7"/>
    <w:rsid w:val="00B912C3"/>
    <w:rsid w:val="00BA49E6"/>
    <w:rsid w:val="00BB0E30"/>
    <w:rsid w:val="00BB19AC"/>
    <w:rsid w:val="00BC26CE"/>
    <w:rsid w:val="00BD5446"/>
    <w:rsid w:val="00BF6381"/>
    <w:rsid w:val="00BF6DBC"/>
    <w:rsid w:val="00C16E8E"/>
    <w:rsid w:val="00C261EA"/>
    <w:rsid w:val="00C40213"/>
    <w:rsid w:val="00C444A7"/>
    <w:rsid w:val="00C55909"/>
    <w:rsid w:val="00C726EA"/>
    <w:rsid w:val="00C74A1D"/>
    <w:rsid w:val="00C76843"/>
    <w:rsid w:val="00CB2B44"/>
    <w:rsid w:val="00CB4074"/>
    <w:rsid w:val="00CC1C1D"/>
    <w:rsid w:val="00CF33AD"/>
    <w:rsid w:val="00CF656A"/>
    <w:rsid w:val="00D0258C"/>
    <w:rsid w:val="00D0270E"/>
    <w:rsid w:val="00D20550"/>
    <w:rsid w:val="00D26CF6"/>
    <w:rsid w:val="00D3638C"/>
    <w:rsid w:val="00D52194"/>
    <w:rsid w:val="00D65C24"/>
    <w:rsid w:val="00D77AED"/>
    <w:rsid w:val="00D879F1"/>
    <w:rsid w:val="00DA74F6"/>
    <w:rsid w:val="00DB162E"/>
    <w:rsid w:val="00DD4526"/>
    <w:rsid w:val="00DD4977"/>
    <w:rsid w:val="00DD50FE"/>
    <w:rsid w:val="00DD7270"/>
    <w:rsid w:val="00DE01B4"/>
    <w:rsid w:val="00DF27A8"/>
    <w:rsid w:val="00E261EB"/>
    <w:rsid w:val="00E26476"/>
    <w:rsid w:val="00E7228E"/>
    <w:rsid w:val="00E82B25"/>
    <w:rsid w:val="00E92831"/>
    <w:rsid w:val="00E9313B"/>
    <w:rsid w:val="00EA7FD9"/>
    <w:rsid w:val="00EB7A63"/>
    <w:rsid w:val="00EC5F5A"/>
    <w:rsid w:val="00EE4A70"/>
    <w:rsid w:val="00F30C27"/>
    <w:rsid w:val="00F51570"/>
    <w:rsid w:val="00F64829"/>
    <w:rsid w:val="00F74EA2"/>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uiPriority w:val="34"/>
    <w:qFormat/>
    <w:rsid w:val="005E18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uiPriority w:val="34"/>
    <w:qFormat/>
    <w:rsid w:val="005E1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zsolt.volfinger@ec.europa.eu"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0F754-9A96-40FD-A775-166ED02C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9</Pages>
  <Words>2380</Words>
  <Characters>13572</Characters>
  <Application>Microsoft Office Word</Application>
  <DocSecurity>0</DocSecurity>
  <Lines>113</Lines>
  <Paragraphs>31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15921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VOLFINGER Zsolt (ESTAT)</cp:lastModifiedBy>
  <cp:revision>19</cp:revision>
  <cp:lastPrinted>2018-02-22T12:09:00Z</cp:lastPrinted>
  <dcterms:created xsi:type="dcterms:W3CDTF">2018-05-04T15:15:00Z</dcterms:created>
  <dcterms:modified xsi:type="dcterms:W3CDTF">2018-05-18T14:34:00Z</dcterms:modified>
</cp:coreProperties>
</file>