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CEB" w:rsidRPr="00DE0E5F" w:rsidRDefault="00B73CEB" w:rsidP="00B73CEB">
      <w:pPr>
        <w:pStyle w:val="Ttulo2"/>
        <w:spacing w:before="120" w:after="0" w:line="360" w:lineRule="auto"/>
        <w:jc w:val="center"/>
        <w:rPr>
          <w:rFonts w:ascii="Arial" w:eastAsia="Times New Roman" w:hAnsi="Arial" w:cs="Arial"/>
          <w:i w:val="0"/>
          <w:sz w:val="48"/>
          <w:szCs w:val="48"/>
        </w:rPr>
      </w:pPr>
      <w:r w:rsidRPr="00DE0E5F">
        <w:rPr>
          <w:rFonts w:ascii="Arial" w:eastAsia="Times New Roman" w:hAnsi="Arial" w:cs="Arial"/>
          <w:i w:val="0"/>
          <w:sz w:val="48"/>
          <w:szCs w:val="48"/>
        </w:rPr>
        <w:t xml:space="preserve">How much has </w:t>
      </w:r>
      <w:r w:rsidRPr="00DE0E5F">
        <w:rPr>
          <w:rFonts w:ascii="Arial" w:eastAsia="Times New Roman" w:hAnsi="Arial" w:cs="Arial"/>
          <w:sz w:val="48"/>
          <w:szCs w:val="48"/>
        </w:rPr>
        <w:t>national information</w:t>
      </w:r>
      <w:r w:rsidRPr="00DE0E5F">
        <w:rPr>
          <w:rFonts w:ascii="Arial" w:eastAsia="Times New Roman" w:hAnsi="Arial" w:cs="Arial"/>
          <w:i w:val="0"/>
          <w:sz w:val="48"/>
          <w:szCs w:val="48"/>
        </w:rPr>
        <w:t xml:space="preserve"> changed in the Euro Groups Register? Some quality indicators in the scope of the ESBRs project</w:t>
      </w:r>
    </w:p>
    <w:p w:rsidR="00B73CEB" w:rsidRPr="00835C5E" w:rsidRDefault="00B73CEB" w:rsidP="00B73CEB">
      <w:pPr>
        <w:spacing w:before="120" w:after="0" w:line="360" w:lineRule="auto"/>
        <w:jc w:val="both"/>
        <w:rPr>
          <w:rFonts w:ascii="Arial" w:hAnsi="Arial" w:cs="Arial"/>
        </w:rPr>
      </w:pPr>
      <w:r w:rsidRPr="00835C5E">
        <w:rPr>
          <w:rFonts w:ascii="Arial" w:hAnsi="Arial" w:cs="Arial"/>
        </w:rPr>
        <w:t>E</w:t>
      </w:r>
      <w:r w:rsidR="00835C5E" w:rsidRPr="00835C5E">
        <w:rPr>
          <w:rFonts w:ascii="Arial" w:hAnsi="Arial" w:cs="Arial"/>
        </w:rPr>
        <w:t>steban</w:t>
      </w:r>
      <w:r w:rsidRPr="00835C5E">
        <w:rPr>
          <w:rFonts w:ascii="Arial" w:hAnsi="Arial" w:cs="Arial"/>
        </w:rPr>
        <w:t xml:space="preserve"> </w:t>
      </w:r>
      <w:proofErr w:type="spellStart"/>
      <w:r w:rsidRPr="00835C5E">
        <w:rPr>
          <w:rFonts w:ascii="Arial" w:hAnsi="Arial" w:cs="Arial"/>
        </w:rPr>
        <w:t>Barbado</w:t>
      </w:r>
      <w:proofErr w:type="spellEnd"/>
      <w:r w:rsidRPr="00835C5E">
        <w:rPr>
          <w:rFonts w:ascii="Arial" w:hAnsi="Arial" w:cs="Arial"/>
        </w:rPr>
        <w:t>, National Statistical Institute</w:t>
      </w:r>
      <w:r w:rsidR="00835C5E" w:rsidRPr="00835C5E">
        <w:rPr>
          <w:rFonts w:ascii="Arial" w:hAnsi="Arial" w:cs="Arial"/>
        </w:rPr>
        <w:t xml:space="preserve"> of </w:t>
      </w:r>
      <w:r w:rsidRPr="00835C5E">
        <w:rPr>
          <w:rFonts w:ascii="Arial" w:hAnsi="Arial" w:cs="Arial"/>
        </w:rPr>
        <w:t>Spain</w:t>
      </w:r>
      <w:r w:rsidR="00835C5E" w:rsidRPr="00835C5E">
        <w:rPr>
          <w:rFonts w:ascii="Arial" w:hAnsi="Arial" w:cs="Arial"/>
        </w:rPr>
        <w:t xml:space="preserve">, </w:t>
      </w:r>
      <w:hyperlink r:id="rId8" w:history="1">
        <w:r w:rsidR="00835C5E" w:rsidRPr="00835C5E">
          <w:rPr>
            <w:rStyle w:val="Hipervnculo"/>
            <w:rFonts w:ascii="Arial" w:hAnsi="Arial" w:cs="Arial"/>
          </w:rPr>
          <w:t>ebarbado@ine.es</w:t>
        </w:r>
      </w:hyperlink>
    </w:p>
    <w:p w:rsidR="00B73CEB" w:rsidRPr="00DE0E5F" w:rsidRDefault="00B73CEB" w:rsidP="00B73CEB">
      <w:pPr>
        <w:spacing w:before="120" w:after="0" w:line="360" w:lineRule="auto"/>
        <w:jc w:val="both"/>
        <w:rPr>
          <w:rFonts w:ascii="Arial" w:hAnsi="Arial" w:cs="Arial"/>
          <w:b/>
          <w:sz w:val="20"/>
          <w:szCs w:val="20"/>
        </w:rPr>
      </w:pPr>
      <w:r w:rsidRPr="00DE0E5F">
        <w:rPr>
          <w:rFonts w:ascii="Arial" w:hAnsi="Arial" w:cs="Arial"/>
          <w:b/>
          <w:sz w:val="20"/>
          <w:szCs w:val="20"/>
        </w:rPr>
        <w:t>Abstract</w:t>
      </w:r>
    </w:p>
    <w:p w:rsidR="00B73CEB" w:rsidRPr="00DE0E5F" w:rsidRDefault="00B73CEB" w:rsidP="00835C5E">
      <w:pPr>
        <w:shd w:val="clear" w:color="auto" w:fill="FFFFFF"/>
        <w:spacing w:before="120" w:after="0" w:line="360" w:lineRule="auto"/>
        <w:jc w:val="both"/>
        <w:rPr>
          <w:rFonts w:ascii="Arial" w:hAnsi="Arial" w:cs="Arial"/>
          <w:i/>
          <w:sz w:val="20"/>
          <w:szCs w:val="20"/>
        </w:rPr>
      </w:pPr>
      <w:r w:rsidRPr="00DE0E5F">
        <w:rPr>
          <w:rFonts w:ascii="Arial" w:hAnsi="Arial" w:cs="Arial"/>
          <w:i/>
          <w:sz w:val="20"/>
          <w:szCs w:val="20"/>
        </w:rPr>
        <w:t>The European System of Interoperable Business Registers (ESS.VIP.ESBRs) is a core Project of the VISION 2020. It aims to create a coordinated infrastructure of frames, serving as backbone for the production of high-quality business statistics in Europe. The Euro Groups Register (EGR) is the heart of the ESBRs system.</w:t>
      </w:r>
      <w:r w:rsidR="00835C5E">
        <w:rPr>
          <w:rFonts w:ascii="Arial" w:hAnsi="Arial" w:cs="Arial"/>
          <w:i/>
          <w:sz w:val="20"/>
          <w:szCs w:val="20"/>
        </w:rPr>
        <w:t xml:space="preserve"> </w:t>
      </w:r>
      <w:r w:rsidRPr="00DE0E5F">
        <w:rPr>
          <w:rFonts w:ascii="Arial" w:hAnsi="Arial" w:cs="Arial"/>
          <w:i/>
          <w:sz w:val="20"/>
          <w:szCs w:val="20"/>
        </w:rPr>
        <w:t xml:space="preserve">The EGR contains structural information on multinational groups in the UE. It is managed by a cooperation model based on multiple integrations of microdata provided by Eurostat and </w:t>
      </w:r>
      <w:proofErr w:type="gramStart"/>
      <w:r w:rsidRPr="00DE0E5F">
        <w:rPr>
          <w:rFonts w:ascii="Arial" w:hAnsi="Arial" w:cs="Arial"/>
          <w:i/>
          <w:sz w:val="20"/>
          <w:szCs w:val="20"/>
        </w:rPr>
        <w:t>the</w:t>
      </w:r>
      <w:proofErr w:type="gramEnd"/>
      <w:r w:rsidRPr="00DE0E5F">
        <w:rPr>
          <w:rFonts w:ascii="Arial" w:hAnsi="Arial" w:cs="Arial"/>
          <w:i/>
          <w:sz w:val="20"/>
          <w:szCs w:val="20"/>
        </w:rPr>
        <w:t xml:space="preserve"> NSIs of European Member States and EFTA countries. </w:t>
      </w:r>
    </w:p>
    <w:p w:rsidR="00B73CEB" w:rsidRPr="00DE0E5F" w:rsidRDefault="00B73CEB" w:rsidP="00B73CEB">
      <w:pPr>
        <w:spacing w:before="120" w:after="0" w:line="360" w:lineRule="auto"/>
        <w:jc w:val="both"/>
        <w:rPr>
          <w:rFonts w:ascii="Arial" w:hAnsi="Arial" w:cs="Arial"/>
          <w:i/>
          <w:sz w:val="20"/>
          <w:szCs w:val="20"/>
        </w:rPr>
      </w:pPr>
      <w:r w:rsidRPr="00DE0E5F">
        <w:rPr>
          <w:rFonts w:ascii="Arial" w:hAnsi="Arial" w:cs="Arial"/>
          <w:i/>
          <w:sz w:val="20"/>
          <w:szCs w:val="20"/>
        </w:rPr>
        <w:t>The inherent complexity of the EGR business process and the need to reach a good level of stabilization, make the design of active quality policies needed. In fact, a specific Data Quality Program is already in implementation phase. This context will reinforce the role of the EGR as the authoritative frame for globalization statistics in the ESS.</w:t>
      </w:r>
    </w:p>
    <w:p w:rsidR="00B73CEB" w:rsidRDefault="00B73CEB" w:rsidP="00B73CEB">
      <w:pPr>
        <w:spacing w:before="120" w:after="0" w:line="360" w:lineRule="auto"/>
        <w:jc w:val="both"/>
        <w:rPr>
          <w:rFonts w:ascii="Arial" w:hAnsi="Arial" w:cs="Arial"/>
          <w:i/>
          <w:sz w:val="20"/>
          <w:szCs w:val="20"/>
        </w:rPr>
      </w:pPr>
      <w:r w:rsidRPr="00DE0E5F">
        <w:rPr>
          <w:rFonts w:ascii="Arial" w:hAnsi="Arial" w:cs="Arial"/>
          <w:i/>
          <w:sz w:val="20"/>
          <w:szCs w:val="20"/>
        </w:rPr>
        <w:t xml:space="preserve">This report takes the main elements </w:t>
      </w:r>
      <w:r w:rsidR="00A75305">
        <w:rPr>
          <w:rFonts w:ascii="Arial" w:hAnsi="Arial" w:cs="Arial"/>
          <w:i/>
          <w:sz w:val="20"/>
          <w:szCs w:val="20"/>
        </w:rPr>
        <w:t>e</w:t>
      </w:r>
      <w:r w:rsidRPr="00DE0E5F">
        <w:rPr>
          <w:rFonts w:ascii="Arial" w:hAnsi="Arial" w:cs="Arial"/>
          <w:i/>
          <w:sz w:val="20"/>
          <w:szCs w:val="20"/>
        </w:rPr>
        <w:t>stablished in the above mentioned DQP, but using an alternative approach. It provides some quantitative indicators reflecting the changes produced between the Spanish data provided in the EGR production cycle and the information finally registered in the global EGR frame. In addition, the relative importance of the changes produced and their accuracy are also explored, through specific desktop research. The final aim is to provide a wider statistical basis, helping to a better delineation of the priority quality actions for the EGR.</w:t>
      </w:r>
    </w:p>
    <w:p w:rsidR="00835C5E" w:rsidRPr="00835C5E" w:rsidRDefault="00835C5E" w:rsidP="00835C5E">
      <w:pPr>
        <w:tabs>
          <w:tab w:val="left" w:pos="3640"/>
        </w:tabs>
        <w:spacing w:before="120" w:after="120"/>
        <w:jc w:val="both"/>
        <w:rPr>
          <w:rFonts w:ascii="Arial" w:hAnsi="Arial" w:cs="Arial"/>
          <w:sz w:val="20"/>
          <w:szCs w:val="20"/>
          <w:lang w:val="en-US"/>
        </w:rPr>
      </w:pPr>
      <w:r w:rsidRPr="00835C5E">
        <w:rPr>
          <w:rFonts w:ascii="Arial" w:eastAsiaTheme="minorHAnsi" w:hAnsi="Arial" w:cs="Arial"/>
          <w:b/>
          <w:color w:val="auto"/>
          <w:sz w:val="20"/>
          <w:szCs w:val="20"/>
          <w:lang w:eastAsia="en-US"/>
        </w:rPr>
        <w:t xml:space="preserve">Keywords: </w:t>
      </w:r>
      <w:r w:rsidRPr="00835C5E">
        <w:rPr>
          <w:rFonts w:ascii="Arial" w:hAnsi="Arial" w:cs="Arial"/>
          <w:bCs/>
          <w:color w:val="2B2B2B"/>
          <w:sz w:val="20"/>
          <w:szCs w:val="20"/>
        </w:rPr>
        <w:t xml:space="preserve">European System of Interoperable Business Registers (ESBRs), </w:t>
      </w:r>
      <w:r w:rsidRPr="00835C5E">
        <w:rPr>
          <w:rFonts w:ascii="Arial" w:hAnsi="Arial" w:cs="Arial"/>
          <w:sz w:val="20"/>
          <w:szCs w:val="20"/>
          <w:lang w:val="en-US"/>
        </w:rPr>
        <w:t>Euro Groups Register (EGR), Data Quality Program, European Statistical System (ESS)</w:t>
      </w:r>
    </w:p>
    <w:p w:rsidR="00B73CEB" w:rsidRPr="00DE0E5F" w:rsidRDefault="00B73CEB" w:rsidP="00B73CEB">
      <w:pPr>
        <w:pStyle w:val="Ttulo2"/>
        <w:numPr>
          <w:ilvl w:val="0"/>
          <w:numId w:val="30"/>
        </w:numPr>
        <w:spacing w:before="360" w:after="0" w:line="360" w:lineRule="auto"/>
        <w:rPr>
          <w:rFonts w:ascii="Arial" w:eastAsia="Times New Roman" w:hAnsi="Arial" w:cs="Arial"/>
          <w:i w:val="0"/>
          <w:sz w:val="24"/>
          <w:szCs w:val="24"/>
        </w:rPr>
      </w:pPr>
      <w:r w:rsidRPr="00DE0E5F">
        <w:rPr>
          <w:rFonts w:ascii="Arial" w:eastAsia="Times New Roman" w:hAnsi="Arial" w:cs="Arial"/>
          <w:i w:val="0"/>
          <w:sz w:val="24"/>
          <w:szCs w:val="24"/>
        </w:rPr>
        <w:t xml:space="preserve">The ESBR </w:t>
      </w:r>
      <w:r w:rsidR="00835C5E">
        <w:rPr>
          <w:rFonts w:ascii="Arial" w:eastAsia="Times New Roman" w:hAnsi="Arial" w:cs="Arial"/>
          <w:i w:val="0"/>
          <w:sz w:val="24"/>
          <w:szCs w:val="24"/>
        </w:rPr>
        <w:t>project</w:t>
      </w:r>
      <w:r w:rsidRPr="00DE0E5F">
        <w:rPr>
          <w:rFonts w:ascii="Arial" w:eastAsia="Times New Roman" w:hAnsi="Arial" w:cs="Arial"/>
          <w:i w:val="0"/>
          <w:sz w:val="24"/>
          <w:szCs w:val="24"/>
        </w:rPr>
        <w:t xml:space="preserve"> and the E</w:t>
      </w:r>
      <w:r w:rsidR="00835C5E">
        <w:rPr>
          <w:rFonts w:ascii="Arial" w:eastAsia="Times New Roman" w:hAnsi="Arial" w:cs="Arial"/>
          <w:i w:val="0"/>
          <w:sz w:val="24"/>
          <w:szCs w:val="24"/>
        </w:rPr>
        <w:t>uro Groups Register</w:t>
      </w:r>
    </w:p>
    <w:p w:rsidR="00B73CEB" w:rsidRPr="00DE0E5F" w:rsidRDefault="00B73CEB" w:rsidP="00B73CEB">
      <w:pPr>
        <w:pStyle w:val="Ttulo2"/>
        <w:spacing w:before="120" w:after="0" w:line="360" w:lineRule="auto"/>
        <w:jc w:val="both"/>
        <w:rPr>
          <w:rFonts w:ascii="Arial" w:eastAsia="Times New Roman" w:hAnsi="Arial" w:cs="Arial"/>
          <w:b w:val="0"/>
          <w:i w:val="0"/>
          <w:sz w:val="24"/>
          <w:szCs w:val="24"/>
        </w:rPr>
      </w:pPr>
      <w:r w:rsidRPr="00DE0E5F">
        <w:rPr>
          <w:rFonts w:ascii="Arial" w:eastAsia="Times New Roman" w:hAnsi="Arial" w:cs="Arial"/>
          <w:b w:val="0"/>
          <w:i w:val="0"/>
          <w:sz w:val="24"/>
          <w:szCs w:val="24"/>
        </w:rPr>
        <w:t xml:space="preserve">The European System of interoperable statistical Business Registers (ESBRs) is a core initiative of the ESS Vision 2020 portfolio. </w:t>
      </w:r>
      <w:r w:rsidRPr="00DE0E5F">
        <w:rPr>
          <w:rFonts w:ascii="Arial" w:hAnsi="Arial" w:cs="Arial"/>
          <w:b w:val="0"/>
          <w:bCs/>
          <w:i w:val="0"/>
          <w:color w:val="2B2B2B"/>
          <w:sz w:val="24"/>
          <w:szCs w:val="24"/>
        </w:rPr>
        <w:t xml:space="preserve">It aims to create a coordinated infrastructure of frames, serving as </w:t>
      </w:r>
      <w:r w:rsidR="00A75305">
        <w:rPr>
          <w:rFonts w:ascii="Arial" w:hAnsi="Arial" w:cs="Arial"/>
          <w:b w:val="0"/>
          <w:bCs/>
          <w:i w:val="0"/>
          <w:color w:val="2B2B2B"/>
          <w:sz w:val="24"/>
          <w:szCs w:val="24"/>
        </w:rPr>
        <w:t xml:space="preserve">the </w:t>
      </w:r>
      <w:r w:rsidRPr="00DE0E5F">
        <w:rPr>
          <w:rFonts w:ascii="Arial" w:hAnsi="Arial" w:cs="Arial"/>
          <w:b w:val="0"/>
          <w:bCs/>
          <w:i w:val="0"/>
          <w:color w:val="2B2B2B"/>
          <w:sz w:val="24"/>
          <w:szCs w:val="24"/>
        </w:rPr>
        <w:t>backbone for the production of high-quality business statistics in Europe.</w:t>
      </w:r>
      <w:r w:rsidRPr="00DE0E5F">
        <w:rPr>
          <w:rFonts w:ascii="Arial" w:eastAsia="Times New Roman" w:hAnsi="Arial" w:cs="Arial"/>
          <w:b w:val="0"/>
          <w:i w:val="0"/>
          <w:sz w:val="24"/>
          <w:szCs w:val="24"/>
        </w:rPr>
        <w:t xml:space="preserve"> Because of its importance, an increased number of </w:t>
      </w:r>
      <w:r w:rsidRPr="00DE0E5F">
        <w:rPr>
          <w:rFonts w:ascii="Arial" w:eastAsia="Times New Roman" w:hAnsi="Arial" w:cs="Arial"/>
          <w:b w:val="0"/>
          <w:i w:val="0"/>
          <w:sz w:val="24"/>
          <w:szCs w:val="24"/>
        </w:rPr>
        <w:lastRenderedPageBreak/>
        <w:t xml:space="preserve">governance bodies, managers and experts from Eurostat and Member States are involved in its development. </w:t>
      </w:r>
    </w:p>
    <w:p w:rsidR="00B73CEB" w:rsidRPr="00DE0E5F" w:rsidRDefault="00B73CEB" w:rsidP="00B73CEB">
      <w:pPr>
        <w:pStyle w:val="Ttulo2"/>
        <w:spacing w:before="120" w:after="0" w:line="360" w:lineRule="auto"/>
        <w:jc w:val="both"/>
        <w:rPr>
          <w:rFonts w:ascii="Arial" w:eastAsia="Times New Roman" w:hAnsi="Arial" w:cs="Arial"/>
          <w:b w:val="0"/>
          <w:i w:val="0"/>
          <w:sz w:val="24"/>
          <w:szCs w:val="24"/>
        </w:rPr>
      </w:pPr>
      <w:r w:rsidRPr="00DE0E5F">
        <w:rPr>
          <w:rFonts w:ascii="Arial" w:eastAsia="Times New Roman" w:hAnsi="Arial" w:cs="Arial"/>
          <w:b w:val="0"/>
          <w:i w:val="0"/>
          <w:sz w:val="24"/>
          <w:szCs w:val="24"/>
        </w:rPr>
        <w:t>A continuous improvement of the ESBRs is being undertaken. Several important achievements have already been reported with clear repercussions and benefits;</w:t>
      </w:r>
      <w:r w:rsidR="00835C5E">
        <w:rPr>
          <w:rFonts w:ascii="Arial" w:eastAsia="Times New Roman" w:hAnsi="Arial" w:cs="Arial"/>
          <w:b w:val="0"/>
          <w:i w:val="0"/>
          <w:sz w:val="24"/>
          <w:szCs w:val="24"/>
        </w:rPr>
        <w:t xml:space="preserve"> t</w:t>
      </w:r>
      <w:r w:rsidRPr="00DE0E5F">
        <w:rPr>
          <w:rFonts w:ascii="Arial" w:eastAsia="Times New Roman" w:hAnsi="Arial" w:cs="Arial"/>
          <w:b w:val="0"/>
          <w:i w:val="0"/>
          <w:sz w:val="24"/>
          <w:szCs w:val="24"/>
        </w:rPr>
        <w:t xml:space="preserve">he system of Business Registers is moving towards </w:t>
      </w:r>
      <w:r w:rsidR="00A75305">
        <w:rPr>
          <w:rFonts w:ascii="Arial" w:eastAsia="Times New Roman" w:hAnsi="Arial" w:cs="Arial"/>
          <w:b w:val="0"/>
          <w:i w:val="0"/>
          <w:sz w:val="24"/>
          <w:szCs w:val="24"/>
        </w:rPr>
        <w:t xml:space="preserve">having </w:t>
      </w:r>
      <w:r w:rsidRPr="00DE0E5F">
        <w:rPr>
          <w:rFonts w:ascii="Arial" w:eastAsia="Times New Roman" w:hAnsi="Arial" w:cs="Arial"/>
          <w:b w:val="0"/>
          <w:i w:val="0"/>
          <w:sz w:val="24"/>
          <w:szCs w:val="24"/>
        </w:rPr>
        <w:t xml:space="preserve">more integrated and consistent information on the business units operating in the European Union. </w:t>
      </w:r>
    </w:p>
    <w:p w:rsidR="00B73CEB" w:rsidRPr="00DE0E5F" w:rsidRDefault="00B73CEB" w:rsidP="00B73CEB">
      <w:pPr>
        <w:spacing w:before="120" w:after="0" w:line="360" w:lineRule="auto"/>
        <w:jc w:val="both"/>
        <w:rPr>
          <w:rFonts w:ascii="Arial" w:eastAsia="Times New Roman" w:hAnsi="Arial" w:cs="Arial"/>
          <w:sz w:val="24"/>
          <w:szCs w:val="24"/>
        </w:rPr>
      </w:pPr>
      <w:r w:rsidRPr="00DE0E5F">
        <w:rPr>
          <w:rFonts w:ascii="Arial" w:eastAsia="Times New Roman" w:hAnsi="Arial" w:cs="Arial"/>
          <w:sz w:val="24"/>
          <w:szCs w:val="24"/>
        </w:rPr>
        <w:t>The ESBRs is a network formed by all National Business Registers (NBRs) and the Euro Groups Register (EGR). The EGR is the Statistical Register of the European Communities on multinational enterprise groups, the authentic core of the ESBRs. It includes information o</w:t>
      </w:r>
      <w:r w:rsidR="00A75305">
        <w:rPr>
          <w:rFonts w:ascii="Arial" w:eastAsia="Times New Roman" w:hAnsi="Arial" w:cs="Arial"/>
          <w:sz w:val="24"/>
          <w:szCs w:val="24"/>
        </w:rPr>
        <w:t>n</w:t>
      </w:r>
      <w:r w:rsidRPr="00DE0E5F">
        <w:rPr>
          <w:rFonts w:ascii="Arial" w:eastAsia="Times New Roman" w:hAnsi="Arial" w:cs="Arial"/>
          <w:sz w:val="24"/>
          <w:szCs w:val="24"/>
        </w:rPr>
        <w:t xml:space="preserve"> the most influential multinationals operating in the EU and EFTA countries.  </w:t>
      </w:r>
    </w:p>
    <w:p w:rsidR="00B73CEB" w:rsidRPr="00DE0E5F" w:rsidRDefault="00B73CEB" w:rsidP="00B73CEB">
      <w:pPr>
        <w:spacing w:before="120" w:after="0" w:line="360" w:lineRule="auto"/>
        <w:jc w:val="both"/>
        <w:rPr>
          <w:rFonts w:ascii="Arial" w:eastAsia="Times New Roman" w:hAnsi="Arial" w:cs="Arial"/>
          <w:sz w:val="24"/>
          <w:szCs w:val="24"/>
        </w:rPr>
      </w:pPr>
      <w:r w:rsidRPr="00DE0E5F">
        <w:rPr>
          <w:rFonts w:ascii="Arial" w:eastAsia="Times New Roman" w:hAnsi="Arial" w:cs="Arial"/>
          <w:sz w:val="24"/>
          <w:szCs w:val="24"/>
        </w:rPr>
        <w:t xml:space="preserve">The EGR is produced and annually maintained under a strict collaborative model, involving Eurostat and the National Statistical Institutes (NSIs) as the core stakeholders. During the first stages of cycle, </w:t>
      </w:r>
      <w:r w:rsidR="00A75305">
        <w:rPr>
          <w:rFonts w:ascii="Arial" w:eastAsia="Times New Roman" w:hAnsi="Arial" w:cs="Arial"/>
          <w:sz w:val="24"/>
          <w:szCs w:val="24"/>
        </w:rPr>
        <w:t xml:space="preserve">the </w:t>
      </w:r>
      <w:r w:rsidRPr="00DE0E5F">
        <w:rPr>
          <w:rFonts w:ascii="Arial" w:eastAsia="Times New Roman" w:hAnsi="Arial" w:cs="Arial"/>
          <w:sz w:val="24"/>
          <w:szCs w:val="24"/>
        </w:rPr>
        <w:t xml:space="preserve">NSIs act as the relevant data providers, according to the information available in the NBRs. Eurostat is in charge of data integration and the generation of a </w:t>
      </w:r>
      <w:r w:rsidRPr="00DE0E5F">
        <w:rPr>
          <w:rFonts w:ascii="Arial" w:eastAsia="Times New Roman" w:hAnsi="Arial" w:cs="Arial"/>
          <w:i/>
          <w:sz w:val="24"/>
          <w:szCs w:val="24"/>
        </w:rPr>
        <w:t>frozen</w:t>
      </w:r>
      <w:r w:rsidRPr="00DE0E5F">
        <w:rPr>
          <w:rFonts w:ascii="Arial" w:eastAsia="Times New Roman" w:hAnsi="Arial" w:cs="Arial"/>
          <w:sz w:val="24"/>
          <w:szCs w:val="24"/>
        </w:rPr>
        <w:t xml:space="preserve"> system of frames.</w:t>
      </w:r>
    </w:p>
    <w:p w:rsidR="00B73CEB" w:rsidRPr="00DE0E5F" w:rsidRDefault="00B73CEB" w:rsidP="00B73CEB">
      <w:pPr>
        <w:spacing w:before="120" w:after="0" w:line="360" w:lineRule="auto"/>
        <w:jc w:val="both"/>
        <w:rPr>
          <w:rFonts w:ascii="Arial" w:eastAsia="Times New Roman" w:hAnsi="Arial" w:cs="Arial"/>
          <w:sz w:val="24"/>
          <w:szCs w:val="24"/>
        </w:rPr>
      </w:pPr>
      <w:r w:rsidRPr="00DE0E5F">
        <w:rPr>
          <w:rFonts w:ascii="Arial" w:eastAsia="Times New Roman" w:hAnsi="Arial" w:cs="Arial"/>
          <w:sz w:val="24"/>
          <w:szCs w:val="24"/>
        </w:rPr>
        <w:t xml:space="preserve">Since 2013 some innovations have been progressively incorporated </w:t>
      </w:r>
      <w:r w:rsidR="00A75305">
        <w:rPr>
          <w:rFonts w:ascii="Arial" w:eastAsia="Times New Roman" w:hAnsi="Arial" w:cs="Arial"/>
          <w:sz w:val="24"/>
          <w:szCs w:val="24"/>
        </w:rPr>
        <w:t>in</w:t>
      </w:r>
      <w:r w:rsidRPr="00DE0E5F">
        <w:rPr>
          <w:rFonts w:ascii="Arial" w:eastAsia="Times New Roman" w:hAnsi="Arial" w:cs="Arial"/>
          <w:sz w:val="24"/>
          <w:szCs w:val="24"/>
        </w:rPr>
        <w:t xml:space="preserve">to the production cycle. They were widely implemented for the reference year 2014, </w:t>
      </w:r>
      <w:r w:rsidR="00A75305">
        <w:rPr>
          <w:rFonts w:ascii="Arial" w:eastAsia="Times New Roman" w:hAnsi="Arial" w:cs="Arial"/>
          <w:sz w:val="24"/>
          <w:szCs w:val="24"/>
        </w:rPr>
        <w:t xml:space="preserve">which was </w:t>
      </w:r>
      <w:r w:rsidRPr="00DE0E5F">
        <w:rPr>
          <w:rFonts w:ascii="Arial" w:eastAsia="Times New Roman" w:hAnsi="Arial" w:cs="Arial"/>
          <w:sz w:val="24"/>
          <w:szCs w:val="24"/>
        </w:rPr>
        <w:t xml:space="preserve">the starting point of the </w:t>
      </w:r>
      <w:r w:rsidR="00A75305">
        <w:rPr>
          <w:rFonts w:ascii="Arial" w:eastAsia="Times New Roman" w:hAnsi="Arial" w:cs="Arial"/>
          <w:sz w:val="24"/>
          <w:szCs w:val="24"/>
        </w:rPr>
        <w:t>EGR 2.0 m</w:t>
      </w:r>
      <w:r w:rsidRPr="00DE0E5F">
        <w:rPr>
          <w:rFonts w:ascii="Arial" w:eastAsia="Times New Roman" w:hAnsi="Arial" w:cs="Arial"/>
          <w:sz w:val="24"/>
          <w:szCs w:val="24"/>
        </w:rPr>
        <w:t>ethodology</w:t>
      </w:r>
      <w:r w:rsidR="00A75305">
        <w:rPr>
          <w:rFonts w:ascii="Arial" w:eastAsia="Times New Roman" w:hAnsi="Arial" w:cs="Arial"/>
          <w:sz w:val="24"/>
          <w:szCs w:val="24"/>
        </w:rPr>
        <w:t>.</w:t>
      </w:r>
      <w:r w:rsidRPr="00DE0E5F">
        <w:rPr>
          <w:rFonts w:ascii="Arial" w:eastAsia="Times New Roman" w:hAnsi="Arial" w:cs="Arial"/>
          <w:sz w:val="24"/>
          <w:szCs w:val="24"/>
        </w:rPr>
        <w:t xml:space="preserve">  The definition of more efficient data exchanges, the incorporation of the </w:t>
      </w:r>
      <w:r w:rsidRPr="00DE0E5F">
        <w:rPr>
          <w:rFonts w:ascii="Arial" w:eastAsia="Times New Roman" w:hAnsi="Arial" w:cs="Arial"/>
          <w:i/>
          <w:sz w:val="24"/>
          <w:szCs w:val="24"/>
        </w:rPr>
        <w:t>authenticity principles</w:t>
      </w:r>
      <w:r w:rsidRPr="00DE0E5F">
        <w:rPr>
          <w:rStyle w:val="Refdenotaalpie"/>
          <w:rFonts w:ascii="Arial" w:eastAsia="Times New Roman" w:hAnsi="Arial" w:cs="Arial"/>
          <w:i/>
          <w:sz w:val="24"/>
          <w:szCs w:val="24"/>
        </w:rPr>
        <w:footnoteReference w:id="1"/>
      </w:r>
      <w:r w:rsidRPr="00DE0E5F">
        <w:rPr>
          <w:rFonts w:ascii="Arial" w:eastAsia="Times New Roman" w:hAnsi="Arial" w:cs="Arial"/>
          <w:i/>
          <w:sz w:val="24"/>
          <w:szCs w:val="24"/>
        </w:rPr>
        <w:t xml:space="preserve"> </w:t>
      </w:r>
      <w:r w:rsidRPr="00DE0E5F">
        <w:rPr>
          <w:rFonts w:ascii="Arial" w:eastAsia="Times New Roman" w:hAnsi="Arial" w:cs="Arial"/>
          <w:sz w:val="24"/>
          <w:szCs w:val="24"/>
        </w:rPr>
        <w:t>and the new system of identification for the legal units can be pointed out as the main incorporations. All these elements, together with the development of several online applications for data access and interaction, are fostering a better organization of work and more consistent data.</w:t>
      </w:r>
    </w:p>
    <w:p w:rsidR="00B73CEB" w:rsidRPr="00DE0E5F" w:rsidRDefault="00B73CEB" w:rsidP="00B73CEB">
      <w:pPr>
        <w:pStyle w:val="Ttulo2"/>
        <w:numPr>
          <w:ilvl w:val="0"/>
          <w:numId w:val="30"/>
        </w:numPr>
        <w:spacing w:before="360" w:after="0" w:line="360" w:lineRule="auto"/>
        <w:rPr>
          <w:rFonts w:ascii="Arial" w:eastAsia="Times New Roman" w:hAnsi="Arial" w:cs="Arial"/>
          <w:i w:val="0"/>
          <w:sz w:val="24"/>
          <w:szCs w:val="24"/>
        </w:rPr>
      </w:pPr>
      <w:r w:rsidRPr="00DE0E5F">
        <w:rPr>
          <w:rFonts w:ascii="Arial" w:eastAsia="Times New Roman" w:hAnsi="Arial" w:cs="Arial"/>
          <w:i w:val="0"/>
          <w:sz w:val="24"/>
          <w:szCs w:val="24"/>
        </w:rPr>
        <w:t xml:space="preserve">Quality in Business Registers  </w:t>
      </w:r>
    </w:p>
    <w:p w:rsidR="00B73CEB" w:rsidRPr="00DE0E5F" w:rsidRDefault="00B73CEB" w:rsidP="00B73CEB">
      <w:pPr>
        <w:spacing w:before="120" w:after="0" w:line="360" w:lineRule="auto"/>
        <w:jc w:val="both"/>
        <w:rPr>
          <w:rFonts w:ascii="Arial" w:eastAsia="Times New Roman" w:hAnsi="Arial" w:cs="Arial"/>
          <w:sz w:val="24"/>
          <w:szCs w:val="24"/>
        </w:rPr>
      </w:pPr>
      <w:r w:rsidRPr="00DE0E5F">
        <w:rPr>
          <w:rFonts w:ascii="Arial" w:eastAsia="Times New Roman" w:hAnsi="Arial" w:cs="Arial"/>
          <w:sz w:val="24"/>
          <w:szCs w:val="24"/>
        </w:rPr>
        <w:t xml:space="preserve">Quality is a key requirement for the ESBRs network. Increasing quality of the register’s data means that they more correctly represent the real world to which </w:t>
      </w:r>
      <w:r w:rsidR="00CB3805">
        <w:rPr>
          <w:rFonts w:ascii="Arial" w:eastAsia="Times New Roman" w:hAnsi="Arial" w:cs="Arial"/>
          <w:sz w:val="24"/>
          <w:szCs w:val="24"/>
        </w:rPr>
        <w:t>they</w:t>
      </w:r>
      <w:r w:rsidRPr="00DE0E5F">
        <w:rPr>
          <w:rFonts w:ascii="Arial" w:eastAsia="Times New Roman" w:hAnsi="Arial" w:cs="Arial"/>
          <w:sz w:val="24"/>
          <w:szCs w:val="24"/>
        </w:rPr>
        <w:t xml:space="preserve"> refer. Consequently, they will be more intensely used in statistical operations, decision</w:t>
      </w:r>
      <w:r w:rsidR="00CB3805">
        <w:rPr>
          <w:rFonts w:ascii="Arial" w:eastAsia="Times New Roman" w:hAnsi="Arial" w:cs="Arial"/>
          <w:sz w:val="24"/>
          <w:szCs w:val="24"/>
        </w:rPr>
        <w:t>-</w:t>
      </w:r>
      <w:r w:rsidRPr="00DE0E5F">
        <w:rPr>
          <w:rFonts w:ascii="Arial" w:eastAsia="Times New Roman" w:hAnsi="Arial" w:cs="Arial"/>
          <w:sz w:val="24"/>
          <w:szCs w:val="24"/>
        </w:rPr>
        <w:t xml:space="preserve"> making and planning.</w:t>
      </w:r>
    </w:p>
    <w:p w:rsidR="00B73CEB" w:rsidRPr="00DE0E5F" w:rsidRDefault="00B73CEB" w:rsidP="00B73CEB">
      <w:pPr>
        <w:spacing w:before="120" w:after="0" w:line="360" w:lineRule="auto"/>
        <w:jc w:val="both"/>
        <w:rPr>
          <w:rFonts w:ascii="Arial" w:eastAsia="Times New Roman" w:hAnsi="Arial" w:cs="Arial"/>
          <w:sz w:val="24"/>
          <w:szCs w:val="24"/>
        </w:rPr>
      </w:pPr>
      <w:r w:rsidRPr="00DE0E5F">
        <w:rPr>
          <w:rFonts w:ascii="Arial" w:eastAsia="Times New Roman" w:hAnsi="Arial" w:cs="Arial"/>
          <w:sz w:val="24"/>
          <w:szCs w:val="24"/>
        </w:rPr>
        <w:t xml:space="preserve">Since 2015, a common Data Quality Program for NBRs and EGR </w:t>
      </w:r>
      <w:r w:rsidR="00522B87">
        <w:rPr>
          <w:rFonts w:ascii="Arial" w:eastAsia="Times New Roman" w:hAnsi="Arial" w:cs="Arial"/>
          <w:sz w:val="24"/>
          <w:szCs w:val="24"/>
        </w:rPr>
        <w:t>has been</w:t>
      </w:r>
      <w:r w:rsidRPr="00DE0E5F">
        <w:rPr>
          <w:rFonts w:ascii="Arial" w:eastAsia="Times New Roman" w:hAnsi="Arial" w:cs="Arial"/>
          <w:sz w:val="24"/>
          <w:szCs w:val="24"/>
        </w:rPr>
        <w:t xml:space="preserve"> developed, updated and gradually implemented. The adopted approach is based on the </w:t>
      </w:r>
      <w:r w:rsidRPr="00DE0E5F">
        <w:rPr>
          <w:rFonts w:ascii="Arial" w:eastAsia="Times New Roman" w:hAnsi="Arial" w:cs="Arial"/>
          <w:i/>
          <w:sz w:val="24"/>
          <w:szCs w:val="24"/>
        </w:rPr>
        <w:t>so-called</w:t>
      </w:r>
      <w:r w:rsidRPr="00DE0E5F">
        <w:rPr>
          <w:rFonts w:ascii="Arial" w:eastAsia="Times New Roman" w:hAnsi="Arial" w:cs="Arial"/>
          <w:sz w:val="24"/>
          <w:szCs w:val="24"/>
        </w:rPr>
        <w:t xml:space="preserve"> Deming circle, a tool very commonly used by </w:t>
      </w:r>
      <w:r w:rsidR="00522B87">
        <w:rPr>
          <w:rFonts w:ascii="Arial" w:eastAsia="Times New Roman" w:hAnsi="Arial" w:cs="Arial"/>
          <w:sz w:val="24"/>
          <w:szCs w:val="24"/>
        </w:rPr>
        <w:t xml:space="preserve">a wide range of </w:t>
      </w:r>
      <w:r w:rsidRPr="00DE0E5F">
        <w:rPr>
          <w:rFonts w:ascii="Arial" w:eastAsia="Times New Roman" w:hAnsi="Arial" w:cs="Arial"/>
          <w:sz w:val="24"/>
          <w:szCs w:val="24"/>
        </w:rPr>
        <w:t xml:space="preserve">Organizations. Our current program is structured in four components, covering areas directly related to Quality: Reporting, Targets, Assessment and Improvement. This report will focus on Q-Targets component. </w:t>
      </w:r>
    </w:p>
    <w:p w:rsidR="00B73CEB" w:rsidRPr="00DE0E5F" w:rsidRDefault="00B73CEB" w:rsidP="00B73CEB">
      <w:pPr>
        <w:spacing w:before="120" w:after="0" w:line="360" w:lineRule="auto"/>
        <w:jc w:val="both"/>
        <w:rPr>
          <w:rFonts w:ascii="Arial" w:eastAsia="Times New Roman" w:hAnsi="Arial" w:cs="Arial"/>
          <w:sz w:val="24"/>
          <w:szCs w:val="24"/>
        </w:rPr>
      </w:pPr>
      <w:r w:rsidRPr="00DE0E5F">
        <w:rPr>
          <w:rFonts w:ascii="Arial" w:eastAsia="Times New Roman" w:hAnsi="Arial" w:cs="Arial"/>
          <w:sz w:val="24"/>
          <w:szCs w:val="24"/>
        </w:rPr>
        <w:t xml:space="preserve">The inherent complexity of the EGR model and its strong interconnection with NBRs needs a continuous assessment of the entire production process, related exchange flows and derived outcomes. In this context, Q-Targets </w:t>
      </w:r>
      <w:r w:rsidR="00522B87">
        <w:rPr>
          <w:rFonts w:ascii="Arial" w:eastAsia="Times New Roman" w:hAnsi="Arial" w:cs="Arial"/>
          <w:sz w:val="24"/>
          <w:szCs w:val="24"/>
        </w:rPr>
        <w:t xml:space="preserve">represents </w:t>
      </w:r>
      <w:r w:rsidRPr="00DE0E5F">
        <w:rPr>
          <w:rFonts w:ascii="Arial" w:eastAsia="Times New Roman" w:hAnsi="Arial" w:cs="Arial"/>
          <w:sz w:val="24"/>
          <w:szCs w:val="24"/>
        </w:rPr>
        <w:t xml:space="preserve">the main information enabling a </w:t>
      </w:r>
      <w:r w:rsidR="00522B87">
        <w:rPr>
          <w:rFonts w:ascii="Arial" w:eastAsia="Times New Roman" w:hAnsi="Arial" w:cs="Arial"/>
          <w:sz w:val="24"/>
          <w:szCs w:val="24"/>
        </w:rPr>
        <w:t>complete</w:t>
      </w:r>
      <w:r w:rsidRPr="00DE0E5F">
        <w:rPr>
          <w:rFonts w:ascii="Arial" w:eastAsia="Times New Roman" w:hAnsi="Arial" w:cs="Arial"/>
          <w:sz w:val="24"/>
          <w:szCs w:val="24"/>
        </w:rPr>
        <w:t xml:space="preserve"> control of the process. They are normally monitored by a set of indicators, namely: </w:t>
      </w:r>
    </w:p>
    <w:p w:rsidR="00B73CEB" w:rsidRPr="00DE0E5F" w:rsidRDefault="00B73CEB" w:rsidP="00E54D5D">
      <w:pPr>
        <w:numPr>
          <w:ilvl w:val="0"/>
          <w:numId w:val="32"/>
        </w:numPr>
        <w:spacing w:before="80" w:after="0" w:line="360" w:lineRule="auto"/>
        <w:ind w:left="227" w:hanging="227"/>
        <w:jc w:val="both"/>
        <w:rPr>
          <w:rFonts w:ascii="Arial" w:eastAsia="Times New Roman" w:hAnsi="Arial" w:cs="Arial"/>
          <w:sz w:val="24"/>
          <w:szCs w:val="24"/>
        </w:rPr>
      </w:pPr>
      <w:r w:rsidRPr="00DE0E5F">
        <w:rPr>
          <w:rFonts w:ascii="Arial" w:eastAsia="Times New Roman" w:hAnsi="Arial" w:cs="Arial"/>
          <w:i/>
          <w:sz w:val="24"/>
          <w:szCs w:val="24"/>
        </w:rPr>
        <w:t>Input</w:t>
      </w:r>
      <w:r w:rsidRPr="00DE0E5F">
        <w:rPr>
          <w:rFonts w:ascii="Arial" w:eastAsia="Times New Roman" w:hAnsi="Arial" w:cs="Arial"/>
          <w:sz w:val="24"/>
          <w:szCs w:val="24"/>
        </w:rPr>
        <w:t xml:space="preserve"> indicators, linked to the formal quality of the national data files</w:t>
      </w:r>
    </w:p>
    <w:p w:rsidR="00B73CEB" w:rsidRPr="00DE0E5F" w:rsidRDefault="00B73CEB" w:rsidP="00E54D5D">
      <w:pPr>
        <w:numPr>
          <w:ilvl w:val="0"/>
          <w:numId w:val="32"/>
        </w:numPr>
        <w:spacing w:before="80" w:after="0" w:line="360" w:lineRule="auto"/>
        <w:ind w:left="227" w:hanging="227"/>
        <w:jc w:val="both"/>
        <w:rPr>
          <w:rFonts w:ascii="Arial" w:eastAsia="Times New Roman" w:hAnsi="Arial" w:cs="Arial"/>
          <w:sz w:val="24"/>
          <w:szCs w:val="24"/>
        </w:rPr>
      </w:pPr>
      <w:r w:rsidRPr="00DE0E5F">
        <w:rPr>
          <w:rFonts w:ascii="Arial" w:eastAsia="Times New Roman" w:hAnsi="Arial" w:cs="Arial"/>
          <w:i/>
          <w:sz w:val="24"/>
          <w:szCs w:val="24"/>
        </w:rPr>
        <w:t>Process</w:t>
      </w:r>
      <w:r w:rsidRPr="00DE0E5F">
        <w:rPr>
          <w:rFonts w:ascii="Arial" w:eastAsia="Times New Roman" w:hAnsi="Arial" w:cs="Arial"/>
          <w:sz w:val="24"/>
          <w:szCs w:val="24"/>
        </w:rPr>
        <w:t xml:space="preserve"> indicators, linked to the consolidation of all legal units and the generation of the group´s structures </w:t>
      </w:r>
    </w:p>
    <w:p w:rsidR="00B73CEB" w:rsidRPr="00DE0E5F" w:rsidRDefault="00B73CEB" w:rsidP="00E54D5D">
      <w:pPr>
        <w:numPr>
          <w:ilvl w:val="0"/>
          <w:numId w:val="32"/>
        </w:numPr>
        <w:spacing w:before="80" w:after="0" w:line="360" w:lineRule="auto"/>
        <w:ind w:left="227" w:hanging="227"/>
        <w:jc w:val="both"/>
        <w:rPr>
          <w:rFonts w:ascii="Arial" w:hAnsi="Arial" w:cs="Arial"/>
          <w:color w:val="222222"/>
          <w:sz w:val="24"/>
          <w:szCs w:val="24"/>
          <w:lang w:val="en"/>
        </w:rPr>
      </w:pPr>
      <w:r w:rsidRPr="00DE0E5F">
        <w:rPr>
          <w:rFonts w:ascii="Arial" w:eastAsia="Times New Roman" w:hAnsi="Arial" w:cs="Arial"/>
          <w:i/>
          <w:sz w:val="24"/>
          <w:szCs w:val="24"/>
        </w:rPr>
        <w:t>Output</w:t>
      </w:r>
      <w:r w:rsidRPr="00DE0E5F">
        <w:rPr>
          <w:rFonts w:ascii="Arial" w:eastAsia="Times New Roman" w:hAnsi="Arial" w:cs="Arial"/>
          <w:sz w:val="24"/>
          <w:szCs w:val="24"/>
        </w:rPr>
        <w:t xml:space="preserve"> indicators, linked to the consistency of the EGR frames according to the target populations produced by FATS statistics  </w:t>
      </w:r>
    </w:p>
    <w:p w:rsidR="00B73CEB" w:rsidRPr="00DE0E5F" w:rsidRDefault="00B73CEB" w:rsidP="00B73CEB">
      <w:pPr>
        <w:spacing w:before="120" w:after="0" w:line="360" w:lineRule="auto"/>
        <w:jc w:val="both"/>
        <w:rPr>
          <w:rFonts w:ascii="Arial" w:hAnsi="Arial" w:cs="Arial"/>
          <w:color w:val="222222"/>
          <w:sz w:val="24"/>
          <w:szCs w:val="24"/>
          <w:lang w:val="en"/>
        </w:rPr>
      </w:pPr>
      <w:r w:rsidRPr="00DE0E5F">
        <w:rPr>
          <w:rFonts w:ascii="Arial" w:hAnsi="Arial" w:cs="Arial"/>
          <w:sz w:val="24"/>
          <w:szCs w:val="24"/>
          <w:lang w:val="en-AU"/>
        </w:rPr>
        <w:t xml:space="preserve">This report takes </w:t>
      </w:r>
      <w:r w:rsidR="00522B87" w:rsidRPr="00DE0E5F">
        <w:rPr>
          <w:rFonts w:ascii="Arial" w:hAnsi="Arial" w:cs="Arial"/>
          <w:sz w:val="24"/>
          <w:szCs w:val="24"/>
          <w:lang w:val="en-AU"/>
        </w:rPr>
        <w:t xml:space="preserve">the </w:t>
      </w:r>
      <w:r w:rsidR="00522B87">
        <w:rPr>
          <w:rFonts w:ascii="Arial" w:hAnsi="Arial" w:cs="Arial"/>
          <w:sz w:val="24"/>
          <w:szCs w:val="24"/>
          <w:lang w:val="en-AU"/>
        </w:rPr>
        <w:t>afore-</w:t>
      </w:r>
      <w:r w:rsidR="00522B87" w:rsidRPr="00DE0E5F">
        <w:rPr>
          <w:rFonts w:ascii="Arial" w:hAnsi="Arial" w:cs="Arial"/>
          <w:sz w:val="24"/>
          <w:szCs w:val="24"/>
          <w:lang w:val="en-AU"/>
        </w:rPr>
        <w:t xml:space="preserve">mentioned elements </w:t>
      </w:r>
      <w:r w:rsidRPr="00DE0E5F">
        <w:rPr>
          <w:rFonts w:ascii="Arial" w:hAnsi="Arial" w:cs="Arial"/>
          <w:sz w:val="24"/>
          <w:szCs w:val="24"/>
          <w:lang w:val="en-AU"/>
        </w:rPr>
        <w:t xml:space="preserve">as a reference, but using an alternative approach. It provides some quantitative indicators reflecting the changes produced between the NBR data sent to the EGR and the national data finally registered in the EGR frame. </w:t>
      </w:r>
      <w:r w:rsidRPr="00DE0E5F">
        <w:rPr>
          <w:rFonts w:ascii="Arial" w:hAnsi="Arial" w:cs="Arial"/>
          <w:color w:val="222222"/>
          <w:sz w:val="24"/>
          <w:szCs w:val="24"/>
          <w:lang w:val="en"/>
        </w:rPr>
        <w:t xml:space="preserve">Strictly speaking, this statistical basis does not correspond to input/process/output indicators. </w:t>
      </w:r>
    </w:p>
    <w:p w:rsidR="00B73CEB" w:rsidRPr="00DE0E5F" w:rsidRDefault="00522B87" w:rsidP="00B73CEB">
      <w:pPr>
        <w:spacing w:before="120" w:after="0" w:line="360" w:lineRule="auto"/>
        <w:jc w:val="both"/>
        <w:rPr>
          <w:rFonts w:ascii="Arial" w:hAnsi="Arial" w:cs="Arial"/>
          <w:sz w:val="24"/>
          <w:szCs w:val="24"/>
          <w:lang w:val="en-US"/>
        </w:rPr>
      </w:pPr>
      <w:r>
        <w:rPr>
          <w:rFonts w:ascii="Arial" w:hAnsi="Arial" w:cs="Arial"/>
          <w:color w:val="222222"/>
          <w:sz w:val="24"/>
          <w:szCs w:val="24"/>
          <w:lang w:val="en"/>
        </w:rPr>
        <w:t>T</w:t>
      </w:r>
      <w:r w:rsidR="00B73CEB" w:rsidRPr="00DE0E5F">
        <w:rPr>
          <w:rFonts w:ascii="Arial" w:hAnsi="Arial" w:cs="Arial"/>
          <w:color w:val="222222"/>
          <w:sz w:val="24"/>
          <w:szCs w:val="24"/>
          <w:lang w:val="en"/>
        </w:rPr>
        <w:t>hese aggregates add value because they provide elements</w:t>
      </w:r>
      <w:r>
        <w:rPr>
          <w:rFonts w:ascii="Arial" w:hAnsi="Arial" w:cs="Arial"/>
          <w:color w:val="222222"/>
          <w:sz w:val="24"/>
          <w:szCs w:val="24"/>
          <w:lang w:val="en"/>
        </w:rPr>
        <w:t>, which</w:t>
      </w:r>
      <w:r w:rsidR="00B73CEB" w:rsidRPr="00DE0E5F">
        <w:rPr>
          <w:rFonts w:ascii="Arial" w:hAnsi="Arial" w:cs="Arial"/>
          <w:color w:val="222222"/>
          <w:sz w:val="24"/>
          <w:szCs w:val="24"/>
          <w:lang w:val="en"/>
        </w:rPr>
        <w:t xml:space="preserve"> define desirable consistency thresholds between sources. On the other hand, the contribution of third countries to the generation of multinational groups operating in a determined country can also be measured with this new perspective. </w:t>
      </w:r>
    </w:p>
    <w:p w:rsidR="00B73CEB" w:rsidRPr="00DE0E5F" w:rsidRDefault="00B73CEB" w:rsidP="00B73CEB">
      <w:pPr>
        <w:spacing w:before="120" w:after="0" w:line="360" w:lineRule="auto"/>
        <w:jc w:val="both"/>
        <w:rPr>
          <w:rFonts w:ascii="Arial" w:hAnsi="Arial" w:cs="Arial"/>
          <w:sz w:val="24"/>
          <w:szCs w:val="24"/>
          <w:lang w:val="en-US"/>
        </w:rPr>
      </w:pPr>
      <w:r w:rsidRPr="00DE0E5F">
        <w:rPr>
          <w:rFonts w:ascii="Arial" w:hAnsi="Arial" w:cs="Arial"/>
          <w:sz w:val="24"/>
          <w:szCs w:val="24"/>
          <w:lang w:val="en-US"/>
        </w:rPr>
        <w:t>This report also examines some discrepanc</w:t>
      </w:r>
      <w:r w:rsidR="00522B87">
        <w:rPr>
          <w:rFonts w:ascii="Arial" w:hAnsi="Arial" w:cs="Arial"/>
          <w:sz w:val="24"/>
          <w:szCs w:val="24"/>
          <w:lang w:val="en-US"/>
        </w:rPr>
        <w:t>ies</w:t>
      </w:r>
      <w:r w:rsidRPr="00DE0E5F">
        <w:rPr>
          <w:rFonts w:ascii="Arial" w:hAnsi="Arial" w:cs="Arial"/>
          <w:sz w:val="24"/>
          <w:szCs w:val="24"/>
          <w:lang w:val="en-US"/>
        </w:rPr>
        <w:t xml:space="preserve">, </w:t>
      </w:r>
      <w:r w:rsidR="00522B87">
        <w:rPr>
          <w:rFonts w:ascii="Arial" w:hAnsi="Arial" w:cs="Arial"/>
          <w:sz w:val="24"/>
          <w:szCs w:val="24"/>
          <w:lang w:val="en-US"/>
        </w:rPr>
        <w:t xml:space="preserve">following </w:t>
      </w:r>
      <w:r w:rsidRPr="00DE0E5F">
        <w:rPr>
          <w:rFonts w:ascii="Arial" w:hAnsi="Arial" w:cs="Arial"/>
          <w:sz w:val="24"/>
          <w:szCs w:val="24"/>
          <w:lang w:val="en-US"/>
        </w:rPr>
        <w:t xml:space="preserve">their categorization in terms of relative importance and accuracy. </w:t>
      </w:r>
      <w:r w:rsidR="00835C5E">
        <w:rPr>
          <w:rFonts w:ascii="Arial" w:hAnsi="Arial" w:cs="Arial"/>
          <w:sz w:val="24"/>
          <w:szCs w:val="24"/>
          <w:lang w:val="en-US"/>
        </w:rPr>
        <w:t>A</w:t>
      </w:r>
      <w:r w:rsidRPr="00DE0E5F">
        <w:rPr>
          <w:rFonts w:ascii="Arial" w:hAnsi="Arial" w:cs="Arial"/>
          <w:sz w:val="24"/>
          <w:szCs w:val="24"/>
          <w:lang w:val="en-US"/>
        </w:rPr>
        <w:t xml:space="preserve"> specific desktop research was carried out </w:t>
      </w:r>
      <w:r w:rsidR="00835C5E">
        <w:rPr>
          <w:rFonts w:ascii="Arial" w:hAnsi="Arial" w:cs="Arial"/>
          <w:sz w:val="24"/>
          <w:szCs w:val="24"/>
          <w:lang w:val="en-US"/>
        </w:rPr>
        <w:t>by</w:t>
      </w:r>
      <w:r w:rsidRPr="00DE0E5F">
        <w:rPr>
          <w:rFonts w:ascii="Arial" w:hAnsi="Arial" w:cs="Arial"/>
          <w:sz w:val="24"/>
          <w:szCs w:val="24"/>
          <w:lang w:val="en-US"/>
        </w:rPr>
        <w:t xml:space="preserve"> the Spanish BR Unit. </w:t>
      </w:r>
    </w:p>
    <w:p w:rsidR="00B73CEB" w:rsidRDefault="00B73CEB" w:rsidP="00B73CEB">
      <w:pPr>
        <w:pStyle w:val="Prrafodelista"/>
        <w:keepNext/>
        <w:numPr>
          <w:ilvl w:val="0"/>
          <w:numId w:val="30"/>
        </w:numPr>
        <w:spacing w:before="360" w:after="0" w:line="360" w:lineRule="auto"/>
        <w:rPr>
          <w:rFonts w:ascii="Arial" w:eastAsia="Times New Roman" w:hAnsi="Arial" w:cs="Arial"/>
          <w:b/>
          <w:sz w:val="24"/>
          <w:szCs w:val="24"/>
        </w:rPr>
      </w:pPr>
      <w:r w:rsidRPr="00DE0E5F">
        <w:rPr>
          <w:rFonts w:ascii="Arial" w:eastAsia="Times New Roman" w:hAnsi="Arial" w:cs="Arial"/>
          <w:b/>
          <w:sz w:val="24"/>
          <w:szCs w:val="24"/>
        </w:rPr>
        <w:t>Reference to the sources for analysis</w:t>
      </w:r>
    </w:p>
    <w:p w:rsidR="00B73CEB" w:rsidRPr="00DA44DB" w:rsidRDefault="00B73CEB" w:rsidP="00B73CEB">
      <w:pPr>
        <w:pStyle w:val="Prrafodelista"/>
        <w:keepNext/>
        <w:spacing w:before="360" w:after="0" w:line="360" w:lineRule="auto"/>
        <w:ind w:left="0"/>
        <w:rPr>
          <w:rFonts w:ascii="Arial" w:hAnsi="Arial" w:cs="Arial"/>
          <w:i/>
          <w:sz w:val="24"/>
          <w:szCs w:val="24"/>
          <w:lang w:val="en-US"/>
        </w:rPr>
      </w:pPr>
      <w:r w:rsidRPr="00DA44DB">
        <w:rPr>
          <w:rFonts w:ascii="Arial" w:eastAsia="Open Sans" w:hAnsi="Arial" w:cs="Arial"/>
          <w:i/>
          <w:color w:val="auto"/>
          <w:sz w:val="24"/>
          <w:szCs w:val="24"/>
        </w:rPr>
        <w:t xml:space="preserve">3.1 </w:t>
      </w:r>
      <w:r w:rsidRPr="00DA44DB">
        <w:rPr>
          <w:rFonts w:ascii="Arial" w:hAnsi="Arial" w:cs="Arial"/>
          <w:i/>
          <w:color w:val="auto"/>
          <w:sz w:val="24"/>
          <w:szCs w:val="24"/>
          <w:lang w:val="en-US"/>
        </w:rPr>
        <w:t xml:space="preserve">National </w:t>
      </w:r>
      <w:r w:rsidRPr="00DA44DB">
        <w:rPr>
          <w:rFonts w:ascii="Arial" w:hAnsi="Arial" w:cs="Arial"/>
          <w:i/>
          <w:sz w:val="24"/>
          <w:szCs w:val="24"/>
          <w:lang w:val="en-US"/>
        </w:rPr>
        <w:t>information</w:t>
      </w:r>
      <w:r w:rsidRPr="00DA44DB">
        <w:rPr>
          <w:rFonts w:ascii="Arial" w:hAnsi="Arial" w:cs="Arial"/>
          <w:i/>
          <w:sz w:val="24"/>
          <w:szCs w:val="24"/>
          <w:lang w:val="en-US"/>
        </w:rPr>
        <w:tab/>
      </w:r>
    </w:p>
    <w:p w:rsidR="00B73CEB" w:rsidRPr="00DA44DB" w:rsidRDefault="00B73CEB" w:rsidP="00B73CEB">
      <w:pPr>
        <w:spacing w:before="120" w:after="0" w:line="360" w:lineRule="auto"/>
        <w:jc w:val="both"/>
        <w:rPr>
          <w:rFonts w:ascii="Arial" w:hAnsi="Arial" w:cs="Arial"/>
          <w:sz w:val="24"/>
          <w:szCs w:val="24"/>
          <w:lang w:val="en-AU"/>
        </w:rPr>
      </w:pPr>
      <w:r w:rsidRPr="00DA44DB">
        <w:rPr>
          <w:rFonts w:ascii="Arial" w:hAnsi="Arial" w:cs="Arial"/>
          <w:sz w:val="24"/>
          <w:szCs w:val="24"/>
          <w:lang w:val="en-AU"/>
        </w:rPr>
        <w:t xml:space="preserve">This concept refers to several files produced from the definitive version of the NBR of </w:t>
      </w:r>
      <w:r w:rsidRPr="00DA44DB">
        <w:rPr>
          <w:rFonts w:ascii="Arial" w:hAnsi="Arial" w:cs="Arial"/>
          <w:color w:val="auto"/>
          <w:sz w:val="24"/>
          <w:szCs w:val="24"/>
          <w:lang w:val="en-AU"/>
        </w:rPr>
        <w:t xml:space="preserve">reference 2015. The Spanish </w:t>
      </w:r>
      <w:r w:rsidRPr="00DA44DB">
        <w:rPr>
          <w:rFonts w:ascii="Arial" w:hAnsi="Arial" w:cs="Arial"/>
          <w:sz w:val="24"/>
          <w:szCs w:val="24"/>
          <w:lang w:val="en-AU"/>
        </w:rPr>
        <w:t xml:space="preserve">statistical information on enterprise groups is placed as a module of the national register system, fully consistent with the rest of the statistical units. </w:t>
      </w:r>
    </w:p>
    <w:p w:rsidR="00B73CEB" w:rsidRPr="00DA44DB" w:rsidRDefault="00B73CEB" w:rsidP="00B73CEB">
      <w:pPr>
        <w:spacing w:before="120" w:after="0" w:line="360" w:lineRule="auto"/>
        <w:jc w:val="both"/>
        <w:rPr>
          <w:rFonts w:ascii="Arial" w:hAnsi="Arial" w:cs="Arial"/>
          <w:sz w:val="24"/>
          <w:szCs w:val="24"/>
          <w:lang w:val="en-AU"/>
        </w:rPr>
      </w:pPr>
      <w:r w:rsidRPr="00DA44DB">
        <w:rPr>
          <w:rFonts w:ascii="Arial" w:hAnsi="Arial" w:cs="Arial"/>
          <w:sz w:val="24"/>
          <w:szCs w:val="24"/>
          <w:lang w:val="en-AU"/>
        </w:rPr>
        <w:t xml:space="preserve">The maintenance of the NBR is carried out annually according to a predefined set of input sources. These ones are received, edited, transformed and properly integrated. In the specific case of enterprise groups, a set of commercial, tax and statistical data is used and combined in order to achieve acceptable degrees of coverage.     </w:t>
      </w:r>
    </w:p>
    <w:p w:rsidR="00B73CEB" w:rsidRPr="00DA44DB" w:rsidRDefault="00B73CEB" w:rsidP="00B73CEB">
      <w:pPr>
        <w:spacing w:before="120" w:after="0" w:line="360" w:lineRule="auto"/>
        <w:jc w:val="both"/>
        <w:rPr>
          <w:rFonts w:ascii="Arial" w:hAnsi="Arial" w:cs="Arial"/>
          <w:sz w:val="24"/>
          <w:szCs w:val="24"/>
          <w:lang w:val="en-AU"/>
        </w:rPr>
      </w:pPr>
      <w:r w:rsidRPr="00DA44DB">
        <w:rPr>
          <w:rFonts w:ascii="Arial" w:hAnsi="Arial" w:cs="Arial"/>
          <w:sz w:val="24"/>
          <w:szCs w:val="24"/>
          <w:lang w:val="en-AU"/>
        </w:rPr>
        <w:t xml:space="preserve">For this analysis, attention is paid to LEU and REL files (28.869 legal units and 28.814 control relationships) sent during the core part of the EGR cycle. The populations generated and respective selection criteria are: </w:t>
      </w:r>
    </w:p>
    <w:p w:rsidR="00B73CEB" w:rsidRPr="00DA44DB" w:rsidRDefault="00B73CEB" w:rsidP="00E54D5D">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80" w:after="0" w:line="360" w:lineRule="auto"/>
        <w:ind w:left="227" w:hanging="227"/>
        <w:jc w:val="both"/>
        <w:rPr>
          <w:rFonts w:ascii="Arial" w:hAnsi="Arial" w:cs="Arial"/>
          <w:sz w:val="24"/>
          <w:szCs w:val="24"/>
          <w:lang w:val="en-AU"/>
        </w:rPr>
      </w:pPr>
      <w:r w:rsidRPr="00DA44DB">
        <w:rPr>
          <w:rFonts w:ascii="Arial" w:hAnsi="Arial" w:cs="Arial"/>
          <w:sz w:val="24"/>
          <w:szCs w:val="24"/>
          <w:lang w:val="en-AU"/>
        </w:rPr>
        <w:t>National Outward Fats Population OFATS_NBR. All GDC</w:t>
      </w:r>
      <w:r w:rsidRPr="00DA44DB">
        <w:rPr>
          <w:rStyle w:val="Refdenotaalpie"/>
          <w:rFonts w:ascii="Arial" w:hAnsi="Arial" w:cs="Arial"/>
          <w:sz w:val="24"/>
          <w:szCs w:val="24"/>
          <w:lang w:val="en-AU"/>
        </w:rPr>
        <w:footnoteReference w:id="2"/>
      </w:r>
      <w:r w:rsidRPr="00DA44DB">
        <w:rPr>
          <w:rFonts w:ascii="Arial" w:hAnsi="Arial" w:cs="Arial"/>
          <w:sz w:val="24"/>
          <w:szCs w:val="24"/>
          <w:lang w:val="en-AU"/>
        </w:rPr>
        <w:t xml:space="preserve"> units of Spanish multinationals plus all their resident subsidiaries</w:t>
      </w:r>
      <w:r w:rsidRPr="00DA44DB">
        <w:rPr>
          <w:rFonts w:ascii="Arial" w:hAnsi="Arial" w:cs="Arial"/>
          <w:i/>
          <w:color w:val="auto"/>
          <w:sz w:val="24"/>
          <w:szCs w:val="24"/>
          <w:lang w:val="en-AU"/>
        </w:rPr>
        <w:t>.</w:t>
      </w:r>
      <w:r w:rsidRPr="00DA44DB">
        <w:rPr>
          <w:rFonts w:ascii="Arial" w:hAnsi="Arial" w:cs="Arial"/>
          <w:color w:val="auto"/>
          <w:sz w:val="24"/>
          <w:szCs w:val="24"/>
          <w:lang w:val="en-AU"/>
        </w:rPr>
        <w:t xml:space="preserve"> </w:t>
      </w:r>
    </w:p>
    <w:p w:rsidR="00B73CEB" w:rsidRPr="00DA44DB" w:rsidRDefault="00B73CEB" w:rsidP="00E54D5D">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80" w:after="0" w:line="360" w:lineRule="auto"/>
        <w:ind w:left="227" w:hanging="227"/>
        <w:jc w:val="both"/>
        <w:rPr>
          <w:rFonts w:ascii="Arial" w:hAnsi="Arial" w:cs="Arial"/>
          <w:sz w:val="24"/>
          <w:szCs w:val="24"/>
          <w:lang w:val="en-AU"/>
        </w:rPr>
      </w:pPr>
      <w:r w:rsidRPr="00DA44DB">
        <w:rPr>
          <w:rFonts w:ascii="Arial" w:hAnsi="Arial" w:cs="Arial"/>
          <w:sz w:val="24"/>
          <w:szCs w:val="24"/>
          <w:lang w:val="en-AU"/>
        </w:rPr>
        <w:t>National Inward Fats Population IFATS_NBR1. All resident subsidiaries controlled by a non-resident LEU with known identifier of its parent or ultimate unit</w:t>
      </w:r>
      <w:r w:rsidRPr="00DA44DB">
        <w:rPr>
          <w:rFonts w:ascii="Arial" w:hAnsi="Arial" w:cs="Arial"/>
          <w:i/>
          <w:color w:val="auto"/>
          <w:sz w:val="24"/>
          <w:szCs w:val="24"/>
          <w:lang w:val="en-AU"/>
        </w:rPr>
        <w:t>.</w:t>
      </w:r>
      <w:r w:rsidRPr="00DA44DB">
        <w:rPr>
          <w:rFonts w:ascii="Arial" w:hAnsi="Arial" w:cs="Arial"/>
          <w:color w:val="auto"/>
          <w:sz w:val="24"/>
          <w:szCs w:val="24"/>
          <w:lang w:val="en-AU"/>
        </w:rPr>
        <w:t xml:space="preserve"> </w:t>
      </w:r>
      <w:r w:rsidRPr="00DA44DB">
        <w:rPr>
          <w:rFonts w:ascii="Arial" w:hAnsi="Arial" w:cs="Arial"/>
          <w:sz w:val="24"/>
          <w:szCs w:val="24"/>
          <w:lang w:val="en-AU"/>
        </w:rPr>
        <w:t xml:space="preserve">In the case of a subgroup with non-resident parent and ultimate, both without identifier, the relationships of these subgroups were </w:t>
      </w:r>
      <w:r w:rsidR="00522B87" w:rsidRPr="00DA44DB">
        <w:rPr>
          <w:rFonts w:ascii="Arial" w:hAnsi="Arial" w:cs="Arial"/>
          <w:sz w:val="24"/>
          <w:szCs w:val="24"/>
          <w:lang w:val="en-AU"/>
        </w:rPr>
        <w:t xml:space="preserve">also </w:t>
      </w:r>
      <w:r w:rsidRPr="00DA44DB">
        <w:rPr>
          <w:rFonts w:ascii="Arial" w:hAnsi="Arial" w:cs="Arial"/>
          <w:sz w:val="24"/>
          <w:szCs w:val="24"/>
          <w:lang w:val="en-AU"/>
        </w:rPr>
        <w:t>sent.</w:t>
      </w:r>
    </w:p>
    <w:p w:rsidR="00B73CEB" w:rsidRPr="00DA44DB" w:rsidRDefault="00B73CEB" w:rsidP="00E54D5D">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80" w:after="0" w:line="360" w:lineRule="auto"/>
        <w:ind w:left="227" w:hanging="227"/>
        <w:jc w:val="both"/>
        <w:rPr>
          <w:rFonts w:ascii="Arial" w:hAnsi="Arial" w:cs="Arial"/>
          <w:sz w:val="24"/>
          <w:szCs w:val="24"/>
          <w:lang w:val="en-AU"/>
        </w:rPr>
      </w:pPr>
      <w:r w:rsidRPr="00DA44DB">
        <w:rPr>
          <w:rFonts w:ascii="Arial" w:hAnsi="Arial" w:cs="Arial"/>
          <w:sz w:val="24"/>
          <w:szCs w:val="24"/>
          <w:lang w:val="en-AU"/>
        </w:rPr>
        <w:t>Complementary National Inward Fats Population IFATS_NBR2. All resident subsidiaries controlled by a non-resident parent and ultimate, both without identifier</w:t>
      </w:r>
      <w:r w:rsidRPr="00DA44DB">
        <w:rPr>
          <w:rFonts w:ascii="Arial" w:hAnsi="Arial" w:cs="Arial"/>
          <w:i/>
          <w:color w:val="auto"/>
          <w:sz w:val="24"/>
          <w:szCs w:val="24"/>
          <w:lang w:val="en-AU"/>
        </w:rPr>
        <w:t>.</w:t>
      </w:r>
      <w:r w:rsidRPr="00DA44DB">
        <w:rPr>
          <w:rFonts w:ascii="Arial" w:hAnsi="Arial" w:cs="Arial"/>
          <w:color w:val="auto"/>
          <w:sz w:val="24"/>
          <w:szCs w:val="24"/>
          <w:lang w:val="en-AU"/>
        </w:rPr>
        <w:t xml:space="preserve"> Due to this last reason, this population is not sent to the EGR.</w:t>
      </w:r>
    </w:p>
    <w:p w:rsidR="00B73CEB" w:rsidRPr="00DA44DB" w:rsidRDefault="00B73CEB" w:rsidP="00E54D5D">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before="80" w:after="0" w:line="360" w:lineRule="auto"/>
        <w:ind w:left="227" w:hanging="227"/>
        <w:jc w:val="both"/>
        <w:rPr>
          <w:rFonts w:ascii="Arial" w:hAnsi="Arial" w:cs="Arial"/>
          <w:sz w:val="24"/>
          <w:szCs w:val="24"/>
          <w:lang w:val="en-AU"/>
        </w:rPr>
      </w:pPr>
      <w:r w:rsidRPr="00DA44DB">
        <w:rPr>
          <w:rFonts w:ascii="Arial" w:hAnsi="Arial" w:cs="Arial"/>
          <w:sz w:val="24"/>
          <w:szCs w:val="24"/>
          <w:lang w:val="en-AU"/>
        </w:rPr>
        <w:t xml:space="preserve">Domestic Groups Population DOM_NBR. All group heads and the respective subsidiaries of domestic enterprise groups.  </w:t>
      </w:r>
    </w:p>
    <w:p w:rsidR="00B73CEB" w:rsidRPr="00DA44DB" w:rsidRDefault="00B73CEB" w:rsidP="00B73CEB">
      <w:pPr>
        <w:spacing w:before="120" w:after="0" w:line="360" w:lineRule="auto"/>
        <w:jc w:val="both"/>
        <w:rPr>
          <w:rFonts w:ascii="Arial" w:hAnsi="Arial" w:cs="Arial"/>
          <w:sz w:val="24"/>
          <w:szCs w:val="24"/>
          <w:lang w:val="en-AU"/>
        </w:rPr>
      </w:pPr>
      <w:r w:rsidRPr="00DA44DB">
        <w:rPr>
          <w:rFonts w:ascii="Arial" w:hAnsi="Arial" w:cs="Arial"/>
          <w:sz w:val="24"/>
          <w:szCs w:val="24"/>
          <w:lang w:val="en-AU"/>
        </w:rPr>
        <w:t xml:space="preserve">OFATS_NBR and IFATS_NBR1 conforms the </w:t>
      </w:r>
      <w:r w:rsidRPr="00DA44DB">
        <w:rPr>
          <w:rFonts w:ascii="Arial" w:hAnsi="Arial" w:cs="Arial"/>
          <w:i/>
          <w:sz w:val="24"/>
          <w:szCs w:val="24"/>
          <w:lang w:val="en-AU"/>
        </w:rPr>
        <w:t>national information sent to the EGR</w:t>
      </w:r>
      <w:r w:rsidRPr="00DA44DB">
        <w:rPr>
          <w:rFonts w:ascii="Arial" w:hAnsi="Arial" w:cs="Arial"/>
          <w:sz w:val="24"/>
          <w:szCs w:val="24"/>
          <w:lang w:val="en-AU"/>
        </w:rPr>
        <w:t>, although in several parts of this study, the whole NBR will be used.</w:t>
      </w:r>
    </w:p>
    <w:p w:rsidR="00B73CEB" w:rsidRPr="00DA44DB" w:rsidRDefault="00B73CEB" w:rsidP="00B73CEB">
      <w:pPr>
        <w:pStyle w:val="Prrafodelista"/>
        <w:keepNext/>
        <w:spacing w:before="360" w:after="0" w:line="360" w:lineRule="auto"/>
        <w:ind w:left="0"/>
        <w:rPr>
          <w:rFonts w:ascii="Arial" w:eastAsia="Open Sans" w:hAnsi="Arial" w:cs="Arial"/>
          <w:i/>
          <w:color w:val="auto"/>
          <w:sz w:val="24"/>
          <w:szCs w:val="24"/>
        </w:rPr>
      </w:pPr>
      <w:r w:rsidRPr="00DA44DB">
        <w:rPr>
          <w:rFonts w:ascii="Arial" w:eastAsia="Open Sans" w:hAnsi="Arial" w:cs="Arial"/>
          <w:i/>
          <w:color w:val="auto"/>
          <w:sz w:val="24"/>
          <w:szCs w:val="24"/>
        </w:rPr>
        <w:t xml:space="preserve">3.2 EGR information </w:t>
      </w:r>
    </w:p>
    <w:p w:rsidR="00B73CEB" w:rsidRDefault="00B73CEB" w:rsidP="00B73CEB">
      <w:pPr>
        <w:spacing w:before="120" w:after="0" w:line="360" w:lineRule="auto"/>
        <w:jc w:val="both"/>
        <w:rPr>
          <w:rFonts w:ascii="Arial" w:hAnsi="Arial" w:cs="Arial"/>
          <w:sz w:val="24"/>
          <w:szCs w:val="24"/>
          <w:lang w:val="en-AU"/>
        </w:rPr>
      </w:pPr>
      <w:r w:rsidRPr="00DE0E5F">
        <w:rPr>
          <w:rFonts w:ascii="Arial" w:hAnsi="Arial" w:cs="Arial"/>
          <w:sz w:val="24"/>
          <w:szCs w:val="24"/>
          <w:lang w:val="en-US"/>
        </w:rPr>
        <w:t xml:space="preserve">This source </w:t>
      </w:r>
      <w:r w:rsidRPr="00DA44DB">
        <w:rPr>
          <w:rFonts w:ascii="Arial" w:hAnsi="Arial" w:cs="Arial"/>
          <w:sz w:val="24"/>
          <w:szCs w:val="24"/>
          <w:lang w:val="en-US"/>
        </w:rPr>
        <w:t>refers to the final frame</w:t>
      </w:r>
      <w:r w:rsidRPr="00DA44DB">
        <w:rPr>
          <w:rFonts w:ascii="Arial" w:hAnsi="Arial" w:cs="Arial"/>
          <w:sz w:val="24"/>
          <w:szCs w:val="24"/>
          <w:lang w:val="en-AU"/>
        </w:rPr>
        <w:t xml:space="preserve"> FINAL_EGR of reference 2015. It was generated and downloaded on Marc</w:t>
      </w:r>
      <w:bookmarkStart w:id="0" w:name="_GoBack"/>
      <w:bookmarkEnd w:id="0"/>
      <w:r w:rsidRPr="00DA44DB">
        <w:rPr>
          <w:rFonts w:ascii="Arial" w:hAnsi="Arial" w:cs="Arial"/>
          <w:sz w:val="24"/>
          <w:szCs w:val="24"/>
          <w:lang w:val="en-AU"/>
        </w:rPr>
        <w:t>h 2017 through the online EGR_FATS interface</w:t>
      </w:r>
      <w:r w:rsidRPr="00DE0E5F">
        <w:rPr>
          <w:rFonts w:ascii="Arial" w:hAnsi="Arial" w:cs="Arial"/>
          <w:sz w:val="24"/>
          <w:szCs w:val="24"/>
          <w:lang w:val="en-AU"/>
        </w:rPr>
        <w:t xml:space="preserve">. The national part of this frame corresponds to all multinationals with activities in our country and contains 307,240 legal units operating in 10,197 multinationals.      </w:t>
      </w:r>
    </w:p>
    <w:p w:rsidR="00B73CEB" w:rsidRPr="0032776D" w:rsidRDefault="00B73CEB" w:rsidP="002B2844">
      <w:pPr>
        <w:pStyle w:val="Prrafodelista"/>
        <w:numPr>
          <w:ilvl w:val="0"/>
          <w:numId w:val="30"/>
        </w:numPr>
        <w:spacing w:before="360" w:after="0" w:line="240" w:lineRule="auto"/>
        <w:ind w:left="357" w:hanging="357"/>
        <w:rPr>
          <w:rFonts w:ascii="Arial" w:eastAsia="Times New Roman" w:hAnsi="Arial" w:cs="Arial"/>
          <w:b/>
          <w:sz w:val="24"/>
          <w:szCs w:val="24"/>
        </w:rPr>
      </w:pPr>
      <w:r w:rsidRPr="0032776D">
        <w:rPr>
          <w:rFonts w:ascii="Arial" w:eastAsia="Times New Roman" w:hAnsi="Arial" w:cs="Arial"/>
          <w:b/>
          <w:sz w:val="24"/>
          <w:szCs w:val="24"/>
        </w:rPr>
        <w:t>Comparative analysis and main Indicators</w:t>
      </w:r>
    </w:p>
    <w:p w:rsidR="00B73CEB" w:rsidRPr="00DE0E5F" w:rsidRDefault="00B73CEB" w:rsidP="00B73CEB">
      <w:pPr>
        <w:spacing w:before="120" w:after="0" w:line="360" w:lineRule="auto"/>
        <w:jc w:val="both"/>
        <w:rPr>
          <w:rFonts w:ascii="Arial" w:hAnsi="Arial" w:cs="Arial"/>
          <w:sz w:val="24"/>
          <w:szCs w:val="24"/>
          <w:lang w:val="en-AU"/>
        </w:rPr>
      </w:pPr>
      <w:r w:rsidRPr="00DE0E5F">
        <w:rPr>
          <w:rFonts w:ascii="Arial" w:hAnsi="Arial" w:cs="Arial"/>
          <w:sz w:val="24"/>
          <w:szCs w:val="24"/>
          <w:lang w:val="en-AU"/>
        </w:rPr>
        <w:t xml:space="preserve">This study has been conceived in two ways, national information versus EGR and vice versa. At the same time, quantitative data have been produced separately for OFATS (Spanish multinationals with subsidiaries abroad) and IFATS (resident units belonging to foreign multinationals) populations. Due to the size limitations of this paper, we will restrict our results only to one specific population for each sense. </w:t>
      </w:r>
    </w:p>
    <w:p w:rsidR="00B73CEB" w:rsidRPr="00DE0E5F" w:rsidRDefault="00B73CEB" w:rsidP="00B73CEB">
      <w:pPr>
        <w:spacing w:before="120" w:after="0" w:line="360" w:lineRule="auto"/>
        <w:jc w:val="both"/>
        <w:rPr>
          <w:rFonts w:ascii="Arial" w:hAnsi="Arial" w:cs="Arial"/>
          <w:sz w:val="24"/>
          <w:szCs w:val="24"/>
          <w:lang w:val="en-AU"/>
        </w:rPr>
      </w:pPr>
      <w:r w:rsidRPr="00DE0E5F">
        <w:rPr>
          <w:rFonts w:ascii="Arial" w:hAnsi="Arial" w:cs="Arial"/>
          <w:sz w:val="24"/>
          <w:szCs w:val="24"/>
          <w:lang w:val="en-AU"/>
        </w:rPr>
        <w:t>The adopted methodology has been micro-level based. Several record-linkage routines were developed, all of them based on the full coverage and quality of the national IDs for Spanish legal units.</w:t>
      </w:r>
    </w:p>
    <w:p w:rsidR="00B73CEB" w:rsidRPr="00DA44DB" w:rsidRDefault="00B73CEB" w:rsidP="00B73CEB">
      <w:pPr>
        <w:pStyle w:val="Prrafodelista"/>
        <w:keepNext/>
        <w:spacing w:before="360" w:after="0" w:line="360" w:lineRule="auto"/>
        <w:ind w:left="0"/>
        <w:rPr>
          <w:rFonts w:ascii="Arial" w:eastAsia="Open Sans" w:hAnsi="Arial" w:cs="Arial"/>
          <w:i/>
          <w:color w:val="auto"/>
          <w:sz w:val="24"/>
          <w:szCs w:val="24"/>
        </w:rPr>
      </w:pPr>
      <w:r w:rsidRPr="00DA44DB">
        <w:rPr>
          <w:rFonts w:ascii="Arial" w:eastAsia="Open Sans" w:hAnsi="Arial" w:cs="Arial"/>
          <w:i/>
          <w:color w:val="auto"/>
          <w:sz w:val="24"/>
          <w:szCs w:val="24"/>
        </w:rPr>
        <w:t>4.1 National Information versus EGR for IFATS population</w:t>
      </w:r>
    </w:p>
    <w:p w:rsidR="00B73CEB" w:rsidRDefault="00B73CEB" w:rsidP="00B73CEB">
      <w:pPr>
        <w:spacing w:before="120" w:after="0" w:line="360" w:lineRule="auto"/>
        <w:jc w:val="both"/>
        <w:rPr>
          <w:rFonts w:ascii="Arial" w:hAnsi="Arial" w:cs="Arial"/>
          <w:color w:val="auto"/>
          <w:sz w:val="24"/>
          <w:szCs w:val="24"/>
          <w:lang w:val="en-AU"/>
        </w:rPr>
      </w:pPr>
      <w:r w:rsidRPr="00DE0E5F">
        <w:rPr>
          <w:rFonts w:ascii="Arial" w:hAnsi="Arial" w:cs="Arial"/>
          <w:color w:val="auto"/>
          <w:sz w:val="24"/>
          <w:szCs w:val="24"/>
          <w:lang w:val="en-AU"/>
        </w:rPr>
        <w:t>Starting from our NBR, 13,758 resident subsidiaries controlled by a parent or ultimate foreign unit, were sent to the EGR. For all of them, LEID</w:t>
      </w:r>
      <w:r w:rsidRPr="00DE0E5F">
        <w:rPr>
          <w:rStyle w:val="Refdenotaalpie"/>
          <w:rFonts w:ascii="Arial" w:hAnsi="Arial" w:cs="Arial"/>
          <w:color w:val="auto"/>
          <w:sz w:val="24"/>
          <w:szCs w:val="24"/>
          <w:lang w:val="en-AU"/>
        </w:rPr>
        <w:footnoteReference w:id="3"/>
      </w:r>
      <w:r w:rsidRPr="00DE0E5F">
        <w:rPr>
          <w:rFonts w:ascii="Arial" w:hAnsi="Arial" w:cs="Arial"/>
          <w:color w:val="auto"/>
          <w:sz w:val="24"/>
          <w:szCs w:val="24"/>
          <w:lang w:val="en-AU"/>
        </w:rPr>
        <w:t xml:space="preserve"> of the controlling unit was provided, as a result of the task “</w:t>
      </w:r>
      <w:r w:rsidRPr="00DE0E5F">
        <w:rPr>
          <w:rFonts w:ascii="Arial" w:hAnsi="Arial" w:cs="Arial"/>
          <w:i/>
          <w:color w:val="auto"/>
          <w:sz w:val="24"/>
          <w:szCs w:val="24"/>
          <w:lang w:val="en-AU"/>
        </w:rPr>
        <w:t>identification of foreign legal units in the EGR Identification System”</w:t>
      </w:r>
      <w:r w:rsidRPr="00DE0E5F">
        <w:rPr>
          <w:rFonts w:ascii="Arial" w:hAnsi="Arial" w:cs="Arial"/>
          <w:color w:val="auto"/>
          <w:sz w:val="24"/>
          <w:szCs w:val="24"/>
          <w:lang w:val="en-AU"/>
        </w:rPr>
        <w:t xml:space="preserve">. They represent 96.6% of the whole NBR population. The coverage is even greater in terms of employment and the presence of the most important units is guaranteed.    </w:t>
      </w:r>
    </w:p>
    <w:p w:rsidR="00B73CEB" w:rsidRPr="00DE0E5F" w:rsidRDefault="00B73CEB" w:rsidP="00B73CEB">
      <w:pPr>
        <w:pStyle w:val="Descripcin"/>
        <w:keepNext/>
        <w:spacing w:before="120" w:after="0" w:line="360" w:lineRule="auto"/>
        <w:jc w:val="both"/>
        <w:rPr>
          <w:rFonts w:ascii="Arial" w:hAnsi="Arial" w:cs="Arial"/>
          <w:b/>
          <w:i w:val="0"/>
          <w:color w:val="auto"/>
          <w:sz w:val="20"/>
          <w:szCs w:val="20"/>
        </w:rPr>
      </w:pPr>
      <w:r w:rsidRPr="00DE0E5F">
        <w:rPr>
          <w:rFonts w:ascii="Arial" w:hAnsi="Arial" w:cs="Arial"/>
          <w:b/>
          <w:i w:val="0"/>
          <w:color w:val="auto"/>
          <w:sz w:val="20"/>
          <w:szCs w:val="20"/>
        </w:rPr>
        <w:t xml:space="preserve">Table </w:t>
      </w:r>
      <w:r w:rsidRPr="00DE0E5F">
        <w:rPr>
          <w:rFonts w:ascii="Arial" w:hAnsi="Arial" w:cs="Arial"/>
          <w:b/>
          <w:i w:val="0"/>
          <w:color w:val="auto"/>
          <w:sz w:val="20"/>
          <w:szCs w:val="20"/>
        </w:rPr>
        <w:fldChar w:fldCharType="begin"/>
      </w:r>
      <w:r w:rsidRPr="00DE0E5F">
        <w:rPr>
          <w:rFonts w:ascii="Arial" w:hAnsi="Arial" w:cs="Arial"/>
          <w:b/>
          <w:i w:val="0"/>
          <w:color w:val="auto"/>
          <w:sz w:val="20"/>
          <w:szCs w:val="20"/>
        </w:rPr>
        <w:instrText xml:space="preserve"> SEQ Table \* ARABIC </w:instrText>
      </w:r>
      <w:r w:rsidRPr="00DE0E5F">
        <w:rPr>
          <w:rFonts w:ascii="Arial" w:hAnsi="Arial" w:cs="Arial"/>
          <w:b/>
          <w:i w:val="0"/>
          <w:color w:val="auto"/>
          <w:sz w:val="20"/>
          <w:szCs w:val="20"/>
        </w:rPr>
        <w:fldChar w:fldCharType="separate"/>
      </w:r>
      <w:r w:rsidR="00882E98">
        <w:rPr>
          <w:rFonts w:ascii="Arial" w:hAnsi="Arial" w:cs="Arial"/>
          <w:b/>
          <w:i w:val="0"/>
          <w:noProof/>
          <w:color w:val="auto"/>
          <w:sz w:val="20"/>
          <w:szCs w:val="20"/>
        </w:rPr>
        <w:t>1</w:t>
      </w:r>
      <w:r w:rsidRPr="00DE0E5F">
        <w:rPr>
          <w:rFonts w:ascii="Arial" w:hAnsi="Arial" w:cs="Arial"/>
          <w:b/>
          <w:i w:val="0"/>
          <w:color w:val="auto"/>
          <w:sz w:val="20"/>
          <w:szCs w:val="20"/>
        </w:rPr>
        <w:fldChar w:fldCharType="end"/>
      </w:r>
      <w:r w:rsidRPr="00DE0E5F">
        <w:rPr>
          <w:rFonts w:ascii="Arial" w:hAnsi="Arial" w:cs="Arial"/>
          <w:b/>
          <w:i w:val="0"/>
          <w:color w:val="auto"/>
          <w:sz w:val="20"/>
          <w:szCs w:val="20"/>
        </w:rPr>
        <w:t xml:space="preserve">. </w:t>
      </w:r>
      <w:r w:rsidR="00AB250C">
        <w:rPr>
          <w:rFonts w:ascii="Arial" w:hAnsi="Arial" w:cs="Arial"/>
          <w:b/>
          <w:i w:val="0"/>
          <w:color w:val="auto"/>
          <w:sz w:val="20"/>
          <w:szCs w:val="20"/>
        </w:rPr>
        <w:t>The national IFATS Population</w:t>
      </w:r>
    </w:p>
    <w:tbl>
      <w:tblPr>
        <w:tblW w:w="7301" w:type="dxa"/>
        <w:tblInd w:w="70" w:type="dxa"/>
        <w:tblCellMar>
          <w:left w:w="70" w:type="dxa"/>
          <w:right w:w="70" w:type="dxa"/>
        </w:tblCellMar>
        <w:tblLook w:val="04A0" w:firstRow="1" w:lastRow="0" w:firstColumn="1" w:lastColumn="0" w:noHBand="0" w:noVBand="1"/>
      </w:tblPr>
      <w:tblGrid>
        <w:gridCol w:w="1762"/>
        <w:gridCol w:w="1116"/>
        <w:gridCol w:w="1584"/>
        <w:gridCol w:w="707"/>
        <w:gridCol w:w="1493"/>
        <w:gridCol w:w="639"/>
      </w:tblGrid>
      <w:tr w:rsidR="00B73CEB" w:rsidRPr="00C67267" w:rsidTr="0032776D">
        <w:trPr>
          <w:trHeight w:hRule="exact" w:val="340"/>
        </w:trPr>
        <w:tc>
          <w:tcPr>
            <w:tcW w:w="176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sz w:val="20"/>
                <w:szCs w:val="20"/>
                <w:lang w:val="es-ES"/>
              </w:rPr>
            </w:pPr>
            <w:r w:rsidRPr="00C67267">
              <w:rPr>
                <w:rFonts w:ascii="Arial" w:eastAsia="Times New Roman" w:hAnsi="Arial" w:cs="Arial"/>
                <w:b/>
                <w:sz w:val="20"/>
                <w:szCs w:val="20"/>
                <w:lang w:val="es-ES"/>
              </w:rPr>
              <w:t>IFATS_NBR</w:t>
            </w:r>
          </w:p>
        </w:tc>
        <w:tc>
          <w:tcPr>
            <w:tcW w:w="1116" w:type="dxa"/>
            <w:tcBorders>
              <w:top w:val="single" w:sz="8" w:space="0" w:color="auto"/>
              <w:left w:val="nil"/>
              <w:bottom w:val="single" w:sz="8" w:space="0" w:color="auto"/>
              <w:right w:val="single" w:sz="4" w:space="0" w:color="auto"/>
            </w:tcBorders>
            <w:shd w:val="clear" w:color="auto" w:fill="auto"/>
            <w:noWrap/>
            <w:vAlign w:val="bottom"/>
            <w:hideMark/>
          </w:tcPr>
          <w:p w:rsidR="00B73CEB" w:rsidRPr="00C67267" w:rsidRDefault="00E54D5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sz w:val="20"/>
                <w:szCs w:val="20"/>
                <w:lang w:val="es-ES"/>
              </w:rPr>
            </w:pPr>
            <w:r w:rsidRPr="00C67267">
              <w:rPr>
                <w:rFonts w:ascii="Arial" w:eastAsia="Times New Roman" w:hAnsi="Arial" w:cs="Arial"/>
                <w:b/>
                <w:sz w:val="20"/>
                <w:szCs w:val="20"/>
                <w:lang w:val="es-ES"/>
              </w:rPr>
              <w:t>TOTAL</w:t>
            </w:r>
          </w:p>
        </w:tc>
        <w:tc>
          <w:tcPr>
            <w:tcW w:w="1584" w:type="dxa"/>
            <w:tcBorders>
              <w:top w:val="single" w:sz="8" w:space="0" w:color="auto"/>
              <w:left w:val="nil"/>
              <w:bottom w:val="single" w:sz="8" w:space="0" w:color="auto"/>
              <w:right w:val="single" w:sz="4" w:space="0" w:color="auto"/>
            </w:tcBorders>
            <w:shd w:val="clear" w:color="auto" w:fill="auto"/>
            <w:noWrap/>
            <w:vAlign w:val="bottom"/>
            <w:hideMark/>
          </w:tcPr>
          <w:p w:rsidR="00B73CEB" w:rsidRPr="00C67267" w:rsidRDefault="00E54D5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sz w:val="20"/>
                <w:szCs w:val="20"/>
                <w:lang w:val="es-ES"/>
              </w:rPr>
            </w:pPr>
            <w:r w:rsidRPr="00C67267">
              <w:rPr>
                <w:rFonts w:ascii="Arial" w:eastAsia="Times New Roman" w:hAnsi="Arial" w:cs="Arial"/>
                <w:b/>
                <w:sz w:val="20"/>
                <w:szCs w:val="20"/>
                <w:lang w:val="es-ES"/>
              </w:rPr>
              <w:t>IFATS_NBR1</w:t>
            </w:r>
          </w:p>
        </w:tc>
        <w:tc>
          <w:tcPr>
            <w:tcW w:w="707" w:type="dxa"/>
            <w:tcBorders>
              <w:top w:val="single" w:sz="8" w:space="0" w:color="auto"/>
              <w:left w:val="nil"/>
              <w:bottom w:val="single" w:sz="8" w:space="0" w:color="auto"/>
              <w:right w:val="single" w:sz="4" w:space="0" w:color="auto"/>
            </w:tcBorders>
            <w:shd w:val="clear" w:color="auto" w:fill="auto"/>
            <w:noWrap/>
            <w:vAlign w:val="bottom"/>
            <w:hideMark/>
          </w:tcPr>
          <w:p w:rsidR="00B73CEB" w:rsidRPr="00C67267" w:rsidRDefault="00E54D5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sz w:val="20"/>
                <w:szCs w:val="20"/>
                <w:lang w:val="es-ES"/>
              </w:rPr>
            </w:pPr>
            <w:r w:rsidRPr="00C67267">
              <w:rPr>
                <w:rFonts w:ascii="Arial" w:eastAsia="Times New Roman" w:hAnsi="Arial" w:cs="Arial"/>
                <w:b/>
                <w:sz w:val="20"/>
                <w:szCs w:val="20"/>
                <w:lang w:val="es-ES"/>
              </w:rPr>
              <w:t>PCT</w:t>
            </w:r>
          </w:p>
        </w:tc>
        <w:tc>
          <w:tcPr>
            <w:tcW w:w="1493" w:type="dxa"/>
            <w:tcBorders>
              <w:top w:val="single" w:sz="8" w:space="0" w:color="auto"/>
              <w:left w:val="nil"/>
              <w:bottom w:val="single" w:sz="8" w:space="0" w:color="auto"/>
              <w:right w:val="single" w:sz="4" w:space="0" w:color="auto"/>
            </w:tcBorders>
            <w:shd w:val="clear" w:color="auto" w:fill="auto"/>
            <w:noWrap/>
            <w:vAlign w:val="bottom"/>
            <w:hideMark/>
          </w:tcPr>
          <w:p w:rsidR="00B73CEB" w:rsidRPr="00C67267" w:rsidRDefault="00E54D5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sz w:val="20"/>
                <w:szCs w:val="20"/>
                <w:lang w:val="es-ES"/>
              </w:rPr>
            </w:pPr>
            <w:r w:rsidRPr="00C67267">
              <w:rPr>
                <w:rFonts w:ascii="Arial" w:eastAsia="Times New Roman" w:hAnsi="Arial" w:cs="Arial"/>
                <w:b/>
                <w:sz w:val="20"/>
                <w:szCs w:val="20"/>
                <w:lang w:val="es-ES"/>
              </w:rPr>
              <w:t>IFATS_NBR2</w:t>
            </w:r>
          </w:p>
        </w:tc>
        <w:tc>
          <w:tcPr>
            <w:tcW w:w="639" w:type="dxa"/>
            <w:tcBorders>
              <w:top w:val="single" w:sz="8" w:space="0" w:color="auto"/>
              <w:left w:val="nil"/>
              <w:bottom w:val="single" w:sz="8" w:space="0" w:color="auto"/>
              <w:right w:val="single" w:sz="4" w:space="0" w:color="auto"/>
            </w:tcBorders>
            <w:shd w:val="clear" w:color="auto" w:fill="auto"/>
            <w:vAlign w:val="bottom"/>
          </w:tcPr>
          <w:p w:rsidR="00B73CEB" w:rsidRPr="00C67267" w:rsidRDefault="00E54D5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sz w:val="20"/>
                <w:szCs w:val="20"/>
                <w:lang w:val="es-ES"/>
              </w:rPr>
            </w:pPr>
            <w:r w:rsidRPr="00C67267">
              <w:rPr>
                <w:rFonts w:ascii="Arial" w:eastAsia="Times New Roman" w:hAnsi="Arial" w:cs="Arial"/>
                <w:b/>
                <w:sz w:val="20"/>
                <w:szCs w:val="20"/>
                <w:lang w:val="es-ES"/>
              </w:rPr>
              <w:t>PCT</w:t>
            </w:r>
          </w:p>
        </w:tc>
      </w:tr>
      <w:tr w:rsidR="00B73CEB" w:rsidRPr="00C67267" w:rsidTr="0032776D">
        <w:trPr>
          <w:trHeight w:hRule="exact" w:val="340"/>
        </w:trPr>
        <w:tc>
          <w:tcPr>
            <w:tcW w:w="1762" w:type="dxa"/>
            <w:tcBorders>
              <w:top w:val="nil"/>
              <w:left w:val="single" w:sz="8" w:space="0" w:color="auto"/>
              <w:bottom w:val="single" w:sz="4" w:space="0" w:color="auto"/>
              <w:right w:val="single" w:sz="4" w:space="0" w:color="auto"/>
            </w:tcBorders>
            <w:shd w:val="clear" w:color="auto" w:fill="auto"/>
            <w:noWrap/>
            <w:vAlign w:val="bottom"/>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sz w:val="20"/>
                <w:szCs w:val="20"/>
                <w:lang w:val="es-ES"/>
              </w:rPr>
            </w:pPr>
            <w:r w:rsidRPr="00C67267">
              <w:rPr>
                <w:rFonts w:ascii="Arial" w:eastAsia="Times New Roman" w:hAnsi="Arial" w:cs="Arial"/>
                <w:b/>
                <w:sz w:val="20"/>
                <w:szCs w:val="20"/>
                <w:lang w:val="es-ES"/>
              </w:rPr>
              <w:t>UNITS</w:t>
            </w:r>
          </w:p>
        </w:tc>
        <w:tc>
          <w:tcPr>
            <w:tcW w:w="1116" w:type="dxa"/>
            <w:tcBorders>
              <w:top w:val="nil"/>
              <w:left w:val="nil"/>
              <w:bottom w:val="single" w:sz="4"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heme="minorHAnsi" w:hAnsi="Arial" w:cs="Arial"/>
                <w:color w:val="auto"/>
                <w:sz w:val="20"/>
                <w:szCs w:val="20"/>
              </w:rPr>
            </w:pPr>
            <w:r w:rsidRPr="00C67267">
              <w:rPr>
                <w:rFonts w:ascii="Arial" w:eastAsiaTheme="minorHAnsi" w:hAnsi="Arial" w:cs="Arial"/>
                <w:color w:val="auto"/>
                <w:sz w:val="20"/>
                <w:szCs w:val="20"/>
              </w:rPr>
              <w:t>14,233</w:t>
            </w:r>
          </w:p>
        </w:tc>
        <w:tc>
          <w:tcPr>
            <w:tcW w:w="1584" w:type="dxa"/>
            <w:tcBorders>
              <w:top w:val="nil"/>
              <w:left w:val="nil"/>
              <w:bottom w:val="single" w:sz="4"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heme="minorHAnsi" w:hAnsi="Arial" w:cs="Arial"/>
                <w:color w:val="auto"/>
                <w:sz w:val="20"/>
                <w:szCs w:val="20"/>
              </w:rPr>
            </w:pPr>
            <w:r w:rsidRPr="00C67267">
              <w:rPr>
                <w:rFonts w:ascii="Arial" w:eastAsiaTheme="minorHAnsi" w:hAnsi="Arial" w:cs="Arial"/>
                <w:color w:val="auto"/>
                <w:sz w:val="20"/>
                <w:szCs w:val="20"/>
              </w:rPr>
              <w:t>13,758</w:t>
            </w:r>
          </w:p>
        </w:tc>
        <w:tc>
          <w:tcPr>
            <w:tcW w:w="707" w:type="dxa"/>
            <w:tcBorders>
              <w:top w:val="nil"/>
              <w:left w:val="nil"/>
              <w:bottom w:val="single" w:sz="4"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heme="minorHAnsi" w:hAnsi="Arial" w:cs="Arial"/>
                <w:color w:val="auto"/>
                <w:sz w:val="20"/>
                <w:szCs w:val="20"/>
              </w:rPr>
            </w:pPr>
            <w:r w:rsidRPr="00C67267">
              <w:rPr>
                <w:rFonts w:ascii="Arial" w:eastAsiaTheme="minorHAnsi" w:hAnsi="Arial" w:cs="Arial"/>
                <w:color w:val="auto"/>
                <w:sz w:val="20"/>
                <w:szCs w:val="20"/>
              </w:rPr>
              <w:t>96.6</w:t>
            </w:r>
          </w:p>
        </w:tc>
        <w:tc>
          <w:tcPr>
            <w:tcW w:w="1493" w:type="dxa"/>
            <w:tcBorders>
              <w:top w:val="nil"/>
              <w:left w:val="nil"/>
              <w:bottom w:val="single" w:sz="4"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heme="minorHAnsi" w:hAnsi="Arial" w:cs="Arial"/>
                <w:color w:val="auto"/>
                <w:sz w:val="20"/>
                <w:szCs w:val="20"/>
              </w:rPr>
            </w:pPr>
            <w:r w:rsidRPr="00C67267">
              <w:rPr>
                <w:rFonts w:ascii="Arial" w:eastAsiaTheme="minorHAnsi" w:hAnsi="Arial" w:cs="Arial"/>
                <w:color w:val="auto"/>
                <w:sz w:val="20"/>
                <w:szCs w:val="20"/>
              </w:rPr>
              <w:t>475</w:t>
            </w:r>
          </w:p>
        </w:tc>
        <w:tc>
          <w:tcPr>
            <w:tcW w:w="639" w:type="dxa"/>
            <w:tcBorders>
              <w:top w:val="nil"/>
              <w:left w:val="nil"/>
              <w:bottom w:val="single" w:sz="4" w:space="0" w:color="auto"/>
              <w:right w:val="single" w:sz="4" w:space="0" w:color="auto"/>
            </w:tcBorders>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heme="minorHAnsi" w:hAnsi="Arial" w:cs="Arial"/>
                <w:color w:val="auto"/>
                <w:sz w:val="20"/>
                <w:szCs w:val="20"/>
              </w:rPr>
            </w:pPr>
            <w:r w:rsidRPr="00C67267">
              <w:rPr>
                <w:rFonts w:ascii="Arial" w:eastAsiaTheme="minorHAnsi" w:hAnsi="Arial" w:cs="Arial"/>
                <w:color w:val="auto"/>
                <w:sz w:val="20"/>
                <w:szCs w:val="20"/>
              </w:rPr>
              <w:t>3.4</w:t>
            </w:r>
          </w:p>
        </w:tc>
      </w:tr>
      <w:tr w:rsidR="00B73CEB" w:rsidRPr="00C67267" w:rsidTr="0032776D">
        <w:trPr>
          <w:trHeight w:hRule="exact" w:val="340"/>
        </w:trPr>
        <w:tc>
          <w:tcPr>
            <w:tcW w:w="1762" w:type="dxa"/>
            <w:tcBorders>
              <w:top w:val="nil"/>
              <w:left w:val="single" w:sz="8" w:space="0" w:color="auto"/>
              <w:bottom w:val="single" w:sz="8" w:space="0" w:color="auto"/>
              <w:right w:val="single" w:sz="4" w:space="0" w:color="auto"/>
            </w:tcBorders>
            <w:shd w:val="clear" w:color="auto" w:fill="auto"/>
            <w:noWrap/>
            <w:vAlign w:val="bottom"/>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sz w:val="20"/>
                <w:szCs w:val="20"/>
                <w:lang w:val="en-US"/>
              </w:rPr>
            </w:pPr>
            <w:r w:rsidRPr="00C67267">
              <w:rPr>
                <w:rFonts w:ascii="Arial" w:eastAsia="Times New Roman" w:hAnsi="Arial" w:cs="Arial"/>
                <w:b/>
                <w:sz w:val="20"/>
                <w:szCs w:val="20"/>
                <w:lang w:val="en-US"/>
              </w:rPr>
              <w:t>EMPLOYMENT</w:t>
            </w:r>
          </w:p>
        </w:tc>
        <w:tc>
          <w:tcPr>
            <w:tcW w:w="1116" w:type="dxa"/>
            <w:tcBorders>
              <w:top w:val="nil"/>
              <w:left w:val="nil"/>
              <w:bottom w:val="single" w:sz="8"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heme="minorHAnsi" w:hAnsi="Arial" w:cs="Arial"/>
                <w:color w:val="auto"/>
                <w:sz w:val="20"/>
                <w:szCs w:val="20"/>
              </w:rPr>
            </w:pPr>
            <w:r w:rsidRPr="00C67267">
              <w:rPr>
                <w:rFonts w:ascii="Arial" w:eastAsiaTheme="minorHAnsi" w:hAnsi="Arial" w:cs="Arial"/>
                <w:color w:val="auto"/>
                <w:sz w:val="20"/>
                <w:szCs w:val="20"/>
              </w:rPr>
              <w:t>1,310,712</w:t>
            </w:r>
          </w:p>
        </w:tc>
        <w:tc>
          <w:tcPr>
            <w:tcW w:w="1584" w:type="dxa"/>
            <w:tcBorders>
              <w:top w:val="nil"/>
              <w:left w:val="nil"/>
              <w:bottom w:val="single" w:sz="8"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heme="minorHAnsi" w:hAnsi="Arial" w:cs="Arial"/>
                <w:color w:val="auto"/>
                <w:sz w:val="20"/>
                <w:szCs w:val="20"/>
              </w:rPr>
            </w:pPr>
            <w:r w:rsidRPr="00C67267">
              <w:rPr>
                <w:rFonts w:ascii="Arial" w:eastAsiaTheme="minorHAnsi" w:hAnsi="Arial" w:cs="Arial"/>
                <w:color w:val="auto"/>
                <w:sz w:val="20"/>
                <w:szCs w:val="20"/>
              </w:rPr>
              <w:t>1,300,000</w:t>
            </w:r>
          </w:p>
        </w:tc>
        <w:tc>
          <w:tcPr>
            <w:tcW w:w="707" w:type="dxa"/>
            <w:tcBorders>
              <w:top w:val="nil"/>
              <w:left w:val="nil"/>
              <w:bottom w:val="single" w:sz="8"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heme="minorHAnsi" w:hAnsi="Arial" w:cs="Arial"/>
                <w:color w:val="auto"/>
                <w:sz w:val="20"/>
                <w:szCs w:val="20"/>
              </w:rPr>
            </w:pPr>
            <w:r w:rsidRPr="00C67267">
              <w:rPr>
                <w:rFonts w:ascii="Arial" w:eastAsiaTheme="minorHAnsi" w:hAnsi="Arial" w:cs="Arial"/>
                <w:color w:val="auto"/>
                <w:sz w:val="20"/>
                <w:szCs w:val="20"/>
              </w:rPr>
              <w:t>99.2</w:t>
            </w:r>
          </w:p>
        </w:tc>
        <w:tc>
          <w:tcPr>
            <w:tcW w:w="1493" w:type="dxa"/>
            <w:tcBorders>
              <w:top w:val="nil"/>
              <w:left w:val="nil"/>
              <w:bottom w:val="single" w:sz="8"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heme="minorHAnsi" w:hAnsi="Arial" w:cs="Arial"/>
                <w:color w:val="auto"/>
                <w:sz w:val="20"/>
                <w:szCs w:val="20"/>
              </w:rPr>
            </w:pPr>
            <w:r w:rsidRPr="00C67267">
              <w:rPr>
                <w:rFonts w:ascii="Arial" w:eastAsiaTheme="minorHAnsi" w:hAnsi="Arial" w:cs="Arial"/>
                <w:color w:val="auto"/>
                <w:sz w:val="20"/>
                <w:szCs w:val="20"/>
              </w:rPr>
              <w:t>10,712</w:t>
            </w:r>
          </w:p>
        </w:tc>
        <w:tc>
          <w:tcPr>
            <w:tcW w:w="639" w:type="dxa"/>
            <w:tcBorders>
              <w:top w:val="nil"/>
              <w:left w:val="nil"/>
              <w:bottom w:val="single" w:sz="8" w:space="0" w:color="auto"/>
              <w:right w:val="single" w:sz="4" w:space="0" w:color="auto"/>
            </w:tcBorders>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heme="minorHAnsi" w:hAnsi="Arial" w:cs="Arial"/>
                <w:color w:val="auto"/>
                <w:sz w:val="20"/>
                <w:szCs w:val="20"/>
              </w:rPr>
            </w:pPr>
            <w:r w:rsidRPr="00C67267">
              <w:rPr>
                <w:rFonts w:ascii="Arial" w:eastAsiaTheme="minorHAnsi" w:hAnsi="Arial" w:cs="Arial"/>
                <w:color w:val="auto"/>
                <w:sz w:val="20"/>
                <w:szCs w:val="20"/>
              </w:rPr>
              <w:t>0.8</w:t>
            </w:r>
          </w:p>
        </w:tc>
      </w:tr>
    </w:tbl>
    <w:p w:rsidR="00B73CEB" w:rsidRPr="00DA44DB" w:rsidRDefault="00B73CEB" w:rsidP="00B73CEB">
      <w:pPr>
        <w:spacing w:before="120" w:after="0" w:line="360" w:lineRule="auto"/>
        <w:jc w:val="both"/>
        <w:rPr>
          <w:rFonts w:ascii="Arial" w:hAnsi="Arial" w:cs="Arial"/>
          <w:sz w:val="24"/>
          <w:szCs w:val="24"/>
          <w:lang w:val="en-AU"/>
        </w:rPr>
      </w:pPr>
      <w:r w:rsidRPr="00DA44DB">
        <w:rPr>
          <w:rFonts w:ascii="Arial" w:hAnsi="Arial" w:cs="Arial"/>
          <w:sz w:val="24"/>
          <w:szCs w:val="24"/>
          <w:lang w:val="en-AU"/>
        </w:rPr>
        <w:t>Their identification process in the EGR produced the following categories:</w:t>
      </w:r>
    </w:p>
    <w:p w:rsidR="00B73CEB" w:rsidRPr="00DA44DB" w:rsidRDefault="00B73CEB" w:rsidP="00E54D5D">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80" w:after="0" w:line="360" w:lineRule="auto"/>
        <w:ind w:left="227" w:hanging="227"/>
        <w:jc w:val="both"/>
        <w:rPr>
          <w:rFonts w:ascii="Arial" w:hAnsi="Arial" w:cs="Arial"/>
          <w:sz w:val="24"/>
          <w:szCs w:val="24"/>
          <w:lang w:val="en-US"/>
        </w:rPr>
      </w:pPr>
      <w:r w:rsidRPr="00DA44DB">
        <w:rPr>
          <w:rFonts w:ascii="Arial" w:hAnsi="Arial" w:cs="Arial"/>
          <w:sz w:val="24"/>
          <w:szCs w:val="24"/>
          <w:lang w:val="en-US"/>
        </w:rPr>
        <w:t>No changes. Units detected with the same profile and the same GDC country</w:t>
      </w:r>
    </w:p>
    <w:p w:rsidR="00B73CEB" w:rsidRPr="00DA44DB" w:rsidRDefault="00B73CEB" w:rsidP="00E54D5D">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80" w:after="0" w:line="360" w:lineRule="auto"/>
        <w:ind w:left="227" w:hanging="227"/>
        <w:jc w:val="both"/>
        <w:rPr>
          <w:rFonts w:ascii="Arial" w:hAnsi="Arial" w:cs="Arial"/>
          <w:sz w:val="24"/>
          <w:szCs w:val="24"/>
          <w:lang w:val="en-US"/>
        </w:rPr>
      </w:pPr>
      <w:r w:rsidRPr="00DA44DB">
        <w:rPr>
          <w:rFonts w:ascii="Arial" w:hAnsi="Arial" w:cs="Arial"/>
          <w:sz w:val="24"/>
          <w:szCs w:val="24"/>
          <w:lang w:val="en-US"/>
        </w:rPr>
        <w:t xml:space="preserve">Changes. Units detected in the EGR but with some changes (IFATS units with    different GDC country or belonging to Spanish Multinationals) </w:t>
      </w:r>
    </w:p>
    <w:p w:rsidR="00B73CEB" w:rsidRPr="00C67267" w:rsidRDefault="00B73CEB" w:rsidP="00E54D5D">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before="80" w:after="0" w:line="360" w:lineRule="auto"/>
        <w:ind w:left="227" w:hanging="227"/>
        <w:jc w:val="both"/>
        <w:rPr>
          <w:rFonts w:ascii="Arial" w:hAnsi="Arial" w:cs="Arial"/>
          <w:sz w:val="24"/>
          <w:szCs w:val="24"/>
          <w:lang w:val="en-US"/>
        </w:rPr>
      </w:pPr>
      <w:r w:rsidRPr="00DA44DB">
        <w:rPr>
          <w:rFonts w:ascii="Arial" w:hAnsi="Arial" w:cs="Arial"/>
          <w:sz w:val="24"/>
          <w:szCs w:val="24"/>
          <w:lang w:val="en-US"/>
        </w:rPr>
        <w:t>Units not detected in the EGR</w:t>
      </w:r>
      <w:r w:rsidRPr="00C67267">
        <w:rPr>
          <w:rFonts w:ascii="Arial" w:hAnsi="Arial" w:cs="Arial"/>
          <w:sz w:val="24"/>
          <w:szCs w:val="24"/>
          <w:lang w:val="en-US"/>
        </w:rPr>
        <w:t xml:space="preserve"> </w:t>
      </w:r>
    </w:p>
    <w:p w:rsidR="00B73CEB" w:rsidRPr="00DE0E5F" w:rsidRDefault="00B73CEB" w:rsidP="00B73CEB">
      <w:pPr>
        <w:spacing w:before="120" w:after="0" w:line="360" w:lineRule="auto"/>
        <w:jc w:val="both"/>
        <w:rPr>
          <w:rFonts w:ascii="Arial" w:hAnsi="Arial" w:cs="Arial"/>
          <w:sz w:val="24"/>
          <w:szCs w:val="24"/>
          <w:lang w:val="en-AU"/>
        </w:rPr>
      </w:pPr>
      <w:r w:rsidRPr="00DE0E5F">
        <w:rPr>
          <w:rFonts w:ascii="Arial" w:hAnsi="Arial" w:cs="Arial"/>
          <w:sz w:val="24"/>
          <w:szCs w:val="24"/>
          <w:lang w:val="en-AU"/>
        </w:rPr>
        <w:t>The following table illustrates the relative importance of these sub-populations.</w:t>
      </w:r>
    </w:p>
    <w:p w:rsidR="00B73CEB" w:rsidRPr="00DE0E5F" w:rsidRDefault="00E67043" w:rsidP="00B73CEB">
      <w:pPr>
        <w:pStyle w:val="Descripcin"/>
        <w:keepNext/>
        <w:spacing w:before="120" w:after="0" w:line="360" w:lineRule="auto"/>
        <w:jc w:val="both"/>
        <w:rPr>
          <w:rFonts w:ascii="Arial" w:hAnsi="Arial" w:cs="Arial"/>
          <w:b/>
          <w:i w:val="0"/>
          <w:color w:val="auto"/>
          <w:sz w:val="20"/>
          <w:szCs w:val="20"/>
        </w:rPr>
      </w:pPr>
      <w:r>
        <w:rPr>
          <w:rFonts w:ascii="Arial" w:hAnsi="Arial" w:cs="Arial"/>
          <w:b/>
          <w:i w:val="0"/>
          <w:color w:val="auto"/>
          <w:sz w:val="20"/>
          <w:szCs w:val="20"/>
        </w:rPr>
        <w:t xml:space="preserve">   </w:t>
      </w:r>
      <w:r w:rsidR="00B73CEB" w:rsidRPr="00DE0E5F">
        <w:rPr>
          <w:rFonts w:ascii="Arial" w:hAnsi="Arial" w:cs="Arial"/>
          <w:b/>
          <w:i w:val="0"/>
          <w:color w:val="auto"/>
          <w:sz w:val="20"/>
          <w:szCs w:val="20"/>
        </w:rPr>
        <w:t xml:space="preserve">Table 2. </w:t>
      </w:r>
      <w:r w:rsidR="008361EC">
        <w:rPr>
          <w:rFonts w:ascii="Arial" w:hAnsi="Arial" w:cs="Arial"/>
          <w:b/>
          <w:i w:val="0"/>
          <w:color w:val="auto"/>
          <w:sz w:val="20"/>
          <w:szCs w:val="20"/>
        </w:rPr>
        <w:t>The IFATS population sent; s</w:t>
      </w:r>
      <w:r w:rsidR="00B036F9">
        <w:rPr>
          <w:rFonts w:ascii="Arial" w:hAnsi="Arial" w:cs="Arial"/>
          <w:b/>
          <w:i w:val="0"/>
          <w:color w:val="auto"/>
          <w:sz w:val="20"/>
          <w:szCs w:val="20"/>
        </w:rPr>
        <w:t>ituations in the EGR frame</w:t>
      </w:r>
    </w:p>
    <w:tbl>
      <w:tblPr>
        <w:tblW w:w="8687" w:type="dxa"/>
        <w:jc w:val="center"/>
        <w:tblCellMar>
          <w:left w:w="70" w:type="dxa"/>
          <w:right w:w="70" w:type="dxa"/>
        </w:tblCellMar>
        <w:tblLook w:val="04A0" w:firstRow="1" w:lastRow="0" w:firstColumn="1" w:lastColumn="0" w:noHBand="0" w:noVBand="1"/>
      </w:tblPr>
      <w:tblGrid>
        <w:gridCol w:w="1766"/>
        <w:gridCol w:w="1102"/>
        <w:gridCol w:w="1578"/>
        <w:gridCol w:w="580"/>
        <w:gridCol w:w="1241"/>
        <w:gridCol w:w="669"/>
        <w:gridCol w:w="1111"/>
        <w:gridCol w:w="640"/>
      </w:tblGrid>
      <w:tr w:rsidR="00B73CEB" w:rsidRPr="00C67267" w:rsidTr="0032776D">
        <w:trPr>
          <w:trHeight w:hRule="exact" w:val="340"/>
          <w:jc w:val="center"/>
        </w:trPr>
        <w:tc>
          <w:tcPr>
            <w:tcW w:w="176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IFATS_NBR1</w:t>
            </w:r>
          </w:p>
        </w:tc>
        <w:tc>
          <w:tcPr>
            <w:tcW w:w="1102" w:type="dxa"/>
            <w:tcBorders>
              <w:top w:val="single" w:sz="8" w:space="0" w:color="auto"/>
              <w:left w:val="nil"/>
              <w:bottom w:val="single" w:sz="8" w:space="0" w:color="auto"/>
              <w:right w:val="single" w:sz="4" w:space="0" w:color="auto"/>
            </w:tcBorders>
            <w:shd w:val="clear" w:color="auto" w:fill="auto"/>
            <w:noWrap/>
            <w:vAlign w:val="bottom"/>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TOTAL</w:t>
            </w:r>
          </w:p>
        </w:tc>
        <w:tc>
          <w:tcPr>
            <w:tcW w:w="1578" w:type="dxa"/>
            <w:tcBorders>
              <w:top w:val="single" w:sz="8" w:space="0" w:color="auto"/>
              <w:left w:val="nil"/>
              <w:bottom w:val="single" w:sz="8" w:space="0" w:color="auto"/>
              <w:right w:val="single" w:sz="4" w:space="0" w:color="auto"/>
            </w:tcBorders>
            <w:shd w:val="clear" w:color="auto" w:fill="auto"/>
            <w:noWrap/>
            <w:vAlign w:val="bottom"/>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NO CHANGES</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PCT</w:t>
            </w:r>
          </w:p>
        </w:tc>
        <w:tc>
          <w:tcPr>
            <w:tcW w:w="1241" w:type="dxa"/>
            <w:tcBorders>
              <w:top w:val="single" w:sz="8" w:space="0" w:color="auto"/>
              <w:left w:val="nil"/>
              <w:bottom w:val="single" w:sz="8" w:space="0" w:color="auto"/>
              <w:right w:val="single" w:sz="4" w:space="0" w:color="auto"/>
            </w:tcBorders>
            <w:shd w:val="clear" w:color="auto" w:fill="auto"/>
            <w:noWrap/>
            <w:vAlign w:val="bottom"/>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CHANGES</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PCT</w:t>
            </w:r>
          </w:p>
        </w:tc>
        <w:tc>
          <w:tcPr>
            <w:tcW w:w="1111" w:type="dxa"/>
            <w:tcBorders>
              <w:top w:val="single" w:sz="8" w:space="0" w:color="auto"/>
              <w:left w:val="nil"/>
              <w:bottom w:val="single" w:sz="8" w:space="0" w:color="auto"/>
              <w:right w:val="single" w:sz="4" w:space="0" w:color="auto"/>
            </w:tcBorders>
            <w:shd w:val="clear" w:color="auto" w:fill="auto"/>
            <w:noWrap/>
            <w:vAlign w:val="bottom"/>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NO EGR</w:t>
            </w:r>
          </w:p>
        </w:tc>
        <w:tc>
          <w:tcPr>
            <w:tcW w:w="640" w:type="dxa"/>
            <w:tcBorders>
              <w:top w:val="single" w:sz="8" w:space="0" w:color="auto"/>
              <w:left w:val="nil"/>
              <w:bottom w:val="single" w:sz="8" w:space="0" w:color="auto"/>
              <w:right w:val="single" w:sz="8" w:space="0" w:color="auto"/>
            </w:tcBorders>
            <w:shd w:val="clear" w:color="auto" w:fill="auto"/>
            <w:noWrap/>
            <w:vAlign w:val="bottom"/>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PCT</w:t>
            </w:r>
          </w:p>
        </w:tc>
      </w:tr>
      <w:tr w:rsidR="00B73CEB" w:rsidRPr="00C67267" w:rsidTr="0032776D">
        <w:trPr>
          <w:trHeight w:hRule="exact" w:val="340"/>
          <w:jc w:val="center"/>
        </w:trPr>
        <w:tc>
          <w:tcPr>
            <w:tcW w:w="1766" w:type="dxa"/>
            <w:tcBorders>
              <w:top w:val="nil"/>
              <w:left w:val="single" w:sz="8" w:space="0" w:color="auto"/>
              <w:bottom w:val="single" w:sz="4" w:space="0" w:color="auto"/>
              <w:right w:val="single" w:sz="4" w:space="0" w:color="auto"/>
            </w:tcBorders>
            <w:shd w:val="clear" w:color="auto" w:fill="auto"/>
            <w:noWrap/>
            <w:vAlign w:val="bottom"/>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sz w:val="20"/>
                <w:szCs w:val="20"/>
                <w:lang w:val="es-ES"/>
              </w:rPr>
            </w:pPr>
            <w:r w:rsidRPr="00C67267">
              <w:rPr>
                <w:rFonts w:ascii="Arial" w:eastAsia="Times New Roman" w:hAnsi="Arial" w:cs="Arial"/>
                <w:b/>
                <w:sz w:val="20"/>
                <w:szCs w:val="20"/>
                <w:lang w:val="es-ES"/>
              </w:rPr>
              <w:t>UNITS</w:t>
            </w:r>
          </w:p>
        </w:tc>
        <w:tc>
          <w:tcPr>
            <w:tcW w:w="1102" w:type="dxa"/>
            <w:tcBorders>
              <w:top w:val="nil"/>
              <w:left w:val="nil"/>
              <w:bottom w:val="single" w:sz="4"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13,758</w:t>
            </w:r>
          </w:p>
        </w:tc>
        <w:tc>
          <w:tcPr>
            <w:tcW w:w="1578" w:type="dxa"/>
            <w:tcBorders>
              <w:top w:val="nil"/>
              <w:left w:val="nil"/>
              <w:bottom w:val="single" w:sz="4"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 xml:space="preserve">10,808 </w:t>
            </w:r>
            <w:r w:rsidRPr="00C67267">
              <w:rPr>
                <w:rFonts w:ascii="Arial" w:eastAsia="Times New Roman" w:hAnsi="Arial" w:cs="Arial"/>
                <w:b/>
                <w:color w:val="auto"/>
                <w:sz w:val="20"/>
                <w:szCs w:val="20"/>
                <w:lang w:val="es-ES"/>
              </w:rPr>
              <w:t>(a)</w:t>
            </w:r>
          </w:p>
        </w:tc>
        <w:tc>
          <w:tcPr>
            <w:tcW w:w="580" w:type="dxa"/>
            <w:tcBorders>
              <w:top w:val="nil"/>
              <w:left w:val="nil"/>
              <w:bottom w:val="single" w:sz="4"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n-US"/>
              </w:rPr>
            </w:pPr>
            <w:r w:rsidRPr="00C67267">
              <w:rPr>
                <w:rFonts w:ascii="Arial" w:eastAsia="Times New Roman" w:hAnsi="Arial" w:cs="Arial"/>
                <w:color w:val="auto"/>
                <w:sz w:val="20"/>
                <w:szCs w:val="20"/>
                <w:lang w:val="en-US"/>
              </w:rPr>
              <w:t>78.6</w:t>
            </w:r>
          </w:p>
        </w:tc>
        <w:tc>
          <w:tcPr>
            <w:tcW w:w="1241" w:type="dxa"/>
            <w:tcBorders>
              <w:top w:val="nil"/>
              <w:left w:val="nil"/>
              <w:bottom w:val="single" w:sz="4"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n-US"/>
              </w:rPr>
            </w:pPr>
            <w:r w:rsidRPr="00C67267">
              <w:rPr>
                <w:rFonts w:ascii="Arial" w:eastAsia="Times New Roman" w:hAnsi="Arial" w:cs="Arial"/>
                <w:color w:val="auto"/>
                <w:sz w:val="20"/>
                <w:szCs w:val="20"/>
                <w:lang w:val="en-US"/>
              </w:rPr>
              <w:t>2,524</w:t>
            </w:r>
          </w:p>
        </w:tc>
        <w:tc>
          <w:tcPr>
            <w:tcW w:w="669" w:type="dxa"/>
            <w:tcBorders>
              <w:top w:val="nil"/>
              <w:left w:val="nil"/>
              <w:bottom w:val="single" w:sz="4"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n-US"/>
              </w:rPr>
            </w:pPr>
            <w:r w:rsidRPr="00C67267">
              <w:rPr>
                <w:rFonts w:ascii="Arial" w:eastAsia="Times New Roman" w:hAnsi="Arial" w:cs="Arial"/>
                <w:color w:val="auto"/>
                <w:sz w:val="20"/>
                <w:szCs w:val="20"/>
                <w:lang w:val="en-US"/>
              </w:rPr>
              <w:t>18.3</w:t>
            </w:r>
          </w:p>
        </w:tc>
        <w:tc>
          <w:tcPr>
            <w:tcW w:w="1111" w:type="dxa"/>
            <w:tcBorders>
              <w:top w:val="nil"/>
              <w:left w:val="nil"/>
              <w:bottom w:val="single" w:sz="4"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n-US"/>
              </w:rPr>
            </w:pPr>
            <w:r w:rsidRPr="00C67267">
              <w:rPr>
                <w:rFonts w:ascii="Arial" w:eastAsia="Times New Roman" w:hAnsi="Arial" w:cs="Arial"/>
                <w:color w:val="auto"/>
                <w:sz w:val="20"/>
                <w:szCs w:val="20"/>
                <w:lang w:val="en-US"/>
              </w:rPr>
              <w:t>426</w:t>
            </w:r>
          </w:p>
        </w:tc>
        <w:tc>
          <w:tcPr>
            <w:tcW w:w="640" w:type="dxa"/>
            <w:tcBorders>
              <w:top w:val="nil"/>
              <w:left w:val="nil"/>
              <w:bottom w:val="single" w:sz="4" w:space="0" w:color="auto"/>
              <w:right w:val="single" w:sz="8"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n-US"/>
              </w:rPr>
            </w:pPr>
            <w:r w:rsidRPr="00C67267">
              <w:rPr>
                <w:rFonts w:ascii="Arial" w:eastAsia="Times New Roman" w:hAnsi="Arial" w:cs="Arial"/>
                <w:color w:val="auto"/>
                <w:sz w:val="20"/>
                <w:szCs w:val="20"/>
                <w:lang w:val="en-US"/>
              </w:rPr>
              <w:t>3.1</w:t>
            </w:r>
          </w:p>
        </w:tc>
      </w:tr>
      <w:tr w:rsidR="00B73CEB" w:rsidRPr="00C67267" w:rsidTr="0032776D">
        <w:trPr>
          <w:trHeight w:hRule="exact" w:val="340"/>
          <w:jc w:val="center"/>
        </w:trPr>
        <w:tc>
          <w:tcPr>
            <w:tcW w:w="1766" w:type="dxa"/>
            <w:tcBorders>
              <w:top w:val="nil"/>
              <w:left w:val="single" w:sz="8" w:space="0" w:color="auto"/>
              <w:bottom w:val="single" w:sz="8" w:space="0" w:color="auto"/>
              <w:right w:val="single" w:sz="4" w:space="0" w:color="auto"/>
            </w:tcBorders>
            <w:shd w:val="clear" w:color="auto" w:fill="auto"/>
            <w:noWrap/>
            <w:vAlign w:val="bottom"/>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sz w:val="20"/>
                <w:szCs w:val="20"/>
                <w:lang w:val="en-US"/>
              </w:rPr>
            </w:pPr>
            <w:r w:rsidRPr="00C67267">
              <w:rPr>
                <w:rFonts w:ascii="Arial" w:eastAsia="Times New Roman" w:hAnsi="Arial" w:cs="Arial"/>
                <w:b/>
                <w:sz w:val="20"/>
                <w:szCs w:val="20"/>
                <w:lang w:val="en-US"/>
              </w:rPr>
              <w:t>EMPLOYMENT</w:t>
            </w:r>
          </w:p>
        </w:tc>
        <w:tc>
          <w:tcPr>
            <w:tcW w:w="1102" w:type="dxa"/>
            <w:tcBorders>
              <w:top w:val="nil"/>
              <w:left w:val="nil"/>
              <w:bottom w:val="single" w:sz="8"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n-US"/>
              </w:rPr>
            </w:pPr>
            <w:r w:rsidRPr="00C67267">
              <w:rPr>
                <w:rFonts w:ascii="Arial" w:eastAsia="Times New Roman" w:hAnsi="Arial" w:cs="Arial"/>
                <w:color w:val="auto"/>
                <w:sz w:val="20"/>
                <w:szCs w:val="20"/>
                <w:lang w:val="en-US"/>
              </w:rPr>
              <w:t>1,300,00</w:t>
            </w:r>
          </w:p>
        </w:tc>
        <w:tc>
          <w:tcPr>
            <w:tcW w:w="1578" w:type="dxa"/>
            <w:tcBorders>
              <w:top w:val="nil"/>
              <w:left w:val="nil"/>
              <w:bottom w:val="single" w:sz="8"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n-US"/>
              </w:rPr>
            </w:pPr>
            <w:r w:rsidRPr="00C67267">
              <w:rPr>
                <w:rFonts w:ascii="Arial" w:eastAsia="Times New Roman" w:hAnsi="Arial" w:cs="Arial"/>
                <w:color w:val="auto"/>
                <w:sz w:val="20"/>
                <w:szCs w:val="20"/>
                <w:lang w:val="en-US"/>
              </w:rPr>
              <w:t xml:space="preserve">1.044,993 </w:t>
            </w:r>
            <w:r w:rsidRPr="00C67267">
              <w:rPr>
                <w:rFonts w:ascii="Arial" w:eastAsia="Times New Roman" w:hAnsi="Arial" w:cs="Arial"/>
                <w:b/>
                <w:color w:val="auto"/>
                <w:sz w:val="20"/>
                <w:szCs w:val="20"/>
                <w:lang w:val="en-US"/>
              </w:rPr>
              <w:t>(a)</w:t>
            </w:r>
          </w:p>
        </w:tc>
        <w:tc>
          <w:tcPr>
            <w:tcW w:w="580" w:type="dxa"/>
            <w:tcBorders>
              <w:top w:val="nil"/>
              <w:left w:val="nil"/>
              <w:bottom w:val="single" w:sz="8"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n-US"/>
              </w:rPr>
            </w:pPr>
            <w:r w:rsidRPr="00C67267">
              <w:rPr>
                <w:rFonts w:ascii="Arial" w:eastAsia="Times New Roman" w:hAnsi="Arial" w:cs="Arial"/>
                <w:color w:val="auto"/>
                <w:sz w:val="20"/>
                <w:szCs w:val="20"/>
                <w:lang w:val="en-US"/>
              </w:rPr>
              <w:t>80.5</w:t>
            </w:r>
          </w:p>
        </w:tc>
        <w:tc>
          <w:tcPr>
            <w:tcW w:w="1241" w:type="dxa"/>
            <w:tcBorders>
              <w:top w:val="nil"/>
              <w:left w:val="nil"/>
              <w:bottom w:val="single" w:sz="8"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n-US"/>
              </w:rPr>
            </w:pPr>
            <w:r w:rsidRPr="00C67267">
              <w:rPr>
                <w:rFonts w:ascii="Arial" w:eastAsia="Times New Roman" w:hAnsi="Arial" w:cs="Arial"/>
                <w:color w:val="auto"/>
                <w:sz w:val="20"/>
                <w:szCs w:val="20"/>
                <w:lang w:val="en-US"/>
              </w:rPr>
              <w:t>244,917</w:t>
            </w:r>
          </w:p>
        </w:tc>
        <w:tc>
          <w:tcPr>
            <w:tcW w:w="669" w:type="dxa"/>
            <w:tcBorders>
              <w:top w:val="nil"/>
              <w:left w:val="nil"/>
              <w:bottom w:val="single" w:sz="8"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n-US"/>
              </w:rPr>
            </w:pPr>
            <w:r w:rsidRPr="00C67267">
              <w:rPr>
                <w:rFonts w:ascii="Arial" w:eastAsia="Times New Roman" w:hAnsi="Arial" w:cs="Arial"/>
                <w:color w:val="auto"/>
                <w:sz w:val="20"/>
                <w:szCs w:val="20"/>
                <w:lang w:val="en-US"/>
              </w:rPr>
              <w:t>18.8</w:t>
            </w:r>
          </w:p>
        </w:tc>
        <w:tc>
          <w:tcPr>
            <w:tcW w:w="1111" w:type="dxa"/>
            <w:tcBorders>
              <w:top w:val="nil"/>
              <w:left w:val="nil"/>
              <w:bottom w:val="single" w:sz="8"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n-US"/>
              </w:rPr>
            </w:pPr>
            <w:r w:rsidRPr="00C67267">
              <w:rPr>
                <w:rFonts w:ascii="Arial" w:eastAsia="Times New Roman" w:hAnsi="Arial" w:cs="Arial"/>
                <w:color w:val="auto"/>
                <w:sz w:val="20"/>
                <w:szCs w:val="20"/>
                <w:lang w:val="en-US"/>
              </w:rPr>
              <w:t>10,090</w:t>
            </w:r>
          </w:p>
        </w:tc>
        <w:tc>
          <w:tcPr>
            <w:tcW w:w="640" w:type="dxa"/>
            <w:tcBorders>
              <w:top w:val="nil"/>
              <w:left w:val="nil"/>
              <w:bottom w:val="single" w:sz="8" w:space="0" w:color="auto"/>
              <w:right w:val="single" w:sz="8"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n-US"/>
              </w:rPr>
            </w:pPr>
            <w:r w:rsidRPr="00C67267">
              <w:rPr>
                <w:rFonts w:ascii="Arial" w:eastAsia="Times New Roman" w:hAnsi="Arial" w:cs="Arial"/>
                <w:color w:val="auto"/>
                <w:sz w:val="20"/>
                <w:szCs w:val="20"/>
                <w:lang w:val="en-US"/>
              </w:rPr>
              <w:t>0.7</w:t>
            </w:r>
          </w:p>
        </w:tc>
      </w:tr>
    </w:tbl>
    <w:p w:rsidR="00B73CEB" w:rsidRPr="00DE0E5F" w:rsidRDefault="00B73CEB" w:rsidP="00B73CEB">
      <w:pPr>
        <w:spacing w:before="120" w:after="0" w:line="360" w:lineRule="auto"/>
        <w:jc w:val="both"/>
        <w:rPr>
          <w:rFonts w:ascii="Arial" w:hAnsi="Arial" w:cs="Arial"/>
          <w:sz w:val="24"/>
          <w:szCs w:val="24"/>
          <w:lang w:val="en-US"/>
        </w:rPr>
      </w:pPr>
      <w:r w:rsidRPr="00DE0E5F">
        <w:rPr>
          <w:rFonts w:ascii="Arial" w:hAnsi="Arial" w:cs="Arial"/>
          <w:sz w:val="24"/>
          <w:szCs w:val="24"/>
          <w:lang w:val="en-US"/>
        </w:rPr>
        <w:t>More than 90% of units with changes continue having the same profile in the EGR but the GDC country has changed. They represent almost 94% in terms of employment. The remaining units are classified in the EGR as subsidiaries to Spanish multinationals. The next table shows how this variable has changed.</w:t>
      </w:r>
    </w:p>
    <w:p w:rsidR="00B73CEB" w:rsidRPr="00DE0E5F" w:rsidRDefault="00E67043" w:rsidP="00B73CEB">
      <w:pPr>
        <w:pStyle w:val="Descripcin"/>
        <w:keepNext/>
        <w:spacing w:before="120" w:after="0" w:line="360" w:lineRule="auto"/>
        <w:jc w:val="both"/>
        <w:rPr>
          <w:rFonts w:ascii="Arial" w:hAnsi="Arial" w:cs="Arial"/>
          <w:b/>
          <w:i w:val="0"/>
          <w:color w:val="auto"/>
          <w:sz w:val="20"/>
          <w:szCs w:val="20"/>
        </w:rPr>
      </w:pPr>
      <w:r>
        <w:rPr>
          <w:rFonts w:ascii="Arial" w:hAnsi="Arial" w:cs="Arial"/>
          <w:b/>
          <w:i w:val="0"/>
          <w:color w:val="auto"/>
          <w:sz w:val="20"/>
          <w:szCs w:val="20"/>
        </w:rPr>
        <w:t xml:space="preserve">   </w:t>
      </w:r>
      <w:r w:rsidR="00B73CEB" w:rsidRPr="00DE0E5F">
        <w:rPr>
          <w:rFonts w:ascii="Arial" w:hAnsi="Arial" w:cs="Arial"/>
          <w:b/>
          <w:i w:val="0"/>
          <w:color w:val="auto"/>
          <w:sz w:val="20"/>
          <w:szCs w:val="20"/>
        </w:rPr>
        <w:t xml:space="preserve">Table 3. </w:t>
      </w:r>
      <w:r w:rsidR="00B036F9">
        <w:rPr>
          <w:rFonts w:ascii="Arial" w:hAnsi="Arial" w:cs="Arial"/>
          <w:b/>
          <w:i w:val="0"/>
          <w:color w:val="auto"/>
          <w:sz w:val="20"/>
          <w:szCs w:val="20"/>
        </w:rPr>
        <w:t>Breakdown of changes for IFATS population</w:t>
      </w:r>
    </w:p>
    <w:tbl>
      <w:tblPr>
        <w:tblW w:w="8637" w:type="dxa"/>
        <w:jc w:val="center"/>
        <w:tblCellMar>
          <w:left w:w="70" w:type="dxa"/>
          <w:right w:w="70" w:type="dxa"/>
        </w:tblCellMar>
        <w:tblLook w:val="04A0" w:firstRow="1" w:lastRow="0" w:firstColumn="1" w:lastColumn="0" w:noHBand="0" w:noVBand="1"/>
      </w:tblPr>
      <w:tblGrid>
        <w:gridCol w:w="2204"/>
        <w:gridCol w:w="1188"/>
        <w:gridCol w:w="1560"/>
        <w:gridCol w:w="723"/>
        <w:gridCol w:w="2253"/>
        <w:gridCol w:w="709"/>
      </w:tblGrid>
      <w:tr w:rsidR="00B73CEB" w:rsidRPr="00C67267" w:rsidTr="0032776D">
        <w:trPr>
          <w:trHeight w:hRule="exact" w:val="340"/>
          <w:jc w:val="center"/>
        </w:trPr>
        <w:tc>
          <w:tcPr>
            <w:tcW w:w="220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IFATS_NBR1 CHANGES</w:t>
            </w:r>
          </w:p>
        </w:tc>
        <w:tc>
          <w:tcPr>
            <w:tcW w:w="1188" w:type="dxa"/>
            <w:tcBorders>
              <w:top w:val="single" w:sz="8" w:space="0" w:color="auto"/>
              <w:left w:val="nil"/>
              <w:bottom w:val="single" w:sz="8" w:space="0" w:color="auto"/>
              <w:right w:val="single" w:sz="4" w:space="0" w:color="auto"/>
            </w:tcBorders>
            <w:shd w:val="clear" w:color="auto" w:fill="auto"/>
            <w:noWrap/>
            <w:vAlign w:val="bottom"/>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TOTAL</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NEW PROFILE</w:t>
            </w:r>
          </w:p>
        </w:tc>
        <w:tc>
          <w:tcPr>
            <w:tcW w:w="723" w:type="dxa"/>
            <w:tcBorders>
              <w:top w:val="single" w:sz="8" w:space="0" w:color="auto"/>
              <w:left w:val="nil"/>
              <w:bottom w:val="single" w:sz="8" w:space="0" w:color="auto"/>
              <w:right w:val="single" w:sz="4" w:space="0" w:color="auto"/>
            </w:tcBorders>
            <w:shd w:val="clear" w:color="auto" w:fill="auto"/>
            <w:noWrap/>
            <w:vAlign w:val="bottom"/>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PCT</w:t>
            </w:r>
          </w:p>
        </w:tc>
        <w:tc>
          <w:tcPr>
            <w:tcW w:w="2253" w:type="dxa"/>
            <w:tcBorders>
              <w:top w:val="single" w:sz="8" w:space="0" w:color="auto"/>
              <w:left w:val="nil"/>
              <w:bottom w:val="single" w:sz="8" w:space="0" w:color="auto"/>
              <w:right w:val="single" w:sz="4" w:space="0" w:color="auto"/>
            </w:tcBorders>
            <w:shd w:val="clear" w:color="auto" w:fill="auto"/>
            <w:noWrap/>
            <w:vAlign w:val="bottom"/>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CHANGE GDC COUNTRY</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PCT</w:t>
            </w:r>
          </w:p>
        </w:tc>
      </w:tr>
      <w:tr w:rsidR="00B73CEB" w:rsidRPr="00C67267" w:rsidTr="0032776D">
        <w:trPr>
          <w:trHeight w:hRule="exact" w:val="340"/>
          <w:jc w:val="center"/>
        </w:trPr>
        <w:tc>
          <w:tcPr>
            <w:tcW w:w="2204" w:type="dxa"/>
            <w:tcBorders>
              <w:top w:val="nil"/>
              <w:left w:val="single" w:sz="8" w:space="0" w:color="auto"/>
              <w:bottom w:val="single" w:sz="4" w:space="0" w:color="auto"/>
              <w:right w:val="single" w:sz="4" w:space="0" w:color="auto"/>
            </w:tcBorders>
            <w:shd w:val="clear" w:color="auto" w:fill="auto"/>
            <w:noWrap/>
            <w:vAlign w:val="bottom"/>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sz w:val="20"/>
                <w:szCs w:val="20"/>
                <w:lang w:val="es-ES"/>
              </w:rPr>
            </w:pPr>
            <w:r w:rsidRPr="00C67267">
              <w:rPr>
                <w:rFonts w:ascii="Arial" w:eastAsia="Times New Roman" w:hAnsi="Arial" w:cs="Arial"/>
                <w:b/>
                <w:sz w:val="20"/>
                <w:szCs w:val="20"/>
                <w:lang w:val="es-ES"/>
              </w:rPr>
              <w:t>UNITS</w:t>
            </w:r>
          </w:p>
        </w:tc>
        <w:tc>
          <w:tcPr>
            <w:tcW w:w="1188" w:type="dxa"/>
            <w:tcBorders>
              <w:top w:val="nil"/>
              <w:left w:val="nil"/>
              <w:bottom w:val="single" w:sz="4"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2,524</w:t>
            </w:r>
          </w:p>
        </w:tc>
        <w:tc>
          <w:tcPr>
            <w:tcW w:w="1560" w:type="dxa"/>
            <w:tcBorders>
              <w:top w:val="nil"/>
              <w:left w:val="nil"/>
              <w:bottom w:val="single" w:sz="4"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233</w:t>
            </w:r>
          </w:p>
        </w:tc>
        <w:tc>
          <w:tcPr>
            <w:tcW w:w="723" w:type="dxa"/>
            <w:tcBorders>
              <w:top w:val="nil"/>
              <w:left w:val="nil"/>
              <w:bottom w:val="single" w:sz="4"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n-US"/>
              </w:rPr>
            </w:pPr>
            <w:r w:rsidRPr="00C67267">
              <w:rPr>
                <w:rFonts w:ascii="Arial" w:eastAsia="Times New Roman" w:hAnsi="Arial" w:cs="Arial"/>
                <w:color w:val="auto"/>
                <w:sz w:val="20"/>
                <w:szCs w:val="20"/>
                <w:lang w:val="en-US"/>
              </w:rPr>
              <w:t>9.2</w:t>
            </w:r>
          </w:p>
        </w:tc>
        <w:tc>
          <w:tcPr>
            <w:tcW w:w="2253" w:type="dxa"/>
            <w:tcBorders>
              <w:top w:val="nil"/>
              <w:left w:val="nil"/>
              <w:bottom w:val="single" w:sz="4"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n-US"/>
              </w:rPr>
            </w:pPr>
            <w:r w:rsidRPr="00C67267">
              <w:rPr>
                <w:rFonts w:ascii="Arial" w:eastAsia="Times New Roman" w:hAnsi="Arial" w:cs="Arial"/>
                <w:color w:val="auto"/>
                <w:sz w:val="20"/>
                <w:szCs w:val="20"/>
                <w:lang w:val="en-US"/>
              </w:rPr>
              <w:t>2,291(b)</w:t>
            </w:r>
          </w:p>
        </w:tc>
        <w:tc>
          <w:tcPr>
            <w:tcW w:w="709" w:type="dxa"/>
            <w:tcBorders>
              <w:top w:val="nil"/>
              <w:left w:val="nil"/>
              <w:bottom w:val="single" w:sz="4"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n-US"/>
              </w:rPr>
            </w:pPr>
            <w:r w:rsidRPr="00C67267">
              <w:rPr>
                <w:rFonts w:ascii="Arial" w:eastAsia="Times New Roman" w:hAnsi="Arial" w:cs="Arial"/>
                <w:color w:val="auto"/>
                <w:sz w:val="20"/>
                <w:szCs w:val="20"/>
                <w:lang w:val="en-US"/>
              </w:rPr>
              <w:t>90.8</w:t>
            </w:r>
          </w:p>
        </w:tc>
      </w:tr>
      <w:tr w:rsidR="00B73CEB" w:rsidRPr="00C67267" w:rsidTr="0032776D">
        <w:trPr>
          <w:trHeight w:hRule="exact" w:val="340"/>
          <w:jc w:val="center"/>
        </w:trPr>
        <w:tc>
          <w:tcPr>
            <w:tcW w:w="2204" w:type="dxa"/>
            <w:tcBorders>
              <w:top w:val="nil"/>
              <w:left w:val="single" w:sz="8" w:space="0" w:color="auto"/>
              <w:bottom w:val="single" w:sz="8" w:space="0" w:color="auto"/>
              <w:right w:val="single" w:sz="4" w:space="0" w:color="auto"/>
            </w:tcBorders>
            <w:shd w:val="clear" w:color="auto" w:fill="auto"/>
            <w:noWrap/>
            <w:vAlign w:val="bottom"/>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sz w:val="20"/>
                <w:szCs w:val="20"/>
                <w:lang w:val="en-US"/>
              </w:rPr>
            </w:pPr>
            <w:r w:rsidRPr="00C67267">
              <w:rPr>
                <w:rFonts w:ascii="Arial" w:eastAsia="Times New Roman" w:hAnsi="Arial" w:cs="Arial"/>
                <w:b/>
                <w:sz w:val="20"/>
                <w:szCs w:val="20"/>
                <w:lang w:val="en-US"/>
              </w:rPr>
              <w:t>EMPLOYMENT</w:t>
            </w:r>
          </w:p>
        </w:tc>
        <w:tc>
          <w:tcPr>
            <w:tcW w:w="1188" w:type="dxa"/>
            <w:tcBorders>
              <w:top w:val="nil"/>
              <w:left w:val="nil"/>
              <w:bottom w:val="single" w:sz="8"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n-US"/>
              </w:rPr>
            </w:pPr>
            <w:r w:rsidRPr="00C67267">
              <w:rPr>
                <w:rFonts w:ascii="Arial" w:eastAsia="Times New Roman" w:hAnsi="Arial" w:cs="Arial"/>
                <w:color w:val="auto"/>
                <w:sz w:val="20"/>
                <w:szCs w:val="20"/>
                <w:lang w:val="en-US"/>
              </w:rPr>
              <w:t>244,917</w:t>
            </w:r>
          </w:p>
        </w:tc>
        <w:tc>
          <w:tcPr>
            <w:tcW w:w="1560" w:type="dxa"/>
            <w:tcBorders>
              <w:top w:val="nil"/>
              <w:left w:val="nil"/>
              <w:bottom w:val="single" w:sz="8"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n-US"/>
              </w:rPr>
            </w:pPr>
            <w:r w:rsidRPr="00C67267">
              <w:rPr>
                <w:rFonts w:ascii="Arial" w:eastAsia="Times New Roman" w:hAnsi="Arial" w:cs="Arial"/>
                <w:color w:val="auto"/>
                <w:sz w:val="20"/>
                <w:szCs w:val="20"/>
                <w:lang w:val="en-US"/>
              </w:rPr>
              <w:t>15,735</w:t>
            </w:r>
          </w:p>
        </w:tc>
        <w:tc>
          <w:tcPr>
            <w:tcW w:w="723" w:type="dxa"/>
            <w:tcBorders>
              <w:top w:val="nil"/>
              <w:left w:val="nil"/>
              <w:bottom w:val="single" w:sz="8"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n-US"/>
              </w:rPr>
            </w:pPr>
            <w:r w:rsidRPr="00C67267">
              <w:rPr>
                <w:rFonts w:ascii="Arial" w:eastAsia="Times New Roman" w:hAnsi="Arial" w:cs="Arial"/>
                <w:color w:val="auto"/>
                <w:sz w:val="20"/>
                <w:szCs w:val="20"/>
                <w:lang w:val="en-US"/>
              </w:rPr>
              <w:t>6.5</w:t>
            </w:r>
          </w:p>
        </w:tc>
        <w:tc>
          <w:tcPr>
            <w:tcW w:w="2253" w:type="dxa"/>
            <w:tcBorders>
              <w:top w:val="nil"/>
              <w:left w:val="nil"/>
              <w:bottom w:val="single" w:sz="8"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n-US"/>
              </w:rPr>
            </w:pPr>
            <w:r w:rsidRPr="00C67267">
              <w:rPr>
                <w:rFonts w:ascii="Arial" w:eastAsia="Times New Roman" w:hAnsi="Arial" w:cs="Arial"/>
                <w:color w:val="auto"/>
                <w:sz w:val="20"/>
                <w:szCs w:val="20"/>
                <w:lang w:val="en-US"/>
              </w:rPr>
              <w:t>229,182(b)</w:t>
            </w:r>
          </w:p>
        </w:tc>
        <w:tc>
          <w:tcPr>
            <w:tcW w:w="709" w:type="dxa"/>
            <w:tcBorders>
              <w:top w:val="nil"/>
              <w:left w:val="nil"/>
              <w:bottom w:val="single" w:sz="8" w:space="0" w:color="auto"/>
              <w:right w:val="single" w:sz="4" w:space="0" w:color="auto"/>
            </w:tcBorders>
            <w:shd w:val="clear" w:color="auto" w:fill="auto"/>
            <w:noWrap/>
            <w:vAlign w:val="bottom"/>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n-US"/>
              </w:rPr>
            </w:pPr>
            <w:r w:rsidRPr="00C67267">
              <w:rPr>
                <w:rFonts w:ascii="Arial" w:eastAsia="Times New Roman" w:hAnsi="Arial" w:cs="Arial"/>
                <w:color w:val="auto"/>
                <w:sz w:val="20"/>
                <w:szCs w:val="20"/>
                <w:lang w:val="en-US"/>
              </w:rPr>
              <w:t>93.5</w:t>
            </w:r>
          </w:p>
        </w:tc>
      </w:tr>
    </w:tbl>
    <w:p w:rsidR="00B73CEB" w:rsidRDefault="00B73CEB" w:rsidP="00B73CEB">
      <w:pPr>
        <w:spacing w:before="120" w:after="0" w:line="360" w:lineRule="auto"/>
        <w:jc w:val="both"/>
        <w:rPr>
          <w:rFonts w:ascii="Arial" w:hAnsi="Arial" w:cs="Arial"/>
          <w:sz w:val="24"/>
          <w:szCs w:val="24"/>
          <w:lang w:val="en-US"/>
        </w:rPr>
      </w:pPr>
      <w:r w:rsidRPr="00DE0E5F">
        <w:rPr>
          <w:rFonts w:ascii="Arial" w:hAnsi="Arial" w:cs="Arial"/>
          <w:sz w:val="24"/>
          <w:szCs w:val="24"/>
          <w:lang w:val="en-US"/>
        </w:rPr>
        <w:t xml:space="preserve">For the common IFATS population, some </w:t>
      </w:r>
      <w:r w:rsidRPr="00DE0E5F">
        <w:rPr>
          <w:rFonts w:ascii="Arial" w:hAnsi="Arial" w:cs="Arial"/>
          <w:i/>
          <w:sz w:val="24"/>
          <w:szCs w:val="24"/>
          <w:lang w:val="en-US"/>
        </w:rPr>
        <w:t>similarity rates</w:t>
      </w:r>
      <w:r w:rsidRPr="00DE0E5F">
        <w:rPr>
          <w:rFonts w:ascii="Arial" w:hAnsi="Arial" w:cs="Arial"/>
          <w:sz w:val="24"/>
          <w:szCs w:val="24"/>
          <w:lang w:val="en-US"/>
        </w:rPr>
        <w:t xml:space="preserve"> have been calculated, both in terms of units and employment. If we define </w:t>
      </w:r>
    </w:p>
    <w:p w:rsidR="00B73CEB" w:rsidRPr="002B2C22" w:rsidRDefault="00B73CEB" w:rsidP="00B73CEB">
      <w:pPr>
        <w:spacing w:before="120" w:after="0" w:line="360" w:lineRule="auto"/>
        <w:jc w:val="both"/>
        <w:rPr>
          <w:rFonts w:ascii="Arial" w:hAnsi="Arial" w:cs="Arial"/>
          <w:sz w:val="24"/>
          <w:szCs w:val="24"/>
          <w:lang w:val="en-US"/>
        </w:rPr>
      </w:pPr>
      <m:oMath>
        <m:r>
          <w:rPr>
            <w:rFonts w:ascii="Cambria Math" w:hAnsi="Cambria Math" w:cs="Cambria Math"/>
            <w:sz w:val="24"/>
            <w:szCs w:val="24"/>
          </w:rPr>
          <m:t xml:space="preserve">    </m:t>
        </m:r>
        <m:sSub>
          <m:sSubPr>
            <m:ctrlPr>
              <w:rPr>
                <w:rFonts w:ascii="Cambria Math" w:hAnsi="Cambria Math" w:cs="Cambria Math"/>
                <w:i/>
                <w:sz w:val="24"/>
                <w:szCs w:val="24"/>
              </w:rPr>
            </m:ctrlPr>
          </m:sSubPr>
          <m:e>
            <m:r>
              <w:rPr>
                <w:rFonts w:ascii="Cambria Math" w:hAnsi="Cambria Math" w:cs="Cambria Math"/>
                <w:sz w:val="24"/>
                <w:szCs w:val="24"/>
              </w:rPr>
              <m:t>SR</m:t>
            </m:r>
          </m:e>
          <m:sub>
            <m:r>
              <w:rPr>
                <w:rFonts w:ascii="Cambria Math" w:hAnsi="Cambria Math" w:cs="Cambria Math"/>
                <w:sz w:val="24"/>
                <w:szCs w:val="24"/>
              </w:rPr>
              <m:t>u</m:t>
            </m:r>
          </m:sub>
        </m:sSub>
        <m:r>
          <m:rPr>
            <m:sty m:val="p"/>
          </m:rPr>
          <w:rPr>
            <w:rFonts w:ascii="Cambria Math" w:hAnsi="Cambria Math" w:cs="Cambria Math"/>
            <w:sz w:val="24"/>
            <w:szCs w:val="24"/>
          </w:rPr>
          <m:t>=</m:t>
        </m:r>
        <m:f>
          <m:fPr>
            <m:ctrlPr>
              <w:rPr>
                <w:rFonts w:ascii="Cambria Math" w:hAnsi="Cambria Math" w:cs="Arial"/>
                <w:sz w:val="24"/>
                <w:szCs w:val="24"/>
              </w:rPr>
            </m:ctrlPr>
          </m:fPr>
          <m:num>
            <m:r>
              <m:rPr>
                <m:sty m:val="p"/>
              </m:rPr>
              <w:rPr>
                <w:rFonts w:ascii="Cambria Math" w:hAnsi="Cambria Math" w:cs="Cambria Math"/>
                <w:sz w:val="24"/>
                <w:szCs w:val="24"/>
              </w:rPr>
              <m:t>a</m:t>
            </m:r>
          </m:num>
          <m:den>
            <m:r>
              <m:rPr>
                <m:sty m:val="p"/>
              </m:rPr>
              <w:rPr>
                <w:rFonts w:ascii="Cambria Math" w:hAnsi="Cambria Math" w:cs="Cambria Math"/>
                <w:sz w:val="24"/>
                <w:szCs w:val="24"/>
              </w:rPr>
              <m:t>(a+b)</m:t>
            </m:r>
          </m:den>
        </m:f>
        <m:r>
          <w:rPr>
            <w:rFonts w:ascii="Cambria Math" w:hAnsi="Cambria Math" w:cs="Arial"/>
            <w:sz w:val="24"/>
            <w:szCs w:val="24"/>
          </w:rPr>
          <m:t>100</m:t>
        </m:r>
      </m:oMath>
      <w:r w:rsidRPr="0045262D">
        <w:rPr>
          <w:rFonts w:ascii="Arial" w:hAnsi="Arial" w:cs="Arial"/>
          <w:sz w:val="24"/>
          <w:szCs w:val="24"/>
        </w:rPr>
        <w:t xml:space="preserve"> </w:t>
      </w:r>
      <w:proofErr w:type="gramStart"/>
      <w:r w:rsidR="00E67043">
        <w:rPr>
          <w:rFonts w:ascii="Arial" w:hAnsi="Arial" w:cs="Arial"/>
          <w:sz w:val="24"/>
          <w:szCs w:val="24"/>
        </w:rPr>
        <w:t>;</w:t>
      </w:r>
      <w:r w:rsidRPr="0045262D">
        <w:rPr>
          <w:rFonts w:ascii="Arial" w:hAnsi="Arial" w:cs="Arial"/>
          <w:sz w:val="24"/>
          <w:szCs w:val="24"/>
        </w:rPr>
        <w:t xml:space="preserve"> </w:t>
      </w:r>
      <m:oMath>
        <m:sSub>
          <m:sSubPr>
            <m:ctrlPr>
              <w:rPr>
                <w:rFonts w:ascii="Cambria Math" w:hAnsi="Cambria Math" w:cs="Cambria Math"/>
                <w:i/>
                <w:sz w:val="24"/>
                <w:szCs w:val="24"/>
              </w:rPr>
            </m:ctrlPr>
          </m:sSubPr>
          <m:e>
            <w:proofErr w:type="gramEnd"/>
            <m:r>
              <w:rPr>
                <w:rFonts w:ascii="Cambria Math" w:hAnsi="Cambria Math" w:cs="Cambria Math"/>
                <w:sz w:val="24"/>
                <w:szCs w:val="24"/>
              </w:rPr>
              <m:t>SR</m:t>
            </m:r>
          </m:e>
          <m:sub>
            <m:r>
              <w:rPr>
                <w:rFonts w:ascii="Cambria Math" w:hAnsi="Cambria Math" w:cs="Cambria Math"/>
                <w:sz w:val="24"/>
                <w:szCs w:val="24"/>
              </w:rPr>
              <m:t>e</m:t>
            </m:r>
          </m:sub>
        </m:sSub>
        <m:r>
          <m:rPr>
            <m:sty m:val="p"/>
          </m:rPr>
          <w:rPr>
            <w:rFonts w:ascii="Cambria Math" w:hAnsi="Cambria Math" w:cs="Cambria Math"/>
            <w:sz w:val="24"/>
            <w:szCs w:val="24"/>
          </w:rPr>
          <m:t>=</m:t>
        </m:r>
        <m:f>
          <m:fPr>
            <m:ctrlPr>
              <w:rPr>
                <w:rFonts w:ascii="Cambria Math" w:hAnsi="Cambria Math" w:cs="Arial"/>
                <w:sz w:val="24"/>
                <w:szCs w:val="24"/>
              </w:rPr>
            </m:ctrlPr>
          </m:fPr>
          <m:num>
            <m:r>
              <w:rPr>
                <w:rFonts w:ascii="Cambria Math" w:hAnsi="Cambria Math" w:cs="Arial"/>
                <w:sz w:val="24"/>
                <w:szCs w:val="24"/>
              </w:rPr>
              <m:t>A</m:t>
            </m:r>
          </m:num>
          <m:den>
            <m:r>
              <m:rPr>
                <m:sty m:val="p"/>
              </m:rPr>
              <w:rPr>
                <w:rFonts w:ascii="Cambria Math" w:hAnsi="Cambria Math" w:cs="Cambria Math"/>
                <w:sz w:val="24"/>
                <w:szCs w:val="24"/>
              </w:rPr>
              <m:t>(A+B)</m:t>
            </m:r>
          </m:den>
        </m:f>
        <m:r>
          <w:rPr>
            <w:rFonts w:ascii="Cambria Math" w:hAnsi="Cambria Math" w:cs="Arial"/>
            <w:sz w:val="24"/>
            <w:szCs w:val="24"/>
          </w:rPr>
          <m:t>100</m:t>
        </m:r>
      </m:oMath>
      <w:r w:rsidR="00D548ED">
        <w:rPr>
          <w:rFonts w:ascii="Arial" w:hAnsi="Arial" w:cs="Arial"/>
          <w:sz w:val="24"/>
          <w:szCs w:val="24"/>
        </w:rPr>
        <w:t xml:space="preserve"> ,   </w:t>
      </w:r>
      <w:r w:rsidRPr="00DE0E5F">
        <w:rPr>
          <w:rFonts w:ascii="Arial" w:hAnsi="Arial" w:cs="Arial"/>
          <w:sz w:val="24"/>
          <w:szCs w:val="24"/>
          <w:lang w:val="en-US"/>
        </w:rPr>
        <w:t xml:space="preserve">we have </w:t>
      </w:r>
      <w:proofErr w:type="spellStart"/>
      <w:r w:rsidRPr="00E67043">
        <w:rPr>
          <w:rFonts w:ascii="Arial" w:hAnsi="Arial" w:cs="Arial"/>
          <w:i/>
          <w:sz w:val="24"/>
          <w:szCs w:val="24"/>
          <w:lang w:val="en-US"/>
        </w:rPr>
        <w:t>SR</w:t>
      </w:r>
      <w:r w:rsidRPr="00E67043">
        <w:rPr>
          <w:rFonts w:ascii="Arial" w:hAnsi="Arial" w:cs="Arial"/>
          <w:i/>
          <w:sz w:val="24"/>
          <w:szCs w:val="24"/>
          <w:vertAlign w:val="subscript"/>
          <w:lang w:val="en-US"/>
        </w:rPr>
        <w:t>u</w:t>
      </w:r>
      <w:proofErr w:type="spellEnd"/>
      <w:r w:rsidRPr="00DE0E5F">
        <w:rPr>
          <w:rFonts w:ascii="Arial" w:hAnsi="Arial" w:cs="Arial"/>
          <w:sz w:val="24"/>
          <w:szCs w:val="24"/>
          <w:lang w:val="en-US"/>
        </w:rPr>
        <w:t xml:space="preserve"> = 82.5 % and </w:t>
      </w:r>
      <w:proofErr w:type="spellStart"/>
      <w:r w:rsidRPr="00E67043">
        <w:rPr>
          <w:rFonts w:ascii="Arial" w:hAnsi="Arial" w:cs="Arial"/>
          <w:i/>
          <w:sz w:val="24"/>
          <w:szCs w:val="24"/>
          <w:lang w:val="en-US"/>
        </w:rPr>
        <w:t>SR</w:t>
      </w:r>
      <w:r w:rsidRPr="00E67043">
        <w:rPr>
          <w:rFonts w:ascii="Arial" w:hAnsi="Arial" w:cs="Arial"/>
          <w:i/>
          <w:sz w:val="24"/>
          <w:szCs w:val="24"/>
          <w:vertAlign w:val="subscript"/>
          <w:lang w:val="en-US"/>
        </w:rPr>
        <w:t>e</w:t>
      </w:r>
      <w:proofErr w:type="spellEnd"/>
      <w:r w:rsidR="00E67043">
        <w:rPr>
          <w:rFonts w:ascii="Arial" w:hAnsi="Arial" w:cs="Arial"/>
          <w:sz w:val="24"/>
          <w:szCs w:val="24"/>
          <w:vertAlign w:val="subscript"/>
          <w:lang w:val="en-US"/>
        </w:rPr>
        <w:t xml:space="preserve"> </w:t>
      </w:r>
      <w:r w:rsidR="00D548ED">
        <w:rPr>
          <w:rFonts w:ascii="Arial" w:hAnsi="Arial" w:cs="Arial"/>
          <w:sz w:val="24"/>
          <w:szCs w:val="24"/>
          <w:lang w:val="en-US"/>
        </w:rPr>
        <w:t>=</w:t>
      </w:r>
      <w:r w:rsidR="00E67043">
        <w:rPr>
          <w:rFonts w:ascii="Arial" w:hAnsi="Arial" w:cs="Arial"/>
          <w:sz w:val="24"/>
          <w:szCs w:val="24"/>
          <w:lang w:val="en-US"/>
        </w:rPr>
        <w:t xml:space="preserve"> </w:t>
      </w:r>
      <w:r w:rsidRPr="00DE0E5F">
        <w:rPr>
          <w:rFonts w:ascii="Arial" w:hAnsi="Arial" w:cs="Arial"/>
          <w:sz w:val="24"/>
          <w:szCs w:val="24"/>
          <w:lang w:val="en-US"/>
        </w:rPr>
        <w:t>82%.</w:t>
      </w:r>
    </w:p>
    <w:p w:rsidR="00B73CEB" w:rsidRDefault="00B73CEB" w:rsidP="00B73CEB">
      <w:pPr>
        <w:spacing w:before="120" w:after="0" w:line="360" w:lineRule="auto"/>
        <w:jc w:val="both"/>
        <w:rPr>
          <w:rFonts w:ascii="Arial" w:hAnsi="Arial" w:cs="Arial"/>
          <w:sz w:val="24"/>
          <w:szCs w:val="24"/>
          <w:lang w:val="en-US"/>
        </w:rPr>
      </w:pPr>
      <w:r w:rsidRPr="00DE0E5F">
        <w:rPr>
          <w:rFonts w:ascii="Arial" w:hAnsi="Arial" w:cs="Arial"/>
          <w:sz w:val="24"/>
          <w:szCs w:val="24"/>
          <w:lang w:val="en-US"/>
        </w:rPr>
        <w:t xml:space="preserve">Units </w:t>
      </w:r>
      <w:r w:rsidR="00522B87">
        <w:rPr>
          <w:rFonts w:ascii="Arial" w:hAnsi="Arial" w:cs="Arial"/>
          <w:sz w:val="24"/>
          <w:szCs w:val="24"/>
          <w:lang w:val="en-US"/>
        </w:rPr>
        <w:t xml:space="preserve">for which the </w:t>
      </w:r>
      <w:r w:rsidRPr="00DE0E5F">
        <w:rPr>
          <w:rFonts w:ascii="Arial" w:hAnsi="Arial" w:cs="Arial"/>
          <w:sz w:val="24"/>
          <w:szCs w:val="24"/>
          <w:lang w:val="en-US"/>
        </w:rPr>
        <w:t xml:space="preserve">GDC country </w:t>
      </w:r>
      <w:r w:rsidR="00522B87">
        <w:rPr>
          <w:rFonts w:ascii="Arial" w:hAnsi="Arial" w:cs="Arial"/>
          <w:sz w:val="24"/>
          <w:szCs w:val="24"/>
          <w:lang w:val="en-US"/>
        </w:rPr>
        <w:t xml:space="preserve">has changed, </w:t>
      </w:r>
      <w:r w:rsidRPr="00DE0E5F">
        <w:rPr>
          <w:rFonts w:ascii="Arial" w:hAnsi="Arial" w:cs="Arial"/>
          <w:sz w:val="24"/>
          <w:szCs w:val="24"/>
          <w:lang w:val="en-US"/>
        </w:rPr>
        <w:t xml:space="preserve">are now classified by </w:t>
      </w:r>
      <w:r w:rsidR="00522B87">
        <w:rPr>
          <w:rFonts w:ascii="Arial" w:hAnsi="Arial" w:cs="Arial"/>
          <w:sz w:val="24"/>
          <w:szCs w:val="24"/>
          <w:lang w:val="en-US"/>
        </w:rPr>
        <w:t>geographical</w:t>
      </w:r>
      <w:r w:rsidRPr="00DE0E5F">
        <w:rPr>
          <w:rFonts w:ascii="Arial" w:hAnsi="Arial" w:cs="Arial"/>
          <w:sz w:val="24"/>
          <w:szCs w:val="24"/>
          <w:lang w:val="en-US"/>
        </w:rPr>
        <w:t xml:space="preserve"> regions. 61.4% of the Spanish subsidiaries with European control remain in the EGR with the same controlling area. </w:t>
      </w:r>
    </w:p>
    <w:p w:rsidR="00B73CEB" w:rsidRPr="00DE0E5F" w:rsidRDefault="00E67043" w:rsidP="00B73CEB">
      <w:pPr>
        <w:pStyle w:val="Descripcin"/>
        <w:keepNext/>
        <w:spacing w:before="120" w:after="0" w:line="360" w:lineRule="auto"/>
        <w:jc w:val="both"/>
        <w:rPr>
          <w:rFonts w:ascii="Arial" w:hAnsi="Arial" w:cs="Arial"/>
          <w:b/>
          <w:i w:val="0"/>
          <w:color w:val="auto"/>
          <w:sz w:val="20"/>
          <w:szCs w:val="20"/>
        </w:rPr>
      </w:pPr>
      <w:r>
        <w:rPr>
          <w:rFonts w:ascii="Arial" w:hAnsi="Arial" w:cs="Arial"/>
          <w:b/>
          <w:i w:val="0"/>
          <w:color w:val="auto"/>
          <w:sz w:val="20"/>
          <w:szCs w:val="20"/>
        </w:rPr>
        <w:t xml:space="preserve">    </w:t>
      </w:r>
      <w:r w:rsidR="00B73CEB" w:rsidRPr="00DE0E5F">
        <w:rPr>
          <w:rFonts w:ascii="Arial" w:hAnsi="Arial" w:cs="Arial"/>
          <w:b/>
          <w:i w:val="0"/>
          <w:color w:val="auto"/>
          <w:sz w:val="20"/>
          <w:szCs w:val="20"/>
        </w:rPr>
        <w:t>Table 4.</w:t>
      </w:r>
      <w:r w:rsidR="00B036F9">
        <w:rPr>
          <w:rFonts w:ascii="Arial" w:hAnsi="Arial" w:cs="Arial"/>
          <w:b/>
          <w:i w:val="0"/>
          <w:color w:val="auto"/>
          <w:sz w:val="20"/>
          <w:szCs w:val="20"/>
        </w:rPr>
        <w:t xml:space="preserve"> Geographical changes of GDC country</w:t>
      </w:r>
    </w:p>
    <w:tbl>
      <w:tblPr>
        <w:tblW w:w="8647" w:type="dxa"/>
        <w:jc w:val="center"/>
        <w:tblCellMar>
          <w:left w:w="70" w:type="dxa"/>
          <w:right w:w="70" w:type="dxa"/>
        </w:tblCellMar>
        <w:tblLook w:val="04A0" w:firstRow="1" w:lastRow="0" w:firstColumn="1" w:lastColumn="0" w:noHBand="0" w:noVBand="1"/>
      </w:tblPr>
      <w:tblGrid>
        <w:gridCol w:w="3251"/>
        <w:gridCol w:w="1144"/>
        <w:gridCol w:w="1134"/>
        <w:gridCol w:w="1134"/>
        <w:gridCol w:w="992"/>
        <w:gridCol w:w="992"/>
      </w:tblGrid>
      <w:tr w:rsidR="00B73CEB" w:rsidRPr="00C67267" w:rsidTr="0032776D">
        <w:trPr>
          <w:trHeight w:hRule="exact" w:val="340"/>
          <w:jc w:val="center"/>
        </w:trPr>
        <w:tc>
          <w:tcPr>
            <w:tcW w:w="325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color w:val="auto"/>
                <w:sz w:val="20"/>
                <w:szCs w:val="20"/>
                <w:lang w:val="es-ES"/>
              </w:rPr>
            </w:pPr>
            <w:r w:rsidRPr="00C67267">
              <w:rPr>
                <w:rFonts w:ascii="Arial" w:eastAsia="Times New Roman" w:hAnsi="Arial" w:cs="Arial"/>
                <w:b/>
                <w:bCs/>
                <w:color w:val="auto"/>
                <w:sz w:val="20"/>
                <w:szCs w:val="20"/>
                <w:lang w:val="es-ES"/>
              </w:rPr>
              <w:t xml:space="preserve">IFATS_NBR1 </w:t>
            </w:r>
            <w:r>
              <w:rPr>
                <w:rFonts w:ascii="Arial" w:eastAsia="Times New Roman" w:hAnsi="Arial" w:cs="Arial"/>
                <w:b/>
                <w:bCs/>
                <w:color w:val="auto"/>
                <w:sz w:val="20"/>
                <w:szCs w:val="20"/>
                <w:lang w:val="es-ES"/>
              </w:rPr>
              <w:t xml:space="preserve">   </w:t>
            </w:r>
            <w:r w:rsidRPr="00C67267">
              <w:rPr>
                <w:rFonts w:ascii="Arial" w:eastAsia="Times New Roman" w:hAnsi="Arial" w:cs="Arial"/>
                <w:b/>
                <w:bCs/>
                <w:color w:val="auto"/>
                <w:sz w:val="20"/>
                <w:szCs w:val="20"/>
                <w:lang w:val="es-ES"/>
              </w:rPr>
              <w:t>GDC_COUNTRY</w:t>
            </w:r>
          </w:p>
        </w:tc>
        <w:tc>
          <w:tcPr>
            <w:tcW w:w="1144" w:type="dxa"/>
            <w:tcBorders>
              <w:top w:val="single" w:sz="8" w:space="0" w:color="auto"/>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color w:val="auto"/>
                <w:sz w:val="20"/>
                <w:szCs w:val="20"/>
                <w:lang w:val="es-ES"/>
              </w:rPr>
            </w:pPr>
            <w:r w:rsidRPr="00C67267">
              <w:rPr>
                <w:rFonts w:ascii="Arial" w:eastAsia="Times New Roman" w:hAnsi="Arial" w:cs="Arial"/>
                <w:b/>
                <w:bCs/>
                <w:color w:val="auto"/>
                <w:sz w:val="20"/>
                <w:szCs w:val="20"/>
                <w:lang w:val="es-ES"/>
              </w:rPr>
              <w:t>TOTAL</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color w:val="auto"/>
                <w:sz w:val="20"/>
                <w:szCs w:val="20"/>
                <w:lang w:val="es-ES"/>
              </w:rPr>
            </w:pPr>
            <w:r w:rsidRPr="00C67267">
              <w:rPr>
                <w:rFonts w:ascii="Arial" w:eastAsia="Times New Roman" w:hAnsi="Arial" w:cs="Arial"/>
                <w:b/>
                <w:bCs/>
                <w:color w:val="auto"/>
                <w:sz w:val="20"/>
                <w:szCs w:val="20"/>
                <w:lang w:val="es-ES"/>
              </w:rPr>
              <w:t>EU+EFTA</w:t>
            </w:r>
          </w:p>
        </w:tc>
        <w:tc>
          <w:tcPr>
            <w:tcW w:w="113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color w:val="auto"/>
                <w:sz w:val="20"/>
                <w:szCs w:val="20"/>
                <w:lang w:val="es-ES"/>
              </w:rPr>
            </w:pPr>
            <w:r w:rsidRPr="00C67267">
              <w:rPr>
                <w:rFonts w:ascii="Arial" w:eastAsia="Times New Roman" w:hAnsi="Arial" w:cs="Arial"/>
                <w:b/>
                <w:bCs/>
                <w:color w:val="auto"/>
                <w:sz w:val="20"/>
                <w:szCs w:val="20"/>
                <w:lang w:val="es-ES"/>
              </w:rPr>
              <w:t>JAPAN</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color w:val="auto"/>
                <w:sz w:val="20"/>
                <w:szCs w:val="20"/>
                <w:lang w:val="es-ES"/>
              </w:rPr>
            </w:pPr>
            <w:r w:rsidRPr="00C67267">
              <w:rPr>
                <w:rFonts w:ascii="Arial" w:eastAsia="Times New Roman" w:hAnsi="Arial" w:cs="Arial"/>
                <w:b/>
                <w:bCs/>
                <w:color w:val="auto"/>
                <w:sz w:val="20"/>
                <w:szCs w:val="20"/>
                <w:lang w:val="es-ES"/>
              </w:rPr>
              <w:t>USA</w:t>
            </w:r>
          </w:p>
        </w:tc>
        <w:tc>
          <w:tcPr>
            <w:tcW w:w="992"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color w:val="auto"/>
                <w:sz w:val="20"/>
                <w:szCs w:val="20"/>
                <w:lang w:val="es-ES"/>
              </w:rPr>
            </w:pPr>
            <w:r w:rsidRPr="00C67267">
              <w:rPr>
                <w:rFonts w:ascii="Arial" w:eastAsia="Times New Roman" w:hAnsi="Arial" w:cs="Arial"/>
                <w:b/>
                <w:bCs/>
                <w:color w:val="auto"/>
                <w:sz w:val="20"/>
                <w:szCs w:val="20"/>
                <w:lang w:val="es-ES"/>
              </w:rPr>
              <w:t>OTHER</w:t>
            </w:r>
          </w:p>
        </w:tc>
      </w:tr>
      <w:tr w:rsidR="00B73CEB" w:rsidRPr="00C67267" w:rsidTr="0032776D">
        <w:trPr>
          <w:trHeight w:hRule="exact" w:val="340"/>
          <w:jc w:val="center"/>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color w:val="auto"/>
                <w:sz w:val="20"/>
                <w:szCs w:val="20"/>
                <w:lang w:val="es-ES"/>
              </w:rPr>
            </w:pPr>
            <w:r w:rsidRPr="00C67267">
              <w:rPr>
                <w:rFonts w:ascii="Arial" w:eastAsia="Times New Roman" w:hAnsi="Arial" w:cs="Arial"/>
                <w:b/>
                <w:bCs/>
                <w:color w:val="auto"/>
                <w:sz w:val="20"/>
                <w:szCs w:val="20"/>
                <w:lang w:val="es-ES"/>
              </w:rPr>
              <w:t>TOTAL</w:t>
            </w:r>
          </w:p>
        </w:tc>
        <w:tc>
          <w:tcPr>
            <w:tcW w:w="1144"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2,291</w:t>
            </w:r>
          </w:p>
        </w:tc>
        <w:tc>
          <w:tcPr>
            <w:tcW w:w="1134"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1,52</w:t>
            </w:r>
          </w:p>
        </w:tc>
        <w:tc>
          <w:tcPr>
            <w:tcW w:w="1134"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26</w:t>
            </w:r>
          </w:p>
        </w:tc>
        <w:tc>
          <w:tcPr>
            <w:tcW w:w="992"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404</w:t>
            </w:r>
          </w:p>
        </w:tc>
        <w:tc>
          <w:tcPr>
            <w:tcW w:w="992" w:type="dxa"/>
            <w:tcBorders>
              <w:top w:val="nil"/>
              <w:left w:val="nil"/>
              <w:bottom w:val="single" w:sz="4" w:space="0" w:color="auto"/>
              <w:right w:val="single" w:sz="8"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341</w:t>
            </w:r>
          </w:p>
        </w:tc>
      </w:tr>
      <w:tr w:rsidR="00B73CEB" w:rsidRPr="00C67267" w:rsidTr="0032776D">
        <w:trPr>
          <w:trHeight w:hRule="exact" w:val="340"/>
          <w:jc w:val="center"/>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color w:val="auto"/>
                <w:sz w:val="20"/>
                <w:szCs w:val="20"/>
                <w:lang w:val="es-ES"/>
              </w:rPr>
            </w:pPr>
            <w:r w:rsidRPr="00C67267">
              <w:rPr>
                <w:rFonts w:ascii="Arial" w:eastAsia="Times New Roman" w:hAnsi="Arial" w:cs="Arial"/>
                <w:b/>
                <w:bCs/>
                <w:color w:val="auto"/>
                <w:sz w:val="20"/>
                <w:szCs w:val="20"/>
                <w:lang w:val="es-ES"/>
              </w:rPr>
              <w:t>EU+EFTA</w:t>
            </w:r>
          </w:p>
        </w:tc>
        <w:tc>
          <w:tcPr>
            <w:tcW w:w="1144"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1,742</w:t>
            </w:r>
          </w:p>
        </w:tc>
        <w:tc>
          <w:tcPr>
            <w:tcW w:w="1134"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1,07</w:t>
            </w:r>
          </w:p>
        </w:tc>
        <w:tc>
          <w:tcPr>
            <w:tcW w:w="1134"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23</w:t>
            </w:r>
          </w:p>
        </w:tc>
        <w:tc>
          <w:tcPr>
            <w:tcW w:w="992"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362</w:t>
            </w:r>
          </w:p>
        </w:tc>
        <w:tc>
          <w:tcPr>
            <w:tcW w:w="992" w:type="dxa"/>
            <w:tcBorders>
              <w:top w:val="nil"/>
              <w:left w:val="nil"/>
              <w:bottom w:val="single" w:sz="4" w:space="0" w:color="auto"/>
              <w:right w:val="single" w:sz="8"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287</w:t>
            </w:r>
          </w:p>
        </w:tc>
      </w:tr>
      <w:tr w:rsidR="00B73CEB" w:rsidRPr="00C67267" w:rsidTr="0032776D">
        <w:trPr>
          <w:trHeight w:hRule="exact" w:val="340"/>
          <w:jc w:val="center"/>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color w:val="auto"/>
                <w:sz w:val="20"/>
                <w:szCs w:val="20"/>
                <w:lang w:val="es-ES"/>
              </w:rPr>
            </w:pPr>
            <w:r w:rsidRPr="00C67267">
              <w:rPr>
                <w:rFonts w:ascii="Arial" w:eastAsia="Times New Roman" w:hAnsi="Arial" w:cs="Arial"/>
                <w:b/>
                <w:bCs/>
                <w:color w:val="auto"/>
                <w:sz w:val="20"/>
                <w:szCs w:val="20"/>
                <w:lang w:val="es-ES"/>
              </w:rPr>
              <w:t>JAPAN</w:t>
            </w:r>
          </w:p>
        </w:tc>
        <w:tc>
          <w:tcPr>
            <w:tcW w:w="1144"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56</w:t>
            </w:r>
          </w:p>
        </w:tc>
        <w:tc>
          <w:tcPr>
            <w:tcW w:w="1134"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45</w:t>
            </w:r>
          </w:p>
        </w:tc>
        <w:tc>
          <w:tcPr>
            <w:tcW w:w="1134"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0</w:t>
            </w:r>
          </w:p>
        </w:tc>
        <w:tc>
          <w:tcPr>
            <w:tcW w:w="992"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10</w:t>
            </w:r>
          </w:p>
        </w:tc>
        <w:tc>
          <w:tcPr>
            <w:tcW w:w="992" w:type="dxa"/>
            <w:tcBorders>
              <w:top w:val="nil"/>
              <w:left w:val="nil"/>
              <w:bottom w:val="single" w:sz="4" w:space="0" w:color="auto"/>
              <w:right w:val="single" w:sz="8"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1</w:t>
            </w:r>
          </w:p>
        </w:tc>
      </w:tr>
      <w:tr w:rsidR="00B73CEB" w:rsidRPr="00C67267" w:rsidTr="0032776D">
        <w:trPr>
          <w:trHeight w:hRule="exact" w:val="340"/>
          <w:jc w:val="center"/>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color w:val="auto"/>
                <w:sz w:val="20"/>
                <w:szCs w:val="20"/>
                <w:lang w:val="es-ES"/>
              </w:rPr>
            </w:pPr>
            <w:r w:rsidRPr="00C67267">
              <w:rPr>
                <w:rFonts w:ascii="Arial" w:eastAsia="Times New Roman" w:hAnsi="Arial" w:cs="Arial"/>
                <w:b/>
                <w:bCs/>
                <w:color w:val="auto"/>
                <w:sz w:val="20"/>
                <w:szCs w:val="20"/>
                <w:lang w:val="es-ES"/>
              </w:rPr>
              <w:t>USA</w:t>
            </w:r>
          </w:p>
        </w:tc>
        <w:tc>
          <w:tcPr>
            <w:tcW w:w="1144"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259</w:t>
            </w:r>
          </w:p>
        </w:tc>
        <w:tc>
          <w:tcPr>
            <w:tcW w:w="1134"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232</w:t>
            </w:r>
          </w:p>
        </w:tc>
        <w:tc>
          <w:tcPr>
            <w:tcW w:w="1134"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2</w:t>
            </w:r>
          </w:p>
        </w:tc>
        <w:tc>
          <w:tcPr>
            <w:tcW w:w="992"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0</w:t>
            </w:r>
          </w:p>
        </w:tc>
        <w:tc>
          <w:tcPr>
            <w:tcW w:w="992" w:type="dxa"/>
            <w:tcBorders>
              <w:top w:val="nil"/>
              <w:left w:val="nil"/>
              <w:bottom w:val="single" w:sz="4" w:space="0" w:color="auto"/>
              <w:right w:val="single" w:sz="8"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25</w:t>
            </w:r>
          </w:p>
        </w:tc>
      </w:tr>
      <w:tr w:rsidR="00B73CEB" w:rsidRPr="00C67267" w:rsidTr="0032776D">
        <w:trPr>
          <w:trHeight w:hRule="exact" w:val="340"/>
          <w:jc w:val="center"/>
        </w:trPr>
        <w:tc>
          <w:tcPr>
            <w:tcW w:w="3251" w:type="dxa"/>
            <w:tcBorders>
              <w:top w:val="nil"/>
              <w:left w:val="single" w:sz="8" w:space="0" w:color="auto"/>
              <w:bottom w:val="single" w:sz="8"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color w:val="auto"/>
                <w:sz w:val="20"/>
                <w:szCs w:val="20"/>
                <w:lang w:val="es-ES"/>
              </w:rPr>
            </w:pPr>
            <w:r w:rsidRPr="00C67267">
              <w:rPr>
                <w:rFonts w:ascii="Arial" w:eastAsia="Times New Roman" w:hAnsi="Arial" w:cs="Arial"/>
                <w:b/>
                <w:bCs/>
                <w:color w:val="auto"/>
                <w:sz w:val="20"/>
                <w:szCs w:val="20"/>
                <w:lang w:val="es-ES"/>
              </w:rPr>
              <w:t>OTHER</w:t>
            </w:r>
          </w:p>
        </w:tc>
        <w:tc>
          <w:tcPr>
            <w:tcW w:w="1144" w:type="dxa"/>
            <w:tcBorders>
              <w:top w:val="nil"/>
              <w:left w:val="nil"/>
              <w:bottom w:val="single" w:sz="8"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234</w:t>
            </w:r>
          </w:p>
        </w:tc>
        <w:tc>
          <w:tcPr>
            <w:tcW w:w="1134" w:type="dxa"/>
            <w:tcBorders>
              <w:top w:val="nil"/>
              <w:left w:val="nil"/>
              <w:bottom w:val="single" w:sz="8"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173</w:t>
            </w:r>
          </w:p>
        </w:tc>
        <w:tc>
          <w:tcPr>
            <w:tcW w:w="1134" w:type="dxa"/>
            <w:tcBorders>
              <w:top w:val="nil"/>
              <w:left w:val="nil"/>
              <w:bottom w:val="single" w:sz="8"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1</w:t>
            </w:r>
          </w:p>
        </w:tc>
        <w:tc>
          <w:tcPr>
            <w:tcW w:w="992" w:type="dxa"/>
            <w:tcBorders>
              <w:top w:val="nil"/>
              <w:left w:val="nil"/>
              <w:bottom w:val="single" w:sz="8"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32</w:t>
            </w:r>
          </w:p>
        </w:tc>
        <w:tc>
          <w:tcPr>
            <w:tcW w:w="992" w:type="dxa"/>
            <w:tcBorders>
              <w:top w:val="nil"/>
              <w:left w:val="nil"/>
              <w:bottom w:val="single" w:sz="8" w:space="0" w:color="auto"/>
              <w:right w:val="single" w:sz="8"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color w:val="auto"/>
                <w:sz w:val="20"/>
                <w:szCs w:val="20"/>
                <w:lang w:val="es-ES"/>
              </w:rPr>
            </w:pPr>
            <w:r w:rsidRPr="00C67267">
              <w:rPr>
                <w:rFonts w:ascii="Arial" w:eastAsia="Times New Roman" w:hAnsi="Arial" w:cs="Arial"/>
                <w:color w:val="auto"/>
                <w:sz w:val="20"/>
                <w:szCs w:val="20"/>
                <w:lang w:val="es-ES"/>
              </w:rPr>
              <w:t>28</w:t>
            </w:r>
          </w:p>
        </w:tc>
      </w:tr>
    </w:tbl>
    <w:p w:rsidR="00B73CEB" w:rsidRPr="00DE0E5F" w:rsidRDefault="00B73CEB" w:rsidP="00B73CEB">
      <w:pPr>
        <w:spacing w:before="120" w:after="0" w:line="360" w:lineRule="auto"/>
        <w:jc w:val="both"/>
        <w:rPr>
          <w:rFonts w:ascii="Arial" w:hAnsi="Arial" w:cs="Arial"/>
          <w:sz w:val="24"/>
          <w:szCs w:val="24"/>
          <w:lang w:val="en-US"/>
        </w:rPr>
      </w:pPr>
      <w:r w:rsidRPr="00DE0E5F">
        <w:rPr>
          <w:rFonts w:ascii="Arial" w:hAnsi="Arial" w:cs="Arial"/>
          <w:sz w:val="24"/>
          <w:szCs w:val="24"/>
        </w:rPr>
        <w:t xml:space="preserve">Several changes experienced in IFATS population have been manually checked, focusing on the biggest units. In the following, a summary of results is presented    </w:t>
      </w:r>
    </w:p>
    <w:p w:rsidR="00B73CEB" w:rsidRPr="00DA44DB" w:rsidRDefault="002F1D33" w:rsidP="00B73CEB">
      <w:pPr>
        <w:spacing w:before="120" w:after="0" w:line="360" w:lineRule="auto"/>
        <w:jc w:val="both"/>
        <w:rPr>
          <w:rFonts w:ascii="Arial" w:hAnsi="Arial" w:cs="Arial"/>
          <w:i/>
          <w:color w:val="auto"/>
          <w:sz w:val="24"/>
          <w:szCs w:val="24"/>
          <w:lang w:val="en-AU"/>
        </w:rPr>
      </w:pPr>
      <w:r w:rsidRPr="00DA44DB">
        <w:rPr>
          <w:rFonts w:ascii="Arial" w:hAnsi="Arial" w:cs="Arial"/>
          <w:i/>
          <w:color w:val="auto"/>
          <w:sz w:val="24"/>
          <w:szCs w:val="24"/>
          <w:lang w:val="en-AU"/>
        </w:rPr>
        <w:t>Desktop Research_1</w:t>
      </w:r>
      <w:r w:rsidR="00B73CEB" w:rsidRPr="00DA44DB">
        <w:rPr>
          <w:rFonts w:ascii="Arial" w:hAnsi="Arial" w:cs="Arial"/>
          <w:i/>
          <w:color w:val="auto"/>
          <w:sz w:val="24"/>
          <w:szCs w:val="24"/>
          <w:lang w:val="en-AU"/>
        </w:rPr>
        <w:t xml:space="preserve"> </w:t>
      </w:r>
    </w:p>
    <w:p w:rsidR="00B73CEB" w:rsidRPr="00DE0E5F" w:rsidRDefault="00B73CEB" w:rsidP="00E54D5D">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80" w:after="0" w:line="360" w:lineRule="auto"/>
        <w:ind w:hanging="227"/>
        <w:jc w:val="both"/>
        <w:rPr>
          <w:rFonts w:ascii="Arial" w:hAnsi="Arial" w:cs="Arial"/>
          <w:sz w:val="24"/>
          <w:szCs w:val="24"/>
          <w:lang w:val="en-US"/>
        </w:rPr>
      </w:pPr>
      <w:r w:rsidRPr="00DE0E5F">
        <w:rPr>
          <w:rFonts w:ascii="Arial" w:hAnsi="Arial" w:cs="Arial"/>
          <w:sz w:val="24"/>
          <w:szCs w:val="24"/>
          <w:lang w:val="en-US"/>
        </w:rPr>
        <w:t>45 resident legal units were analyzed. Implicitly, these units involved another 48 legal units belonging to the same groups. In summary, the total population investigated comprised 93 I_FATS units with more than 118</w:t>
      </w:r>
      <w:r w:rsidR="00522B87">
        <w:rPr>
          <w:rFonts w:ascii="Arial" w:hAnsi="Arial" w:cs="Arial"/>
          <w:sz w:val="24"/>
          <w:szCs w:val="24"/>
          <w:lang w:val="en-US"/>
        </w:rPr>
        <w:t>,</w:t>
      </w:r>
      <w:r w:rsidRPr="00DE0E5F">
        <w:rPr>
          <w:rFonts w:ascii="Arial" w:hAnsi="Arial" w:cs="Arial"/>
          <w:sz w:val="24"/>
          <w:szCs w:val="24"/>
          <w:lang w:val="en-US"/>
        </w:rPr>
        <w:t>700 employees in Spain</w:t>
      </w:r>
    </w:p>
    <w:p w:rsidR="00B73CEB" w:rsidRPr="00DE0E5F" w:rsidRDefault="00B73CEB" w:rsidP="00E54D5D">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80" w:after="0" w:line="360" w:lineRule="auto"/>
        <w:ind w:hanging="227"/>
        <w:jc w:val="both"/>
        <w:rPr>
          <w:rFonts w:ascii="Arial" w:hAnsi="Arial" w:cs="Arial"/>
          <w:sz w:val="24"/>
          <w:szCs w:val="24"/>
          <w:lang w:val="en-US"/>
        </w:rPr>
      </w:pPr>
      <w:r w:rsidRPr="00DE0E5F">
        <w:rPr>
          <w:rFonts w:ascii="Arial" w:hAnsi="Arial" w:cs="Arial"/>
          <w:sz w:val="24"/>
          <w:szCs w:val="24"/>
          <w:lang w:val="en-US"/>
        </w:rPr>
        <w:t>For this population, 37 foreign Multinationals were identified, their GDC country was analyzed and compared with the registered in both sources</w:t>
      </w:r>
    </w:p>
    <w:p w:rsidR="00B73CEB" w:rsidRPr="00DE0E5F" w:rsidRDefault="00B73CEB" w:rsidP="00E54D5D">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80" w:after="0" w:line="360" w:lineRule="auto"/>
        <w:ind w:hanging="227"/>
        <w:jc w:val="both"/>
        <w:rPr>
          <w:rFonts w:ascii="Arial" w:hAnsi="Arial" w:cs="Arial"/>
          <w:sz w:val="24"/>
          <w:szCs w:val="24"/>
          <w:lang w:val="en-US"/>
        </w:rPr>
      </w:pPr>
      <w:r w:rsidRPr="00DE0E5F">
        <w:rPr>
          <w:rFonts w:ascii="Arial" w:hAnsi="Arial" w:cs="Arial"/>
          <w:sz w:val="24"/>
          <w:szCs w:val="24"/>
          <w:lang w:val="en-US"/>
        </w:rPr>
        <w:t xml:space="preserve">All cases and decisions made were highly complex. The </w:t>
      </w:r>
      <w:r w:rsidRPr="00DE0E5F">
        <w:rPr>
          <w:rFonts w:ascii="Arial" w:hAnsi="Arial" w:cs="Arial"/>
          <w:i/>
          <w:sz w:val="24"/>
          <w:szCs w:val="24"/>
          <w:lang w:val="en-US"/>
        </w:rPr>
        <w:t>correct</w:t>
      </w:r>
      <w:r w:rsidRPr="00DE0E5F">
        <w:rPr>
          <w:rFonts w:ascii="Arial" w:hAnsi="Arial" w:cs="Arial"/>
          <w:sz w:val="24"/>
          <w:szCs w:val="24"/>
          <w:lang w:val="en-US"/>
        </w:rPr>
        <w:t xml:space="preserve"> GDC country was identified when most of the information found was consistent</w:t>
      </w:r>
    </w:p>
    <w:p w:rsidR="00B73CEB" w:rsidRPr="00DE0E5F" w:rsidRDefault="00B73CEB" w:rsidP="00E54D5D">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80" w:after="0" w:line="360" w:lineRule="auto"/>
        <w:ind w:hanging="227"/>
        <w:jc w:val="both"/>
        <w:rPr>
          <w:rFonts w:ascii="Arial" w:hAnsi="Arial" w:cs="Arial"/>
          <w:sz w:val="24"/>
          <w:szCs w:val="24"/>
          <w:lang w:val="en-US"/>
        </w:rPr>
      </w:pPr>
      <w:r w:rsidRPr="00DE0E5F">
        <w:rPr>
          <w:rFonts w:ascii="Arial" w:hAnsi="Arial" w:cs="Arial"/>
          <w:sz w:val="24"/>
          <w:szCs w:val="24"/>
          <w:lang w:val="en-US"/>
        </w:rPr>
        <w:t>GDC countries registered in the NBR and the EGR normally have some type of close relationship with the multinational</w:t>
      </w:r>
    </w:p>
    <w:p w:rsidR="00B73CEB" w:rsidRPr="00DE0E5F" w:rsidRDefault="00B73CEB" w:rsidP="00E54D5D">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80" w:after="0" w:line="360" w:lineRule="auto"/>
        <w:ind w:hanging="227"/>
        <w:jc w:val="both"/>
        <w:rPr>
          <w:rStyle w:val="shorttext"/>
          <w:rFonts w:ascii="Arial" w:hAnsi="Arial" w:cs="Arial"/>
          <w:sz w:val="24"/>
          <w:szCs w:val="24"/>
          <w:lang w:val="en-US"/>
        </w:rPr>
      </w:pPr>
      <w:r w:rsidRPr="00DE0E5F">
        <w:rPr>
          <w:rFonts w:ascii="Arial" w:hAnsi="Arial" w:cs="Arial"/>
          <w:sz w:val="24"/>
          <w:szCs w:val="24"/>
          <w:lang w:val="en-US"/>
        </w:rPr>
        <w:t>For some complex cases (Glencore, Airbus, Accenture</w:t>
      </w:r>
      <w:proofErr w:type="gramStart"/>
      <w:r w:rsidRPr="00DE0E5F">
        <w:rPr>
          <w:rFonts w:ascii="Arial" w:hAnsi="Arial" w:cs="Arial"/>
          <w:sz w:val="24"/>
          <w:szCs w:val="24"/>
          <w:lang w:val="en-US"/>
        </w:rPr>
        <w:t>, .</w:t>
      </w:r>
      <w:proofErr w:type="gramEnd"/>
      <w:r w:rsidRPr="00DE0E5F">
        <w:rPr>
          <w:rFonts w:ascii="Arial" w:hAnsi="Arial" w:cs="Arial"/>
          <w:sz w:val="24"/>
          <w:szCs w:val="24"/>
          <w:lang w:val="en-US"/>
        </w:rPr>
        <w:t xml:space="preserve">) , it hasn’t been possible to make a well argued and solid decision. It </w:t>
      </w:r>
      <w:r w:rsidRPr="00DE0E5F">
        <w:rPr>
          <w:rStyle w:val="shorttext"/>
          <w:rFonts w:ascii="Arial" w:hAnsi="Arial" w:cs="Arial"/>
          <w:sz w:val="24"/>
          <w:szCs w:val="24"/>
          <w:lang w:val="en"/>
        </w:rPr>
        <w:t xml:space="preserve">is worth reflecting on the opportunity to define the </w:t>
      </w:r>
      <w:r w:rsidRPr="00DE0E5F">
        <w:rPr>
          <w:rStyle w:val="shorttext"/>
          <w:rFonts w:ascii="Arial" w:hAnsi="Arial" w:cs="Arial"/>
          <w:i/>
          <w:sz w:val="24"/>
          <w:szCs w:val="24"/>
          <w:lang w:val="en"/>
        </w:rPr>
        <w:t>nationality</w:t>
      </w:r>
      <w:r w:rsidRPr="00DE0E5F">
        <w:rPr>
          <w:rStyle w:val="shorttext"/>
          <w:rFonts w:ascii="Arial" w:hAnsi="Arial" w:cs="Arial"/>
          <w:sz w:val="24"/>
          <w:szCs w:val="24"/>
          <w:lang w:val="en"/>
        </w:rPr>
        <w:t xml:space="preserve"> of a global group based on the country concept, which is sometimes not very representative. Some reasons for the non-conclusive results were: several headquarters with multiple functions, a consortium between countries, a tax declaration in one country and the consolidated accounts in another, different nationalities within the boards of directors, etc.</w:t>
      </w:r>
    </w:p>
    <w:p w:rsidR="00B73CEB" w:rsidRPr="00DE0E5F" w:rsidRDefault="00B73CEB" w:rsidP="00E54D5D">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before="80" w:after="0" w:line="360" w:lineRule="auto"/>
        <w:ind w:hanging="227"/>
        <w:jc w:val="both"/>
        <w:rPr>
          <w:rStyle w:val="shorttext"/>
          <w:rFonts w:ascii="Arial" w:hAnsi="Arial" w:cs="Arial"/>
          <w:sz w:val="24"/>
          <w:szCs w:val="24"/>
          <w:lang w:val="en-US"/>
        </w:rPr>
      </w:pPr>
      <w:r w:rsidRPr="00DE0E5F">
        <w:rPr>
          <w:rStyle w:val="shorttext"/>
          <w:rFonts w:ascii="Arial" w:hAnsi="Arial" w:cs="Arial"/>
          <w:sz w:val="24"/>
          <w:szCs w:val="24"/>
          <w:lang w:val="en-US"/>
        </w:rPr>
        <w:t>Quantitatively, we can state that the results seem to be more accurate for EGR</w:t>
      </w:r>
      <w:r w:rsidRPr="00DE0E5F">
        <w:rPr>
          <w:rStyle w:val="shorttext"/>
          <w:rFonts w:ascii="Arial" w:hAnsi="Arial" w:cs="Arial"/>
          <w:b/>
          <w:sz w:val="24"/>
          <w:szCs w:val="24"/>
          <w:lang w:val="en-US"/>
        </w:rPr>
        <w:t>,</w:t>
      </w:r>
      <w:r w:rsidRPr="00DE0E5F">
        <w:rPr>
          <w:rStyle w:val="shorttext"/>
          <w:rFonts w:ascii="Arial" w:hAnsi="Arial" w:cs="Arial"/>
          <w:sz w:val="24"/>
          <w:szCs w:val="24"/>
          <w:lang w:val="en-US"/>
        </w:rPr>
        <w:t xml:space="preserve"> although there is no clear predominance</w:t>
      </w:r>
    </w:p>
    <w:p w:rsidR="00B73CEB" w:rsidRPr="00DE0E5F" w:rsidRDefault="00B73CEB" w:rsidP="00E54D5D">
      <w:pPr>
        <w:numPr>
          <w:ilvl w:val="1"/>
          <w:numId w:val="37"/>
        </w:numPr>
        <w:pBdr>
          <w:top w:val="none" w:sz="0" w:space="0" w:color="auto"/>
          <w:left w:val="none" w:sz="0" w:space="0" w:color="auto"/>
          <w:bottom w:val="none" w:sz="0" w:space="0" w:color="auto"/>
          <w:right w:val="none" w:sz="0" w:space="0" w:color="auto"/>
          <w:between w:val="none" w:sz="0" w:space="0" w:color="auto"/>
        </w:pBdr>
        <w:spacing w:before="80" w:after="0" w:line="360" w:lineRule="auto"/>
        <w:ind w:left="624" w:hanging="227"/>
        <w:jc w:val="both"/>
        <w:rPr>
          <w:rStyle w:val="shorttext"/>
          <w:rFonts w:ascii="Arial" w:hAnsi="Arial" w:cs="Arial"/>
          <w:sz w:val="24"/>
          <w:szCs w:val="24"/>
          <w:lang w:val="en-US"/>
        </w:rPr>
      </w:pPr>
      <w:r w:rsidRPr="00DE0E5F">
        <w:rPr>
          <w:rStyle w:val="shorttext"/>
          <w:rFonts w:ascii="Arial" w:hAnsi="Arial" w:cs="Arial"/>
          <w:sz w:val="24"/>
          <w:szCs w:val="24"/>
          <w:lang w:val="en-US"/>
        </w:rPr>
        <w:t>DIRCE provides the correct GDC country for 19 legal units operating in 7 multinationals</w:t>
      </w:r>
    </w:p>
    <w:p w:rsidR="00B73CEB" w:rsidRPr="00DE0E5F" w:rsidRDefault="00B73CEB" w:rsidP="00E54D5D">
      <w:pPr>
        <w:numPr>
          <w:ilvl w:val="1"/>
          <w:numId w:val="37"/>
        </w:numPr>
        <w:pBdr>
          <w:top w:val="none" w:sz="0" w:space="0" w:color="auto"/>
          <w:left w:val="none" w:sz="0" w:space="0" w:color="auto"/>
          <w:bottom w:val="none" w:sz="0" w:space="0" w:color="auto"/>
          <w:right w:val="none" w:sz="0" w:space="0" w:color="auto"/>
          <w:between w:val="none" w:sz="0" w:space="0" w:color="auto"/>
        </w:pBdr>
        <w:spacing w:before="80" w:after="0" w:line="360" w:lineRule="auto"/>
        <w:ind w:left="624" w:hanging="227"/>
        <w:jc w:val="both"/>
        <w:rPr>
          <w:rStyle w:val="shorttext"/>
          <w:rFonts w:ascii="Arial" w:hAnsi="Arial" w:cs="Arial"/>
          <w:sz w:val="24"/>
          <w:szCs w:val="24"/>
          <w:lang w:val="en-US"/>
        </w:rPr>
      </w:pPr>
      <w:r w:rsidRPr="00DE0E5F">
        <w:rPr>
          <w:rStyle w:val="shorttext"/>
          <w:rFonts w:ascii="Arial" w:hAnsi="Arial" w:cs="Arial"/>
          <w:sz w:val="24"/>
          <w:szCs w:val="24"/>
          <w:lang w:val="en-US"/>
        </w:rPr>
        <w:t>EGR provides the correct GDC country for 34 legal units operating in 17 multinationals</w:t>
      </w:r>
    </w:p>
    <w:p w:rsidR="00B73CEB" w:rsidRPr="00DE0E5F" w:rsidRDefault="00B73CEB" w:rsidP="00E54D5D">
      <w:pPr>
        <w:numPr>
          <w:ilvl w:val="1"/>
          <w:numId w:val="37"/>
        </w:numPr>
        <w:pBdr>
          <w:top w:val="none" w:sz="0" w:space="0" w:color="auto"/>
          <w:left w:val="none" w:sz="0" w:space="0" w:color="auto"/>
          <w:bottom w:val="none" w:sz="0" w:space="0" w:color="auto"/>
          <w:right w:val="none" w:sz="0" w:space="0" w:color="auto"/>
          <w:between w:val="none" w:sz="0" w:space="0" w:color="auto"/>
        </w:pBdr>
        <w:spacing w:before="80" w:after="0" w:line="360" w:lineRule="auto"/>
        <w:ind w:left="624" w:hanging="227"/>
        <w:jc w:val="both"/>
        <w:rPr>
          <w:rStyle w:val="shorttext"/>
          <w:rFonts w:ascii="Arial" w:hAnsi="Arial" w:cs="Arial"/>
          <w:sz w:val="24"/>
          <w:szCs w:val="24"/>
          <w:lang w:val="en-US"/>
        </w:rPr>
      </w:pPr>
      <w:r w:rsidRPr="00DE0E5F">
        <w:rPr>
          <w:rStyle w:val="shorttext"/>
          <w:rFonts w:ascii="Arial" w:hAnsi="Arial" w:cs="Arial"/>
          <w:sz w:val="24"/>
          <w:szCs w:val="24"/>
          <w:lang w:val="en-US"/>
        </w:rPr>
        <w:t>For 35 legal units operating in 9 multinationals, the result of the investigation was non-conclusive</w:t>
      </w:r>
    </w:p>
    <w:p w:rsidR="00B73CEB" w:rsidRPr="00DE0E5F" w:rsidRDefault="00B73CEB" w:rsidP="002B2844">
      <w:pPr>
        <w:numPr>
          <w:ilvl w:val="1"/>
          <w:numId w:val="37"/>
        </w:numPr>
        <w:pBdr>
          <w:top w:val="none" w:sz="0" w:space="0" w:color="auto"/>
          <w:left w:val="none" w:sz="0" w:space="0" w:color="auto"/>
          <w:bottom w:val="none" w:sz="0" w:space="0" w:color="auto"/>
          <w:right w:val="none" w:sz="0" w:space="0" w:color="auto"/>
          <w:between w:val="none" w:sz="0" w:space="0" w:color="auto"/>
        </w:pBdr>
        <w:spacing w:before="80" w:after="0" w:line="240" w:lineRule="auto"/>
        <w:ind w:left="624" w:hanging="227"/>
        <w:jc w:val="both"/>
        <w:rPr>
          <w:rStyle w:val="shorttext"/>
          <w:rFonts w:ascii="Arial" w:eastAsia="Times New Roman" w:hAnsi="Arial" w:cs="Arial"/>
          <w:b/>
          <w:sz w:val="24"/>
          <w:szCs w:val="24"/>
        </w:rPr>
      </w:pPr>
      <w:r w:rsidRPr="00DE0E5F">
        <w:rPr>
          <w:rStyle w:val="shorttext"/>
          <w:rFonts w:ascii="Arial" w:hAnsi="Arial" w:cs="Arial"/>
          <w:sz w:val="24"/>
          <w:szCs w:val="24"/>
          <w:lang w:val="en-US"/>
        </w:rPr>
        <w:t xml:space="preserve">Finally, for 5 legal units operating in 4 multinationals, the country code does not coincide with any source     </w:t>
      </w:r>
    </w:p>
    <w:p w:rsidR="00B73CEB" w:rsidRPr="00DA44DB" w:rsidRDefault="00B73CEB" w:rsidP="002B2844">
      <w:pPr>
        <w:pStyle w:val="Prrafodelista"/>
        <w:keepNext/>
        <w:spacing w:before="360" w:after="0" w:line="240" w:lineRule="auto"/>
        <w:ind w:left="0"/>
        <w:rPr>
          <w:rFonts w:ascii="Arial" w:eastAsia="Open Sans" w:hAnsi="Arial" w:cs="Arial"/>
          <w:i/>
          <w:color w:val="auto"/>
          <w:sz w:val="24"/>
          <w:szCs w:val="24"/>
        </w:rPr>
      </w:pPr>
      <w:r w:rsidRPr="00DA44DB">
        <w:rPr>
          <w:rFonts w:ascii="Arial" w:eastAsia="Open Sans" w:hAnsi="Arial" w:cs="Arial"/>
          <w:i/>
          <w:color w:val="auto"/>
          <w:sz w:val="24"/>
          <w:szCs w:val="24"/>
        </w:rPr>
        <w:t>4.2 EGR versus National Information for OFATS population</w:t>
      </w:r>
    </w:p>
    <w:p w:rsidR="00B73CEB" w:rsidRPr="00DE0E5F" w:rsidRDefault="00B73CEB" w:rsidP="00B73CEB">
      <w:pPr>
        <w:spacing w:before="120" w:after="0" w:line="360" w:lineRule="auto"/>
        <w:jc w:val="both"/>
        <w:rPr>
          <w:rFonts w:ascii="Arial" w:hAnsi="Arial" w:cs="Arial"/>
          <w:sz w:val="24"/>
          <w:szCs w:val="24"/>
          <w:lang w:val="en-US"/>
        </w:rPr>
      </w:pPr>
      <w:r w:rsidRPr="00DE0E5F">
        <w:rPr>
          <w:rFonts w:ascii="Arial" w:hAnsi="Arial" w:cs="Arial"/>
          <w:sz w:val="24"/>
          <w:szCs w:val="24"/>
          <w:lang w:val="en-US"/>
        </w:rPr>
        <w:t xml:space="preserve">Once </w:t>
      </w:r>
      <w:r w:rsidR="00522B87">
        <w:rPr>
          <w:rFonts w:ascii="Arial" w:hAnsi="Arial" w:cs="Arial"/>
          <w:sz w:val="24"/>
          <w:szCs w:val="24"/>
          <w:lang w:val="en-US"/>
        </w:rPr>
        <w:t xml:space="preserve">EGR </w:t>
      </w:r>
      <w:r w:rsidRPr="00DE0E5F">
        <w:rPr>
          <w:rFonts w:ascii="Arial" w:hAnsi="Arial" w:cs="Arial"/>
          <w:sz w:val="24"/>
          <w:szCs w:val="24"/>
          <w:lang w:val="en-US"/>
        </w:rPr>
        <w:t xml:space="preserve">data processes </w:t>
      </w:r>
      <w:r w:rsidR="00522B87">
        <w:rPr>
          <w:rFonts w:ascii="Arial" w:hAnsi="Arial" w:cs="Arial"/>
          <w:sz w:val="24"/>
          <w:szCs w:val="24"/>
          <w:lang w:val="en-US"/>
        </w:rPr>
        <w:t>were finished</w:t>
      </w:r>
      <w:r w:rsidRPr="00DE0E5F">
        <w:rPr>
          <w:rFonts w:ascii="Arial" w:hAnsi="Arial" w:cs="Arial"/>
          <w:sz w:val="24"/>
          <w:szCs w:val="24"/>
          <w:lang w:val="en-US"/>
        </w:rPr>
        <w:t xml:space="preserve">, 1,997 Spanish GDCs were included in the final frame. According to the principle of authenticity we can assume that all resident subsidiaries and the respective internal relationships forming their legal structure in the NBR, were reproduced in the EGR. </w:t>
      </w:r>
    </w:p>
    <w:p w:rsidR="00B73CEB" w:rsidRPr="00AF6814" w:rsidRDefault="00B73CEB" w:rsidP="00B73CEB">
      <w:pPr>
        <w:spacing w:before="120" w:after="0" w:line="360" w:lineRule="auto"/>
        <w:jc w:val="both"/>
        <w:rPr>
          <w:rFonts w:ascii="Arial" w:hAnsi="Arial" w:cs="Arial"/>
          <w:sz w:val="24"/>
          <w:szCs w:val="24"/>
          <w:lang w:val="en-US"/>
        </w:rPr>
      </w:pPr>
      <w:r w:rsidRPr="00DE0E5F">
        <w:rPr>
          <w:rFonts w:ascii="Arial" w:hAnsi="Arial" w:cs="Arial"/>
          <w:sz w:val="24"/>
          <w:szCs w:val="24"/>
          <w:lang w:val="en-US"/>
        </w:rPr>
        <w:t xml:space="preserve">Consequently, this analysis has been exclusively based on GDCs, evaluating </w:t>
      </w:r>
      <w:r w:rsidR="004E346D">
        <w:rPr>
          <w:rFonts w:ascii="Arial" w:hAnsi="Arial" w:cs="Arial"/>
          <w:sz w:val="24"/>
          <w:szCs w:val="24"/>
          <w:lang w:val="en-US"/>
        </w:rPr>
        <w:t xml:space="preserve">how they are recorded </w:t>
      </w:r>
      <w:r w:rsidRPr="00DE0E5F">
        <w:rPr>
          <w:rFonts w:ascii="Arial" w:hAnsi="Arial" w:cs="Arial"/>
          <w:sz w:val="24"/>
          <w:szCs w:val="24"/>
          <w:lang w:val="en-US"/>
        </w:rPr>
        <w:t xml:space="preserve">in the NBR. For this purpose, the most complete picture of the national </w:t>
      </w:r>
      <w:r w:rsidRPr="00AF6814">
        <w:rPr>
          <w:rFonts w:ascii="Arial" w:hAnsi="Arial" w:cs="Arial"/>
          <w:sz w:val="24"/>
          <w:szCs w:val="24"/>
          <w:lang w:val="en-US"/>
        </w:rPr>
        <w:t>system has been considered. Taking this basis</w:t>
      </w:r>
      <w:r w:rsidR="004E346D" w:rsidRPr="00AF6814">
        <w:rPr>
          <w:rFonts w:ascii="Arial" w:hAnsi="Arial" w:cs="Arial"/>
          <w:sz w:val="24"/>
          <w:szCs w:val="24"/>
          <w:lang w:val="en-US"/>
        </w:rPr>
        <w:t xml:space="preserve"> into account</w:t>
      </w:r>
      <w:r w:rsidRPr="00AF6814">
        <w:rPr>
          <w:rFonts w:ascii="Arial" w:hAnsi="Arial" w:cs="Arial"/>
          <w:sz w:val="24"/>
          <w:szCs w:val="24"/>
          <w:lang w:val="en-US"/>
        </w:rPr>
        <w:t>, several categories have been identified:</w:t>
      </w:r>
    </w:p>
    <w:p w:rsidR="00B73CEB" w:rsidRPr="00AF6814" w:rsidRDefault="00B73CEB" w:rsidP="00E54D5D">
      <w:pPr>
        <w:pStyle w:val="Prrafodelista"/>
        <w:numPr>
          <w:ilvl w:val="0"/>
          <w:numId w:val="40"/>
        </w:numPr>
        <w:pBdr>
          <w:top w:val="none" w:sz="0" w:space="0" w:color="auto"/>
          <w:left w:val="none" w:sz="0" w:space="0" w:color="auto"/>
          <w:bottom w:val="none" w:sz="0" w:space="0" w:color="auto"/>
          <w:right w:val="none" w:sz="0" w:space="0" w:color="auto"/>
          <w:between w:val="none" w:sz="0" w:space="0" w:color="auto"/>
        </w:pBdr>
        <w:spacing w:before="80" w:after="0" w:line="360" w:lineRule="auto"/>
        <w:ind w:hanging="227"/>
        <w:jc w:val="both"/>
        <w:rPr>
          <w:rFonts w:ascii="Arial" w:hAnsi="Arial" w:cs="Arial"/>
          <w:sz w:val="24"/>
          <w:szCs w:val="24"/>
          <w:lang w:val="en-US"/>
        </w:rPr>
      </w:pPr>
      <w:r w:rsidRPr="00AF6814">
        <w:rPr>
          <w:rFonts w:ascii="Arial" w:hAnsi="Arial" w:cs="Arial"/>
          <w:sz w:val="24"/>
          <w:szCs w:val="24"/>
          <w:lang w:val="en-US"/>
        </w:rPr>
        <w:t>No changes.- Units detected with the same profile</w:t>
      </w:r>
    </w:p>
    <w:p w:rsidR="00B73CEB" w:rsidRPr="00AF6814" w:rsidRDefault="00B73CEB" w:rsidP="00E54D5D">
      <w:pPr>
        <w:pStyle w:val="Prrafodelista"/>
        <w:numPr>
          <w:ilvl w:val="0"/>
          <w:numId w:val="40"/>
        </w:numPr>
        <w:pBdr>
          <w:top w:val="none" w:sz="0" w:space="0" w:color="auto"/>
          <w:left w:val="none" w:sz="0" w:space="0" w:color="auto"/>
          <w:bottom w:val="none" w:sz="0" w:space="0" w:color="auto"/>
          <w:right w:val="none" w:sz="0" w:space="0" w:color="auto"/>
          <w:between w:val="none" w:sz="0" w:space="0" w:color="auto"/>
        </w:pBdr>
        <w:spacing w:before="80" w:after="0" w:line="360" w:lineRule="auto"/>
        <w:ind w:hanging="227"/>
        <w:jc w:val="both"/>
        <w:rPr>
          <w:rFonts w:ascii="Arial" w:hAnsi="Arial" w:cs="Arial"/>
          <w:sz w:val="24"/>
          <w:szCs w:val="24"/>
          <w:lang w:val="en-US"/>
        </w:rPr>
      </w:pPr>
      <w:r w:rsidRPr="00AF6814">
        <w:rPr>
          <w:rFonts w:ascii="Arial" w:hAnsi="Arial" w:cs="Arial"/>
          <w:sz w:val="24"/>
          <w:szCs w:val="24"/>
          <w:lang w:val="en-US"/>
        </w:rPr>
        <w:t>Changes.- In this subset, several situations can be found</w:t>
      </w:r>
    </w:p>
    <w:p w:rsidR="00B73CEB" w:rsidRPr="00AF6814" w:rsidRDefault="00B73CEB" w:rsidP="00E54D5D">
      <w:pPr>
        <w:pStyle w:val="Prrafodelista"/>
        <w:numPr>
          <w:ilvl w:val="1"/>
          <w:numId w:val="41"/>
        </w:numPr>
        <w:pBdr>
          <w:top w:val="none" w:sz="0" w:space="0" w:color="auto"/>
          <w:left w:val="none" w:sz="0" w:space="0" w:color="auto"/>
          <w:bottom w:val="none" w:sz="0" w:space="0" w:color="auto"/>
          <w:right w:val="none" w:sz="0" w:space="0" w:color="auto"/>
          <w:between w:val="none" w:sz="0" w:space="0" w:color="auto"/>
        </w:pBdr>
        <w:spacing w:before="80" w:after="0" w:line="360" w:lineRule="auto"/>
        <w:ind w:left="624" w:hanging="227"/>
        <w:jc w:val="both"/>
        <w:rPr>
          <w:rFonts w:ascii="Arial" w:hAnsi="Arial" w:cs="Arial"/>
          <w:sz w:val="24"/>
          <w:szCs w:val="24"/>
          <w:lang w:val="en-US"/>
        </w:rPr>
      </w:pPr>
      <w:r w:rsidRPr="00AF6814">
        <w:rPr>
          <w:rFonts w:ascii="Arial" w:hAnsi="Arial" w:cs="Arial"/>
          <w:sz w:val="24"/>
          <w:szCs w:val="24"/>
          <w:lang w:val="en-US"/>
        </w:rPr>
        <w:t xml:space="preserve">Belonging to foreign multinationals </w:t>
      </w:r>
    </w:p>
    <w:p w:rsidR="00B73CEB" w:rsidRPr="00AF6814" w:rsidRDefault="00B73CEB" w:rsidP="00E54D5D">
      <w:pPr>
        <w:pStyle w:val="Prrafodelista"/>
        <w:numPr>
          <w:ilvl w:val="1"/>
          <w:numId w:val="41"/>
        </w:numPr>
        <w:pBdr>
          <w:top w:val="none" w:sz="0" w:space="0" w:color="auto"/>
          <w:left w:val="none" w:sz="0" w:space="0" w:color="auto"/>
          <w:bottom w:val="none" w:sz="0" w:space="0" w:color="auto"/>
          <w:right w:val="none" w:sz="0" w:space="0" w:color="auto"/>
          <w:between w:val="none" w:sz="0" w:space="0" w:color="auto"/>
        </w:pBdr>
        <w:spacing w:before="80" w:after="0" w:line="360" w:lineRule="auto"/>
        <w:ind w:left="624" w:hanging="227"/>
        <w:jc w:val="both"/>
        <w:rPr>
          <w:rFonts w:ascii="Arial" w:hAnsi="Arial" w:cs="Arial"/>
          <w:sz w:val="24"/>
          <w:szCs w:val="24"/>
          <w:lang w:val="en-AU"/>
        </w:rPr>
      </w:pPr>
      <w:r w:rsidRPr="00AF6814">
        <w:rPr>
          <w:rFonts w:ascii="Arial" w:hAnsi="Arial" w:cs="Arial"/>
          <w:sz w:val="24"/>
          <w:szCs w:val="24"/>
          <w:lang w:val="en-US"/>
        </w:rPr>
        <w:t xml:space="preserve">Belonging to domestic groups </w:t>
      </w:r>
    </w:p>
    <w:p w:rsidR="00B73CEB" w:rsidRPr="00AF6814" w:rsidRDefault="00B73CEB" w:rsidP="00E54D5D">
      <w:pPr>
        <w:pStyle w:val="Prrafodelista"/>
        <w:numPr>
          <w:ilvl w:val="0"/>
          <w:numId w:val="42"/>
        </w:numPr>
        <w:pBdr>
          <w:top w:val="none" w:sz="0" w:space="0" w:color="auto"/>
          <w:left w:val="none" w:sz="0" w:space="0" w:color="auto"/>
          <w:bottom w:val="none" w:sz="0" w:space="0" w:color="auto"/>
          <w:right w:val="none" w:sz="0" w:space="0" w:color="auto"/>
          <w:between w:val="none" w:sz="0" w:space="0" w:color="auto"/>
        </w:pBdr>
        <w:spacing w:before="80" w:after="0" w:line="360" w:lineRule="auto"/>
        <w:ind w:hanging="227"/>
        <w:jc w:val="both"/>
        <w:rPr>
          <w:rFonts w:ascii="Arial" w:hAnsi="Arial" w:cs="Arial"/>
          <w:sz w:val="24"/>
          <w:szCs w:val="24"/>
          <w:lang w:val="en-US"/>
        </w:rPr>
      </w:pPr>
      <w:r w:rsidRPr="00AF6814">
        <w:rPr>
          <w:rFonts w:ascii="Arial" w:hAnsi="Arial" w:cs="Arial"/>
          <w:sz w:val="24"/>
          <w:szCs w:val="24"/>
          <w:lang w:val="en-US"/>
        </w:rPr>
        <w:t>Other.- The remaining situations are also considered</w:t>
      </w:r>
    </w:p>
    <w:p w:rsidR="00B73CEB" w:rsidRPr="00AF6814" w:rsidRDefault="00B73CEB" w:rsidP="00E54D5D">
      <w:pPr>
        <w:pStyle w:val="Prrafodelista"/>
        <w:numPr>
          <w:ilvl w:val="0"/>
          <w:numId w:val="43"/>
        </w:numPr>
        <w:pBdr>
          <w:top w:val="none" w:sz="0" w:space="0" w:color="auto"/>
          <w:left w:val="none" w:sz="0" w:space="0" w:color="auto"/>
          <w:bottom w:val="none" w:sz="0" w:space="0" w:color="auto"/>
          <w:right w:val="none" w:sz="0" w:space="0" w:color="auto"/>
          <w:between w:val="none" w:sz="0" w:space="0" w:color="auto"/>
        </w:pBdr>
        <w:spacing w:before="80" w:after="0" w:line="360" w:lineRule="auto"/>
        <w:ind w:left="624" w:hanging="227"/>
        <w:jc w:val="both"/>
        <w:rPr>
          <w:rFonts w:ascii="Arial" w:hAnsi="Arial" w:cs="Arial"/>
          <w:sz w:val="24"/>
          <w:szCs w:val="24"/>
          <w:lang w:val="en-US"/>
        </w:rPr>
      </w:pPr>
      <w:r w:rsidRPr="00AF6814">
        <w:rPr>
          <w:rFonts w:ascii="Arial" w:hAnsi="Arial" w:cs="Arial"/>
          <w:sz w:val="24"/>
          <w:szCs w:val="24"/>
          <w:lang w:val="en-US"/>
        </w:rPr>
        <w:t xml:space="preserve">Identified in the NBR as </w:t>
      </w:r>
      <w:r w:rsidRPr="00AF6814">
        <w:rPr>
          <w:rFonts w:ascii="Arial" w:hAnsi="Arial" w:cs="Arial"/>
          <w:i/>
          <w:sz w:val="24"/>
          <w:szCs w:val="24"/>
          <w:lang w:val="en-US"/>
        </w:rPr>
        <w:t>independent and active</w:t>
      </w:r>
      <w:r w:rsidRPr="00AF6814">
        <w:rPr>
          <w:rFonts w:ascii="Arial" w:hAnsi="Arial" w:cs="Arial"/>
          <w:sz w:val="24"/>
          <w:szCs w:val="24"/>
          <w:lang w:val="en-US"/>
        </w:rPr>
        <w:t xml:space="preserve"> units (not in groups but </w:t>
      </w:r>
      <w:r w:rsidRPr="00AF6814">
        <w:rPr>
          <w:rFonts w:ascii="Arial" w:hAnsi="Arial" w:cs="Arial"/>
          <w:i/>
          <w:sz w:val="24"/>
          <w:szCs w:val="24"/>
          <w:lang w:val="en-US"/>
        </w:rPr>
        <w:t>alive</w:t>
      </w:r>
      <w:r w:rsidRPr="00AF6814">
        <w:rPr>
          <w:rFonts w:ascii="Arial" w:hAnsi="Arial" w:cs="Arial"/>
          <w:sz w:val="24"/>
          <w:szCs w:val="24"/>
          <w:lang w:val="en-US"/>
        </w:rPr>
        <w:t xml:space="preserve"> units)</w:t>
      </w:r>
    </w:p>
    <w:p w:rsidR="00B73CEB" w:rsidRPr="00AF6814" w:rsidRDefault="00B73CEB" w:rsidP="00E54D5D">
      <w:pPr>
        <w:pStyle w:val="Prrafodelista"/>
        <w:numPr>
          <w:ilvl w:val="0"/>
          <w:numId w:val="43"/>
        </w:numPr>
        <w:pBdr>
          <w:top w:val="none" w:sz="0" w:space="0" w:color="auto"/>
          <w:left w:val="none" w:sz="0" w:space="0" w:color="auto"/>
          <w:bottom w:val="none" w:sz="0" w:space="0" w:color="auto"/>
          <w:right w:val="none" w:sz="0" w:space="0" w:color="auto"/>
          <w:between w:val="none" w:sz="0" w:space="0" w:color="auto"/>
        </w:pBdr>
        <w:spacing w:before="80" w:after="0" w:line="360" w:lineRule="auto"/>
        <w:ind w:left="624" w:hanging="227"/>
        <w:jc w:val="both"/>
        <w:rPr>
          <w:rFonts w:ascii="Arial" w:hAnsi="Arial" w:cs="Arial"/>
          <w:sz w:val="24"/>
          <w:szCs w:val="24"/>
          <w:lang w:val="en-US"/>
        </w:rPr>
      </w:pPr>
      <w:r w:rsidRPr="00AF6814">
        <w:rPr>
          <w:rFonts w:ascii="Arial" w:hAnsi="Arial" w:cs="Arial"/>
          <w:sz w:val="24"/>
          <w:szCs w:val="24"/>
          <w:lang w:val="en-US"/>
        </w:rPr>
        <w:t xml:space="preserve">Identified in the NBR as </w:t>
      </w:r>
      <w:r w:rsidRPr="00AF6814">
        <w:rPr>
          <w:rFonts w:ascii="Arial" w:hAnsi="Arial" w:cs="Arial"/>
          <w:i/>
          <w:sz w:val="24"/>
          <w:szCs w:val="24"/>
          <w:lang w:val="en-US"/>
        </w:rPr>
        <w:t>liquidated</w:t>
      </w:r>
      <w:r w:rsidRPr="00AF6814">
        <w:rPr>
          <w:rFonts w:ascii="Arial" w:hAnsi="Arial" w:cs="Arial"/>
          <w:sz w:val="24"/>
          <w:szCs w:val="24"/>
          <w:lang w:val="en-US"/>
        </w:rPr>
        <w:t xml:space="preserve"> unit </w:t>
      </w:r>
    </w:p>
    <w:p w:rsidR="00B73CEB" w:rsidRPr="00AF6814" w:rsidRDefault="00B73CEB" w:rsidP="00E54D5D">
      <w:pPr>
        <w:pStyle w:val="Prrafodelista"/>
        <w:numPr>
          <w:ilvl w:val="0"/>
          <w:numId w:val="43"/>
        </w:numPr>
        <w:pBdr>
          <w:top w:val="none" w:sz="0" w:space="0" w:color="auto"/>
          <w:left w:val="none" w:sz="0" w:space="0" w:color="auto"/>
          <w:bottom w:val="none" w:sz="0" w:space="0" w:color="auto"/>
          <w:right w:val="none" w:sz="0" w:space="0" w:color="auto"/>
          <w:between w:val="none" w:sz="0" w:space="0" w:color="auto"/>
        </w:pBdr>
        <w:spacing w:before="80" w:after="0" w:line="360" w:lineRule="auto"/>
        <w:ind w:left="624" w:hanging="227"/>
        <w:jc w:val="both"/>
        <w:rPr>
          <w:rFonts w:ascii="Arial" w:hAnsi="Arial" w:cs="Arial"/>
          <w:i/>
          <w:sz w:val="24"/>
          <w:szCs w:val="24"/>
          <w:lang w:val="en-US"/>
        </w:rPr>
      </w:pPr>
      <w:r w:rsidRPr="00AF6814">
        <w:rPr>
          <w:rFonts w:ascii="Arial" w:hAnsi="Arial" w:cs="Arial"/>
          <w:i/>
          <w:sz w:val="24"/>
          <w:szCs w:val="24"/>
          <w:lang w:val="en-US"/>
        </w:rPr>
        <w:t xml:space="preserve">Not identified </w:t>
      </w:r>
    </w:p>
    <w:p w:rsidR="00B73CEB" w:rsidRPr="00DE0E5F" w:rsidRDefault="00B73CEB" w:rsidP="00B73CEB">
      <w:pPr>
        <w:spacing w:before="120" w:after="0" w:line="360" w:lineRule="auto"/>
        <w:jc w:val="both"/>
        <w:rPr>
          <w:rFonts w:ascii="Arial" w:hAnsi="Arial" w:cs="Arial"/>
          <w:sz w:val="24"/>
          <w:szCs w:val="24"/>
          <w:lang w:val="en-US"/>
        </w:rPr>
      </w:pPr>
      <w:r w:rsidRPr="00DE0E5F">
        <w:rPr>
          <w:rFonts w:ascii="Arial" w:hAnsi="Arial" w:cs="Arial"/>
          <w:sz w:val="24"/>
          <w:szCs w:val="24"/>
          <w:lang w:val="en-US"/>
        </w:rPr>
        <w:t xml:space="preserve">The </w:t>
      </w:r>
      <w:r w:rsidR="004E346D">
        <w:rPr>
          <w:rFonts w:ascii="Arial" w:hAnsi="Arial" w:cs="Arial"/>
          <w:sz w:val="24"/>
          <w:szCs w:val="24"/>
          <w:lang w:val="en-US"/>
        </w:rPr>
        <w:t>following</w:t>
      </w:r>
      <w:r w:rsidRPr="00DE0E5F">
        <w:rPr>
          <w:rFonts w:ascii="Arial" w:hAnsi="Arial" w:cs="Arial"/>
          <w:sz w:val="24"/>
          <w:szCs w:val="24"/>
          <w:lang w:val="en-US"/>
        </w:rPr>
        <w:t xml:space="preserve"> table summarizes the results obtained</w:t>
      </w:r>
    </w:p>
    <w:p w:rsidR="00B73CEB" w:rsidRPr="00DE0E5F" w:rsidRDefault="00B73CEB" w:rsidP="00B73CEB">
      <w:pPr>
        <w:pStyle w:val="Descripcin"/>
        <w:keepNext/>
        <w:spacing w:before="120" w:after="0" w:line="360" w:lineRule="auto"/>
        <w:jc w:val="both"/>
        <w:rPr>
          <w:rFonts w:ascii="Arial" w:hAnsi="Arial" w:cs="Arial"/>
          <w:b/>
          <w:i w:val="0"/>
          <w:color w:val="auto"/>
          <w:sz w:val="20"/>
          <w:szCs w:val="20"/>
        </w:rPr>
      </w:pPr>
      <w:r w:rsidRPr="00DE0E5F">
        <w:rPr>
          <w:rFonts w:ascii="Arial" w:hAnsi="Arial" w:cs="Arial"/>
          <w:b/>
          <w:i w:val="0"/>
          <w:color w:val="auto"/>
          <w:sz w:val="20"/>
          <w:szCs w:val="20"/>
        </w:rPr>
        <w:t>Table 5.</w:t>
      </w:r>
      <w:r w:rsidR="00B036F9">
        <w:rPr>
          <w:rFonts w:ascii="Arial" w:hAnsi="Arial" w:cs="Arial"/>
          <w:b/>
          <w:i w:val="0"/>
          <w:color w:val="auto"/>
          <w:sz w:val="20"/>
          <w:szCs w:val="20"/>
        </w:rPr>
        <w:t xml:space="preserve"> </w:t>
      </w:r>
      <w:r w:rsidRPr="00DE0E5F">
        <w:rPr>
          <w:rFonts w:ascii="Arial" w:hAnsi="Arial" w:cs="Arial"/>
          <w:b/>
          <w:i w:val="0"/>
          <w:color w:val="auto"/>
          <w:sz w:val="20"/>
          <w:szCs w:val="20"/>
        </w:rPr>
        <w:t xml:space="preserve"> </w:t>
      </w:r>
      <w:r w:rsidR="008361EC">
        <w:rPr>
          <w:rFonts w:ascii="Arial" w:hAnsi="Arial" w:cs="Arial"/>
          <w:b/>
          <w:i w:val="0"/>
          <w:color w:val="auto"/>
          <w:sz w:val="20"/>
          <w:szCs w:val="20"/>
        </w:rPr>
        <w:t>The OFATs population of the EGR; s</w:t>
      </w:r>
      <w:r w:rsidR="00B036F9">
        <w:rPr>
          <w:rFonts w:ascii="Arial" w:hAnsi="Arial" w:cs="Arial"/>
          <w:b/>
          <w:i w:val="0"/>
          <w:color w:val="auto"/>
          <w:sz w:val="20"/>
          <w:szCs w:val="20"/>
        </w:rPr>
        <w:t>ituations in the NBR</w:t>
      </w:r>
    </w:p>
    <w:tbl>
      <w:tblPr>
        <w:tblW w:w="8820" w:type="dxa"/>
        <w:jc w:val="center"/>
        <w:tblCellMar>
          <w:left w:w="70" w:type="dxa"/>
          <w:right w:w="70" w:type="dxa"/>
        </w:tblCellMar>
        <w:tblLook w:val="04A0" w:firstRow="1" w:lastRow="0" w:firstColumn="1" w:lastColumn="0" w:noHBand="0" w:noVBand="1"/>
      </w:tblPr>
      <w:tblGrid>
        <w:gridCol w:w="1660"/>
        <w:gridCol w:w="3260"/>
        <w:gridCol w:w="1760"/>
        <w:gridCol w:w="2140"/>
      </w:tblGrid>
      <w:tr w:rsidR="00B73CEB" w:rsidRPr="00C67267" w:rsidTr="0032776D">
        <w:trPr>
          <w:trHeight w:hRule="exact" w:val="340"/>
          <w:jc w:val="center"/>
        </w:trPr>
        <w:tc>
          <w:tcPr>
            <w:tcW w:w="492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OFATS_ EGR VERSUS NBR</w:t>
            </w:r>
          </w:p>
        </w:tc>
        <w:tc>
          <w:tcPr>
            <w:tcW w:w="1760" w:type="dxa"/>
            <w:tcBorders>
              <w:top w:val="single" w:sz="8" w:space="0" w:color="auto"/>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UNITS</w:t>
            </w:r>
          </w:p>
        </w:tc>
        <w:tc>
          <w:tcPr>
            <w:tcW w:w="2140" w:type="dxa"/>
            <w:tcBorders>
              <w:top w:val="single" w:sz="8" w:space="0" w:color="auto"/>
              <w:left w:val="nil"/>
              <w:bottom w:val="single" w:sz="4" w:space="0" w:color="auto"/>
              <w:right w:val="single" w:sz="8"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EMPLOYMENT</w:t>
            </w:r>
          </w:p>
        </w:tc>
      </w:tr>
      <w:tr w:rsidR="00B73CEB" w:rsidRPr="00C67267" w:rsidTr="0032776D">
        <w:trPr>
          <w:trHeight w:hRule="exact" w:val="340"/>
          <w:jc w:val="center"/>
        </w:trPr>
        <w:tc>
          <w:tcPr>
            <w:tcW w:w="1660" w:type="dxa"/>
            <w:tcBorders>
              <w:top w:val="nil"/>
              <w:left w:val="single" w:sz="8" w:space="0" w:color="auto"/>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TOTAL</w:t>
            </w:r>
          </w:p>
        </w:tc>
        <w:tc>
          <w:tcPr>
            <w:tcW w:w="3260" w:type="dxa"/>
            <w:tcBorders>
              <w:top w:val="nil"/>
              <w:left w:val="nil"/>
              <w:bottom w:val="single" w:sz="4" w:space="0" w:color="auto"/>
              <w:right w:val="single" w:sz="4" w:space="0" w:color="auto"/>
            </w:tcBorders>
            <w:shd w:val="clear" w:color="auto" w:fill="auto"/>
            <w:vAlign w:val="center"/>
            <w:hideMark/>
          </w:tcPr>
          <w:p w:rsidR="00B73CEB" w:rsidRPr="00C67267" w:rsidRDefault="00B73CEB"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p>
        </w:tc>
        <w:tc>
          <w:tcPr>
            <w:tcW w:w="1760"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1.977</w:t>
            </w:r>
          </w:p>
        </w:tc>
        <w:tc>
          <w:tcPr>
            <w:tcW w:w="2140" w:type="dxa"/>
            <w:tcBorders>
              <w:top w:val="nil"/>
              <w:left w:val="nil"/>
              <w:bottom w:val="single" w:sz="4" w:space="0" w:color="auto"/>
              <w:right w:val="single" w:sz="8"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456.681</w:t>
            </w:r>
          </w:p>
        </w:tc>
      </w:tr>
      <w:tr w:rsidR="00B73CEB" w:rsidRPr="00C67267" w:rsidTr="0032776D">
        <w:trPr>
          <w:trHeight w:hRule="exact" w:val="340"/>
          <w:jc w:val="center"/>
        </w:trPr>
        <w:tc>
          <w:tcPr>
            <w:tcW w:w="1660" w:type="dxa"/>
            <w:vMerge w:val="restart"/>
            <w:tcBorders>
              <w:top w:val="nil"/>
              <w:left w:val="single" w:sz="8" w:space="0" w:color="auto"/>
              <w:bottom w:val="single" w:sz="4" w:space="0" w:color="auto"/>
              <w:right w:val="single" w:sz="4" w:space="0" w:color="auto"/>
            </w:tcBorders>
            <w:shd w:val="clear" w:color="auto" w:fill="auto"/>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NO CHANGES</w:t>
            </w:r>
          </w:p>
        </w:tc>
        <w:tc>
          <w:tcPr>
            <w:tcW w:w="3260"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TOTAL</w:t>
            </w:r>
          </w:p>
        </w:tc>
        <w:tc>
          <w:tcPr>
            <w:tcW w:w="1760"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 xml:space="preserve">859 </w:t>
            </w:r>
            <w:r w:rsidRPr="00C67267">
              <w:rPr>
                <w:rFonts w:ascii="Arial" w:eastAsia="Times New Roman" w:hAnsi="Arial" w:cs="Arial"/>
                <w:b/>
                <w:sz w:val="20"/>
                <w:szCs w:val="20"/>
                <w:lang w:val="es-ES"/>
              </w:rPr>
              <w:t>(43.4%)</w:t>
            </w:r>
          </w:p>
        </w:tc>
        <w:tc>
          <w:tcPr>
            <w:tcW w:w="2140" w:type="dxa"/>
            <w:tcBorders>
              <w:top w:val="nil"/>
              <w:left w:val="nil"/>
              <w:bottom w:val="single" w:sz="4" w:space="0" w:color="auto"/>
              <w:right w:val="single" w:sz="8"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 xml:space="preserve">391.642 </w:t>
            </w:r>
            <w:r w:rsidRPr="00C67267">
              <w:rPr>
                <w:rFonts w:ascii="Arial" w:eastAsia="Times New Roman" w:hAnsi="Arial" w:cs="Arial"/>
                <w:b/>
                <w:sz w:val="20"/>
                <w:szCs w:val="20"/>
                <w:lang w:val="es-ES"/>
              </w:rPr>
              <w:t>(85.5%)</w:t>
            </w:r>
          </w:p>
        </w:tc>
      </w:tr>
      <w:tr w:rsidR="00B73CEB" w:rsidRPr="00C67267" w:rsidTr="0032776D">
        <w:trPr>
          <w:trHeight w:hRule="exact" w:val="340"/>
          <w:jc w:val="center"/>
        </w:trPr>
        <w:tc>
          <w:tcPr>
            <w:tcW w:w="1660" w:type="dxa"/>
            <w:vMerge/>
            <w:tcBorders>
              <w:top w:val="nil"/>
              <w:left w:val="single" w:sz="8" w:space="0" w:color="auto"/>
              <w:bottom w:val="single" w:sz="4" w:space="0" w:color="auto"/>
              <w:right w:val="single" w:sz="4" w:space="0" w:color="auto"/>
            </w:tcBorders>
            <w:shd w:val="clear" w:color="auto" w:fill="auto"/>
            <w:vAlign w:val="center"/>
            <w:hideMark/>
          </w:tcPr>
          <w:p w:rsidR="00B73CEB" w:rsidRPr="00C67267" w:rsidRDefault="00B73CEB"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p>
        </w:tc>
        <w:tc>
          <w:tcPr>
            <w:tcW w:w="3260"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OFATS_NBR1</w:t>
            </w:r>
          </w:p>
        </w:tc>
        <w:tc>
          <w:tcPr>
            <w:tcW w:w="1760"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859</w:t>
            </w:r>
          </w:p>
        </w:tc>
        <w:tc>
          <w:tcPr>
            <w:tcW w:w="2140" w:type="dxa"/>
            <w:tcBorders>
              <w:top w:val="nil"/>
              <w:left w:val="nil"/>
              <w:bottom w:val="single" w:sz="4" w:space="0" w:color="auto"/>
              <w:right w:val="single" w:sz="8"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391.642</w:t>
            </w:r>
          </w:p>
        </w:tc>
      </w:tr>
      <w:tr w:rsidR="00B73CEB" w:rsidRPr="00C67267" w:rsidTr="0032776D">
        <w:trPr>
          <w:trHeight w:hRule="exact" w:val="340"/>
          <w:jc w:val="center"/>
        </w:trPr>
        <w:tc>
          <w:tcPr>
            <w:tcW w:w="1660" w:type="dxa"/>
            <w:vMerge/>
            <w:tcBorders>
              <w:top w:val="nil"/>
              <w:left w:val="single" w:sz="8" w:space="0" w:color="auto"/>
              <w:bottom w:val="single" w:sz="4" w:space="0" w:color="auto"/>
              <w:right w:val="single" w:sz="4" w:space="0" w:color="auto"/>
            </w:tcBorders>
            <w:shd w:val="clear" w:color="auto" w:fill="auto"/>
            <w:vAlign w:val="center"/>
            <w:hideMark/>
          </w:tcPr>
          <w:p w:rsidR="00B73CEB" w:rsidRPr="00C67267" w:rsidRDefault="00B73CEB"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p>
        </w:tc>
        <w:tc>
          <w:tcPr>
            <w:tcW w:w="3260"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OFATS_NBR2</w:t>
            </w:r>
          </w:p>
        </w:tc>
        <w:tc>
          <w:tcPr>
            <w:tcW w:w="1760"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0</w:t>
            </w:r>
          </w:p>
        </w:tc>
        <w:tc>
          <w:tcPr>
            <w:tcW w:w="2140" w:type="dxa"/>
            <w:tcBorders>
              <w:top w:val="nil"/>
              <w:left w:val="nil"/>
              <w:bottom w:val="single" w:sz="4" w:space="0" w:color="auto"/>
              <w:right w:val="single" w:sz="8"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w:t>
            </w:r>
          </w:p>
        </w:tc>
      </w:tr>
      <w:tr w:rsidR="00B73CEB" w:rsidRPr="00C67267" w:rsidTr="0032776D">
        <w:trPr>
          <w:trHeight w:hRule="exact" w:val="340"/>
          <w:jc w:val="center"/>
        </w:trPr>
        <w:tc>
          <w:tcPr>
            <w:tcW w:w="1660" w:type="dxa"/>
            <w:vMerge w:val="restart"/>
            <w:tcBorders>
              <w:top w:val="nil"/>
              <w:left w:val="single" w:sz="8" w:space="0" w:color="auto"/>
              <w:bottom w:val="single" w:sz="4" w:space="0" w:color="auto"/>
              <w:right w:val="single" w:sz="4" w:space="0" w:color="auto"/>
            </w:tcBorders>
            <w:shd w:val="clear" w:color="auto" w:fill="auto"/>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CHANGES</w:t>
            </w:r>
          </w:p>
        </w:tc>
        <w:tc>
          <w:tcPr>
            <w:tcW w:w="3260"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TOTAL</w:t>
            </w:r>
          </w:p>
        </w:tc>
        <w:tc>
          <w:tcPr>
            <w:tcW w:w="1760"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 xml:space="preserve">207 </w:t>
            </w:r>
            <w:r w:rsidRPr="003565F2">
              <w:rPr>
                <w:rFonts w:ascii="Arial" w:eastAsia="Times New Roman" w:hAnsi="Arial" w:cs="Arial"/>
                <w:b/>
                <w:sz w:val="20"/>
                <w:szCs w:val="20"/>
                <w:lang w:val="es-ES"/>
              </w:rPr>
              <w:t>(10.5%)</w:t>
            </w:r>
          </w:p>
        </w:tc>
        <w:tc>
          <w:tcPr>
            <w:tcW w:w="2140" w:type="dxa"/>
            <w:tcBorders>
              <w:top w:val="nil"/>
              <w:left w:val="nil"/>
              <w:bottom w:val="single" w:sz="4" w:space="0" w:color="auto"/>
              <w:right w:val="single" w:sz="8"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 xml:space="preserve">21.983 </w:t>
            </w:r>
            <w:r w:rsidRPr="003565F2">
              <w:rPr>
                <w:rFonts w:ascii="Arial" w:eastAsia="Times New Roman" w:hAnsi="Arial" w:cs="Arial"/>
                <w:b/>
                <w:sz w:val="20"/>
                <w:szCs w:val="20"/>
                <w:lang w:val="es-ES"/>
              </w:rPr>
              <w:t>(4.8%)</w:t>
            </w:r>
          </w:p>
        </w:tc>
      </w:tr>
      <w:tr w:rsidR="00B73CEB" w:rsidRPr="00C67267" w:rsidTr="0032776D">
        <w:trPr>
          <w:trHeight w:hRule="exact" w:val="340"/>
          <w:jc w:val="center"/>
        </w:trPr>
        <w:tc>
          <w:tcPr>
            <w:tcW w:w="1660" w:type="dxa"/>
            <w:vMerge/>
            <w:tcBorders>
              <w:top w:val="nil"/>
              <w:left w:val="single" w:sz="8" w:space="0" w:color="auto"/>
              <w:bottom w:val="single" w:sz="4" w:space="0" w:color="auto"/>
              <w:right w:val="single" w:sz="4" w:space="0" w:color="auto"/>
            </w:tcBorders>
            <w:shd w:val="clear" w:color="auto" w:fill="auto"/>
            <w:vAlign w:val="center"/>
            <w:hideMark/>
          </w:tcPr>
          <w:p w:rsidR="00B73CEB" w:rsidRPr="00C67267" w:rsidRDefault="00B73CEB"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p>
        </w:tc>
        <w:tc>
          <w:tcPr>
            <w:tcW w:w="3260"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IFATS_NBR1</w:t>
            </w:r>
          </w:p>
        </w:tc>
        <w:tc>
          <w:tcPr>
            <w:tcW w:w="1760"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10</w:t>
            </w:r>
          </w:p>
        </w:tc>
        <w:tc>
          <w:tcPr>
            <w:tcW w:w="2140" w:type="dxa"/>
            <w:tcBorders>
              <w:top w:val="nil"/>
              <w:left w:val="nil"/>
              <w:bottom w:val="single" w:sz="4" w:space="0" w:color="auto"/>
              <w:right w:val="single" w:sz="8"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436</w:t>
            </w:r>
          </w:p>
        </w:tc>
      </w:tr>
      <w:tr w:rsidR="00B73CEB" w:rsidRPr="00C67267" w:rsidTr="0032776D">
        <w:trPr>
          <w:trHeight w:hRule="exact" w:val="340"/>
          <w:jc w:val="center"/>
        </w:trPr>
        <w:tc>
          <w:tcPr>
            <w:tcW w:w="1660" w:type="dxa"/>
            <w:vMerge/>
            <w:tcBorders>
              <w:top w:val="nil"/>
              <w:left w:val="single" w:sz="8" w:space="0" w:color="auto"/>
              <w:bottom w:val="single" w:sz="4" w:space="0" w:color="auto"/>
              <w:right w:val="single" w:sz="4" w:space="0" w:color="auto"/>
            </w:tcBorders>
            <w:shd w:val="clear" w:color="auto" w:fill="auto"/>
            <w:vAlign w:val="center"/>
            <w:hideMark/>
          </w:tcPr>
          <w:p w:rsidR="00B73CEB" w:rsidRPr="00C67267" w:rsidRDefault="00B73CEB"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p>
        </w:tc>
        <w:tc>
          <w:tcPr>
            <w:tcW w:w="3260"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IFATS_NBR2</w:t>
            </w:r>
          </w:p>
        </w:tc>
        <w:tc>
          <w:tcPr>
            <w:tcW w:w="1760"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2</w:t>
            </w:r>
          </w:p>
        </w:tc>
        <w:tc>
          <w:tcPr>
            <w:tcW w:w="2140" w:type="dxa"/>
            <w:tcBorders>
              <w:top w:val="nil"/>
              <w:left w:val="nil"/>
              <w:bottom w:val="single" w:sz="4" w:space="0" w:color="auto"/>
              <w:right w:val="single" w:sz="8"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515</w:t>
            </w:r>
          </w:p>
        </w:tc>
      </w:tr>
      <w:tr w:rsidR="00B73CEB" w:rsidRPr="00C67267" w:rsidTr="0032776D">
        <w:trPr>
          <w:trHeight w:hRule="exact" w:val="340"/>
          <w:jc w:val="center"/>
        </w:trPr>
        <w:tc>
          <w:tcPr>
            <w:tcW w:w="1660" w:type="dxa"/>
            <w:vMerge/>
            <w:tcBorders>
              <w:top w:val="nil"/>
              <w:left w:val="single" w:sz="8" w:space="0" w:color="auto"/>
              <w:bottom w:val="single" w:sz="4" w:space="0" w:color="auto"/>
              <w:right w:val="single" w:sz="4" w:space="0" w:color="auto"/>
            </w:tcBorders>
            <w:shd w:val="clear" w:color="auto" w:fill="auto"/>
            <w:vAlign w:val="center"/>
            <w:hideMark/>
          </w:tcPr>
          <w:p w:rsidR="00B73CEB" w:rsidRPr="00C67267" w:rsidRDefault="00B73CEB"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p>
        </w:tc>
        <w:tc>
          <w:tcPr>
            <w:tcW w:w="3260"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DOM_NB2</w:t>
            </w:r>
          </w:p>
        </w:tc>
        <w:tc>
          <w:tcPr>
            <w:tcW w:w="1760"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195</w:t>
            </w:r>
          </w:p>
        </w:tc>
        <w:tc>
          <w:tcPr>
            <w:tcW w:w="2140" w:type="dxa"/>
            <w:tcBorders>
              <w:top w:val="nil"/>
              <w:left w:val="nil"/>
              <w:bottom w:val="single" w:sz="4" w:space="0" w:color="auto"/>
              <w:right w:val="single" w:sz="8"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21.032</w:t>
            </w:r>
          </w:p>
        </w:tc>
      </w:tr>
      <w:tr w:rsidR="00B73CEB" w:rsidRPr="00C67267" w:rsidTr="0032776D">
        <w:trPr>
          <w:trHeight w:hRule="exact" w:val="340"/>
          <w:jc w:val="center"/>
        </w:trPr>
        <w:tc>
          <w:tcPr>
            <w:tcW w:w="1660" w:type="dxa"/>
            <w:vMerge w:val="restart"/>
            <w:tcBorders>
              <w:top w:val="nil"/>
              <w:left w:val="single" w:sz="8" w:space="0" w:color="auto"/>
              <w:bottom w:val="single" w:sz="8" w:space="0" w:color="000000"/>
              <w:right w:val="single" w:sz="4" w:space="0" w:color="auto"/>
            </w:tcBorders>
            <w:shd w:val="clear" w:color="auto" w:fill="auto"/>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OTHER</w:t>
            </w:r>
          </w:p>
        </w:tc>
        <w:tc>
          <w:tcPr>
            <w:tcW w:w="3260"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TOTAL</w:t>
            </w:r>
          </w:p>
        </w:tc>
        <w:tc>
          <w:tcPr>
            <w:tcW w:w="1760"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 xml:space="preserve">911 </w:t>
            </w:r>
            <w:r w:rsidRPr="00C67267">
              <w:rPr>
                <w:rFonts w:ascii="Arial" w:eastAsia="Times New Roman" w:hAnsi="Arial" w:cs="Arial"/>
                <w:b/>
                <w:sz w:val="20"/>
                <w:szCs w:val="20"/>
                <w:lang w:val="es-ES"/>
              </w:rPr>
              <w:t>(46.1%)</w:t>
            </w:r>
          </w:p>
        </w:tc>
        <w:tc>
          <w:tcPr>
            <w:tcW w:w="2140" w:type="dxa"/>
            <w:tcBorders>
              <w:top w:val="nil"/>
              <w:left w:val="nil"/>
              <w:bottom w:val="single" w:sz="4" w:space="0" w:color="auto"/>
              <w:right w:val="single" w:sz="8"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 xml:space="preserve">43.056 </w:t>
            </w:r>
            <w:r w:rsidRPr="00C67267">
              <w:rPr>
                <w:rFonts w:ascii="Arial" w:eastAsia="Times New Roman" w:hAnsi="Arial" w:cs="Arial"/>
                <w:b/>
                <w:sz w:val="20"/>
                <w:szCs w:val="20"/>
                <w:lang w:val="es-ES"/>
              </w:rPr>
              <w:t>(9.7%)</w:t>
            </w:r>
          </w:p>
        </w:tc>
      </w:tr>
      <w:tr w:rsidR="00B73CEB" w:rsidRPr="00C67267" w:rsidTr="0032776D">
        <w:trPr>
          <w:trHeight w:hRule="exact" w:val="340"/>
          <w:jc w:val="center"/>
        </w:trPr>
        <w:tc>
          <w:tcPr>
            <w:tcW w:w="1660" w:type="dxa"/>
            <w:vMerge/>
            <w:tcBorders>
              <w:top w:val="nil"/>
              <w:left w:val="single" w:sz="8" w:space="0" w:color="auto"/>
              <w:bottom w:val="single" w:sz="8" w:space="0" w:color="000000"/>
              <w:right w:val="single" w:sz="4" w:space="0" w:color="auto"/>
            </w:tcBorders>
            <w:shd w:val="clear" w:color="auto" w:fill="auto"/>
            <w:vAlign w:val="center"/>
            <w:hideMark/>
          </w:tcPr>
          <w:p w:rsidR="00B73CEB" w:rsidRPr="00C67267" w:rsidRDefault="00B73CEB"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p>
        </w:tc>
        <w:tc>
          <w:tcPr>
            <w:tcW w:w="3260"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INDEPENDENT AND ACTIVE</w:t>
            </w:r>
          </w:p>
        </w:tc>
        <w:tc>
          <w:tcPr>
            <w:tcW w:w="1760"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903</w:t>
            </w:r>
          </w:p>
        </w:tc>
        <w:tc>
          <w:tcPr>
            <w:tcW w:w="2140" w:type="dxa"/>
            <w:tcBorders>
              <w:top w:val="nil"/>
              <w:left w:val="nil"/>
              <w:bottom w:val="single" w:sz="4" w:space="0" w:color="auto"/>
              <w:right w:val="single" w:sz="8"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42.640</w:t>
            </w:r>
          </w:p>
        </w:tc>
      </w:tr>
      <w:tr w:rsidR="00B73CEB" w:rsidRPr="00C67267" w:rsidTr="0032776D">
        <w:trPr>
          <w:trHeight w:hRule="exact" w:val="340"/>
          <w:jc w:val="center"/>
        </w:trPr>
        <w:tc>
          <w:tcPr>
            <w:tcW w:w="1660" w:type="dxa"/>
            <w:vMerge/>
            <w:tcBorders>
              <w:top w:val="nil"/>
              <w:left w:val="single" w:sz="8" w:space="0" w:color="auto"/>
              <w:bottom w:val="single" w:sz="8" w:space="0" w:color="000000"/>
              <w:right w:val="single" w:sz="4" w:space="0" w:color="auto"/>
            </w:tcBorders>
            <w:shd w:val="clear" w:color="auto" w:fill="auto"/>
            <w:vAlign w:val="center"/>
            <w:hideMark/>
          </w:tcPr>
          <w:p w:rsidR="00B73CEB" w:rsidRPr="00C67267" w:rsidRDefault="00B73CEB"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p>
        </w:tc>
        <w:tc>
          <w:tcPr>
            <w:tcW w:w="3260"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LIQUIDATED</w:t>
            </w:r>
          </w:p>
        </w:tc>
        <w:tc>
          <w:tcPr>
            <w:tcW w:w="1760" w:type="dxa"/>
            <w:tcBorders>
              <w:top w:val="nil"/>
              <w:left w:val="nil"/>
              <w:bottom w:val="single" w:sz="4"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8</w:t>
            </w:r>
          </w:p>
        </w:tc>
        <w:tc>
          <w:tcPr>
            <w:tcW w:w="2140" w:type="dxa"/>
            <w:tcBorders>
              <w:top w:val="nil"/>
              <w:left w:val="nil"/>
              <w:bottom w:val="single" w:sz="4" w:space="0" w:color="auto"/>
              <w:right w:val="single" w:sz="8"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416</w:t>
            </w:r>
          </w:p>
        </w:tc>
      </w:tr>
      <w:tr w:rsidR="00B73CEB" w:rsidRPr="00C67267" w:rsidTr="0032776D">
        <w:trPr>
          <w:trHeight w:hRule="exact" w:val="340"/>
          <w:jc w:val="center"/>
        </w:trPr>
        <w:tc>
          <w:tcPr>
            <w:tcW w:w="1660" w:type="dxa"/>
            <w:vMerge/>
            <w:tcBorders>
              <w:top w:val="nil"/>
              <w:left w:val="single" w:sz="8" w:space="0" w:color="auto"/>
              <w:bottom w:val="single" w:sz="8" w:space="0" w:color="000000"/>
              <w:right w:val="single" w:sz="4" w:space="0" w:color="auto"/>
            </w:tcBorders>
            <w:shd w:val="clear" w:color="auto" w:fill="auto"/>
            <w:vAlign w:val="center"/>
            <w:hideMark/>
          </w:tcPr>
          <w:p w:rsidR="00B73CEB" w:rsidRPr="00C67267" w:rsidRDefault="00B73CEB"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p>
        </w:tc>
        <w:tc>
          <w:tcPr>
            <w:tcW w:w="3260" w:type="dxa"/>
            <w:tcBorders>
              <w:top w:val="nil"/>
              <w:left w:val="nil"/>
              <w:bottom w:val="single" w:sz="8"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b/>
                <w:bCs/>
                <w:sz w:val="20"/>
                <w:szCs w:val="20"/>
                <w:lang w:val="es-ES"/>
              </w:rPr>
            </w:pPr>
            <w:r w:rsidRPr="00C67267">
              <w:rPr>
                <w:rFonts w:ascii="Arial" w:eastAsia="Times New Roman" w:hAnsi="Arial" w:cs="Arial"/>
                <w:b/>
                <w:bCs/>
                <w:sz w:val="20"/>
                <w:szCs w:val="20"/>
                <w:lang w:val="es-ES"/>
              </w:rPr>
              <w:t>NOT DETECTED</w:t>
            </w:r>
          </w:p>
        </w:tc>
        <w:tc>
          <w:tcPr>
            <w:tcW w:w="1760" w:type="dxa"/>
            <w:tcBorders>
              <w:top w:val="nil"/>
              <w:left w:val="nil"/>
              <w:bottom w:val="single" w:sz="8" w:space="0" w:color="auto"/>
              <w:right w:val="single" w:sz="4"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0</w:t>
            </w:r>
          </w:p>
        </w:tc>
        <w:tc>
          <w:tcPr>
            <w:tcW w:w="2140" w:type="dxa"/>
            <w:tcBorders>
              <w:top w:val="nil"/>
              <w:left w:val="nil"/>
              <w:bottom w:val="single" w:sz="8" w:space="0" w:color="auto"/>
              <w:right w:val="single" w:sz="8" w:space="0" w:color="auto"/>
            </w:tcBorders>
            <w:shd w:val="clear" w:color="auto" w:fill="auto"/>
            <w:vAlign w:val="center"/>
            <w:hideMark/>
          </w:tcPr>
          <w:p w:rsidR="00B73CEB" w:rsidRPr="00C67267" w:rsidRDefault="0032776D" w:rsidP="00AB250C">
            <w:pPr>
              <w:pBdr>
                <w:top w:val="none" w:sz="0" w:space="0" w:color="auto"/>
                <w:left w:val="none" w:sz="0" w:space="0" w:color="auto"/>
                <w:bottom w:val="none" w:sz="0" w:space="0" w:color="auto"/>
                <w:right w:val="none" w:sz="0" w:space="0" w:color="auto"/>
                <w:between w:val="none" w:sz="0" w:space="0" w:color="auto"/>
              </w:pBdr>
              <w:spacing w:before="120" w:after="0" w:line="360" w:lineRule="auto"/>
              <w:jc w:val="center"/>
              <w:rPr>
                <w:rFonts w:ascii="Arial" w:eastAsia="Times New Roman" w:hAnsi="Arial" w:cs="Arial"/>
                <w:sz w:val="20"/>
                <w:szCs w:val="20"/>
                <w:lang w:val="es-ES"/>
              </w:rPr>
            </w:pPr>
            <w:r w:rsidRPr="00C67267">
              <w:rPr>
                <w:rFonts w:ascii="Arial" w:eastAsia="Times New Roman" w:hAnsi="Arial" w:cs="Arial"/>
                <w:sz w:val="20"/>
                <w:szCs w:val="20"/>
                <w:lang w:val="es-ES"/>
              </w:rPr>
              <w:t>-</w:t>
            </w:r>
          </w:p>
        </w:tc>
      </w:tr>
    </w:tbl>
    <w:p w:rsidR="00B73CEB" w:rsidRPr="00DE0E5F" w:rsidRDefault="00B73CEB" w:rsidP="00B73CEB">
      <w:pPr>
        <w:spacing w:before="120" w:after="0" w:line="360" w:lineRule="auto"/>
        <w:jc w:val="both"/>
        <w:rPr>
          <w:rFonts w:ascii="Arial" w:hAnsi="Arial" w:cs="Arial"/>
          <w:sz w:val="24"/>
          <w:szCs w:val="24"/>
          <w:lang w:val="en"/>
        </w:rPr>
      </w:pPr>
      <w:r w:rsidRPr="00DE0E5F">
        <w:rPr>
          <w:rFonts w:ascii="Arial" w:hAnsi="Arial" w:cs="Arial"/>
          <w:sz w:val="24"/>
          <w:szCs w:val="24"/>
          <w:lang w:val="en"/>
        </w:rPr>
        <w:t xml:space="preserve">The units with different features is highly </w:t>
      </w:r>
      <w:r w:rsidR="004E346D">
        <w:rPr>
          <w:rFonts w:ascii="Arial" w:hAnsi="Arial" w:cs="Arial"/>
          <w:sz w:val="24"/>
          <w:szCs w:val="24"/>
          <w:lang w:val="en"/>
        </w:rPr>
        <w:t>significant</w:t>
      </w:r>
      <w:r w:rsidRPr="00DE0E5F">
        <w:rPr>
          <w:rFonts w:ascii="Arial" w:hAnsi="Arial" w:cs="Arial"/>
          <w:sz w:val="24"/>
          <w:szCs w:val="24"/>
          <w:lang w:val="en"/>
        </w:rPr>
        <w:t xml:space="preserve">, although less </w:t>
      </w:r>
      <w:r w:rsidR="004E346D">
        <w:rPr>
          <w:rFonts w:ascii="Arial" w:hAnsi="Arial" w:cs="Arial"/>
          <w:sz w:val="24"/>
          <w:szCs w:val="24"/>
          <w:lang w:val="en"/>
        </w:rPr>
        <w:t>so</w:t>
      </w:r>
      <w:r w:rsidRPr="00DE0E5F">
        <w:rPr>
          <w:rFonts w:ascii="Arial" w:hAnsi="Arial" w:cs="Arial"/>
          <w:sz w:val="24"/>
          <w:szCs w:val="24"/>
          <w:lang w:val="en"/>
        </w:rPr>
        <w:t xml:space="preserve"> in terms of size. Nearly 86% of the </w:t>
      </w:r>
      <w:r w:rsidR="004E346D">
        <w:rPr>
          <w:rFonts w:ascii="Arial" w:hAnsi="Arial" w:cs="Arial"/>
          <w:sz w:val="24"/>
          <w:szCs w:val="24"/>
          <w:lang w:val="en"/>
        </w:rPr>
        <w:t xml:space="preserve">total </w:t>
      </w:r>
      <w:r w:rsidRPr="00DE0E5F">
        <w:rPr>
          <w:rFonts w:ascii="Arial" w:hAnsi="Arial" w:cs="Arial"/>
          <w:sz w:val="24"/>
          <w:szCs w:val="24"/>
          <w:lang w:val="en"/>
        </w:rPr>
        <w:t xml:space="preserve">employment corresponds to the units with exactly the same profile, which assures an acceptable level of consistency for the most representative units. </w:t>
      </w:r>
    </w:p>
    <w:p w:rsidR="00B73CEB" w:rsidRPr="00DE0E5F" w:rsidRDefault="004E346D" w:rsidP="00B73CEB">
      <w:pPr>
        <w:spacing w:before="120" w:after="0" w:line="360" w:lineRule="auto"/>
        <w:jc w:val="both"/>
        <w:rPr>
          <w:rFonts w:ascii="Arial" w:hAnsi="Arial" w:cs="Arial"/>
          <w:sz w:val="24"/>
          <w:szCs w:val="24"/>
          <w:lang w:val="en-AU"/>
        </w:rPr>
      </w:pPr>
      <w:r>
        <w:rPr>
          <w:rFonts w:ascii="Arial" w:hAnsi="Arial" w:cs="Arial"/>
          <w:sz w:val="24"/>
          <w:szCs w:val="24"/>
          <w:lang w:val="en-AU"/>
        </w:rPr>
        <w:t xml:space="preserve">Furthermore, </w:t>
      </w:r>
      <w:r w:rsidR="00B73CEB" w:rsidRPr="00DE0E5F">
        <w:rPr>
          <w:rFonts w:ascii="Arial" w:hAnsi="Arial" w:cs="Arial"/>
          <w:sz w:val="24"/>
          <w:szCs w:val="24"/>
          <w:lang w:val="en-AU"/>
        </w:rPr>
        <w:t xml:space="preserve">1,547 Spanish GDCs and their respective control perimeters were initially sent to the EGR. These truncated groups </w:t>
      </w:r>
      <w:r>
        <w:rPr>
          <w:rFonts w:ascii="Arial" w:hAnsi="Arial" w:cs="Arial"/>
          <w:sz w:val="24"/>
          <w:szCs w:val="24"/>
          <w:lang w:val="en-AU"/>
        </w:rPr>
        <w:t>had</w:t>
      </w:r>
      <w:r w:rsidR="00B73CEB" w:rsidRPr="00DE0E5F">
        <w:rPr>
          <w:rFonts w:ascii="Arial" w:hAnsi="Arial" w:cs="Arial"/>
          <w:sz w:val="24"/>
          <w:szCs w:val="24"/>
          <w:lang w:val="en-AU"/>
        </w:rPr>
        <w:t xml:space="preserve"> 1,775,138 resident employees. Considering the macro data level, the number of OFATs units in the EGR sharply increases to 27.8%, although this rate is much lower in terms of employees, 6.8%.</w:t>
      </w:r>
    </w:p>
    <w:p w:rsidR="00B73CEB" w:rsidRDefault="00B73CEB" w:rsidP="00B73CEB">
      <w:pPr>
        <w:spacing w:before="120" w:after="0" w:line="360" w:lineRule="auto"/>
        <w:jc w:val="both"/>
        <w:rPr>
          <w:rFonts w:ascii="Arial" w:hAnsi="Arial" w:cs="Arial"/>
          <w:sz w:val="24"/>
          <w:szCs w:val="24"/>
          <w:lang w:val="en"/>
        </w:rPr>
      </w:pPr>
      <w:r w:rsidRPr="00DE0E5F">
        <w:rPr>
          <w:rFonts w:ascii="Arial" w:hAnsi="Arial" w:cs="Arial"/>
          <w:sz w:val="24"/>
          <w:szCs w:val="24"/>
          <w:lang w:val="en"/>
        </w:rPr>
        <w:t xml:space="preserve">Both the differences in aggregates and the discrepancies for common units were investigated and several checks were carried out. </w:t>
      </w:r>
      <w:r w:rsidR="004E346D">
        <w:rPr>
          <w:rFonts w:ascii="Arial" w:hAnsi="Arial" w:cs="Arial"/>
          <w:sz w:val="24"/>
          <w:szCs w:val="24"/>
          <w:lang w:val="en"/>
        </w:rPr>
        <w:t>A</w:t>
      </w:r>
      <w:r w:rsidRPr="00DE0E5F">
        <w:rPr>
          <w:rFonts w:ascii="Arial" w:hAnsi="Arial" w:cs="Arial"/>
          <w:sz w:val="24"/>
          <w:szCs w:val="24"/>
          <w:lang w:val="en"/>
        </w:rPr>
        <w:t xml:space="preserve"> summary of results is provided</w:t>
      </w:r>
      <w:r w:rsidR="004E346D">
        <w:rPr>
          <w:rFonts w:ascii="Arial" w:hAnsi="Arial" w:cs="Arial"/>
          <w:sz w:val="24"/>
          <w:szCs w:val="24"/>
          <w:lang w:val="en"/>
        </w:rPr>
        <w:t xml:space="preserve"> bellow:</w:t>
      </w:r>
    </w:p>
    <w:p w:rsidR="00B73CEB" w:rsidRPr="00DA44DB" w:rsidRDefault="002F1D33" w:rsidP="00B73CEB">
      <w:pPr>
        <w:spacing w:before="120" w:after="0" w:line="360" w:lineRule="auto"/>
        <w:jc w:val="both"/>
        <w:rPr>
          <w:rFonts w:ascii="Arial" w:hAnsi="Arial" w:cs="Arial"/>
          <w:i/>
          <w:color w:val="auto"/>
          <w:sz w:val="24"/>
          <w:szCs w:val="24"/>
          <w:lang w:val="en-AU"/>
        </w:rPr>
      </w:pPr>
      <w:r w:rsidRPr="00DA44DB">
        <w:rPr>
          <w:rFonts w:ascii="Arial" w:hAnsi="Arial" w:cs="Arial"/>
          <w:i/>
          <w:color w:val="auto"/>
          <w:sz w:val="24"/>
          <w:szCs w:val="24"/>
          <w:lang w:val="en-AU"/>
        </w:rPr>
        <w:t>Desktop Research_2</w:t>
      </w:r>
    </w:p>
    <w:p w:rsidR="00B73CEB" w:rsidRPr="00C67267" w:rsidRDefault="00B73CEB" w:rsidP="00E54D5D">
      <w:pPr>
        <w:pStyle w:val="Prrafodelista"/>
        <w:numPr>
          <w:ilvl w:val="0"/>
          <w:numId w:val="46"/>
        </w:numPr>
        <w:spacing w:before="120" w:after="0" w:line="360" w:lineRule="auto"/>
        <w:ind w:hanging="227"/>
        <w:jc w:val="both"/>
        <w:rPr>
          <w:rFonts w:ascii="Arial" w:hAnsi="Arial" w:cs="Arial"/>
          <w:color w:val="auto"/>
          <w:sz w:val="24"/>
          <w:szCs w:val="24"/>
          <w:lang w:val="en-AU"/>
        </w:rPr>
      </w:pPr>
      <w:r w:rsidRPr="00C67267">
        <w:rPr>
          <w:rFonts w:ascii="Arial" w:hAnsi="Arial" w:cs="Arial"/>
          <w:color w:val="auto"/>
          <w:sz w:val="24"/>
          <w:szCs w:val="24"/>
          <w:lang w:val="en-AU"/>
        </w:rPr>
        <w:t xml:space="preserve">Considering the global OFATs aggregate, the main reason </w:t>
      </w:r>
      <w:r w:rsidR="004E346D">
        <w:rPr>
          <w:rFonts w:ascii="Arial" w:hAnsi="Arial" w:cs="Arial"/>
          <w:color w:val="auto"/>
          <w:sz w:val="24"/>
          <w:szCs w:val="24"/>
          <w:lang w:val="en-AU"/>
        </w:rPr>
        <w:t xml:space="preserve">for </w:t>
      </w:r>
      <w:r w:rsidRPr="00C67267">
        <w:rPr>
          <w:rFonts w:ascii="Arial" w:hAnsi="Arial" w:cs="Arial"/>
          <w:color w:val="auto"/>
          <w:sz w:val="24"/>
          <w:szCs w:val="24"/>
          <w:lang w:val="en-AU"/>
        </w:rPr>
        <w:t xml:space="preserve">the </w:t>
      </w:r>
      <w:r w:rsidR="004E346D">
        <w:rPr>
          <w:rFonts w:ascii="Arial" w:hAnsi="Arial" w:cs="Arial"/>
          <w:color w:val="auto"/>
          <w:sz w:val="24"/>
          <w:szCs w:val="24"/>
          <w:lang w:val="en-AU"/>
        </w:rPr>
        <w:t>significant</w:t>
      </w:r>
      <w:r w:rsidRPr="00C67267">
        <w:rPr>
          <w:rFonts w:ascii="Arial" w:hAnsi="Arial" w:cs="Arial"/>
          <w:color w:val="auto"/>
          <w:sz w:val="24"/>
          <w:szCs w:val="24"/>
          <w:lang w:val="en-AU"/>
        </w:rPr>
        <w:t xml:space="preserve"> variation is due to </w:t>
      </w:r>
      <w:r w:rsidRPr="00C67267">
        <w:rPr>
          <w:rFonts w:ascii="Arial" w:hAnsi="Arial" w:cs="Arial"/>
          <w:i/>
          <w:color w:val="auto"/>
          <w:sz w:val="24"/>
          <w:szCs w:val="24"/>
          <w:lang w:val="en-AU"/>
        </w:rPr>
        <w:t>actions</w:t>
      </w:r>
      <w:r w:rsidRPr="00C67267">
        <w:rPr>
          <w:rFonts w:ascii="Arial" w:hAnsi="Arial" w:cs="Arial"/>
          <w:color w:val="auto"/>
          <w:sz w:val="24"/>
          <w:szCs w:val="24"/>
          <w:lang w:val="en-AU"/>
        </w:rPr>
        <w:t xml:space="preserve"> of third countries. The incorporation of cross border relationships with resident parent, generates </w:t>
      </w:r>
      <w:r w:rsidRPr="00C67267">
        <w:rPr>
          <w:rFonts w:ascii="Arial" w:hAnsi="Arial" w:cs="Arial"/>
          <w:i/>
          <w:color w:val="auto"/>
          <w:sz w:val="24"/>
          <w:szCs w:val="24"/>
          <w:lang w:val="en-AU"/>
        </w:rPr>
        <w:t>de facto</w:t>
      </w:r>
      <w:r w:rsidRPr="00C67267">
        <w:rPr>
          <w:rFonts w:ascii="Arial" w:hAnsi="Arial" w:cs="Arial"/>
          <w:color w:val="auto"/>
          <w:sz w:val="24"/>
          <w:szCs w:val="24"/>
          <w:lang w:val="en-AU"/>
        </w:rPr>
        <w:t xml:space="preserve"> Spanish multinationals if this legal unit is not integrated in any other control structure.  Generally speaking, two conditi</w:t>
      </w:r>
      <w:r w:rsidR="004E346D">
        <w:rPr>
          <w:rFonts w:ascii="Arial" w:hAnsi="Arial" w:cs="Arial"/>
          <w:color w:val="auto"/>
          <w:sz w:val="24"/>
          <w:szCs w:val="24"/>
          <w:lang w:val="en-AU"/>
        </w:rPr>
        <w:t>ons need to be satisfied: P</w:t>
      </w:r>
      <w:r w:rsidRPr="00C67267">
        <w:rPr>
          <w:rFonts w:ascii="Arial" w:hAnsi="Arial" w:cs="Arial"/>
          <w:color w:val="auto"/>
          <w:sz w:val="24"/>
          <w:szCs w:val="24"/>
          <w:lang w:val="en-AU"/>
        </w:rPr>
        <w:t xml:space="preserve">roactive </w:t>
      </w:r>
      <w:r w:rsidR="004E346D">
        <w:rPr>
          <w:rFonts w:ascii="Arial" w:hAnsi="Arial" w:cs="Arial"/>
          <w:color w:val="auto"/>
          <w:sz w:val="24"/>
          <w:szCs w:val="24"/>
          <w:lang w:val="en-AU"/>
        </w:rPr>
        <w:t xml:space="preserve">third </w:t>
      </w:r>
      <w:r w:rsidRPr="00C67267">
        <w:rPr>
          <w:rFonts w:ascii="Arial" w:hAnsi="Arial" w:cs="Arial"/>
          <w:color w:val="auto"/>
          <w:sz w:val="24"/>
          <w:szCs w:val="24"/>
          <w:lang w:val="en-AU"/>
        </w:rPr>
        <w:t xml:space="preserve">countries and null or inconsistent national information. </w:t>
      </w:r>
    </w:p>
    <w:p w:rsidR="00B73CEB" w:rsidRPr="00C67267" w:rsidRDefault="00B73CEB" w:rsidP="00E54D5D">
      <w:pPr>
        <w:pStyle w:val="Prrafodelista"/>
        <w:numPr>
          <w:ilvl w:val="0"/>
          <w:numId w:val="46"/>
        </w:numPr>
        <w:pBdr>
          <w:top w:val="none" w:sz="0" w:space="0" w:color="auto"/>
          <w:left w:val="none" w:sz="0" w:space="0" w:color="auto"/>
          <w:bottom w:val="none" w:sz="0" w:space="0" w:color="auto"/>
          <w:right w:val="none" w:sz="0" w:space="0" w:color="auto"/>
          <w:between w:val="none" w:sz="0" w:space="0" w:color="auto"/>
        </w:pBdr>
        <w:spacing w:before="120" w:after="0" w:line="360" w:lineRule="auto"/>
        <w:ind w:hanging="227"/>
        <w:jc w:val="both"/>
        <w:rPr>
          <w:rFonts w:ascii="Arial" w:hAnsi="Arial" w:cs="Arial"/>
          <w:sz w:val="24"/>
          <w:szCs w:val="24"/>
          <w:lang w:val="en-US"/>
        </w:rPr>
      </w:pPr>
      <w:r w:rsidRPr="00C67267">
        <w:rPr>
          <w:rFonts w:ascii="Arial" w:hAnsi="Arial" w:cs="Arial"/>
          <w:color w:val="auto"/>
          <w:sz w:val="24"/>
          <w:szCs w:val="24"/>
          <w:lang w:val="en-AU"/>
        </w:rPr>
        <w:t xml:space="preserve">These situations have been examined </w:t>
      </w:r>
      <w:r w:rsidR="003F63E0">
        <w:rPr>
          <w:rFonts w:ascii="Arial" w:hAnsi="Arial" w:cs="Arial"/>
          <w:color w:val="auto"/>
          <w:sz w:val="24"/>
          <w:szCs w:val="24"/>
          <w:lang w:val="en-AU"/>
        </w:rPr>
        <w:t xml:space="preserve">in </w:t>
      </w:r>
      <w:r w:rsidRPr="00C67267">
        <w:rPr>
          <w:rFonts w:ascii="Arial" w:hAnsi="Arial" w:cs="Arial"/>
          <w:color w:val="auto"/>
          <w:sz w:val="24"/>
          <w:szCs w:val="24"/>
          <w:lang w:val="en-AU"/>
        </w:rPr>
        <w:t xml:space="preserve">more detail. They correspond to very simple structures, normally formed by two or three legal units with very </w:t>
      </w:r>
      <w:r w:rsidR="003F63E0">
        <w:rPr>
          <w:rFonts w:ascii="Arial" w:hAnsi="Arial" w:cs="Arial"/>
          <w:color w:val="auto"/>
          <w:sz w:val="24"/>
          <w:szCs w:val="24"/>
          <w:lang w:val="en-AU"/>
        </w:rPr>
        <w:t>limited</w:t>
      </w:r>
      <w:r w:rsidRPr="00C67267">
        <w:rPr>
          <w:rFonts w:ascii="Arial" w:hAnsi="Arial" w:cs="Arial"/>
          <w:color w:val="auto"/>
          <w:sz w:val="24"/>
          <w:szCs w:val="24"/>
          <w:lang w:val="en-AU"/>
        </w:rPr>
        <w:t xml:space="preserve"> size. A sample was selected for verification and </w:t>
      </w:r>
      <w:r w:rsidR="003F63E0">
        <w:rPr>
          <w:rFonts w:ascii="Arial" w:hAnsi="Arial" w:cs="Arial"/>
          <w:color w:val="auto"/>
          <w:sz w:val="24"/>
          <w:szCs w:val="24"/>
          <w:lang w:val="en-AU"/>
        </w:rPr>
        <w:t>i</w:t>
      </w:r>
      <w:r w:rsidRPr="00C67267">
        <w:rPr>
          <w:rFonts w:ascii="Arial" w:hAnsi="Arial" w:cs="Arial"/>
          <w:color w:val="auto"/>
          <w:sz w:val="24"/>
          <w:szCs w:val="24"/>
          <w:lang w:val="en-AU"/>
        </w:rPr>
        <w:t>t</w:t>
      </w:r>
      <w:r w:rsidR="003F63E0">
        <w:rPr>
          <w:rFonts w:ascii="Arial" w:hAnsi="Arial" w:cs="Arial"/>
          <w:color w:val="auto"/>
          <w:sz w:val="24"/>
          <w:szCs w:val="24"/>
          <w:lang w:val="en-AU"/>
        </w:rPr>
        <w:t>s</w:t>
      </w:r>
      <w:r w:rsidRPr="00C67267">
        <w:rPr>
          <w:rFonts w:ascii="Arial" w:hAnsi="Arial" w:cs="Arial"/>
          <w:color w:val="auto"/>
          <w:sz w:val="24"/>
          <w:szCs w:val="24"/>
          <w:lang w:val="en-AU"/>
        </w:rPr>
        <w:t xml:space="preserve"> identification as active OFATs units</w:t>
      </w:r>
      <w:r w:rsidR="003F63E0">
        <w:rPr>
          <w:rFonts w:ascii="Arial" w:hAnsi="Arial" w:cs="Arial"/>
          <w:color w:val="auto"/>
          <w:sz w:val="24"/>
          <w:szCs w:val="24"/>
          <w:lang w:val="en-AU"/>
        </w:rPr>
        <w:t xml:space="preserve"> </w:t>
      </w:r>
      <w:r w:rsidR="003F63E0" w:rsidRPr="00C67267">
        <w:rPr>
          <w:rFonts w:ascii="Arial" w:hAnsi="Arial" w:cs="Arial"/>
          <w:color w:val="auto"/>
          <w:sz w:val="24"/>
          <w:szCs w:val="24"/>
          <w:lang w:val="en-AU"/>
        </w:rPr>
        <w:t>was practically impossible</w:t>
      </w:r>
      <w:r w:rsidRPr="00C67267">
        <w:rPr>
          <w:rFonts w:ascii="Arial" w:hAnsi="Arial" w:cs="Arial"/>
          <w:color w:val="auto"/>
          <w:sz w:val="24"/>
          <w:szCs w:val="24"/>
          <w:lang w:val="en-AU"/>
        </w:rPr>
        <w:t>. For the vast majority of cases we can conclude that the increase of this population really corresponds to false multinationals.</w:t>
      </w:r>
    </w:p>
    <w:p w:rsidR="00B73CEB" w:rsidRPr="00C67267" w:rsidRDefault="00B73CEB" w:rsidP="00E54D5D">
      <w:pPr>
        <w:pStyle w:val="Prrafodelista"/>
        <w:numPr>
          <w:ilvl w:val="0"/>
          <w:numId w:val="46"/>
        </w:numPr>
        <w:pBdr>
          <w:top w:val="none" w:sz="0" w:space="0" w:color="auto"/>
          <w:left w:val="none" w:sz="0" w:space="0" w:color="auto"/>
          <w:bottom w:val="none" w:sz="0" w:space="0" w:color="auto"/>
          <w:right w:val="none" w:sz="0" w:space="0" w:color="auto"/>
          <w:between w:val="none" w:sz="0" w:space="0" w:color="auto"/>
        </w:pBdr>
        <w:spacing w:before="120" w:after="0" w:line="360" w:lineRule="auto"/>
        <w:ind w:hanging="227"/>
        <w:jc w:val="both"/>
        <w:rPr>
          <w:rFonts w:ascii="Arial" w:hAnsi="Arial" w:cs="Arial"/>
          <w:sz w:val="24"/>
          <w:szCs w:val="24"/>
          <w:lang w:val="en-US"/>
        </w:rPr>
      </w:pPr>
      <w:r w:rsidRPr="00C67267">
        <w:rPr>
          <w:rFonts w:ascii="Arial" w:hAnsi="Arial" w:cs="Arial"/>
          <w:sz w:val="24"/>
          <w:szCs w:val="24"/>
          <w:lang w:val="en-US"/>
        </w:rPr>
        <w:t xml:space="preserve">Regarding the figures presented in the table, the most important units classified in the NBR as </w:t>
      </w:r>
      <w:r w:rsidRPr="00C67267">
        <w:rPr>
          <w:rFonts w:ascii="Arial" w:hAnsi="Arial" w:cs="Arial"/>
          <w:i/>
          <w:sz w:val="24"/>
          <w:szCs w:val="24"/>
          <w:lang w:val="en-US"/>
        </w:rPr>
        <w:t>independent and active</w:t>
      </w:r>
      <w:r w:rsidRPr="00C67267">
        <w:rPr>
          <w:rFonts w:ascii="Arial" w:hAnsi="Arial" w:cs="Arial"/>
          <w:sz w:val="24"/>
          <w:szCs w:val="24"/>
          <w:lang w:val="en-US"/>
        </w:rPr>
        <w:t xml:space="preserve">, were investigated in terms of employment. Specifically, </w:t>
      </w:r>
      <w:r w:rsidR="000F3719">
        <w:rPr>
          <w:rFonts w:ascii="Arial" w:hAnsi="Arial" w:cs="Arial"/>
          <w:sz w:val="24"/>
          <w:szCs w:val="24"/>
          <w:lang w:val="en-US"/>
        </w:rPr>
        <w:t>86</w:t>
      </w:r>
      <w:r w:rsidRPr="00C67267">
        <w:rPr>
          <w:rFonts w:ascii="Arial" w:hAnsi="Arial" w:cs="Arial"/>
          <w:sz w:val="24"/>
          <w:szCs w:val="24"/>
          <w:lang w:val="en-US"/>
        </w:rPr>
        <w:t xml:space="preserve"> legal units with more than 50 employees were subject to evaluation:</w:t>
      </w:r>
    </w:p>
    <w:p w:rsidR="00B73CEB" w:rsidRPr="00C67267" w:rsidRDefault="00B73CEB" w:rsidP="00E54D5D">
      <w:pPr>
        <w:pStyle w:val="Prrafodelista"/>
        <w:numPr>
          <w:ilvl w:val="1"/>
          <w:numId w:val="47"/>
        </w:numPr>
        <w:pBdr>
          <w:top w:val="none" w:sz="0" w:space="0" w:color="auto"/>
          <w:left w:val="none" w:sz="0" w:space="0" w:color="auto"/>
          <w:bottom w:val="none" w:sz="0" w:space="0" w:color="auto"/>
          <w:right w:val="none" w:sz="0" w:space="0" w:color="auto"/>
          <w:between w:val="none" w:sz="0" w:space="0" w:color="auto"/>
        </w:pBdr>
        <w:spacing w:before="120" w:after="0" w:line="360" w:lineRule="auto"/>
        <w:ind w:left="624" w:hanging="227"/>
        <w:jc w:val="both"/>
        <w:rPr>
          <w:rFonts w:ascii="Arial" w:hAnsi="Arial" w:cs="Arial"/>
          <w:sz w:val="24"/>
          <w:szCs w:val="24"/>
          <w:lang w:val="en-US"/>
        </w:rPr>
      </w:pPr>
      <w:r w:rsidRPr="00C67267">
        <w:rPr>
          <w:rFonts w:ascii="Arial" w:hAnsi="Arial" w:cs="Arial"/>
          <w:sz w:val="24"/>
          <w:szCs w:val="24"/>
          <w:lang w:val="en-US"/>
        </w:rPr>
        <w:t xml:space="preserve">For </w:t>
      </w:r>
      <w:r w:rsidR="000F3719">
        <w:rPr>
          <w:rFonts w:ascii="Arial" w:hAnsi="Arial" w:cs="Arial"/>
          <w:sz w:val="24"/>
          <w:szCs w:val="24"/>
          <w:lang w:val="en-US"/>
        </w:rPr>
        <w:t>3</w:t>
      </w:r>
      <w:r w:rsidRPr="00C67267">
        <w:rPr>
          <w:rFonts w:ascii="Arial" w:hAnsi="Arial" w:cs="Arial"/>
          <w:sz w:val="24"/>
          <w:szCs w:val="24"/>
          <w:lang w:val="en-US"/>
        </w:rPr>
        <w:t xml:space="preserve">0% of the units, the presence of subsidiaries exclusively out of Spain was verified. This can be explained by a restriction in the design of our national system of groups, which is based </w:t>
      </w:r>
      <w:r w:rsidR="003F63E0">
        <w:rPr>
          <w:rFonts w:ascii="Arial" w:hAnsi="Arial" w:cs="Arial"/>
          <w:sz w:val="24"/>
          <w:szCs w:val="24"/>
          <w:lang w:val="en-US"/>
        </w:rPr>
        <w:t>on</w:t>
      </w:r>
      <w:r w:rsidRPr="00C67267">
        <w:rPr>
          <w:rFonts w:ascii="Arial" w:hAnsi="Arial" w:cs="Arial"/>
          <w:sz w:val="24"/>
          <w:szCs w:val="24"/>
          <w:lang w:val="en-US"/>
        </w:rPr>
        <w:t xml:space="preserve"> bottom</w:t>
      </w:r>
      <w:r w:rsidR="003F63E0">
        <w:rPr>
          <w:rFonts w:ascii="Arial" w:hAnsi="Arial" w:cs="Arial"/>
          <w:sz w:val="24"/>
          <w:szCs w:val="24"/>
          <w:lang w:val="en-US"/>
        </w:rPr>
        <w:t>-</w:t>
      </w:r>
      <w:r w:rsidRPr="00C67267">
        <w:rPr>
          <w:rFonts w:ascii="Arial" w:hAnsi="Arial" w:cs="Arial"/>
          <w:sz w:val="24"/>
          <w:szCs w:val="24"/>
          <w:lang w:val="en-US"/>
        </w:rPr>
        <w:t xml:space="preserve">up relationships.  The incorporation of all these structures in the NBR will be considered as a core element </w:t>
      </w:r>
      <w:r w:rsidR="003F63E0">
        <w:rPr>
          <w:rFonts w:ascii="Arial" w:hAnsi="Arial" w:cs="Arial"/>
          <w:sz w:val="24"/>
          <w:szCs w:val="24"/>
          <w:lang w:val="en-US"/>
        </w:rPr>
        <w:t>f</w:t>
      </w:r>
      <w:r w:rsidRPr="00C67267">
        <w:rPr>
          <w:rFonts w:ascii="Arial" w:hAnsi="Arial" w:cs="Arial"/>
          <w:sz w:val="24"/>
          <w:szCs w:val="24"/>
          <w:lang w:val="en-US"/>
        </w:rPr>
        <w:t>o</w:t>
      </w:r>
      <w:r w:rsidR="003F63E0">
        <w:rPr>
          <w:rFonts w:ascii="Arial" w:hAnsi="Arial" w:cs="Arial"/>
          <w:sz w:val="24"/>
          <w:szCs w:val="24"/>
          <w:lang w:val="en-US"/>
        </w:rPr>
        <w:t>r</w:t>
      </w:r>
      <w:r w:rsidRPr="00C67267">
        <w:rPr>
          <w:rFonts w:ascii="Arial" w:hAnsi="Arial" w:cs="Arial"/>
          <w:sz w:val="24"/>
          <w:szCs w:val="24"/>
          <w:lang w:val="en-US"/>
        </w:rPr>
        <w:t xml:space="preserve"> improvement</w:t>
      </w:r>
    </w:p>
    <w:p w:rsidR="00B73CEB" w:rsidRPr="00C67267" w:rsidRDefault="00B73CEB" w:rsidP="00E54D5D">
      <w:pPr>
        <w:pStyle w:val="Prrafodelista"/>
        <w:numPr>
          <w:ilvl w:val="1"/>
          <w:numId w:val="47"/>
        </w:numPr>
        <w:pBdr>
          <w:top w:val="none" w:sz="0" w:space="0" w:color="auto"/>
          <w:left w:val="none" w:sz="0" w:space="0" w:color="auto"/>
          <w:bottom w:val="none" w:sz="0" w:space="0" w:color="auto"/>
          <w:right w:val="none" w:sz="0" w:space="0" w:color="auto"/>
          <w:between w:val="none" w:sz="0" w:space="0" w:color="auto"/>
        </w:pBdr>
        <w:spacing w:before="120" w:after="0" w:line="360" w:lineRule="auto"/>
        <w:ind w:left="624" w:hanging="227"/>
        <w:jc w:val="both"/>
        <w:rPr>
          <w:rFonts w:ascii="Arial" w:hAnsi="Arial" w:cs="Arial"/>
          <w:sz w:val="24"/>
          <w:szCs w:val="24"/>
          <w:lang w:val="en-US"/>
        </w:rPr>
      </w:pPr>
      <w:r w:rsidRPr="00C67267">
        <w:rPr>
          <w:rFonts w:ascii="Arial" w:hAnsi="Arial" w:cs="Arial"/>
          <w:sz w:val="24"/>
          <w:szCs w:val="24"/>
          <w:lang w:val="en-US"/>
        </w:rPr>
        <w:t xml:space="preserve">For </w:t>
      </w:r>
      <w:r w:rsidR="000F3719">
        <w:rPr>
          <w:rFonts w:ascii="Arial" w:hAnsi="Arial" w:cs="Arial"/>
          <w:sz w:val="24"/>
          <w:szCs w:val="24"/>
          <w:lang w:val="en-US"/>
        </w:rPr>
        <w:t>18</w:t>
      </w:r>
      <w:r w:rsidRPr="00C67267">
        <w:rPr>
          <w:rFonts w:ascii="Arial" w:hAnsi="Arial" w:cs="Arial"/>
          <w:sz w:val="24"/>
          <w:szCs w:val="24"/>
          <w:lang w:val="en-US"/>
        </w:rPr>
        <w:t>% of the units, the presence of resident and foreign subsidiaries was confirmed. In a small number of cases, the Spanish subsidiaries were created very recently, after the reference year of the sources</w:t>
      </w:r>
    </w:p>
    <w:p w:rsidR="00B73CEB" w:rsidRPr="00867414" w:rsidRDefault="00867414" w:rsidP="00876A55">
      <w:pPr>
        <w:pStyle w:val="Prrafodelista"/>
        <w:numPr>
          <w:ilvl w:val="1"/>
          <w:numId w:val="47"/>
        </w:numPr>
        <w:pBdr>
          <w:top w:val="none" w:sz="0" w:space="0" w:color="auto"/>
          <w:left w:val="none" w:sz="0" w:space="0" w:color="auto"/>
          <w:bottom w:val="none" w:sz="0" w:space="0" w:color="auto"/>
          <w:right w:val="none" w:sz="0" w:space="0" w:color="auto"/>
          <w:between w:val="none" w:sz="0" w:space="0" w:color="auto"/>
        </w:pBdr>
        <w:spacing w:before="120" w:after="0" w:line="360" w:lineRule="auto"/>
        <w:ind w:left="624" w:hanging="227"/>
        <w:jc w:val="both"/>
        <w:rPr>
          <w:rFonts w:ascii="Arial" w:hAnsi="Arial" w:cs="Arial"/>
          <w:sz w:val="24"/>
          <w:szCs w:val="24"/>
          <w:lang w:val="en-US"/>
        </w:rPr>
      </w:pPr>
      <w:r w:rsidRPr="00867414">
        <w:rPr>
          <w:rFonts w:ascii="Arial" w:hAnsi="Arial" w:cs="Arial"/>
          <w:sz w:val="24"/>
          <w:szCs w:val="24"/>
          <w:lang w:val="en-US"/>
        </w:rPr>
        <w:t>For the remaining units</w:t>
      </w:r>
      <w:r>
        <w:rPr>
          <w:rFonts w:ascii="Arial" w:hAnsi="Arial" w:cs="Arial"/>
          <w:sz w:val="24"/>
          <w:szCs w:val="24"/>
          <w:lang w:val="en-US"/>
        </w:rPr>
        <w:t>,</w:t>
      </w:r>
      <w:r w:rsidRPr="00867414">
        <w:rPr>
          <w:rFonts w:ascii="Arial" w:hAnsi="Arial" w:cs="Arial"/>
          <w:sz w:val="24"/>
          <w:szCs w:val="24"/>
          <w:lang w:val="en-US"/>
        </w:rPr>
        <w:t xml:space="preserve"> any evidence of belonging to </w:t>
      </w:r>
      <w:r>
        <w:rPr>
          <w:rFonts w:ascii="Arial" w:hAnsi="Arial" w:cs="Arial"/>
          <w:sz w:val="24"/>
          <w:szCs w:val="24"/>
          <w:lang w:val="en-US"/>
        </w:rPr>
        <w:t xml:space="preserve">enterprise </w:t>
      </w:r>
      <w:r w:rsidRPr="00867414">
        <w:rPr>
          <w:rFonts w:ascii="Arial" w:hAnsi="Arial" w:cs="Arial"/>
          <w:sz w:val="24"/>
          <w:szCs w:val="24"/>
          <w:lang w:val="en-US"/>
        </w:rPr>
        <w:t>groups was found</w:t>
      </w:r>
      <w:r w:rsidR="00B73CEB" w:rsidRPr="00867414">
        <w:rPr>
          <w:rFonts w:ascii="Arial" w:hAnsi="Arial" w:cs="Arial"/>
          <w:sz w:val="24"/>
          <w:szCs w:val="24"/>
          <w:lang w:val="en-US"/>
        </w:rPr>
        <w:t xml:space="preserve">  </w:t>
      </w:r>
    </w:p>
    <w:p w:rsidR="00B73CEB" w:rsidRPr="00DE0E5F" w:rsidRDefault="00B73CEB" w:rsidP="00B73CEB">
      <w:pPr>
        <w:pStyle w:val="Prrafodelista"/>
        <w:numPr>
          <w:ilvl w:val="0"/>
          <w:numId w:val="30"/>
        </w:numPr>
        <w:spacing w:before="360" w:after="0" w:line="360" w:lineRule="auto"/>
        <w:rPr>
          <w:rFonts w:ascii="Arial" w:eastAsia="Times New Roman" w:hAnsi="Arial" w:cs="Arial"/>
          <w:b/>
          <w:sz w:val="24"/>
          <w:szCs w:val="24"/>
        </w:rPr>
      </w:pPr>
      <w:r w:rsidRPr="00DE0E5F">
        <w:rPr>
          <w:rFonts w:ascii="Arial" w:eastAsia="Times New Roman" w:hAnsi="Arial" w:cs="Arial"/>
          <w:b/>
          <w:sz w:val="24"/>
          <w:szCs w:val="24"/>
        </w:rPr>
        <w:t xml:space="preserve">Final remarks  </w:t>
      </w:r>
    </w:p>
    <w:p w:rsidR="00B73CEB" w:rsidRPr="00DE0E5F" w:rsidRDefault="00B73CEB" w:rsidP="00B73CEB">
      <w:pPr>
        <w:spacing w:before="120" w:after="0" w:line="360" w:lineRule="auto"/>
        <w:jc w:val="both"/>
        <w:rPr>
          <w:rFonts w:ascii="Arial" w:hAnsi="Arial" w:cs="Arial"/>
          <w:color w:val="auto"/>
          <w:sz w:val="24"/>
          <w:szCs w:val="24"/>
          <w:lang w:val="en-US"/>
        </w:rPr>
      </w:pPr>
      <w:r w:rsidRPr="00DE0E5F">
        <w:rPr>
          <w:rFonts w:ascii="Arial" w:hAnsi="Arial" w:cs="Arial"/>
          <w:color w:val="auto"/>
          <w:sz w:val="24"/>
          <w:szCs w:val="24"/>
          <w:lang w:val="en-US"/>
        </w:rPr>
        <w:t xml:space="preserve">This report describes some actions performed by the Spanish NSI in the scope of Quality management linked to the ESBRs system. Their implementation has produced several Q-indicators, aiming to enrich the European initiatives currently adopted. </w:t>
      </w:r>
    </w:p>
    <w:p w:rsidR="00B73CEB" w:rsidRPr="00DE0E5F" w:rsidRDefault="00B73CEB" w:rsidP="00B73CEB">
      <w:pPr>
        <w:pBdr>
          <w:top w:val="none" w:sz="0" w:space="0" w:color="auto"/>
          <w:left w:val="none" w:sz="0" w:space="0" w:color="auto"/>
          <w:bottom w:val="none" w:sz="0" w:space="0" w:color="auto"/>
          <w:right w:val="none" w:sz="0" w:space="0" w:color="auto"/>
          <w:between w:val="none" w:sz="0" w:space="0" w:color="auto"/>
        </w:pBdr>
        <w:spacing w:before="120" w:after="0" w:line="360" w:lineRule="auto"/>
        <w:contextualSpacing/>
        <w:jc w:val="both"/>
        <w:textAlignment w:val="baseline"/>
        <w:rPr>
          <w:rFonts w:ascii="Arial" w:eastAsia="Times New Roman" w:hAnsi="Arial" w:cs="Arial"/>
          <w:color w:val="auto"/>
          <w:sz w:val="24"/>
          <w:szCs w:val="24"/>
          <w:lang w:val="en-US"/>
        </w:rPr>
      </w:pPr>
      <w:r w:rsidRPr="00DE0E5F">
        <w:rPr>
          <w:rFonts w:ascii="Arial" w:hAnsi="Arial" w:cs="Arial"/>
          <w:color w:val="auto"/>
          <w:sz w:val="24"/>
          <w:szCs w:val="24"/>
          <w:lang w:val="en-US"/>
        </w:rPr>
        <w:t>This statistical basis can also serve as an opportunity to identify new areas for improvement</w:t>
      </w:r>
      <w:r w:rsidR="00713462">
        <w:rPr>
          <w:rFonts w:ascii="Arial" w:hAnsi="Arial" w:cs="Arial"/>
          <w:color w:val="auto"/>
          <w:sz w:val="24"/>
          <w:szCs w:val="24"/>
          <w:lang w:val="en-US"/>
        </w:rPr>
        <w:t>; furthermore t</w:t>
      </w:r>
      <w:r w:rsidRPr="00DE0E5F">
        <w:rPr>
          <w:rFonts w:ascii="Arial" w:eastAsiaTheme="minorEastAsia" w:hAnsi="Arial" w:cs="Arial"/>
          <w:bCs/>
          <w:color w:val="auto"/>
          <w:kern w:val="24"/>
          <w:sz w:val="24"/>
          <w:szCs w:val="24"/>
        </w:rPr>
        <w:t xml:space="preserve">he consistency in the network of business registers </w:t>
      </w:r>
      <w:r w:rsidR="00713462">
        <w:rPr>
          <w:rFonts w:ascii="Arial" w:eastAsiaTheme="minorEastAsia" w:hAnsi="Arial" w:cs="Arial"/>
          <w:bCs/>
          <w:color w:val="auto"/>
          <w:kern w:val="24"/>
          <w:sz w:val="24"/>
          <w:szCs w:val="24"/>
        </w:rPr>
        <w:t xml:space="preserve">will be </w:t>
      </w:r>
      <w:r w:rsidRPr="00DE0E5F">
        <w:rPr>
          <w:rFonts w:ascii="Arial" w:eastAsiaTheme="minorEastAsia" w:hAnsi="Arial" w:cs="Arial"/>
          <w:bCs/>
          <w:color w:val="auto"/>
          <w:kern w:val="24"/>
          <w:sz w:val="24"/>
          <w:szCs w:val="24"/>
        </w:rPr>
        <w:t xml:space="preserve">properly evaluated. </w:t>
      </w:r>
    </w:p>
    <w:p w:rsidR="00B73CEB" w:rsidRPr="00DE0E5F" w:rsidRDefault="00B73CEB" w:rsidP="00B73CEB">
      <w:pPr>
        <w:spacing w:before="120" w:after="0" w:line="360" w:lineRule="auto"/>
        <w:jc w:val="both"/>
        <w:rPr>
          <w:rFonts w:ascii="Arial" w:hAnsi="Arial" w:cs="Arial"/>
          <w:color w:val="auto"/>
          <w:sz w:val="24"/>
          <w:szCs w:val="24"/>
          <w:lang w:val="en-US"/>
        </w:rPr>
      </w:pPr>
      <w:r w:rsidRPr="00DE0E5F">
        <w:rPr>
          <w:rFonts w:ascii="Arial" w:hAnsi="Arial" w:cs="Arial"/>
          <w:color w:val="auto"/>
          <w:sz w:val="24"/>
          <w:szCs w:val="24"/>
          <w:lang w:val="en-US"/>
        </w:rPr>
        <w:t xml:space="preserve">The quantification of discrepancies has been complemented with several components of analysis. Among the possibilities, our preferred option focused on identifying the main reasons for their appearance and the study of potential gains </w:t>
      </w:r>
      <w:r w:rsidR="003F63E0">
        <w:rPr>
          <w:rFonts w:ascii="Arial" w:hAnsi="Arial" w:cs="Arial"/>
          <w:color w:val="auto"/>
          <w:sz w:val="24"/>
          <w:szCs w:val="24"/>
          <w:lang w:val="en-US"/>
        </w:rPr>
        <w:t>in</w:t>
      </w:r>
      <w:r w:rsidRPr="00DE0E5F">
        <w:rPr>
          <w:rFonts w:ascii="Arial" w:hAnsi="Arial" w:cs="Arial"/>
          <w:color w:val="auto"/>
          <w:sz w:val="24"/>
          <w:szCs w:val="24"/>
          <w:lang w:val="en-US"/>
        </w:rPr>
        <w:t xml:space="preserve"> accuracy. </w:t>
      </w:r>
    </w:p>
    <w:p w:rsidR="00B73CEB" w:rsidRPr="00DE0E5F" w:rsidRDefault="00B73CEB" w:rsidP="00B73CEB">
      <w:pPr>
        <w:spacing w:before="120" w:after="0" w:line="360" w:lineRule="auto"/>
        <w:jc w:val="both"/>
        <w:rPr>
          <w:rFonts w:ascii="Arial" w:hAnsi="Arial" w:cs="Arial"/>
          <w:bCs/>
          <w:color w:val="auto"/>
          <w:sz w:val="24"/>
          <w:szCs w:val="24"/>
          <w:lang w:val="en-AU"/>
        </w:rPr>
      </w:pPr>
      <w:r w:rsidRPr="00DE0E5F">
        <w:rPr>
          <w:rFonts w:ascii="Arial" w:hAnsi="Arial" w:cs="Arial"/>
          <w:color w:val="auto"/>
          <w:sz w:val="24"/>
          <w:szCs w:val="24"/>
          <w:lang w:val="en-AU"/>
        </w:rPr>
        <w:t>For these purposes, a desktop operation designed inside the BR Unit was carried out. Sources like web pages and other specialized stores of official information were used for data collection. Qualitative information included in financial statements</w:t>
      </w:r>
      <w:r w:rsidR="00713462">
        <w:rPr>
          <w:rFonts w:ascii="Arial" w:hAnsi="Arial" w:cs="Arial"/>
          <w:color w:val="auto"/>
          <w:sz w:val="24"/>
          <w:szCs w:val="24"/>
          <w:lang w:val="en-AU"/>
        </w:rPr>
        <w:t xml:space="preserve"> or </w:t>
      </w:r>
      <w:r w:rsidRPr="00DE0E5F">
        <w:rPr>
          <w:rFonts w:ascii="Arial" w:hAnsi="Arial" w:cs="Arial"/>
          <w:color w:val="auto"/>
          <w:sz w:val="24"/>
          <w:szCs w:val="24"/>
          <w:lang w:val="en-AU"/>
        </w:rPr>
        <w:t xml:space="preserve">tax </w:t>
      </w:r>
      <w:r w:rsidR="003F63E0">
        <w:rPr>
          <w:rFonts w:ascii="Arial" w:hAnsi="Arial" w:cs="Arial"/>
          <w:color w:val="auto"/>
          <w:sz w:val="24"/>
          <w:szCs w:val="24"/>
          <w:lang w:val="en-AU"/>
        </w:rPr>
        <w:t>returns</w:t>
      </w:r>
      <w:r w:rsidR="00713462">
        <w:rPr>
          <w:rFonts w:ascii="Arial" w:hAnsi="Arial" w:cs="Arial"/>
          <w:color w:val="auto"/>
          <w:sz w:val="24"/>
          <w:szCs w:val="24"/>
          <w:lang w:val="en-AU"/>
        </w:rPr>
        <w:t xml:space="preserve"> was</w:t>
      </w:r>
      <w:r w:rsidRPr="00DE0E5F">
        <w:rPr>
          <w:rFonts w:ascii="Arial" w:hAnsi="Arial" w:cs="Arial"/>
          <w:color w:val="auto"/>
          <w:sz w:val="24"/>
          <w:szCs w:val="24"/>
          <w:lang w:val="en-AU"/>
        </w:rPr>
        <w:t xml:space="preserve"> </w:t>
      </w:r>
      <w:r w:rsidR="00713462">
        <w:rPr>
          <w:rFonts w:ascii="Arial" w:hAnsi="Arial" w:cs="Arial"/>
          <w:color w:val="auto"/>
          <w:sz w:val="24"/>
          <w:szCs w:val="24"/>
          <w:lang w:val="en-AU"/>
        </w:rPr>
        <w:t xml:space="preserve">critical </w:t>
      </w:r>
      <w:r w:rsidRPr="00DE0E5F">
        <w:rPr>
          <w:rFonts w:ascii="Arial" w:hAnsi="Arial" w:cs="Arial"/>
          <w:color w:val="auto"/>
          <w:sz w:val="24"/>
          <w:szCs w:val="24"/>
          <w:lang w:val="en-AU"/>
        </w:rPr>
        <w:t xml:space="preserve">for this analysis. </w:t>
      </w:r>
      <w:r w:rsidRPr="00DE0E5F">
        <w:rPr>
          <w:rFonts w:ascii="Arial" w:hAnsi="Arial" w:cs="Arial"/>
          <w:bCs/>
          <w:color w:val="auto"/>
          <w:sz w:val="24"/>
          <w:szCs w:val="24"/>
          <w:lang w:val="en-AU"/>
        </w:rPr>
        <w:t xml:space="preserve"> </w:t>
      </w:r>
    </w:p>
    <w:p w:rsidR="00B73CEB" w:rsidRPr="00C67267" w:rsidRDefault="00B73CEB" w:rsidP="00E67043">
      <w:pPr>
        <w:spacing w:before="120" w:after="0" w:line="360" w:lineRule="auto"/>
        <w:jc w:val="both"/>
        <w:rPr>
          <w:rFonts w:ascii="Arial" w:hAnsi="Arial" w:cs="Arial"/>
          <w:bCs/>
          <w:color w:val="auto"/>
          <w:sz w:val="24"/>
          <w:szCs w:val="24"/>
        </w:rPr>
      </w:pPr>
      <w:r w:rsidRPr="00DE0E5F">
        <w:rPr>
          <w:rFonts w:ascii="Arial" w:hAnsi="Arial" w:cs="Arial"/>
          <w:bCs/>
          <w:color w:val="auto"/>
          <w:sz w:val="24"/>
          <w:szCs w:val="24"/>
        </w:rPr>
        <w:t xml:space="preserve">The replication of this experience in other NSIs would be highly desirable. </w:t>
      </w:r>
      <w:r w:rsidR="003F63E0">
        <w:rPr>
          <w:rFonts w:ascii="Arial" w:hAnsi="Arial" w:cs="Arial"/>
          <w:bCs/>
          <w:color w:val="auto"/>
          <w:sz w:val="24"/>
          <w:szCs w:val="24"/>
        </w:rPr>
        <w:t xml:space="preserve">In our view, </w:t>
      </w:r>
      <w:r w:rsidRPr="00DE0E5F">
        <w:rPr>
          <w:rFonts w:ascii="Arial" w:hAnsi="Arial" w:cs="Arial"/>
          <w:bCs/>
          <w:color w:val="auto"/>
          <w:sz w:val="24"/>
          <w:szCs w:val="24"/>
        </w:rPr>
        <w:t>the presence of heterogeneous results across countries</w:t>
      </w:r>
      <w:r w:rsidR="003F63E0">
        <w:rPr>
          <w:rFonts w:ascii="Arial" w:hAnsi="Arial" w:cs="Arial"/>
          <w:bCs/>
          <w:color w:val="auto"/>
          <w:sz w:val="24"/>
          <w:szCs w:val="24"/>
        </w:rPr>
        <w:t xml:space="preserve"> is highly probable, </w:t>
      </w:r>
      <w:r w:rsidR="00E67043">
        <w:rPr>
          <w:rFonts w:ascii="Arial" w:hAnsi="Arial" w:cs="Arial"/>
          <w:bCs/>
          <w:color w:val="auto"/>
          <w:sz w:val="24"/>
          <w:szCs w:val="24"/>
        </w:rPr>
        <w:t>because n</w:t>
      </w:r>
      <w:r w:rsidRPr="00C67267">
        <w:rPr>
          <w:rFonts w:ascii="Arial" w:hAnsi="Arial" w:cs="Arial"/>
          <w:bCs/>
          <w:color w:val="auto"/>
          <w:sz w:val="24"/>
          <w:szCs w:val="24"/>
        </w:rPr>
        <w:t>ot all national economies are in the same level of globalization</w:t>
      </w:r>
      <w:r w:rsidR="00E67043">
        <w:rPr>
          <w:rFonts w:ascii="Arial" w:hAnsi="Arial" w:cs="Arial"/>
          <w:bCs/>
          <w:color w:val="auto"/>
          <w:sz w:val="24"/>
          <w:szCs w:val="24"/>
        </w:rPr>
        <w:t xml:space="preserve"> and i</w:t>
      </w:r>
      <w:r w:rsidRPr="00C67267">
        <w:rPr>
          <w:rFonts w:ascii="Arial" w:hAnsi="Arial" w:cs="Arial"/>
          <w:bCs/>
          <w:color w:val="auto"/>
          <w:sz w:val="24"/>
          <w:szCs w:val="24"/>
        </w:rPr>
        <w:t>nteractions of third countries can highly influence in the discrepancies</w:t>
      </w:r>
    </w:p>
    <w:p w:rsidR="00B73CEB" w:rsidRPr="00DE0E5F" w:rsidRDefault="00B73CEB" w:rsidP="00B73CEB">
      <w:pPr>
        <w:spacing w:before="120" w:after="0" w:line="360" w:lineRule="auto"/>
        <w:jc w:val="both"/>
        <w:rPr>
          <w:rFonts w:ascii="Arial" w:hAnsi="Arial" w:cs="Arial"/>
          <w:bCs/>
          <w:color w:val="auto"/>
          <w:sz w:val="24"/>
          <w:szCs w:val="24"/>
        </w:rPr>
      </w:pPr>
      <w:r w:rsidRPr="00DE0E5F">
        <w:rPr>
          <w:rFonts w:ascii="Arial" w:hAnsi="Arial" w:cs="Arial"/>
          <w:bCs/>
          <w:color w:val="auto"/>
          <w:sz w:val="24"/>
          <w:szCs w:val="24"/>
        </w:rPr>
        <w:t xml:space="preserve">The availability of a </w:t>
      </w:r>
      <w:r w:rsidR="003F63E0">
        <w:rPr>
          <w:rFonts w:ascii="Arial" w:hAnsi="Arial" w:cs="Arial"/>
          <w:bCs/>
          <w:color w:val="auto"/>
          <w:sz w:val="24"/>
          <w:szCs w:val="24"/>
        </w:rPr>
        <w:t xml:space="preserve">set of </w:t>
      </w:r>
      <w:r w:rsidRPr="00DE0E5F">
        <w:rPr>
          <w:rFonts w:ascii="Arial" w:hAnsi="Arial" w:cs="Arial"/>
          <w:bCs/>
          <w:color w:val="auto"/>
          <w:sz w:val="24"/>
          <w:szCs w:val="24"/>
        </w:rPr>
        <w:t xml:space="preserve">multi country indicators should be considered as a </w:t>
      </w:r>
      <w:r w:rsidRPr="00DE0E5F">
        <w:rPr>
          <w:rFonts w:ascii="Arial" w:hAnsi="Arial" w:cs="Arial"/>
          <w:bCs/>
          <w:i/>
          <w:color w:val="auto"/>
          <w:sz w:val="24"/>
          <w:szCs w:val="24"/>
        </w:rPr>
        <w:t>good practice</w:t>
      </w:r>
      <w:r w:rsidRPr="00DE0E5F">
        <w:rPr>
          <w:rFonts w:ascii="Arial" w:hAnsi="Arial" w:cs="Arial"/>
          <w:bCs/>
          <w:color w:val="auto"/>
          <w:sz w:val="24"/>
          <w:szCs w:val="24"/>
        </w:rPr>
        <w:t xml:space="preserve">. Its contribution would be useful in many steps of the EGR cycle. Initially, an improved </w:t>
      </w:r>
      <w:r w:rsidRPr="00DE0E5F">
        <w:rPr>
          <w:rFonts w:ascii="Arial" w:hAnsi="Arial" w:cs="Arial"/>
          <w:color w:val="auto"/>
          <w:sz w:val="24"/>
          <w:szCs w:val="24"/>
          <w:lang w:val="en-US"/>
        </w:rPr>
        <w:t xml:space="preserve">procedure for data extraction in national environments could be designed. In the final steps, this </w:t>
      </w:r>
      <w:r w:rsidR="00713462">
        <w:rPr>
          <w:rFonts w:ascii="Arial" w:hAnsi="Arial" w:cs="Arial"/>
          <w:color w:val="auto"/>
          <w:sz w:val="24"/>
          <w:szCs w:val="24"/>
          <w:lang w:val="en-US"/>
        </w:rPr>
        <w:t xml:space="preserve">indicators </w:t>
      </w:r>
      <w:r w:rsidRPr="00DE0E5F">
        <w:rPr>
          <w:rFonts w:ascii="Arial" w:hAnsi="Arial" w:cs="Arial"/>
          <w:color w:val="auto"/>
          <w:sz w:val="24"/>
          <w:szCs w:val="24"/>
          <w:lang w:val="en-US"/>
        </w:rPr>
        <w:t xml:space="preserve">would also serve for </w:t>
      </w:r>
      <w:r w:rsidR="00713462">
        <w:rPr>
          <w:rFonts w:ascii="Arial" w:hAnsi="Arial" w:cs="Arial"/>
          <w:color w:val="auto"/>
          <w:sz w:val="24"/>
          <w:szCs w:val="24"/>
          <w:lang w:val="en-US"/>
        </w:rPr>
        <w:t xml:space="preserve">a proper </w:t>
      </w:r>
      <w:r w:rsidRPr="00DE0E5F">
        <w:rPr>
          <w:rFonts w:ascii="Arial" w:hAnsi="Arial" w:cs="Arial"/>
          <w:bCs/>
          <w:color w:val="auto"/>
          <w:sz w:val="24"/>
          <w:szCs w:val="24"/>
        </w:rPr>
        <w:t xml:space="preserve">delimitation the </w:t>
      </w:r>
      <w:r w:rsidR="00713462">
        <w:rPr>
          <w:rFonts w:ascii="Arial" w:hAnsi="Arial" w:cs="Arial"/>
          <w:bCs/>
          <w:color w:val="auto"/>
          <w:sz w:val="24"/>
          <w:szCs w:val="24"/>
        </w:rPr>
        <w:t>t</w:t>
      </w:r>
      <w:r w:rsidRPr="00DE0E5F">
        <w:rPr>
          <w:rFonts w:ascii="Arial" w:hAnsi="Arial" w:cs="Arial"/>
          <w:bCs/>
          <w:color w:val="auto"/>
          <w:sz w:val="24"/>
          <w:szCs w:val="24"/>
        </w:rPr>
        <w:t xml:space="preserve">arget EGR Population. Some practical situations </w:t>
      </w:r>
      <w:r w:rsidR="00713462">
        <w:rPr>
          <w:rFonts w:ascii="Arial" w:hAnsi="Arial" w:cs="Arial"/>
          <w:bCs/>
          <w:color w:val="auto"/>
          <w:sz w:val="24"/>
          <w:szCs w:val="24"/>
        </w:rPr>
        <w:t>to consider</w:t>
      </w:r>
      <w:r w:rsidRPr="00DE0E5F">
        <w:rPr>
          <w:rFonts w:ascii="Arial" w:hAnsi="Arial" w:cs="Arial"/>
          <w:bCs/>
          <w:color w:val="auto"/>
          <w:sz w:val="24"/>
          <w:szCs w:val="24"/>
        </w:rPr>
        <w:t>:</w:t>
      </w:r>
    </w:p>
    <w:p w:rsidR="00B73CEB" w:rsidRPr="00C67267" w:rsidRDefault="00B73CEB" w:rsidP="00E54D5D">
      <w:pPr>
        <w:pStyle w:val="Prrafodelista"/>
        <w:numPr>
          <w:ilvl w:val="0"/>
          <w:numId w:val="50"/>
        </w:numPr>
        <w:spacing w:before="120" w:after="0" w:line="360" w:lineRule="auto"/>
        <w:ind w:left="227" w:hanging="227"/>
        <w:jc w:val="both"/>
        <w:rPr>
          <w:rFonts w:ascii="Arial" w:hAnsi="Arial" w:cs="Arial"/>
          <w:bCs/>
          <w:color w:val="auto"/>
          <w:sz w:val="24"/>
          <w:szCs w:val="24"/>
        </w:rPr>
      </w:pPr>
      <w:r w:rsidRPr="00C67267">
        <w:rPr>
          <w:rFonts w:ascii="Arial" w:hAnsi="Arial" w:cs="Arial"/>
          <w:bCs/>
          <w:color w:val="auto"/>
          <w:sz w:val="24"/>
          <w:szCs w:val="24"/>
        </w:rPr>
        <w:t xml:space="preserve">New OFATs incorporated in a </w:t>
      </w:r>
      <w:r w:rsidRPr="003F63E0">
        <w:rPr>
          <w:rFonts w:ascii="Arial" w:hAnsi="Arial" w:cs="Arial"/>
          <w:bCs/>
          <w:i/>
          <w:color w:val="auto"/>
          <w:sz w:val="24"/>
          <w:szCs w:val="24"/>
        </w:rPr>
        <w:t>destin</w:t>
      </w:r>
      <w:r w:rsidR="003F63E0" w:rsidRPr="003F63E0">
        <w:rPr>
          <w:rFonts w:ascii="Arial" w:hAnsi="Arial" w:cs="Arial"/>
          <w:bCs/>
          <w:i/>
          <w:color w:val="auto"/>
          <w:sz w:val="24"/>
          <w:szCs w:val="24"/>
        </w:rPr>
        <w:t>ation</w:t>
      </w:r>
      <w:r w:rsidR="003F63E0">
        <w:rPr>
          <w:rFonts w:ascii="Arial" w:hAnsi="Arial" w:cs="Arial"/>
          <w:bCs/>
          <w:color w:val="auto"/>
          <w:sz w:val="24"/>
          <w:szCs w:val="24"/>
        </w:rPr>
        <w:t xml:space="preserve"> </w:t>
      </w:r>
      <w:r w:rsidRPr="00C67267">
        <w:rPr>
          <w:rFonts w:ascii="Arial" w:hAnsi="Arial" w:cs="Arial"/>
          <w:bCs/>
          <w:color w:val="auto"/>
          <w:sz w:val="24"/>
          <w:szCs w:val="24"/>
        </w:rPr>
        <w:t xml:space="preserve">country, by third countries sending IFATs data. Defining </w:t>
      </w:r>
      <w:r w:rsidRPr="00C67267">
        <w:rPr>
          <w:rFonts w:ascii="Arial" w:hAnsi="Arial" w:cs="Arial"/>
          <w:bCs/>
          <w:i/>
          <w:color w:val="auto"/>
          <w:sz w:val="24"/>
          <w:szCs w:val="24"/>
        </w:rPr>
        <w:t>false</w:t>
      </w:r>
      <w:r w:rsidRPr="00C67267">
        <w:rPr>
          <w:rFonts w:ascii="Arial" w:hAnsi="Arial" w:cs="Arial"/>
          <w:bCs/>
          <w:color w:val="auto"/>
          <w:sz w:val="24"/>
          <w:szCs w:val="24"/>
        </w:rPr>
        <w:t xml:space="preserve"> groups according </w:t>
      </w:r>
      <w:r w:rsidR="003F63E0">
        <w:rPr>
          <w:rFonts w:ascii="Arial" w:hAnsi="Arial" w:cs="Arial"/>
          <w:bCs/>
          <w:color w:val="auto"/>
          <w:sz w:val="24"/>
          <w:szCs w:val="24"/>
        </w:rPr>
        <w:t xml:space="preserve">to </w:t>
      </w:r>
      <w:r w:rsidRPr="00C67267">
        <w:rPr>
          <w:rFonts w:ascii="Arial" w:hAnsi="Arial" w:cs="Arial"/>
          <w:bCs/>
          <w:color w:val="auto"/>
          <w:sz w:val="24"/>
          <w:szCs w:val="24"/>
        </w:rPr>
        <w:t>prefixed parameters of no relevance</w:t>
      </w:r>
    </w:p>
    <w:p w:rsidR="00B73CEB" w:rsidRPr="00C67267" w:rsidRDefault="00B73CEB" w:rsidP="00E54D5D">
      <w:pPr>
        <w:pStyle w:val="Prrafodelista"/>
        <w:numPr>
          <w:ilvl w:val="0"/>
          <w:numId w:val="50"/>
        </w:numPr>
        <w:spacing w:before="120" w:after="0" w:line="360" w:lineRule="auto"/>
        <w:ind w:left="227" w:hanging="227"/>
        <w:jc w:val="both"/>
        <w:rPr>
          <w:rFonts w:ascii="Arial" w:hAnsi="Arial" w:cs="Arial"/>
          <w:bCs/>
          <w:color w:val="auto"/>
          <w:sz w:val="24"/>
          <w:szCs w:val="24"/>
        </w:rPr>
      </w:pPr>
      <w:r w:rsidRPr="00C67267">
        <w:rPr>
          <w:rFonts w:ascii="Arial" w:hAnsi="Arial" w:cs="Arial"/>
          <w:bCs/>
          <w:color w:val="auto"/>
          <w:sz w:val="24"/>
          <w:szCs w:val="24"/>
        </w:rPr>
        <w:t xml:space="preserve">OFATs sent from an </w:t>
      </w:r>
      <w:r w:rsidRPr="00713462">
        <w:rPr>
          <w:rFonts w:ascii="Arial" w:hAnsi="Arial" w:cs="Arial"/>
          <w:bCs/>
          <w:i/>
          <w:color w:val="auto"/>
          <w:sz w:val="24"/>
          <w:szCs w:val="24"/>
        </w:rPr>
        <w:t>origin</w:t>
      </w:r>
      <w:r w:rsidRPr="00C67267">
        <w:rPr>
          <w:rFonts w:ascii="Arial" w:hAnsi="Arial" w:cs="Arial"/>
          <w:bCs/>
          <w:color w:val="auto"/>
          <w:sz w:val="24"/>
          <w:szCs w:val="24"/>
        </w:rPr>
        <w:t xml:space="preserve"> country and disappeared in the EGR, because countries from the IFATs side do not react. For the most representative cases, Eurostat could acquire the required information on subsidiaries and integrat</w:t>
      </w:r>
      <w:r w:rsidR="00314E59">
        <w:rPr>
          <w:rFonts w:ascii="Arial" w:hAnsi="Arial" w:cs="Arial"/>
          <w:bCs/>
          <w:color w:val="auto"/>
          <w:sz w:val="24"/>
          <w:szCs w:val="24"/>
        </w:rPr>
        <w:t>e</w:t>
      </w:r>
      <w:r w:rsidRPr="00C67267">
        <w:rPr>
          <w:rFonts w:ascii="Arial" w:hAnsi="Arial" w:cs="Arial"/>
          <w:bCs/>
          <w:color w:val="auto"/>
          <w:sz w:val="24"/>
          <w:szCs w:val="24"/>
        </w:rPr>
        <w:t xml:space="preserve"> them in the system. </w:t>
      </w:r>
    </w:p>
    <w:p w:rsidR="00B73CEB" w:rsidRPr="00DE0E5F" w:rsidRDefault="00B73CEB" w:rsidP="00B73CEB">
      <w:pPr>
        <w:spacing w:before="120" w:after="0" w:line="360" w:lineRule="auto"/>
        <w:jc w:val="both"/>
        <w:rPr>
          <w:rFonts w:ascii="Arial" w:hAnsi="Arial" w:cs="Arial"/>
          <w:color w:val="auto"/>
          <w:sz w:val="24"/>
          <w:szCs w:val="24"/>
          <w:lang w:val="en-US"/>
        </w:rPr>
      </w:pPr>
      <w:r w:rsidRPr="00DE0E5F">
        <w:rPr>
          <w:rFonts w:ascii="Arial" w:hAnsi="Arial" w:cs="Arial"/>
          <w:color w:val="auto"/>
          <w:sz w:val="24"/>
          <w:szCs w:val="24"/>
          <w:lang w:val="en-US"/>
        </w:rPr>
        <w:t>The discrepancies found in this experience have been, in principle, greater than expected. However, once the reasons of their appearance</w:t>
      </w:r>
      <w:r w:rsidR="00882E98">
        <w:rPr>
          <w:rFonts w:ascii="Arial" w:hAnsi="Arial" w:cs="Arial"/>
          <w:color w:val="auto"/>
          <w:sz w:val="24"/>
          <w:szCs w:val="24"/>
          <w:lang w:val="en-US"/>
        </w:rPr>
        <w:t xml:space="preserve"> were identified</w:t>
      </w:r>
      <w:r w:rsidRPr="00DE0E5F">
        <w:rPr>
          <w:rFonts w:ascii="Arial" w:hAnsi="Arial" w:cs="Arial"/>
          <w:color w:val="auto"/>
          <w:sz w:val="24"/>
          <w:szCs w:val="24"/>
          <w:lang w:val="en-US"/>
        </w:rPr>
        <w:t xml:space="preserve">, a good initiative would be to take joint measures, with the aim </w:t>
      </w:r>
      <w:r w:rsidR="00882E98">
        <w:rPr>
          <w:rFonts w:ascii="Arial" w:hAnsi="Arial" w:cs="Arial"/>
          <w:color w:val="auto"/>
          <w:sz w:val="24"/>
          <w:szCs w:val="24"/>
          <w:lang w:val="en-US"/>
        </w:rPr>
        <w:t>of reaching</w:t>
      </w:r>
      <w:r w:rsidRPr="00DE0E5F">
        <w:rPr>
          <w:rFonts w:ascii="Arial" w:hAnsi="Arial" w:cs="Arial"/>
          <w:color w:val="auto"/>
          <w:sz w:val="24"/>
          <w:szCs w:val="24"/>
          <w:lang w:val="en-US"/>
        </w:rPr>
        <w:t xml:space="preserve"> uniform and acceptable consistency rates. </w:t>
      </w:r>
      <w:r w:rsidR="00882E98">
        <w:rPr>
          <w:rFonts w:ascii="Arial" w:hAnsi="Arial" w:cs="Arial"/>
          <w:color w:val="auto"/>
          <w:sz w:val="24"/>
          <w:szCs w:val="24"/>
          <w:lang w:val="en-US"/>
        </w:rPr>
        <w:t xml:space="preserve">Based on </w:t>
      </w:r>
      <w:r w:rsidRPr="00DE0E5F">
        <w:rPr>
          <w:rFonts w:ascii="Arial" w:hAnsi="Arial" w:cs="Arial"/>
          <w:color w:val="auto"/>
          <w:sz w:val="24"/>
          <w:szCs w:val="24"/>
          <w:lang w:val="en-US"/>
        </w:rPr>
        <w:t xml:space="preserve">this scenario, rates near to 100% could be specifically requested for the TOP European groups or the TOP subsidiaries operating in Europe.    </w:t>
      </w:r>
    </w:p>
    <w:p w:rsidR="00B73CEB" w:rsidRPr="00DE0E5F" w:rsidRDefault="00B73CEB" w:rsidP="00B73CEB">
      <w:pPr>
        <w:spacing w:before="120" w:after="0" w:line="360" w:lineRule="auto"/>
        <w:jc w:val="both"/>
        <w:rPr>
          <w:rFonts w:ascii="Arial" w:hAnsi="Arial" w:cs="Arial"/>
          <w:color w:val="auto"/>
          <w:sz w:val="24"/>
          <w:szCs w:val="24"/>
          <w:lang w:val="en-US"/>
        </w:rPr>
      </w:pPr>
      <w:r w:rsidRPr="00DE0E5F">
        <w:rPr>
          <w:rFonts w:ascii="Arial" w:hAnsi="Arial" w:cs="Arial"/>
          <w:color w:val="auto"/>
          <w:sz w:val="24"/>
          <w:szCs w:val="24"/>
          <w:lang w:val="en-US"/>
        </w:rPr>
        <w:t xml:space="preserve">Regarding accuracy, it is more difficult to offer conclusive results. All checks have been closely conditioned by the different </w:t>
      </w:r>
      <w:r w:rsidR="00882E98">
        <w:rPr>
          <w:rFonts w:ascii="Arial" w:hAnsi="Arial" w:cs="Arial"/>
          <w:color w:val="auto"/>
          <w:sz w:val="24"/>
          <w:szCs w:val="24"/>
          <w:lang w:val="en-US"/>
        </w:rPr>
        <w:t>situations</w:t>
      </w:r>
      <w:r w:rsidRPr="00DE0E5F">
        <w:rPr>
          <w:rFonts w:ascii="Arial" w:hAnsi="Arial" w:cs="Arial"/>
          <w:color w:val="auto"/>
          <w:sz w:val="24"/>
          <w:szCs w:val="24"/>
          <w:lang w:val="en-US"/>
        </w:rPr>
        <w:t xml:space="preserve">. Generally speaking, we can state that the collaborative model adds value to the EGR. The data exchange system and its subsequent integration tend to improve the quality of the national information, specifically for the key classification variables. Any deviation </w:t>
      </w:r>
      <w:r w:rsidR="00882E98">
        <w:rPr>
          <w:rFonts w:ascii="Arial" w:hAnsi="Arial" w:cs="Arial"/>
          <w:color w:val="auto"/>
          <w:sz w:val="24"/>
          <w:szCs w:val="24"/>
          <w:lang w:val="en-US"/>
        </w:rPr>
        <w:t>from</w:t>
      </w:r>
      <w:r w:rsidRPr="00DE0E5F">
        <w:rPr>
          <w:rFonts w:ascii="Arial" w:hAnsi="Arial" w:cs="Arial"/>
          <w:color w:val="auto"/>
          <w:sz w:val="24"/>
          <w:szCs w:val="24"/>
          <w:lang w:val="en-US"/>
        </w:rPr>
        <w:t xml:space="preserve"> this scenario would justify a reformulation of the current </w:t>
      </w:r>
      <w:r w:rsidR="00882E98">
        <w:rPr>
          <w:rFonts w:ascii="Arial" w:hAnsi="Arial" w:cs="Arial"/>
          <w:color w:val="auto"/>
          <w:sz w:val="24"/>
          <w:szCs w:val="24"/>
          <w:lang w:val="en-US"/>
        </w:rPr>
        <w:t xml:space="preserve">business </w:t>
      </w:r>
      <w:r w:rsidRPr="00DE0E5F">
        <w:rPr>
          <w:rFonts w:ascii="Arial" w:hAnsi="Arial" w:cs="Arial"/>
          <w:color w:val="auto"/>
          <w:sz w:val="24"/>
          <w:szCs w:val="24"/>
          <w:lang w:val="en-US"/>
        </w:rPr>
        <w:t>model.</w:t>
      </w:r>
    </w:p>
    <w:p w:rsidR="00B73CEB" w:rsidRPr="00DE0E5F" w:rsidRDefault="00B73CEB" w:rsidP="00B73CEB">
      <w:pPr>
        <w:spacing w:before="360" w:after="0" w:line="360" w:lineRule="auto"/>
        <w:rPr>
          <w:rFonts w:ascii="Arial" w:eastAsia="Times New Roman" w:hAnsi="Arial" w:cs="Arial"/>
          <w:b/>
          <w:sz w:val="24"/>
          <w:szCs w:val="24"/>
        </w:rPr>
      </w:pPr>
      <w:r w:rsidRPr="00DE0E5F">
        <w:rPr>
          <w:rFonts w:ascii="Arial" w:eastAsia="Times New Roman" w:hAnsi="Arial" w:cs="Arial"/>
          <w:b/>
          <w:sz w:val="24"/>
          <w:szCs w:val="24"/>
        </w:rPr>
        <w:t>References</w:t>
      </w:r>
    </w:p>
    <w:p w:rsidR="00B73CEB" w:rsidRPr="00E54D5D" w:rsidRDefault="00B73CEB" w:rsidP="00E67043">
      <w:pPr>
        <w:spacing w:before="120" w:after="0" w:line="360" w:lineRule="auto"/>
        <w:rPr>
          <w:rFonts w:ascii="Arial" w:hAnsi="Arial" w:cs="Arial"/>
          <w:sz w:val="20"/>
          <w:szCs w:val="20"/>
        </w:rPr>
      </w:pPr>
      <w:r w:rsidRPr="00E54D5D">
        <w:rPr>
          <w:rFonts w:ascii="Arial" w:hAnsi="Arial" w:cs="Arial"/>
          <w:sz w:val="20"/>
          <w:szCs w:val="20"/>
        </w:rPr>
        <w:t>ESS Handbook for Quality reports 2014</w:t>
      </w:r>
      <w:r w:rsidR="00E67043">
        <w:rPr>
          <w:rFonts w:ascii="Arial" w:hAnsi="Arial" w:cs="Arial"/>
          <w:sz w:val="20"/>
          <w:szCs w:val="20"/>
        </w:rPr>
        <w:t xml:space="preserve"> </w:t>
      </w:r>
      <w:hyperlink r:id="rId9" w:history="1">
        <w:r w:rsidRPr="00E54D5D">
          <w:rPr>
            <w:rStyle w:val="Hipervnculo"/>
            <w:rFonts w:ascii="Arial" w:hAnsi="Arial" w:cs="Arial"/>
            <w:sz w:val="20"/>
            <w:szCs w:val="20"/>
          </w:rPr>
          <w:t>http://ec.europa.eu/eurostat/documents/3859598/6651706/KS-GQ-15-003-EN-N.pdf</w:t>
        </w:r>
      </w:hyperlink>
    </w:p>
    <w:p w:rsidR="00B73CEB" w:rsidRPr="00E54D5D" w:rsidRDefault="00B73CEB" w:rsidP="00B73CEB">
      <w:pPr>
        <w:spacing w:before="120" w:after="0" w:line="360" w:lineRule="auto"/>
        <w:jc w:val="both"/>
        <w:rPr>
          <w:rFonts w:ascii="Arial" w:eastAsia="Times New Roman" w:hAnsi="Arial" w:cs="Arial"/>
          <w:sz w:val="20"/>
          <w:szCs w:val="20"/>
        </w:rPr>
      </w:pPr>
      <w:r w:rsidRPr="00E54D5D">
        <w:rPr>
          <w:rFonts w:ascii="Arial" w:eastAsia="Times New Roman" w:hAnsi="Arial" w:cs="Arial"/>
          <w:sz w:val="20"/>
          <w:szCs w:val="20"/>
        </w:rPr>
        <w:t xml:space="preserve">ESS.ESBRs project. </w:t>
      </w:r>
      <w:hyperlink r:id="rId10" w:history="1">
        <w:r w:rsidRPr="00E54D5D">
          <w:rPr>
            <w:rStyle w:val="Hipervnculo"/>
            <w:rFonts w:ascii="Arial" w:eastAsia="Times New Roman" w:hAnsi="Arial" w:cs="Arial"/>
            <w:sz w:val="20"/>
            <w:szCs w:val="20"/>
          </w:rPr>
          <w:t>http://ec.europa.eu/eurostat/web/ess/esbr</w:t>
        </w:r>
      </w:hyperlink>
    </w:p>
    <w:p w:rsidR="00B73CEB" w:rsidRPr="00E54D5D" w:rsidRDefault="00B73CEB" w:rsidP="00B73CEB">
      <w:pPr>
        <w:spacing w:before="120" w:after="0" w:line="360" w:lineRule="auto"/>
        <w:jc w:val="both"/>
        <w:rPr>
          <w:rFonts w:ascii="Arial" w:eastAsia="Times New Roman" w:hAnsi="Arial" w:cs="Arial"/>
          <w:sz w:val="20"/>
          <w:szCs w:val="20"/>
        </w:rPr>
      </w:pPr>
      <w:r w:rsidRPr="00E54D5D">
        <w:rPr>
          <w:rFonts w:ascii="Arial" w:eastAsia="Times New Roman" w:hAnsi="Arial" w:cs="Arial"/>
          <w:sz w:val="20"/>
          <w:szCs w:val="20"/>
        </w:rPr>
        <w:t xml:space="preserve">Directive 2012/17/EU of the European Parliament and of the Council on interconnecting Business Registers. </w:t>
      </w:r>
      <w:hyperlink r:id="rId11" w:history="1">
        <w:r w:rsidRPr="00E54D5D">
          <w:rPr>
            <w:rStyle w:val="Hipervnculo"/>
            <w:rFonts w:ascii="Arial" w:eastAsia="Times New Roman" w:hAnsi="Arial" w:cs="Arial"/>
            <w:sz w:val="20"/>
            <w:szCs w:val="20"/>
          </w:rPr>
          <w:t>http://eur-lex.europa.eu/LexUriServ/LexUriServ.do?uri=OJ:L:2012:156:0001:0009:en:PDF</w:t>
        </w:r>
      </w:hyperlink>
    </w:p>
    <w:p w:rsidR="004740F1" w:rsidRPr="00E54D5D" w:rsidRDefault="00B73CEB" w:rsidP="005F7C5B">
      <w:pPr>
        <w:spacing w:before="120" w:after="0" w:line="360" w:lineRule="auto"/>
        <w:jc w:val="both"/>
        <w:rPr>
          <w:rFonts w:ascii="Arial" w:eastAsia="Times New Roman" w:hAnsi="Arial" w:cs="Arial"/>
          <w:sz w:val="20"/>
          <w:szCs w:val="20"/>
        </w:rPr>
      </w:pPr>
      <w:r w:rsidRPr="00E54D5D">
        <w:rPr>
          <w:rFonts w:ascii="Arial" w:eastAsia="Times New Roman" w:hAnsi="Arial" w:cs="Arial"/>
          <w:sz w:val="20"/>
          <w:szCs w:val="20"/>
        </w:rPr>
        <w:t>COM (2009) 404 - Communication from the Commission to the E</w:t>
      </w:r>
      <w:r w:rsidR="00E67043">
        <w:rPr>
          <w:rFonts w:ascii="Arial" w:eastAsia="Times New Roman" w:hAnsi="Arial" w:cs="Arial"/>
          <w:sz w:val="20"/>
          <w:szCs w:val="20"/>
        </w:rPr>
        <w:t>P</w:t>
      </w:r>
      <w:r w:rsidRPr="00E54D5D">
        <w:rPr>
          <w:rFonts w:ascii="Arial" w:eastAsia="Times New Roman" w:hAnsi="Arial" w:cs="Arial"/>
          <w:sz w:val="20"/>
          <w:szCs w:val="20"/>
        </w:rPr>
        <w:t xml:space="preserve"> on the production method of EU statistics.</w:t>
      </w:r>
      <w:hyperlink r:id="rId12" w:history="1">
        <w:r w:rsidRPr="00E54D5D">
          <w:rPr>
            <w:rStyle w:val="Hipervnculo"/>
            <w:rFonts w:ascii="Arial" w:eastAsia="Times New Roman" w:hAnsi="Arial" w:cs="Arial"/>
            <w:sz w:val="20"/>
            <w:szCs w:val="20"/>
          </w:rPr>
          <w:t>http://eur-lex.europa.eu/LexUriServ/LexUriServ.do?uri=COM:2009:0404:FIN:EN:PDF</w:t>
        </w:r>
      </w:hyperlink>
    </w:p>
    <w:sectPr w:rsidR="004740F1" w:rsidRPr="00E54D5D" w:rsidSect="0023623C">
      <w:headerReference w:type="even" r:id="rId13"/>
      <w:headerReference w:type="default" r:id="rId14"/>
      <w:footerReference w:type="default" r:id="rId15"/>
      <w:headerReference w:type="first" r:id="rId16"/>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06" w:rsidRDefault="00160406" w:rsidP="00E82B25">
      <w:pPr>
        <w:spacing w:after="0" w:line="240" w:lineRule="auto"/>
      </w:pPr>
      <w:r>
        <w:separator/>
      </w:r>
    </w:p>
  </w:endnote>
  <w:endnote w:type="continuationSeparator" w:id="0">
    <w:p w:rsidR="00160406" w:rsidRDefault="0016040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Piedepgin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57188F">
          <w:rPr>
            <w:rFonts w:ascii="Arial" w:hAnsi="Arial" w:cs="Arial"/>
            <w:noProof/>
            <w:sz w:val="24"/>
            <w:szCs w:val="24"/>
          </w:rPr>
          <w:t>11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06" w:rsidRDefault="00160406" w:rsidP="00E82B25">
      <w:pPr>
        <w:spacing w:after="0" w:line="240" w:lineRule="auto"/>
      </w:pPr>
      <w:r>
        <w:separator/>
      </w:r>
    </w:p>
  </w:footnote>
  <w:footnote w:type="continuationSeparator" w:id="0">
    <w:p w:rsidR="00160406" w:rsidRDefault="00160406" w:rsidP="00E82B25">
      <w:pPr>
        <w:spacing w:after="0" w:line="240" w:lineRule="auto"/>
      </w:pPr>
      <w:r>
        <w:continuationSeparator/>
      </w:r>
    </w:p>
  </w:footnote>
  <w:footnote w:id="1">
    <w:p w:rsidR="00B73CEB" w:rsidRPr="00DE0E5F" w:rsidRDefault="00B73CEB" w:rsidP="00B73CEB">
      <w:pPr>
        <w:pStyle w:val="Textonotapie"/>
        <w:rPr>
          <w:rFonts w:ascii="Arial" w:hAnsi="Arial" w:cs="Arial"/>
        </w:rPr>
      </w:pPr>
      <w:r w:rsidRPr="00DE0E5F">
        <w:rPr>
          <w:rStyle w:val="Refdenotaalpie"/>
          <w:rFonts w:ascii="Arial" w:hAnsi="Arial" w:cs="Arial"/>
        </w:rPr>
        <w:footnoteRef/>
      </w:r>
      <w:r w:rsidRPr="00DE0E5F">
        <w:rPr>
          <w:rFonts w:ascii="Arial" w:hAnsi="Arial" w:cs="Arial"/>
        </w:rPr>
        <w:t xml:space="preserve"> Decision and priority rules adopted in the data consolidation </w:t>
      </w:r>
    </w:p>
  </w:footnote>
  <w:footnote w:id="2">
    <w:p w:rsidR="00B73CEB" w:rsidRPr="00BC4DF4" w:rsidRDefault="00B73CEB" w:rsidP="00B73CEB">
      <w:pPr>
        <w:pStyle w:val="Textonotapie"/>
        <w:rPr>
          <w:rFonts w:ascii="Arial" w:hAnsi="Arial" w:cs="Arial"/>
        </w:rPr>
      </w:pPr>
      <w:r w:rsidRPr="00BC4DF4">
        <w:rPr>
          <w:rStyle w:val="Refdenotaalpie"/>
          <w:rFonts w:ascii="Arial" w:hAnsi="Arial" w:cs="Arial"/>
        </w:rPr>
        <w:footnoteRef/>
      </w:r>
      <w:r w:rsidRPr="00BC4DF4">
        <w:rPr>
          <w:rFonts w:ascii="Arial" w:hAnsi="Arial" w:cs="Arial"/>
        </w:rPr>
        <w:t xml:space="preserve"> Global Decision Centre</w:t>
      </w:r>
      <w:r w:rsidR="0057188F">
        <w:rPr>
          <w:rFonts w:ascii="Arial" w:hAnsi="Arial" w:cs="Arial"/>
        </w:rPr>
        <w:t xml:space="preserve"> is</w:t>
      </w:r>
      <w:r w:rsidRPr="00BC4DF4">
        <w:rPr>
          <w:rFonts w:ascii="Arial" w:hAnsi="Arial" w:cs="Arial"/>
        </w:rPr>
        <w:t xml:space="preserve"> the controlling unit of the enterprise group where strategic decisions are made</w:t>
      </w:r>
    </w:p>
  </w:footnote>
  <w:footnote w:id="3">
    <w:p w:rsidR="00B73CEB" w:rsidRPr="00C67267" w:rsidRDefault="00B73CEB" w:rsidP="00B73CEB">
      <w:pPr>
        <w:pStyle w:val="Textonotapie"/>
        <w:rPr>
          <w:rFonts w:ascii="Arial" w:hAnsi="Arial" w:cs="Arial"/>
          <w:lang w:val="en-US"/>
        </w:rPr>
      </w:pPr>
      <w:r w:rsidRPr="00C67267">
        <w:rPr>
          <w:rStyle w:val="Refdenotaalpie"/>
          <w:rFonts w:ascii="Arial" w:hAnsi="Arial" w:cs="Arial"/>
        </w:rPr>
        <w:footnoteRef/>
      </w:r>
      <w:r w:rsidRPr="00C67267">
        <w:rPr>
          <w:rFonts w:ascii="Arial" w:hAnsi="Arial" w:cs="Arial"/>
        </w:rPr>
        <w:t xml:space="preserve"> The standardized </w:t>
      </w:r>
      <w:r w:rsidRPr="00C67267">
        <w:rPr>
          <w:rFonts w:ascii="Arial" w:hAnsi="Arial" w:cs="Arial"/>
          <w:color w:val="auto"/>
          <w:lang w:val="en-AU"/>
        </w:rPr>
        <w:t xml:space="preserve">identifier adopted for the legal units in the EGR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57188F">
    <w:pPr>
      <w:pStyle w:val="Encabezado"/>
    </w:pPr>
    <w:r>
      <w:rPr>
        <w:noProof/>
        <w:lang w:val="pl-PL"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57188F">
    <w:pPr>
      <w:pStyle w:val="Encabezado"/>
    </w:pPr>
    <w:r>
      <w:rPr>
        <w:noProof/>
        <w:lang w:val="pl-PL"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57188F">
    <w:pPr>
      <w:pStyle w:val="Encabezado"/>
    </w:pPr>
    <w:r>
      <w:rPr>
        <w:noProof/>
        <w:lang w:val="pl-PL"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EE9"/>
    <w:multiLevelType w:val="multilevel"/>
    <w:tmpl w:val="21E476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5A5572"/>
    <w:multiLevelType w:val="hybridMultilevel"/>
    <w:tmpl w:val="7540AD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A10493"/>
    <w:multiLevelType w:val="hybridMultilevel"/>
    <w:tmpl w:val="5ED20E9E"/>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3" w15:restartNumberingAfterBreak="0">
    <w:nsid w:val="03592EC0"/>
    <w:multiLevelType w:val="hybridMultilevel"/>
    <w:tmpl w:val="76DAF7F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8345F75"/>
    <w:multiLevelType w:val="hybridMultilevel"/>
    <w:tmpl w:val="CE0AFCD8"/>
    <w:lvl w:ilvl="0" w:tplc="0C0A0001">
      <w:start w:val="1"/>
      <w:numFmt w:val="bullet"/>
      <w:lvlText w:val=""/>
      <w:lvlJc w:val="left"/>
      <w:pPr>
        <w:ind w:left="360" w:hanging="360"/>
      </w:pPr>
      <w:rPr>
        <w:rFonts w:ascii="Symbol" w:hAnsi="Symbol" w:hint="default"/>
      </w:rPr>
    </w:lvl>
    <w:lvl w:ilvl="1" w:tplc="0C0A0005">
      <w:start w:val="1"/>
      <w:numFmt w:val="bullet"/>
      <w:lvlText w:val=""/>
      <w:lvlJc w:val="left"/>
      <w:pPr>
        <w:ind w:left="1080" w:hanging="360"/>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AB03E7E"/>
    <w:multiLevelType w:val="multilevel"/>
    <w:tmpl w:val="4E5EEE3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BC692C"/>
    <w:multiLevelType w:val="hybridMultilevel"/>
    <w:tmpl w:val="406A9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0427B5"/>
    <w:multiLevelType w:val="hybridMultilevel"/>
    <w:tmpl w:val="BC76A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343CC3"/>
    <w:multiLevelType w:val="hybridMultilevel"/>
    <w:tmpl w:val="8668B78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4AA6DA6"/>
    <w:multiLevelType w:val="hybridMultilevel"/>
    <w:tmpl w:val="795C1B3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0" w15:restartNumberingAfterBreak="0">
    <w:nsid w:val="17054FF0"/>
    <w:multiLevelType w:val="multilevel"/>
    <w:tmpl w:val="EFF8A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D25535"/>
    <w:multiLevelType w:val="hybridMultilevel"/>
    <w:tmpl w:val="1504AB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C9D7A4C"/>
    <w:multiLevelType w:val="hybridMultilevel"/>
    <w:tmpl w:val="0E58A0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1FE07CA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8420FC"/>
    <w:multiLevelType w:val="hybridMultilevel"/>
    <w:tmpl w:val="1C4018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0C97FEA"/>
    <w:multiLevelType w:val="hybridMultilevel"/>
    <w:tmpl w:val="7DE430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5417102"/>
    <w:multiLevelType w:val="multilevel"/>
    <w:tmpl w:val="F2ECF172"/>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7" w15:restartNumberingAfterBreak="0">
    <w:nsid w:val="27D71E61"/>
    <w:multiLevelType w:val="hybridMultilevel"/>
    <w:tmpl w:val="B9AEEB1E"/>
    <w:lvl w:ilvl="0" w:tplc="84788732">
      <w:start w:val="1"/>
      <w:numFmt w:val="bullet"/>
      <w:lvlText w:val=""/>
      <w:lvlJc w:val="left"/>
      <w:pPr>
        <w:ind w:left="2580" w:hanging="360"/>
      </w:pPr>
      <w:rPr>
        <w:rFonts w:ascii="Symbol" w:hAnsi="Symbol" w:hint="default"/>
        <w:color w:val="auto"/>
      </w:rPr>
    </w:lvl>
    <w:lvl w:ilvl="1" w:tplc="0C0A0003">
      <w:start w:val="1"/>
      <w:numFmt w:val="bullet"/>
      <w:lvlText w:val="o"/>
      <w:lvlJc w:val="left"/>
      <w:pPr>
        <w:ind w:left="3300" w:hanging="360"/>
      </w:pPr>
      <w:rPr>
        <w:rFonts w:ascii="Courier New" w:hAnsi="Courier New" w:cs="Courier New" w:hint="default"/>
      </w:rPr>
    </w:lvl>
    <w:lvl w:ilvl="2" w:tplc="0C0A0005" w:tentative="1">
      <w:start w:val="1"/>
      <w:numFmt w:val="bullet"/>
      <w:lvlText w:val=""/>
      <w:lvlJc w:val="left"/>
      <w:pPr>
        <w:ind w:left="4020" w:hanging="360"/>
      </w:pPr>
      <w:rPr>
        <w:rFonts w:ascii="Wingdings" w:hAnsi="Wingdings" w:hint="default"/>
      </w:rPr>
    </w:lvl>
    <w:lvl w:ilvl="3" w:tplc="0C0A0001" w:tentative="1">
      <w:start w:val="1"/>
      <w:numFmt w:val="bullet"/>
      <w:lvlText w:val=""/>
      <w:lvlJc w:val="left"/>
      <w:pPr>
        <w:ind w:left="4740" w:hanging="360"/>
      </w:pPr>
      <w:rPr>
        <w:rFonts w:ascii="Symbol" w:hAnsi="Symbol" w:hint="default"/>
      </w:rPr>
    </w:lvl>
    <w:lvl w:ilvl="4" w:tplc="0C0A0003" w:tentative="1">
      <w:start w:val="1"/>
      <w:numFmt w:val="bullet"/>
      <w:lvlText w:val="o"/>
      <w:lvlJc w:val="left"/>
      <w:pPr>
        <w:ind w:left="5460" w:hanging="360"/>
      </w:pPr>
      <w:rPr>
        <w:rFonts w:ascii="Courier New" w:hAnsi="Courier New" w:cs="Courier New" w:hint="default"/>
      </w:rPr>
    </w:lvl>
    <w:lvl w:ilvl="5" w:tplc="0C0A0005" w:tentative="1">
      <w:start w:val="1"/>
      <w:numFmt w:val="bullet"/>
      <w:lvlText w:val=""/>
      <w:lvlJc w:val="left"/>
      <w:pPr>
        <w:ind w:left="6180" w:hanging="360"/>
      </w:pPr>
      <w:rPr>
        <w:rFonts w:ascii="Wingdings" w:hAnsi="Wingdings" w:hint="default"/>
      </w:rPr>
    </w:lvl>
    <w:lvl w:ilvl="6" w:tplc="0C0A0001" w:tentative="1">
      <w:start w:val="1"/>
      <w:numFmt w:val="bullet"/>
      <w:lvlText w:val=""/>
      <w:lvlJc w:val="left"/>
      <w:pPr>
        <w:ind w:left="6900" w:hanging="360"/>
      </w:pPr>
      <w:rPr>
        <w:rFonts w:ascii="Symbol" w:hAnsi="Symbol" w:hint="default"/>
      </w:rPr>
    </w:lvl>
    <w:lvl w:ilvl="7" w:tplc="0C0A0003" w:tentative="1">
      <w:start w:val="1"/>
      <w:numFmt w:val="bullet"/>
      <w:lvlText w:val="o"/>
      <w:lvlJc w:val="left"/>
      <w:pPr>
        <w:ind w:left="7620" w:hanging="360"/>
      </w:pPr>
      <w:rPr>
        <w:rFonts w:ascii="Courier New" w:hAnsi="Courier New" w:cs="Courier New" w:hint="default"/>
      </w:rPr>
    </w:lvl>
    <w:lvl w:ilvl="8" w:tplc="0C0A0005" w:tentative="1">
      <w:start w:val="1"/>
      <w:numFmt w:val="bullet"/>
      <w:lvlText w:val=""/>
      <w:lvlJc w:val="left"/>
      <w:pPr>
        <w:ind w:left="8340" w:hanging="360"/>
      </w:pPr>
      <w:rPr>
        <w:rFonts w:ascii="Wingdings" w:hAnsi="Wingdings" w:hint="default"/>
      </w:rPr>
    </w:lvl>
  </w:abstractNum>
  <w:abstractNum w:abstractNumId="18" w15:restartNumberingAfterBreak="0">
    <w:nsid w:val="2BBC06CE"/>
    <w:multiLevelType w:val="hybridMultilevel"/>
    <w:tmpl w:val="C5168B14"/>
    <w:lvl w:ilvl="0" w:tplc="0C0A000D">
      <w:start w:val="1"/>
      <w:numFmt w:val="bullet"/>
      <w:lvlText w:val=""/>
      <w:lvlJc w:val="left"/>
      <w:pPr>
        <w:ind w:left="840" w:hanging="360"/>
      </w:pPr>
      <w:rPr>
        <w:rFonts w:ascii="Wingdings" w:hAnsi="Wingdings" w:hint="default"/>
      </w:rPr>
    </w:lvl>
    <w:lvl w:ilvl="1" w:tplc="0C0A000B">
      <w:start w:val="1"/>
      <w:numFmt w:val="bullet"/>
      <w:lvlText w:val=""/>
      <w:lvlJc w:val="left"/>
      <w:pPr>
        <w:ind w:left="1560" w:hanging="360"/>
      </w:pPr>
      <w:rPr>
        <w:rFonts w:ascii="Wingdings" w:hAnsi="Wingdings" w:hint="default"/>
      </w:rPr>
    </w:lvl>
    <w:lvl w:ilvl="2" w:tplc="0C0A0005">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19" w15:restartNumberingAfterBreak="0">
    <w:nsid w:val="2C434291"/>
    <w:multiLevelType w:val="hybridMultilevel"/>
    <w:tmpl w:val="E7C0623A"/>
    <w:lvl w:ilvl="0" w:tplc="AF56F1E2">
      <w:start w:val="1"/>
      <w:numFmt w:val="bullet"/>
      <w:lvlText w:val=""/>
      <w:lvlJc w:val="left"/>
      <w:pPr>
        <w:tabs>
          <w:tab w:val="num" w:pos="720"/>
        </w:tabs>
        <w:ind w:left="720" w:hanging="360"/>
      </w:pPr>
      <w:rPr>
        <w:rFonts w:ascii="Wingdings" w:hAnsi="Wingdings" w:hint="default"/>
      </w:rPr>
    </w:lvl>
    <w:lvl w:ilvl="1" w:tplc="325C5A7A">
      <w:start w:val="1"/>
      <w:numFmt w:val="bullet"/>
      <w:lvlText w:val=""/>
      <w:lvlJc w:val="left"/>
      <w:pPr>
        <w:tabs>
          <w:tab w:val="num" w:pos="1440"/>
        </w:tabs>
        <w:ind w:left="1440" w:hanging="360"/>
      </w:pPr>
      <w:rPr>
        <w:rFonts w:ascii="Wingdings" w:hAnsi="Wingdings" w:hint="default"/>
      </w:rPr>
    </w:lvl>
    <w:lvl w:ilvl="2" w:tplc="7E96B17E" w:tentative="1">
      <w:start w:val="1"/>
      <w:numFmt w:val="bullet"/>
      <w:lvlText w:val=""/>
      <w:lvlJc w:val="left"/>
      <w:pPr>
        <w:tabs>
          <w:tab w:val="num" w:pos="2160"/>
        </w:tabs>
        <w:ind w:left="2160" w:hanging="360"/>
      </w:pPr>
      <w:rPr>
        <w:rFonts w:ascii="Wingdings" w:hAnsi="Wingdings" w:hint="default"/>
      </w:rPr>
    </w:lvl>
    <w:lvl w:ilvl="3" w:tplc="CAE0B2C2" w:tentative="1">
      <w:start w:val="1"/>
      <w:numFmt w:val="bullet"/>
      <w:lvlText w:val=""/>
      <w:lvlJc w:val="left"/>
      <w:pPr>
        <w:tabs>
          <w:tab w:val="num" w:pos="2880"/>
        </w:tabs>
        <w:ind w:left="2880" w:hanging="360"/>
      </w:pPr>
      <w:rPr>
        <w:rFonts w:ascii="Wingdings" w:hAnsi="Wingdings" w:hint="default"/>
      </w:rPr>
    </w:lvl>
    <w:lvl w:ilvl="4" w:tplc="56AC6E18" w:tentative="1">
      <w:start w:val="1"/>
      <w:numFmt w:val="bullet"/>
      <w:lvlText w:val=""/>
      <w:lvlJc w:val="left"/>
      <w:pPr>
        <w:tabs>
          <w:tab w:val="num" w:pos="3600"/>
        </w:tabs>
        <w:ind w:left="3600" w:hanging="360"/>
      </w:pPr>
      <w:rPr>
        <w:rFonts w:ascii="Wingdings" w:hAnsi="Wingdings" w:hint="default"/>
      </w:rPr>
    </w:lvl>
    <w:lvl w:ilvl="5" w:tplc="1B4A3D04" w:tentative="1">
      <w:start w:val="1"/>
      <w:numFmt w:val="bullet"/>
      <w:lvlText w:val=""/>
      <w:lvlJc w:val="left"/>
      <w:pPr>
        <w:tabs>
          <w:tab w:val="num" w:pos="4320"/>
        </w:tabs>
        <w:ind w:left="4320" w:hanging="360"/>
      </w:pPr>
      <w:rPr>
        <w:rFonts w:ascii="Wingdings" w:hAnsi="Wingdings" w:hint="default"/>
      </w:rPr>
    </w:lvl>
    <w:lvl w:ilvl="6" w:tplc="19702FC8" w:tentative="1">
      <w:start w:val="1"/>
      <w:numFmt w:val="bullet"/>
      <w:lvlText w:val=""/>
      <w:lvlJc w:val="left"/>
      <w:pPr>
        <w:tabs>
          <w:tab w:val="num" w:pos="5040"/>
        </w:tabs>
        <w:ind w:left="5040" w:hanging="360"/>
      </w:pPr>
      <w:rPr>
        <w:rFonts w:ascii="Wingdings" w:hAnsi="Wingdings" w:hint="default"/>
      </w:rPr>
    </w:lvl>
    <w:lvl w:ilvl="7" w:tplc="8654A70A" w:tentative="1">
      <w:start w:val="1"/>
      <w:numFmt w:val="bullet"/>
      <w:lvlText w:val=""/>
      <w:lvlJc w:val="left"/>
      <w:pPr>
        <w:tabs>
          <w:tab w:val="num" w:pos="5760"/>
        </w:tabs>
        <w:ind w:left="5760" w:hanging="360"/>
      </w:pPr>
      <w:rPr>
        <w:rFonts w:ascii="Wingdings" w:hAnsi="Wingdings" w:hint="default"/>
      </w:rPr>
    </w:lvl>
    <w:lvl w:ilvl="8" w:tplc="A7E47F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210309"/>
    <w:multiLevelType w:val="hybridMultilevel"/>
    <w:tmpl w:val="46B2AE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34927EA"/>
    <w:multiLevelType w:val="hybridMultilevel"/>
    <w:tmpl w:val="B6182386"/>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37C113AB"/>
    <w:multiLevelType w:val="hybridMultilevel"/>
    <w:tmpl w:val="C2C0F106"/>
    <w:lvl w:ilvl="0" w:tplc="0C0A0005">
      <w:start w:val="1"/>
      <w:numFmt w:val="bullet"/>
      <w:lvlText w:val=""/>
      <w:lvlJc w:val="left"/>
      <w:pPr>
        <w:ind w:left="2148" w:hanging="360"/>
      </w:pPr>
      <w:rPr>
        <w:rFonts w:ascii="Wingdings" w:hAnsi="Wingdings"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23" w15:restartNumberingAfterBreak="0">
    <w:nsid w:val="39FB027C"/>
    <w:multiLevelType w:val="multilevel"/>
    <w:tmpl w:val="F2ECF172"/>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3CE84FD4"/>
    <w:multiLevelType w:val="hybridMultilevel"/>
    <w:tmpl w:val="A05430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3EFD41AC"/>
    <w:multiLevelType w:val="hybridMultilevel"/>
    <w:tmpl w:val="556A39A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0AF421B"/>
    <w:multiLevelType w:val="multilevel"/>
    <w:tmpl w:val="76924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0E540E3"/>
    <w:multiLevelType w:val="hybridMultilevel"/>
    <w:tmpl w:val="2D0462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12565F5"/>
    <w:multiLevelType w:val="hybridMultilevel"/>
    <w:tmpl w:val="7862B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16F0125"/>
    <w:multiLevelType w:val="hybridMultilevel"/>
    <w:tmpl w:val="28024DE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43F30814"/>
    <w:multiLevelType w:val="hybridMultilevel"/>
    <w:tmpl w:val="57C453CA"/>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46CF428C"/>
    <w:multiLevelType w:val="hybridMultilevel"/>
    <w:tmpl w:val="68261846"/>
    <w:lvl w:ilvl="0" w:tplc="0C0A0001">
      <w:start w:val="1"/>
      <w:numFmt w:val="bullet"/>
      <w:lvlText w:val=""/>
      <w:lvlJc w:val="left"/>
      <w:pPr>
        <w:ind w:left="360" w:hanging="360"/>
      </w:pPr>
      <w:rPr>
        <w:rFonts w:ascii="Symbol" w:hAnsi="Symbol" w:hint="default"/>
      </w:rPr>
    </w:lvl>
    <w:lvl w:ilvl="1" w:tplc="31F8414C">
      <w:numFmt w:val="bullet"/>
      <w:lvlText w:val="˗"/>
      <w:lvlJc w:val="left"/>
      <w:pPr>
        <w:ind w:left="1080" w:hanging="360"/>
      </w:pPr>
      <w:rPr>
        <w:rFonts w:ascii="Times New Roman" w:eastAsia="Times New Roman" w:hAnsi="Times New Roman" w:cs="Times New Roman"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4B56791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857997"/>
    <w:multiLevelType w:val="hybridMultilevel"/>
    <w:tmpl w:val="E1F03436"/>
    <w:lvl w:ilvl="0" w:tplc="6B6ED9B8">
      <w:start w:val="1"/>
      <w:numFmt w:val="bullet"/>
      <w:lvlText w:val=""/>
      <w:lvlJc w:val="left"/>
      <w:pPr>
        <w:tabs>
          <w:tab w:val="num" w:pos="720"/>
        </w:tabs>
        <w:ind w:left="720" w:hanging="360"/>
      </w:pPr>
      <w:rPr>
        <w:rFonts w:ascii="Wingdings" w:hAnsi="Wingdings" w:hint="default"/>
      </w:rPr>
    </w:lvl>
    <w:lvl w:ilvl="1" w:tplc="14EE3BF2">
      <w:start w:val="1"/>
      <w:numFmt w:val="bullet"/>
      <w:lvlText w:val=""/>
      <w:lvlJc w:val="left"/>
      <w:pPr>
        <w:tabs>
          <w:tab w:val="num" w:pos="1440"/>
        </w:tabs>
        <w:ind w:left="1440" w:hanging="360"/>
      </w:pPr>
      <w:rPr>
        <w:rFonts w:ascii="Wingdings" w:hAnsi="Wingdings" w:hint="default"/>
      </w:rPr>
    </w:lvl>
    <w:lvl w:ilvl="2" w:tplc="09E29064">
      <w:numFmt w:val="bullet"/>
      <w:lvlText w:val=""/>
      <w:lvlJc w:val="left"/>
      <w:pPr>
        <w:tabs>
          <w:tab w:val="num" w:pos="2160"/>
        </w:tabs>
        <w:ind w:left="2160" w:hanging="360"/>
      </w:pPr>
      <w:rPr>
        <w:rFonts w:ascii="Wingdings" w:hAnsi="Wingdings" w:hint="default"/>
      </w:rPr>
    </w:lvl>
    <w:lvl w:ilvl="3" w:tplc="F446AD84" w:tentative="1">
      <w:start w:val="1"/>
      <w:numFmt w:val="bullet"/>
      <w:lvlText w:val=""/>
      <w:lvlJc w:val="left"/>
      <w:pPr>
        <w:tabs>
          <w:tab w:val="num" w:pos="2880"/>
        </w:tabs>
        <w:ind w:left="2880" w:hanging="360"/>
      </w:pPr>
      <w:rPr>
        <w:rFonts w:ascii="Wingdings" w:hAnsi="Wingdings" w:hint="default"/>
      </w:rPr>
    </w:lvl>
    <w:lvl w:ilvl="4" w:tplc="51C8D8F6" w:tentative="1">
      <w:start w:val="1"/>
      <w:numFmt w:val="bullet"/>
      <w:lvlText w:val=""/>
      <w:lvlJc w:val="left"/>
      <w:pPr>
        <w:tabs>
          <w:tab w:val="num" w:pos="3600"/>
        </w:tabs>
        <w:ind w:left="3600" w:hanging="360"/>
      </w:pPr>
      <w:rPr>
        <w:rFonts w:ascii="Wingdings" w:hAnsi="Wingdings" w:hint="default"/>
      </w:rPr>
    </w:lvl>
    <w:lvl w:ilvl="5" w:tplc="F12821C2" w:tentative="1">
      <w:start w:val="1"/>
      <w:numFmt w:val="bullet"/>
      <w:lvlText w:val=""/>
      <w:lvlJc w:val="left"/>
      <w:pPr>
        <w:tabs>
          <w:tab w:val="num" w:pos="4320"/>
        </w:tabs>
        <w:ind w:left="4320" w:hanging="360"/>
      </w:pPr>
      <w:rPr>
        <w:rFonts w:ascii="Wingdings" w:hAnsi="Wingdings" w:hint="default"/>
      </w:rPr>
    </w:lvl>
    <w:lvl w:ilvl="6" w:tplc="63EE3A10" w:tentative="1">
      <w:start w:val="1"/>
      <w:numFmt w:val="bullet"/>
      <w:lvlText w:val=""/>
      <w:lvlJc w:val="left"/>
      <w:pPr>
        <w:tabs>
          <w:tab w:val="num" w:pos="5040"/>
        </w:tabs>
        <w:ind w:left="5040" w:hanging="360"/>
      </w:pPr>
      <w:rPr>
        <w:rFonts w:ascii="Wingdings" w:hAnsi="Wingdings" w:hint="default"/>
      </w:rPr>
    </w:lvl>
    <w:lvl w:ilvl="7" w:tplc="CCFEE400" w:tentative="1">
      <w:start w:val="1"/>
      <w:numFmt w:val="bullet"/>
      <w:lvlText w:val=""/>
      <w:lvlJc w:val="left"/>
      <w:pPr>
        <w:tabs>
          <w:tab w:val="num" w:pos="5760"/>
        </w:tabs>
        <w:ind w:left="5760" w:hanging="360"/>
      </w:pPr>
      <w:rPr>
        <w:rFonts w:ascii="Wingdings" w:hAnsi="Wingdings" w:hint="default"/>
      </w:rPr>
    </w:lvl>
    <w:lvl w:ilvl="8" w:tplc="5204F23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F63D99"/>
    <w:multiLevelType w:val="hybridMultilevel"/>
    <w:tmpl w:val="BB9490E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4F943259"/>
    <w:multiLevelType w:val="hybridMultilevel"/>
    <w:tmpl w:val="5A18C4B6"/>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36" w15:restartNumberingAfterBreak="0">
    <w:nsid w:val="57E93B4E"/>
    <w:multiLevelType w:val="hybridMultilevel"/>
    <w:tmpl w:val="5204C6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5A5E0852"/>
    <w:multiLevelType w:val="multilevel"/>
    <w:tmpl w:val="E9C48B10"/>
    <w:lvl w:ilvl="0">
      <w:start w:val="1"/>
      <w:numFmt w:val="decimal"/>
      <w:lvlText w:val="%1."/>
      <w:lvlJc w:val="left"/>
      <w:pPr>
        <w:ind w:left="360" w:hanging="360"/>
      </w:pPr>
    </w:lvl>
    <w:lvl w:ilvl="1">
      <w:start w:val="1"/>
      <w:numFmt w:val="decimal"/>
      <w:lvlText w:val="%1.%2"/>
      <w:lvlJc w:val="left"/>
      <w:pPr>
        <w:ind w:left="14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5ABB75A4"/>
    <w:multiLevelType w:val="multilevel"/>
    <w:tmpl w:val="F2ECF172"/>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9" w15:restartNumberingAfterBreak="0">
    <w:nsid w:val="61A1218D"/>
    <w:multiLevelType w:val="multilevel"/>
    <w:tmpl w:val="CCC2D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4F13C5D"/>
    <w:multiLevelType w:val="hybridMultilevel"/>
    <w:tmpl w:val="1A9C4592"/>
    <w:lvl w:ilvl="0" w:tplc="0C0A0001">
      <w:start w:val="1"/>
      <w:numFmt w:val="bullet"/>
      <w:lvlText w:val=""/>
      <w:lvlJc w:val="left"/>
      <w:pPr>
        <w:ind w:left="360" w:hanging="360"/>
      </w:pPr>
      <w:rPr>
        <w:rFonts w:ascii="Symbol" w:hAnsi="Symbol" w:hint="default"/>
      </w:rPr>
    </w:lvl>
    <w:lvl w:ilvl="1" w:tplc="0C0A0005">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66175CD5"/>
    <w:multiLevelType w:val="multilevel"/>
    <w:tmpl w:val="5CCECB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5C5B43"/>
    <w:multiLevelType w:val="hybridMultilevel"/>
    <w:tmpl w:val="7032BC0C"/>
    <w:lvl w:ilvl="0" w:tplc="0C0A0001">
      <w:start w:val="1"/>
      <w:numFmt w:val="bullet"/>
      <w:lvlText w:val=""/>
      <w:lvlJc w:val="left"/>
      <w:pPr>
        <w:ind w:left="360" w:hanging="360"/>
      </w:pPr>
      <w:rPr>
        <w:rFonts w:ascii="Symbol" w:hAnsi="Symbol" w:hint="default"/>
      </w:rPr>
    </w:lvl>
    <w:lvl w:ilvl="1" w:tplc="0C0A0005">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696C20B7"/>
    <w:multiLevelType w:val="hybridMultilevel"/>
    <w:tmpl w:val="699883D8"/>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44" w15:restartNumberingAfterBreak="0">
    <w:nsid w:val="6EE2342C"/>
    <w:multiLevelType w:val="multilevel"/>
    <w:tmpl w:val="6AA24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23658EB"/>
    <w:multiLevelType w:val="multilevel"/>
    <w:tmpl w:val="297C069C"/>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6" w15:restartNumberingAfterBreak="0">
    <w:nsid w:val="753D76BB"/>
    <w:multiLevelType w:val="hybridMultilevel"/>
    <w:tmpl w:val="648A656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5D66851"/>
    <w:multiLevelType w:val="hybridMultilevel"/>
    <w:tmpl w:val="52FE742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15:restartNumberingAfterBreak="0">
    <w:nsid w:val="7B400904"/>
    <w:multiLevelType w:val="multilevel"/>
    <w:tmpl w:val="43769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FDE29E2"/>
    <w:multiLevelType w:val="hybridMultilevel"/>
    <w:tmpl w:val="E06A05E6"/>
    <w:lvl w:ilvl="0" w:tplc="0C0A0001">
      <w:start w:val="1"/>
      <w:numFmt w:val="bullet"/>
      <w:lvlText w:val=""/>
      <w:lvlJc w:val="left"/>
      <w:pPr>
        <w:ind w:left="840" w:hanging="360"/>
      </w:pPr>
      <w:rPr>
        <w:rFonts w:ascii="Symbol" w:hAnsi="Symbol" w:hint="default"/>
      </w:rPr>
    </w:lvl>
    <w:lvl w:ilvl="1" w:tplc="0C0A0003">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num w:numId="1">
    <w:abstractNumId w:val="48"/>
  </w:num>
  <w:num w:numId="2">
    <w:abstractNumId w:val="26"/>
  </w:num>
  <w:num w:numId="3">
    <w:abstractNumId w:val="5"/>
  </w:num>
  <w:num w:numId="4">
    <w:abstractNumId w:val="44"/>
  </w:num>
  <w:num w:numId="5">
    <w:abstractNumId w:val="0"/>
  </w:num>
  <w:num w:numId="6">
    <w:abstractNumId w:val="39"/>
  </w:num>
  <w:num w:numId="7">
    <w:abstractNumId w:val="10"/>
  </w:num>
  <w:num w:numId="8">
    <w:abstractNumId w:val="37"/>
  </w:num>
  <w:num w:numId="9">
    <w:abstractNumId w:val="6"/>
  </w:num>
  <w:num w:numId="10">
    <w:abstractNumId w:val="11"/>
  </w:num>
  <w:num w:numId="11">
    <w:abstractNumId w:val="17"/>
  </w:num>
  <w:num w:numId="12">
    <w:abstractNumId w:val="15"/>
  </w:num>
  <w:num w:numId="13">
    <w:abstractNumId w:val="45"/>
  </w:num>
  <w:num w:numId="14">
    <w:abstractNumId w:val="18"/>
  </w:num>
  <w:num w:numId="15">
    <w:abstractNumId w:val="35"/>
  </w:num>
  <w:num w:numId="16">
    <w:abstractNumId w:val="9"/>
  </w:num>
  <w:num w:numId="17">
    <w:abstractNumId w:val="29"/>
  </w:num>
  <w:num w:numId="18">
    <w:abstractNumId w:val="30"/>
  </w:num>
  <w:num w:numId="19">
    <w:abstractNumId w:val="36"/>
  </w:num>
  <w:num w:numId="20">
    <w:abstractNumId w:val="22"/>
  </w:num>
  <w:num w:numId="21">
    <w:abstractNumId w:val="7"/>
  </w:num>
  <w:num w:numId="22">
    <w:abstractNumId w:val="21"/>
  </w:num>
  <w:num w:numId="23">
    <w:abstractNumId w:val="28"/>
  </w:num>
  <w:num w:numId="24">
    <w:abstractNumId w:val="19"/>
  </w:num>
  <w:num w:numId="25">
    <w:abstractNumId w:val="33"/>
  </w:num>
  <w:num w:numId="26">
    <w:abstractNumId w:val="49"/>
  </w:num>
  <w:num w:numId="27">
    <w:abstractNumId w:val="43"/>
  </w:num>
  <w:num w:numId="28">
    <w:abstractNumId w:val="2"/>
  </w:num>
  <w:num w:numId="29">
    <w:abstractNumId w:val="13"/>
  </w:num>
  <w:num w:numId="30">
    <w:abstractNumId w:val="32"/>
  </w:num>
  <w:num w:numId="31">
    <w:abstractNumId w:val="41"/>
  </w:num>
  <w:num w:numId="32">
    <w:abstractNumId w:val="23"/>
  </w:num>
  <w:num w:numId="33">
    <w:abstractNumId w:val="16"/>
  </w:num>
  <w:num w:numId="34">
    <w:abstractNumId w:val="38"/>
  </w:num>
  <w:num w:numId="35">
    <w:abstractNumId w:val="3"/>
  </w:num>
  <w:num w:numId="36">
    <w:abstractNumId w:val="31"/>
  </w:num>
  <w:num w:numId="37">
    <w:abstractNumId w:val="4"/>
  </w:num>
  <w:num w:numId="38">
    <w:abstractNumId w:val="25"/>
  </w:num>
  <w:num w:numId="39">
    <w:abstractNumId w:val="46"/>
  </w:num>
  <w:num w:numId="40">
    <w:abstractNumId w:val="8"/>
  </w:num>
  <w:num w:numId="41">
    <w:abstractNumId w:val="40"/>
  </w:num>
  <w:num w:numId="42">
    <w:abstractNumId w:val="12"/>
  </w:num>
  <w:num w:numId="43">
    <w:abstractNumId w:val="34"/>
  </w:num>
  <w:num w:numId="44">
    <w:abstractNumId w:val="20"/>
  </w:num>
  <w:num w:numId="45">
    <w:abstractNumId w:val="1"/>
  </w:num>
  <w:num w:numId="46">
    <w:abstractNumId w:val="47"/>
  </w:num>
  <w:num w:numId="47">
    <w:abstractNumId w:val="42"/>
  </w:num>
  <w:num w:numId="48">
    <w:abstractNumId w:val="27"/>
  </w:num>
  <w:num w:numId="49">
    <w:abstractNumId w:val="24"/>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47C24"/>
    <w:rsid w:val="00070925"/>
    <w:rsid w:val="0007704A"/>
    <w:rsid w:val="000957CC"/>
    <w:rsid w:val="000C6472"/>
    <w:rsid w:val="000D705A"/>
    <w:rsid w:val="000F337F"/>
    <w:rsid w:val="000F3719"/>
    <w:rsid w:val="00123AAF"/>
    <w:rsid w:val="00133E07"/>
    <w:rsid w:val="00142A8D"/>
    <w:rsid w:val="00157DAD"/>
    <w:rsid w:val="00160406"/>
    <w:rsid w:val="0016743D"/>
    <w:rsid w:val="00182357"/>
    <w:rsid w:val="001E43DC"/>
    <w:rsid w:val="00221F17"/>
    <w:rsid w:val="00234927"/>
    <w:rsid w:val="0023623C"/>
    <w:rsid w:val="00242620"/>
    <w:rsid w:val="0028150C"/>
    <w:rsid w:val="00282B53"/>
    <w:rsid w:val="00293580"/>
    <w:rsid w:val="002B2844"/>
    <w:rsid w:val="002B6D33"/>
    <w:rsid w:val="002F1D33"/>
    <w:rsid w:val="00314E59"/>
    <w:rsid w:val="0032776D"/>
    <w:rsid w:val="00336E21"/>
    <w:rsid w:val="003565F2"/>
    <w:rsid w:val="0035694D"/>
    <w:rsid w:val="00362815"/>
    <w:rsid w:val="003A1D16"/>
    <w:rsid w:val="003F63E0"/>
    <w:rsid w:val="004150F5"/>
    <w:rsid w:val="0045262D"/>
    <w:rsid w:val="004740F1"/>
    <w:rsid w:val="00493026"/>
    <w:rsid w:val="004A12A7"/>
    <w:rsid w:val="004A1A99"/>
    <w:rsid w:val="004B39C1"/>
    <w:rsid w:val="004B6729"/>
    <w:rsid w:val="004C5048"/>
    <w:rsid w:val="004E346D"/>
    <w:rsid w:val="004F04B4"/>
    <w:rsid w:val="005215E8"/>
    <w:rsid w:val="00522B87"/>
    <w:rsid w:val="00530FD6"/>
    <w:rsid w:val="0057188F"/>
    <w:rsid w:val="005812C5"/>
    <w:rsid w:val="005A1F57"/>
    <w:rsid w:val="005B6971"/>
    <w:rsid w:val="005F7C5B"/>
    <w:rsid w:val="006052BF"/>
    <w:rsid w:val="00653D6C"/>
    <w:rsid w:val="00667788"/>
    <w:rsid w:val="0069009D"/>
    <w:rsid w:val="00697934"/>
    <w:rsid w:val="006B5A4A"/>
    <w:rsid w:val="006C5879"/>
    <w:rsid w:val="00713462"/>
    <w:rsid w:val="007730C4"/>
    <w:rsid w:val="00776C97"/>
    <w:rsid w:val="00776F18"/>
    <w:rsid w:val="007E6D8C"/>
    <w:rsid w:val="00802AB9"/>
    <w:rsid w:val="0082373C"/>
    <w:rsid w:val="00835C5E"/>
    <w:rsid w:val="008361EC"/>
    <w:rsid w:val="00867414"/>
    <w:rsid w:val="00867B2C"/>
    <w:rsid w:val="00873330"/>
    <w:rsid w:val="00882E98"/>
    <w:rsid w:val="00883326"/>
    <w:rsid w:val="008A71D2"/>
    <w:rsid w:val="008B0935"/>
    <w:rsid w:val="008D56E1"/>
    <w:rsid w:val="008D6094"/>
    <w:rsid w:val="00902A7F"/>
    <w:rsid w:val="009378F5"/>
    <w:rsid w:val="00973B8D"/>
    <w:rsid w:val="009A752F"/>
    <w:rsid w:val="00A23816"/>
    <w:rsid w:val="00A454B6"/>
    <w:rsid w:val="00A531F2"/>
    <w:rsid w:val="00A6013E"/>
    <w:rsid w:val="00A75305"/>
    <w:rsid w:val="00AB250C"/>
    <w:rsid w:val="00AD1423"/>
    <w:rsid w:val="00AD4AEE"/>
    <w:rsid w:val="00AF6814"/>
    <w:rsid w:val="00B036F9"/>
    <w:rsid w:val="00B47197"/>
    <w:rsid w:val="00B72169"/>
    <w:rsid w:val="00B73CEB"/>
    <w:rsid w:val="00B74218"/>
    <w:rsid w:val="00B77A7F"/>
    <w:rsid w:val="00B86FC7"/>
    <w:rsid w:val="00B912C3"/>
    <w:rsid w:val="00BB19AC"/>
    <w:rsid w:val="00BC26CE"/>
    <w:rsid w:val="00BF6DBC"/>
    <w:rsid w:val="00BF7CE9"/>
    <w:rsid w:val="00C16E8E"/>
    <w:rsid w:val="00C261EA"/>
    <w:rsid w:val="00C40213"/>
    <w:rsid w:val="00C444A7"/>
    <w:rsid w:val="00C55909"/>
    <w:rsid w:val="00C726EA"/>
    <w:rsid w:val="00C74A1D"/>
    <w:rsid w:val="00CB2B44"/>
    <w:rsid w:val="00CB3805"/>
    <w:rsid w:val="00CB4074"/>
    <w:rsid w:val="00CC1C1D"/>
    <w:rsid w:val="00CF33AD"/>
    <w:rsid w:val="00CF656A"/>
    <w:rsid w:val="00D0258C"/>
    <w:rsid w:val="00D0270E"/>
    <w:rsid w:val="00D20550"/>
    <w:rsid w:val="00D3638C"/>
    <w:rsid w:val="00D40A7D"/>
    <w:rsid w:val="00D52194"/>
    <w:rsid w:val="00D548ED"/>
    <w:rsid w:val="00D65C24"/>
    <w:rsid w:val="00DA44DB"/>
    <w:rsid w:val="00DA74F6"/>
    <w:rsid w:val="00DD4526"/>
    <w:rsid w:val="00DD4977"/>
    <w:rsid w:val="00DE01B4"/>
    <w:rsid w:val="00DF27A8"/>
    <w:rsid w:val="00E261EB"/>
    <w:rsid w:val="00E54D5D"/>
    <w:rsid w:val="00E67043"/>
    <w:rsid w:val="00E7228E"/>
    <w:rsid w:val="00E82B25"/>
    <w:rsid w:val="00E92831"/>
    <w:rsid w:val="00E9313B"/>
    <w:rsid w:val="00EB7A63"/>
    <w:rsid w:val="00EC5F5A"/>
    <w:rsid w:val="00EE4A70"/>
    <w:rsid w:val="00F30C27"/>
    <w:rsid w:val="00F51570"/>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2BBC116C-D261-4E87-8535-F90DC53F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3CEB"/>
    <w:pPr>
      <w:pBdr>
        <w:top w:val="nil"/>
        <w:left w:val="nil"/>
        <w:bottom w:val="nil"/>
        <w:right w:val="nil"/>
        <w:between w:val="nil"/>
      </w:pBdr>
      <w:spacing w:after="200" w:line="276" w:lineRule="auto"/>
    </w:pPr>
    <w:rPr>
      <w:rFonts w:ascii="Calibri" w:eastAsia="Calibri" w:hAnsi="Calibri" w:cs="Calibri"/>
      <w:color w:val="000000"/>
      <w:lang w:val="en-GB" w:eastAsia="es-ES"/>
    </w:rPr>
  </w:style>
  <w:style w:type="paragraph" w:styleId="Ttulo1">
    <w:name w:val="heading 1"/>
    <w:basedOn w:val="Normal"/>
    <w:next w:val="Normal"/>
    <w:link w:val="Ttulo1Car"/>
    <w:rsid w:val="00B73CEB"/>
    <w:pPr>
      <w:spacing w:after="0"/>
      <w:outlineLvl w:val="0"/>
    </w:pPr>
    <w:rPr>
      <w:rFonts w:ascii="Times New Roman" w:eastAsia="Times New Roman" w:hAnsi="Times New Roman" w:cs="Times New Roman"/>
      <w:sz w:val="33"/>
      <w:szCs w:val="33"/>
    </w:rPr>
  </w:style>
  <w:style w:type="paragraph" w:styleId="Ttulo2">
    <w:name w:val="heading 2"/>
    <w:basedOn w:val="Normal"/>
    <w:next w:val="Normal"/>
    <w:link w:val="Ttulo2Car"/>
    <w:rsid w:val="00B73CEB"/>
    <w:pPr>
      <w:keepNext/>
      <w:spacing w:before="240" w:after="60"/>
      <w:outlineLvl w:val="1"/>
    </w:pPr>
    <w:rPr>
      <w:rFonts w:ascii="Cambria" w:eastAsia="Cambria" w:hAnsi="Cambria" w:cs="Cambria"/>
      <w:b/>
      <w:i/>
      <w:sz w:val="28"/>
      <w:szCs w:val="28"/>
    </w:rPr>
  </w:style>
  <w:style w:type="paragraph" w:styleId="Ttulo3">
    <w:name w:val="heading 3"/>
    <w:basedOn w:val="Normal"/>
    <w:next w:val="Normal"/>
    <w:link w:val="Ttulo3Car"/>
    <w:rsid w:val="00B73CEB"/>
    <w:pPr>
      <w:keepNext/>
      <w:spacing w:before="240" w:after="60"/>
      <w:outlineLvl w:val="2"/>
    </w:pPr>
    <w:rPr>
      <w:rFonts w:ascii="Cambria" w:eastAsia="Cambria" w:hAnsi="Cambria" w:cs="Cambria"/>
      <w:b/>
      <w:sz w:val="26"/>
      <w:szCs w:val="26"/>
    </w:rPr>
  </w:style>
  <w:style w:type="paragraph" w:styleId="Ttulo4">
    <w:name w:val="heading 4"/>
    <w:basedOn w:val="Normal"/>
    <w:next w:val="Normal"/>
    <w:link w:val="Ttulo4Car"/>
    <w:rsid w:val="00B73CEB"/>
    <w:pPr>
      <w:keepNext/>
      <w:spacing w:before="240" w:after="60"/>
      <w:outlineLvl w:val="3"/>
    </w:pPr>
    <w:rPr>
      <w:b/>
      <w:sz w:val="28"/>
      <w:szCs w:val="28"/>
    </w:rPr>
  </w:style>
  <w:style w:type="paragraph" w:styleId="Ttulo5">
    <w:name w:val="heading 5"/>
    <w:basedOn w:val="Normal"/>
    <w:next w:val="Normal"/>
    <w:link w:val="Ttulo5Car"/>
    <w:rsid w:val="00B73CEB"/>
    <w:pPr>
      <w:spacing w:before="240" w:after="60"/>
      <w:outlineLvl w:val="4"/>
    </w:pPr>
    <w:rPr>
      <w:b/>
      <w:i/>
      <w:sz w:val="26"/>
      <w:szCs w:val="26"/>
    </w:rPr>
  </w:style>
  <w:style w:type="paragraph" w:styleId="Ttulo6">
    <w:name w:val="heading 6"/>
    <w:basedOn w:val="Normal"/>
    <w:next w:val="Normal"/>
    <w:link w:val="Ttulo6Car"/>
    <w:rsid w:val="00B73CE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47197"/>
    <w:pPr>
      <w:spacing w:after="0" w:line="240" w:lineRule="auto"/>
    </w:pPr>
  </w:style>
  <w:style w:type="paragraph" w:styleId="Textodeglobo">
    <w:name w:val="Balloon Text"/>
    <w:basedOn w:val="Normal"/>
    <w:link w:val="TextodegloboCar"/>
    <w:uiPriority w:val="99"/>
    <w:semiHidden/>
    <w:unhideWhenUsed/>
    <w:rsid w:val="00B471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7197"/>
    <w:rPr>
      <w:rFonts w:ascii="Segoe UI" w:hAnsi="Segoe UI" w:cs="Segoe UI"/>
      <w:sz w:val="18"/>
      <w:szCs w:val="18"/>
    </w:rPr>
  </w:style>
  <w:style w:type="paragraph" w:styleId="Encabezado">
    <w:name w:val="header"/>
    <w:basedOn w:val="Normal"/>
    <w:link w:val="EncabezadoCar"/>
    <w:uiPriority w:val="99"/>
    <w:unhideWhenUsed/>
    <w:rsid w:val="00E82B2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E82B25"/>
  </w:style>
  <w:style w:type="paragraph" w:styleId="Piedepgina">
    <w:name w:val="footer"/>
    <w:basedOn w:val="Normal"/>
    <w:link w:val="PiedepginaCar"/>
    <w:uiPriority w:val="99"/>
    <w:unhideWhenUsed/>
    <w:rsid w:val="00E82B2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E82B25"/>
  </w:style>
  <w:style w:type="character" w:styleId="Refdecomentario">
    <w:name w:val="annotation reference"/>
    <w:basedOn w:val="Fuentedeprrafopredeter"/>
    <w:uiPriority w:val="99"/>
    <w:semiHidden/>
    <w:unhideWhenUsed/>
    <w:rsid w:val="00697934"/>
    <w:rPr>
      <w:sz w:val="16"/>
      <w:szCs w:val="16"/>
    </w:rPr>
  </w:style>
  <w:style w:type="paragraph" w:styleId="Textocomentario">
    <w:name w:val="annotation text"/>
    <w:basedOn w:val="Normal"/>
    <w:link w:val="TextocomentarioCar"/>
    <w:uiPriority w:val="99"/>
    <w:semiHidden/>
    <w:unhideWhenUsed/>
    <w:rsid w:val="006979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7934"/>
    <w:rPr>
      <w:sz w:val="20"/>
      <w:szCs w:val="20"/>
    </w:rPr>
  </w:style>
  <w:style w:type="paragraph" w:styleId="Asuntodelcomentario">
    <w:name w:val="annotation subject"/>
    <w:basedOn w:val="Textocomentario"/>
    <w:next w:val="Textocomentario"/>
    <w:link w:val="AsuntodelcomentarioCar"/>
    <w:uiPriority w:val="99"/>
    <w:semiHidden/>
    <w:unhideWhenUsed/>
    <w:rsid w:val="00697934"/>
    <w:rPr>
      <w:b/>
      <w:bCs/>
    </w:rPr>
  </w:style>
  <w:style w:type="character" w:customStyle="1" w:styleId="AsuntodelcomentarioCar">
    <w:name w:val="Asunto del comentario Car"/>
    <w:basedOn w:val="TextocomentarioCar"/>
    <w:link w:val="Asuntodelcomentario"/>
    <w:uiPriority w:val="99"/>
    <w:semiHidden/>
    <w:rsid w:val="00697934"/>
    <w:rPr>
      <w:b/>
      <w:bCs/>
      <w:sz w:val="20"/>
      <w:szCs w:val="20"/>
    </w:rPr>
  </w:style>
  <w:style w:type="character" w:styleId="Hipervnculo">
    <w:name w:val="Hyperlink"/>
    <w:basedOn w:val="Fuentedeprrafopredeter"/>
    <w:uiPriority w:val="99"/>
    <w:unhideWhenUsed/>
    <w:rsid w:val="00A454B6"/>
    <w:rPr>
      <w:color w:val="0563C1" w:themeColor="hyperlink"/>
      <w:u w:val="single"/>
    </w:rPr>
  </w:style>
  <w:style w:type="paragraph" w:styleId="Textonotapie">
    <w:name w:val="footnote text"/>
    <w:basedOn w:val="Normal"/>
    <w:link w:val="TextonotapieCar"/>
    <w:uiPriority w:val="99"/>
    <w:semiHidden/>
    <w:unhideWhenUsed/>
    <w:rsid w:val="00F30C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0C27"/>
    <w:rPr>
      <w:sz w:val="20"/>
      <w:szCs w:val="20"/>
    </w:rPr>
  </w:style>
  <w:style w:type="character" w:styleId="Refdenotaalpie">
    <w:name w:val="footnote reference"/>
    <w:basedOn w:val="Fuentedeprrafopredeter"/>
    <w:uiPriority w:val="99"/>
    <w:semiHidden/>
    <w:unhideWhenUsed/>
    <w:rsid w:val="00F30C27"/>
    <w:rPr>
      <w:vertAlign w:val="superscript"/>
    </w:rPr>
  </w:style>
  <w:style w:type="paragraph" w:styleId="Descripcin">
    <w:name w:val="caption"/>
    <w:basedOn w:val="Normal"/>
    <w:next w:val="Normal"/>
    <w:uiPriority w:val="35"/>
    <w:unhideWhenUsed/>
    <w:qFormat/>
    <w:rsid w:val="00AD4AEE"/>
    <w:pPr>
      <w:spacing w:line="240" w:lineRule="auto"/>
    </w:pPr>
    <w:rPr>
      <w:i/>
      <w:iCs/>
      <w:color w:val="44546A" w:themeColor="text2"/>
      <w:sz w:val="18"/>
      <w:szCs w:val="18"/>
    </w:rPr>
  </w:style>
  <w:style w:type="character" w:customStyle="1" w:styleId="Ttulo1Car">
    <w:name w:val="Título 1 Car"/>
    <w:basedOn w:val="Fuentedeprrafopredeter"/>
    <w:link w:val="Ttulo1"/>
    <w:rsid w:val="00B73CEB"/>
    <w:rPr>
      <w:rFonts w:ascii="Times New Roman" w:eastAsia="Times New Roman" w:hAnsi="Times New Roman" w:cs="Times New Roman"/>
      <w:color w:val="000000"/>
      <w:sz w:val="33"/>
      <w:szCs w:val="33"/>
      <w:lang w:val="en-GB" w:eastAsia="es-ES"/>
    </w:rPr>
  </w:style>
  <w:style w:type="character" w:customStyle="1" w:styleId="Ttulo2Car">
    <w:name w:val="Título 2 Car"/>
    <w:basedOn w:val="Fuentedeprrafopredeter"/>
    <w:link w:val="Ttulo2"/>
    <w:rsid w:val="00B73CEB"/>
    <w:rPr>
      <w:rFonts w:ascii="Cambria" w:eastAsia="Cambria" w:hAnsi="Cambria" w:cs="Cambria"/>
      <w:b/>
      <w:i/>
      <w:color w:val="000000"/>
      <w:sz w:val="28"/>
      <w:szCs w:val="28"/>
      <w:lang w:val="en-GB" w:eastAsia="es-ES"/>
    </w:rPr>
  </w:style>
  <w:style w:type="character" w:customStyle="1" w:styleId="Ttulo3Car">
    <w:name w:val="Título 3 Car"/>
    <w:basedOn w:val="Fuentedeprrafopredeter"/>
    <w:link w:val="Ttulo3"/>
    <w:rsid w:val="00B73CEB"/>
    <w:rPr>
      <w:rFonts w:ascii="Cambria" w:eastAsia="Cambria" w:hAnsi="Cambria" w:cs="Cambria"/>
      <w:b/>
      <w:color w:val="000000"/>
      <w:sz w:val="26"/>
      <w:szCs w:val="26"/>
      <w:lang w:val="en-GB" w:eastAsia="es-ES"/>
    </w:rPr>
  </w:style>
  <w:style w:type="character" w:customStyle="1" w:styleId="Ttulo4Car">
    <w:name w:val="Título 4 Car"/>
    <w:basedOn w:val="Fuentedeprrafopredeter"/>
    <w:link w:val="Ttulo4"/>
    <w:rsid w:val="00B73CEB"/>
    <w:rPr>
      <w:rFonts w:ascii="Calibri" w:eastAsia="Calibri" w:hAnsi="Calibri" w:cs="Calibri"/>
      <w:b/>
      <w:color w:val="000000"/>
      <w:sz w:val="28"/>
      <w:szCs w:val="28"/>
      <w:lang w:val="en-GB" w:eastAsia="es-ES"/>
    </w:rPr>
  </w:style>
  <w:style w:type="character" w:customStyle="1" w:styleId="Ttulo5Car">
    <w:name w:val="Título 5 Car"/>
    <w:basedOn w:val="Fuentedeprrafopredeter"/>
    <w:link w:val="Ttulo5"/>
    <w:rsid w:val="00B73CEB"/>
    <w:rPr>
      <w:rFonts w:ascii="Calibri" w:eastAsia="Calibri" w:hAnsi="Calibri" w:cs="Calibri"/>
      <w:b/>
      <w:i/>
      <w:color w:val="000000"/>
      <w:sz w:val="26"/>
      <w:szCs w:val="26"/>
      <w:lang w:val="en-GB" w:eastAsia="es-ES"/>
    </w:rPr>
  </w:style>
  <w:style w:type="character" w:customStyle="1" w:styleId="Ttulo6Car">
    <w:name w:val="Título 6 Car"/>
    <w:basedOn w:val="Fuentedeprrafopredeter"/>
    <w:link w:val="Ttulo6"/>
    <w:rsid w:val="00B73CEB"/>
    <w:rPr>
      <w:rFonts w:ascii="Calibri" w:eastAsia="Calibri" w:hAnsi="Calibri" w:cs="Calibri"/>
      <w:b/>
      <w:color w:val="000000"/>
      <w:sz w:val="20"/>
      <w:szCs w:val="20"/>
      <w:lang w:val="en-GB" w:eastAsia="es-ES"/>
    </w:rPr>
  </w:style>
  <w:style w:type="table" w:customStyle="1" w:styleId="TableNormal">
    <w:name w:val="Table Normal"/>
    <w:rsid w:val="00B73CEB"/>
    <w:pPr>
      <w:pBdr>
        <w:top w:val="nil"/>
        <w:left w:val="nil"/>
        <w:bottom w:val="nil"/>
        <w:right w:val="nil"/>
        <w:between w:val="nil"/>
      </w:pBdr>
      <w:spacing w:after="200" w:line="276" w:lineRule="auto"/>
    </w:pPr>
    <w:rPr>
      <w:rFonts w:ascii="Calibri" w:eastAsia="Calibri" w:hAnsi="Calibri" w:cs="Calibri"/>
      <w:color w:val="000000"/>
      <w:lang w:val="en-GB" w:eastAsia="es-ES"/>
    </w:rPr>
    <w:tblPr>
      <w:tblCellMar>
        <w:top w:w="0" w:type="dxa"/>
        <w:left w:w="0" w:type="dxa"/>
        <w:bottom w:w="0" w:type="dxa"/>
        <w:right w:w="0" w:type="dxa"/>
      </w:tblCellMar>
    </w:tblPr>
  </w:style>
  <w:style w:type="paragraph" w:styleId="Puesto">
    <w:name w:val="Title"/>
    <w:basedOn w:val="Normal"/>
    <w:next w:val="Normal"/>
    <w:link w:val="PuestoCar"/>
    <w:rsid w:val="00B73CEB"/>
    <w:pPr>
      <w:spacing w:before="240" w:after="60"/>
      <w:jc w:val="center"/>
    </w:pPr>
    <w:rPr>
      <w:rFonts w:ascii="Cambria" w:eastAsia="Cambria" w:hAnsi="Cambria" w:cs="Cambria"/>
      <w:b/>
      <w:sz w:val="32"/>
      <w:szCs w:val="32"/>
    </w:rPr>
  </w:style>
  <w:style w:type="character" w:customStyle="1" w:styleId="PuestoCar">
    <w:name w:val="Puesto Car"/>
    <w:basedOn w:val="Fuentedeprrafopredeter"/>
    <w:link w:val="Puesto"/>
    <w:rsid w:val="00B73CEB"/>
    <w:rPr>
      <w:rFonts w:ascii="Cambria" w:eastAsia="Cambria" w:hAnsi="Cambria" w:cs="Cambria"/>
      <w:b/>
      <w:color w:val="000000"/>
      <w:sz w:val="32"/>
      <w:szCs w:val="32"/>
      <w:lang w:val="en-GB" w:eastAsia="es-ES"/>
    </w:rPr>
  </w:style>
  <w:style w:type="paragraph" w:styleId="Subttulo">
    <w:name w:val="Subtitle"/>
    <w:basedOn w:val="Normal"/>
    <w:next w:val="Normal"/>
    <w:link w:val="SubttuloCar"/>
    <w:rsid w:val="00B73CEB"/>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B73CEB"/>
    <w:rPr>
      <w:rFonts w:ascii="Georgia" w:eastAsia="Georgia" w:hAnsi="Georgia" w:cs="Georgia"/>
      <w:i/>
      <w:color w:val="666666"/>
      <w:sz w:val="48"/>
      <w:szCs w:val="48"/>
      <w:lang w:val="en-GB" w:eastAsia="es-ES"/>
    </w:rPr>
  </w:style>
  <w:style w:type="paragraph" w:styleId="Prrafodelista">
    <w:name w:val="List Paragraph"/>
    <w:basedOn w:val="Normal"/>
    <w:uiPriority w:val="34"/>
    <w:qFormat/>
    <w:rsid w:val="00B73CEB"/>
    <w:pPr>
      <w:ind w:left="720"/>
      <w:contextualSpacing/>
    </w:pPr>
  </w:style>
  <w:style w:type="character" w:customStyle="1" w:styleId="shorttext">
    <w:name w:val="short_text"/>
    <w:basedOn w:val="Fuentedeprrafopredeter"/>
    <w:rsid w:val="00B73CEB"/>
  </w:style>
  <w:style w:type="paragraph" w:styleId="NormalWeb">
    <w:name w:val="Normal (Web)"/>
    <w:basedOn w:val="Normal"/>
    <w:uiPriority w:val="99"/>
    <w:semiHidden/>
    <w:unhideWhenUsed/>
    <w:rsid w:val="00B73CE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rPr>
  </w:style>
  <w:style w:type="character" w:customStyle="1" w:styleId="UnresolvedMention">
    <w:name w:val="Unresolved Mention"/>
    <w:basedOn w:val="Fuentedeprrafopredeter"/>
    <w:uiPriority w:val="99"/>
    <w:semiHidden/>
    <w:unhideWhenUsed/>
    <w:rsid w:val="00B73C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arbado@ine.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OM:2009:0404:FIN: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2:156:0001:0009: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eurostat/web/ess/esbr" TargetMode="External"/><Relationship Id="rId4" Type="http://schemas.openxmlformats.org/officeDocument/2006/relationships/settings" Target="settings.xml"/><Relationship Id="rId9" Type="http://schemas.openxmlformats.org/officeDocument/2006/relationships/hyperlink" Target="http://ec.europa.eu/eurostat/documents/3859598/6651706/KS-GQ-15-003-EN-N.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5E343-6F3E-483C-8FD8-AB75DC14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11</Pages>
  <Words>3284</Words>
  <Characters>18065</Characters>
  <Application>Microsoft Office Word</Application>
  <DocSecurity>0</DocSecurity>
  <Lines>150</Lines>
  <Paragraphs>42</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ine</cp:lastModifiedBy>
  <cp:revision>18</cp:revision>
  <cp:lastPrinted>2018-03-15T10:04:00Z</cp:lastPrinted>
  <dcterms:created xsi:type="dcterms:W3CDTF">2018-03-12T10:04:00Z</dcterms:created>
  <dcterms:modified xsi:type="dcterms:W3CDTF">2018-05-16T06:05:00Z</dcterms:modified>
</cp:coreProperties>
</file>