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62581B" w:rsidP="00D0270E">
      <w:pPr>
        <w:spacing w:before="480" w:after="480" w:line="360" w:lineRule="auto"/>
        <w:jc w:val="center"/>
        <w:rPr>
          <w:rFonts w:ascii="Arial" w:hAnsi="Arial" w:cs="Arial"/>
          <w:b/>
          <w:sz w:val="48"/>
          <w:szCs w:val="48"/>
          <w:lang w:val="en-GB"/>
        </w:rPr>
      </w:pPr>
      <w:bookmarkStart w:id="0" w:name="_GoBack"/>
      <w:bookmarkEnd w:id="0"/>
      <w:r w:rsidRPr="0062581B">
        <w:rPr>
          <w:rFonts w:ascii="Arial" w:hAnsi="Arial" w:cs="Arial"/>
          <w:b/>
          <w:sz w:val="48"/>
          <w:szCs w:val="48"/>
          <w:lang w:val="en-GB"/>
        </w:rPr>
        <w:t>The method of harmonised Labour Market Areas in Europe</w:t>
      </w:r>
    </w:p>
    <w:p w:rsidR="00D0270E" w:rsidRPr="0062581B" w:rsidRDefault="0062581B" w:rsidP="004E771A">
      <w:pPr>
        <w:spacing w:after="0" w:line="360" w:lineRule="auto"/>
        <w:rPr>
          <w:rFonts w:ascii="Arial" w:hAnsi="Arial" w:cs="Arial"/>
          <w:sz w:val="24"/>
          <w:szCs w:val="24"/>
          <w:lang w:val="it-IT"/>
        </w:rPr>
      </w:pPr>
      <w:r w:rsidRPr="0062581B">
        <w:rPr>
          <w:rFonts w:ascii="Arial" w:hAnsi="Arial" w:cs="Arial"/>
          <w:sz w:val="24"/>
          <w:szCs w:val="24"/>
          <w:lang w:val="it-IT"/>
        </w:rPr>
        <w:t>Valeriya ANGELOVA-TOSHEVA</w:t>
      </w:r>
      <w:r w:rsidR="000D705A" w:rsidRPr="0062581B">
        <w:rPr>
          <w:rFonts w:ascii="Arial" w:hAnsi="Arial" w:cs="Arial"/>
          <w:sz w:val="24"/>
          <w:szCs w:val="24"/>
          <w:lang w:val="it-IT"/>
        </w:rPr>
        <w:t xml:space="preserve">, </w:t>
      </w:r>
      <w:proofErr w:type="spellStart"/>
      <w:r w:rsidRPr="0062581B">
        <w:rPr>
          <w:rFonts w:ascii="Arial" w:hAnsi="Arial" w:cs="Arial"/>
          <w:sz w:val="24"/>
          <w:szCs w:val="24"/>
          <w:lang w:val="it-IT"/>
        </w:rPr>
        <w:t>Eurostat</w:t>
      </w:r>
      <w:proofErr w:type="spellEnd"/>
      <w:r w:rsidR="000D705A" w:rsidRPr="0062581B">
        <w:rPr>
          <w:rFonts w:ascii="Arial" w:hAnsi="Arial" w:cs="Arial"/>
          <w:sz w:val="24"/>
          <w:szCs w:val="24"/>
          <w:lang w:val="it-IT"/>
        </w:rPr>
        <w:t xml:space="preserve">, </w:t>
      </w:r>
      <w:r w:rsidR="007373C4">
        <w:fldChar w:fldCharType="begin"/>
      </w:r>
      <w:r w:rsidR="007373C4" w:rsidRPr="007373C4">
        <w:rPr>
          <w:lang w:val="it-IT"/>
        </w:rPr>
        <w:instrText xml:space="preserve"> HYPERLINK "mailto:Valeriya.ANGELOVA-TOSHEVA@ec.europa.eu" </w:instrText>
      </w:r>
      <w:r w:rsidR="007373C4">
        <w:fldChar w:fldCharType="separate"/>
      </w:r>
      <w:r w:rsidRPr="0062581B">
        <w:rPr>
          <w:rStyle w:val="Hyperlink"/>
          <w:rFonts w:ascii="Arial" w:hAnsi="Arial" w:cs="Arial"/>
          <w:sz w:val="24"/>
          <w:szCs w:val="24"/>
          <w:lang w:val="it-IT"/>
        </w:rPr>
        <w:t>Valeriya.ANGELOVA-TOSHEVA@ec.europa.eu</w:t>
      </w:r>
      <w:r w:rsidR="007373C4">
        <w:rPr>
          <w:rStyle w:val="Hyperlink"/>
          <w:rFonts w:ascii="Arial" w:hAnsi="Arial" w:cs="Arial"/>
          <w:sz w:val="24"/>
          <w:szCs w:val="24"/>
          <w:lang w:val="it-IT"/>
        </w:rPr>
        <w:fldChar w:fldCharType="end"/>
      </w:r>
    </w:p>
    <w:p w:rsidR="000D705A" w:rsidRPr="0062581B" w:rsidRDefault="0062581B" w:rsidP="004E771A">
      <w:pPr>
        <w:spacing w:after="0" w:line="360" w:lineRule="auto"/>
        <w:rPr>
          <w:rFonts w:ascii="Arial" w:hAnsi="Arial" w:cs="Arial"/>
          <w:sz w:val="24"/>
          <w:szCs w:val="24"/>
          <w:lang w:val="it-IT"/>
        </w:rPr>
      </w:pPr>
      <w:r w:rsidRPr="0062581B">
        <w:rPr>
          <w:rFonts w:ascii="Arial" w:hAnsi="Arial" w:cs="Arial"/>
          <w:sz w:val="24"/>
          <w:szCs w:val="24"/>
          <w:lang w:val="it-IT"/>
        </w:rPr>
        <w:t>Teodora BRANDMUELLER</w:t>
      </w:r>
      <w:r w:rsidR="000D705A" w:rsidRPr="0062581B">
        <w:rPr>
          <w:rFonts w:ascii="Arial" w:hAnsi="Arial" w:cs="Arial"/>
          <w:sz w:val="24"/>
          <w:szCs w:val="24"/>
          <w:lang w:val="it-IT"/>
        </w:rPr>
        <w:t xml:space="preserve">, </w:t>
      </w:r>
      <w:proofErr w:type="spellStart"/>
      <w:r w:rsidRPr="0062581B">
        <w:rPr>
          <w:rFonts w:ascii="Arial" w:hAnsi="Arial" w:cs="Arial"/>
          <w:sz w:val="24"/>
          <w:szCs w:val="24"/>
          <w:lang w:val="it-IT"/>
        </w:rPr>
        <w:t>Eurostat</w:t>
      </w:r>
      <w:proofErr w:type="spellEnd"/>
      <w:r w:rsidR="000D705A" w:rsidRPr="0062581B">
        <w:rPr>
          <w:rFonts w:ascii="Arial" w:hAnsi="Arial" w:cs="Arial"/>
          <w:sz w:val="24"/>
          <w:szCs w:val="24"/>
          <w:lang w:val="it-IT"/>
        </w:rPr>
        <w:t xml:space="preserve">, </w:t>
      </w:r>
      <w:r w:rsidR="007373C4">
        <w:fldChar w:fldCharType="begin"/>
      </w:r>
      <w:r w:rsidR="007373C4" w:rsidRPr="007373C4">
        <w:rPr>
          <w:lang w:val="it-IT"/>
        </w:rPr>
        <w:instrText xml:space="preserve"> HYPERLINK "mailto:Teodora.BRANDMUELLER@ec.europa.eu" </w:instrText>
      </w:r>
      <w:r w:rsidR="007373C4">
        <w:fldChar w:fldCharType="separate"/>
      </w:r>
      <w:r w:rsidRPr="0062581B">
        <w:rPr>
          <w:rStyle w:val="Hyperlink"/>
          <w:rFonts w:ascii="Arial" w:hAnsi="Arial" w:cs="Arial"/>
          <w:sz w:val="24"/>
          <w:szCs w:val="24"/>
          <w:lang w:val="it-IT"/>
        </w:rPr>
        <w:t>Teodora.BRANDMUELLER@ec.europa.eu</w:t>
      </w:r>
      <w:r w:rsidR="007373C4">
        <w:rPr>
          <w:rStyle w:val="Hyperlink"/>
          <w:rFonts w:ascii="Arial" w:hAnsi="Arial" w:cs="Arial"/>
          <w:sz w:val="24"/>
          <w:szCs w:val="24"/>
          <w:lang w:val="it-IT"/>
        </w:rPr>
        <w:fldChar w:fldCharType="end"/>
      </w:r>
    </w:p>
    <w:p w:rsidR="0062581B" w:rsidRDefault="0062581B" w:rsidP="004E771A">
      <w:pPr>
        <w:spacing w:after="0" w:line="360" w:lineRule="auto"/>
        <w:rPr>
          <w:rFonts w:ascii="Arial" w:hAnsi="Arial" w:cs="Arial"/>
          <w:sz w:val="24"/>
          <w:szCs w:val="24"/>
          <w:lang w:val="it-IT"/>
        </w:rPr>
      </w:pPr>
      <w:r w:rsidRPr="0062581B">
        <w:rPr>
          <w:rFonts w:ascii="Arial" w:hAnsi="Arial" w:cs="Arial"/>
          <w:sz w:val="24"/>
          <w:szCs w:val="24"/>
          <w:lang w:val="it-IT"/>
        </w:rPr>
        <w:t xml:space="preserve">Dario BUONO, </w:t>
      </w:r>
      <w:proofErr w:type="spellStart"/>
      <w:r w:rsidRPr="0062581B">
        <w:rPr>
          <w:rFonts w:ascii="Arial" w:hAnsi="Arial" w:cs="Arial"/>
          <w:sz w:val="24"/>
          <w:szCs w:val="24"/>
          <w:lang w:val="it-IT"/>
        </w:rPr>
        <w:t>Eurostat</w:t>
      </w:r>
      <w:proofErr w:type="spellEnd"/>
      <w:r w:rsidRPr="0062581B">
        <w:rPr>
          <w:rFonts w:ascii="Arial" w:hAnsi="Arial" w:cs="Arial"/>
          <w:sz w:val="24"/>
          <w:szCs w:val="24"/>
          <w:lang w:val="it-IT"/>
        </w:rPr>
        <w:t xml:space="preserve">, </w:t>
      </w:r>
      <w:hyperlink r:id="rId8" w:history="1">
        <w:r w:rsidRPr="008E1B68">
          <w:rPr>
            <w:rStyle w:val="Hyperlink"/>
            <w:rFonts w:ascii="Arial" w:hAnsi="Arial" w:cs="Arial"/>
            <w:sz w:val="24"/>
            <w:szCs w:val="24"/>
            <w:lang w:val="it-IT"/>
          </w:rPr>
          <w:t>Dario.BUONO@ec.europa.eu</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5F3CA6" w:rsidRPr="005F3CA6" w:rsidRDefault="005F3CA6" w:rsidP="005F3CA6">
      <w:pPr>
        <w:spacing w:after="0" w:line="240" w:lineRule="auto"/>
        <w:jc w:val="both"/>
        <w:rPr>
          <w:rFonts w:ascii="Arial" w:hAnsi="Arial" w:cs="Arial"/>
          <w:i/>
          <w:sz w:val="20"/>
          <w:szCs w:val="20"/>
          <w:lang w:val="en-GB"/>
        </w:rPr>
      </w:pPr>
      <w:r w:rsidRPr="005F3CA6">
        <w:rPr>
          <w:rFonts w:ascii="Arial" w:hAnsi="Arial" w:cs="Arial"/>
          <w:i/>
          <w:sz w:val="20"/>
          <w:szCs w:val="20"/>
          <w:lang w:val="en-GB"/>
        </w:rPr>
        <w:t>The Labour Market Area (LMA) is a well-established and discussed concept in regional geography and statistics. The concept of LMAs has existed for almost 30 years, based on different definitions and known under various names.</w:t>
      </w:r>
    </w:p>
    <w:p w:rsidR="005F3CA6" w:rsidRPr="005F3CA6" w:rsidRDefault="005F3CA6" w:rsidP="005F3CA6">
      <w:pPr>
        <w:spacing w:after="0" w:line="240" w:lineRule="auto"/>
        <w:jc w:val="both"/>
        <w:rPr>
          <w:rFonts w:ascii="Arial" w:hAnsi="Arial" w:cs="Arial"/>
          <w:i/>
          <w:sz w:val="20"/>
          <w:szCs w:val="20"/>
          <w:lang w:val="en-GB"/>
        </w:rPr>
      </w:pPr>
      <w:r w:rsidRPr="005F3CA6">
        <w:rPr>
          <w:rFonts w:ascii="Arial" w:hAnsi="Arial" w:cs="Arial"/>
          <w:i/>
          <w:sz w:val="20"/>
          <w:szCs w:val="20"/>
          <w:lang w:val="en-GB"/>
        </w:rPr>
        <w:t>The need for functional geographies in the statistical practice is indisputable. Administrative boundaries often break up single LMAs. Commuting across NUTS and country boundaries can lead to significant differences between total employment (job-place-based) in a region and resident working population (domestic employment) in the same region.</w:t>
      </w:r>
    </w:p>
    <w:p w:rsidR="005F3CA6" w:rsidRPr="00CC1874" w:rsidRDefault="005F3CA6" w:rsidP="005F3CA6">
      <w:pPr>
        <w:spacing w:after="0" w:line="240" w:lineRule="auto"/>
        <w:jc w:val="both"/>
        <w:rPr>
          <w:rFonts w:ascii="Arial" w:hAnsi="Arial" w:cs="Arial"/>
          <w:i/>
          <w:sz w:val="20"/>
          <w:szCs w:val="20"/>
          <w:lang w:val="bg-BG"/>
        </w:rPr>
      </w:pPr>
      <w:r w:rsidRPr="005F3CA6">
        <w:rPr>
          <w:rFonts w:ascii="Arial" w:hAnsi="Arial" w:cs="Arial"/>
          <w:i/>
          <w:sz w:val="20"/>
          <w:szCs w:val="20"/>
          <w:lang w:val="en-GB"/>
        </w:rPr>
        <w:t xml:space="preserve">For the last ten years, Eurostat has intensively worked on the EU-wide harmonisation of the LMAs concept starting with a study together with the research community to investigate the value assed, feasibility and best practices in the EU. The approach for delineation of LMAs proposed to the Member States is a simple, transparent, reproducible, consistent, and policy independent bottom-up method that needs only commuting flows as input. The algorithm operates with set of four parameters (minimum and target size of the employment and minimum and target self-containment). </w:t>
      </w:r>
      <w:r w:rsidR="00380F84">
        <w:rPr>
          <w:rFonts w:ascii="Arial" w:hAnsi="Arial" w:cs="Arial"/>
          <w:i/>
          <w:sz w:val="20"/>
          <w:szCs w:val="20"/>
          <w:lang w:val="en-GB"/>
        </w:rPr>
        <w:t xml:space="preserve">This article describes the method and </w:t>
      </w:r>
      <w:r w:rsidR="00CC1874">
        <w:rPr>
          <w:rFonts w:ascii="Arial" w:hAnsi="Arial" w:cs="Arial"/>
          <w:i/>
          <w:sz w:val="20"/>
          <w:szCs w:val="20"/>
          <w:lang w:val="en-GB"/>
        </w:rPr>
        <w:t>provides visualisations of the obtained LMAs using the examples of Bulgaria and Portugal.</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F3CA6" w:rsidRPr="005F3CA6">
        <w:rPr>
          <w:rFonts w:ascii="Arial" w:hAnsi="Arial" w:cs="Arial"/>
          <w:sz w:val="20"/>
          <w:szCs w:val="20"/>
          <w:lang w:val="en-GB"/>
        </w:rPr>
        <w:t xml:space="preserve">Functional geographies, LMAs, harmonisation, </w:t>
      </w:r>
      <w:r w:rsidR="008127CC">
        <w:rPr>
          <w:rFonts w:ascii="Arial" w:hAnsi="Arial" w:cs="Arial"/>
          <w:sz w:val="20"/>
          <w:szCs w:val="20"/>
          <w:lang w:val="en-GB"/>
        </w:rPr>
        <w:t>open source software</w:t>
      </w:r>
      <w:r w:rsidR="00CC1874">
        <w:rPr>
          <w:rFonts w:ascii="Arial" w:hAnsi="Arial" w:cs="Arial"/>
          <w:sz w:val="20"/>
          <w:szCs w:val="20"/>
          <w:lang w:val="en-GB"/>
        </w:rPr>
        <w:t>, self-containment</w:t>
      </w:r>
      <w:r w:rsidR="00F5647F">
        <w:rPr>
          <w:rFonts w:ascii="Arial" w:hAnsi="Arial" w:cs="Arial"/>
          <w:sz w:val="20"/>
          <w:szCs w:val="20"/>
          <w:lang w:val="en-GB"/>
        </w:rPr>
        <w:t>, grid cells</w:t>
      </w:r>
    </w:p>
    <w:p w:rsidR="00493026"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05F84">
        <w:rPr>
          <w:rFonts w:ascii="Arial" w:hAnsi="Arial" w:cs="Arial"/>
          <w:b/>
          <w:sz w:val="24"/>
          <w:szCs w:val="24"/>
          <w:lang w:val="en-GB"/>
        </w:rPr>
        <w:t>Introduction</w:t>
      </w:r>
    </w:p>
    <w:p w:rsidR="00672848" w:rsidRPr="00672848" w:rsidRDefault="00672848" w:rsidP="00CC1C1D">
      <w:pPr>
        <w:spacing w:before="360" w:after="0" w:line="360" w:lineRule="auto"/>
        <w:jc w:val="both"/>
        <w:rPr>
          <w:rFonts w:ascii="Arial" w:hAnsi="Arial" w:cs="Arial"/>
          <w:sz w:val="24"/>
          <w:szCs w:val="24"/>
          <w:lang w:val="en-GB"/>
        </w:rPr>
      </w:pPr>
      <w:r w:rsidRPr="00672848">
        <w:rPr>
          <w:rFonts w:ascii="Arial" w:hAnsi="Arial" w:cs="Arial"/>
          <w:sz w:val="24"/>
          <w:szCs w:val="24"/>
          <w:lang w:val="en-GB"/>
        </w:rPr>
        <w:t>The European Union has defined far-reaching policy development objectives in the context</w:t>
      </w:r>
      <w:r w:rsidR="004E771A">
        <w:rPr>
          <w:rFonts w:ascii="Arial" w:hAnsi="Arial" w:cs="Arial"/>
          <w:sz w:val="24"/>
          <w:szCs w:val="24"/>
          <w:lang w:val="en-GB"/>
        </w:rPr>
        <w:t xml:space="preserve"> of the Cohesion Policy, the</w:t>
      </w:r>
      <w:r w:rsidRPr="00672848">
        <w:rPr>
          <w:rFonts w:ascii="Arial" w:hAnsi="Arial" w:cs="Arial"/>
          <w:sz w:val="24"/>
          <w:szCs w:val="24"/>
          <w:lang w:val="en-GB"/>
        </w:rPr>
        <w:t xml:space="preserve"> Commission priorities and more recently within the context of the Sustainable Development Goals. These political initiatives share the challenge to provide adequate, statistical information on which to base the necessary policy actions. In order to implement the policy initiatives in the European context, there is a growing need for not only higher geographical detail and references related to administrative units, but also for information, that reflects the inherent structure of the social and economic reality at which European decisions and projects need to </w:t>
      </w:r>
      <w:proofErr w:type="gramStart"/>
      <w:r w:rsidRPr="00672848">
        <w:rPr>
          <w:rFonts w:ascii="Arial" w:hAnsi="Arial" w:cs="Arial"/>
          <w:sz w:val="24"/>
          <w:szCs w:val="24"/>
          <w:lang w:val="en-GB"/>
        </w:rPr>
        <w:t>be targeted</w:t>
      </w:r>
      <w:proofErr w:type="gramEnd"/>
      <w:r w:rsidRPr="00672848">
        <w:rPr>
          <w:rFonts w:ascii="Arial" w:hAnsi="Arial" w:cs="Arial"/>
          <w:sz w:val="24"/>
          <w:szCs w:val="24"/>
          <w:lang w:val="en-GB"/>
        </w:rPr>
        <w:t xml:space="preserve">. As such, the structuring of information according to </w:t>
      </w:r>
      <w:r w:rsidRPr="00672848">
        <w:rPr>
          <w:rFonts w:ascii="Arial" w:hAnsi="Arial" w:cs="Arial"/>
          <w:sz w:val="24"/>
          <w:szCs w:val="24"/>
          <w:lang w:val="en-GB"/>
        </w:rPr>
        <w:lastRenderedPageBreak/>
        <w:t xml:space="preserve">functional areas is complementary to the established administrative areas and regions. The concept of </w:t>
      </w:r>
      <w:r w:rsidR="00BE1DD7">
        <w:rPr>
          <w:rFonts w:ascii="Arial" w:hAnsi="Arial" w:cs="Arial"/>
          <w:sz w:val="24"/>
          <w:szCs w:val="24"/>
          <w:lang w:val="en-GB"/>
        </w:rPr>
        <w:t>the Labour Market Areas (</w:t>
      </w:r>
      <w:r w:rsidRPr="00672848">
        <w:rPr>
          <w:rFonts w:ascii="Arial" w:hAnsi="Arial" w:cs="Arial"/>
          <w:sz w:val="24"/>
          <w:szCs w:val="24"/>
          <w:lang w:val="en-GB"/>
        </w:rPr>
        <w:t>LMAs</w:t>
      </w:r>
      <w:r w:rsidR="00BE1DD7">
        <w:rPr>
          <w:rFonts w:ascii="Arial" w:hAnsi="Arial" w:cs="Arial"/>
          <w:sz w:val="24"/>
          <w:szCs w:val="24"/>
          <w:lang w:val="en-GB"/>
        </w:rPr>
        <w:t>)</w:t>
      </w:r>
      <w:r w:rsidRPr="00672848">
        <w:rPr>
          <w:rFonts w:ascii="Arial" w:hAnsi="Arial" w:cs="Arial"/>
          <w:sz w:val="24"/>
          <w:szCs w:val="24"/>
          <w:lang w:val="en-GB"/>
        </w:rPr>
        <w:t xml:space="preserve"> has the potential to play a role in the </w:t>
      </w:r>
      <w:r w:rsidR="004E771A">
        <w:rPr>
          <w:rFonts w:ascii="Arial" w:hAnsi="Arial" w:cs="Arial"/>
          <w:sz w:val="24"/>
          <w:szCs w:val="24"/>
          <w:lang w:val="en-GB"/>
        </w:rPr>
        <w:t>economic analysis of territories</w:t>
      </w:r>
      <w:r w:rsidRPr="00672848">
        <w:rPr>
          <w:rFonts w:ascii="Arial" w:hAnsi="Arial" w:cs="Arial"/>
          <w:sz w:val="24"/>
          <w:szCs w:val="24"/>
          <w:lang w:val="en-GB"/>
        </w:rPr>
        <w:t xml:space="preserve"> both </w:t>
      </w:r>
      <w:r w:rsidR="004E771A">
        <w:rPr>
          <w:rFonts w:ascii="Arial" w:hAnsi="Arial" w:cs="Arial"/>
          <w:sz w:val="24"/>
          <w:szCs w:val="24"/>
          <w:lang w:val="en-GB"/>
        </w:rPr>
        <w:t>on</w:t>
      </w:r>
      <w:r w:rsidRPr="00672848">
        <w:rPr>
          <w:rFonts w:ascii="Arial" w:hAnsi="Arial" w:cs="Arial"/>
          <w:sz w:val="24"/>
          <w:szCs w:val="24"/>
          <w:lang w:val="en-GB"/>
        </w:rPr>
        <w:t xml:space="preserve"> European </w:t>
      </w:r>
      <w:proofErr w:type="gramStart"/>
      <w:r w:rsidRPr="00672848">
        <w:rPr>
          <w:rFonts w:ascii="Arial" w:hAnsi="Arial" w:cs="Arial"/>
          <w:sz w:val="24"/>
          <w:szCs w:val="24"/>
          <w:lang w:val="en-GB"/>
        </w:rPr>
        <w:t>and also</w:t>
      </w:r>
      <w:proofErr w:type="gramEnd"/>
      <w:r w:rsidRPr="00672848">
        <w:rPr>
          <w:rFonts w:ascii="Arial" w:hAnsi="Arial" w:cs="Arial"/>
          <w:sz w:val="24"/>
          <w:szCs w:val="24"/>
          <w:lang w:val="en-GB"/>
        </w:rPr>
        <w:t xml:space="preserve"> </w:t>
      </w:r>
      <w:r w:rsidR="004E771A">
        <w:rPr>
          <w:rFonts w:ascii="Arial" w:hAnsi="Arial" w:cs="Arial"/>
          <w:sz w:val="24"/>
          <w:szCs w:val="24"/>
          <w:lang w:val="en-GB"/>
        </w:rPr>
        <w:t>on</w:t>
      </w:r>
      <w:r w:rsidRPr="00672848">
        <w:rPr>
          <w:rFonts w:ascii="Arial" w:hAnsi="Arial" w:cs="Arial"/>
          <w:sz w:val="24"/>
          <w:szCs w:val="24"/>
          <w:lang w:val="en-GB"/>
        </w:rPr>
        <w:t xml:space="preserve"> national scale.</w:t>
      </w:r>
    </w:p>
    <w:p w:rsidR="00A531F2" w:rsidRDefault="00105F84" w:rsidP="003A1D16">
      <w:pPr>
        <w:spacing w:before="120" w:after="0" w:line="360" w:lineRule="auto"/>
        <w:jc w:val="both"/>
        <w:rPr>
          <w:rFonts w:ascii="Arial" w:hAnsi="Arial" w:cs="Arial"/>
          <w:sz w:val="24"/>
          <w:szCs w:val="24"/>
          <w:lang w:val="en-GB"/>
        </w:rPr>
      </w:pPr>
      <w:r w:rsidRPr="00105F84">
        <w:rPr>
          <w:rFonts w:ascii="Arial" w:hAnsi="Arial" w:cs="Arial"/>
          <w:sz w:val="24"/>
          <w:szCs w:val="24"/>
          <w:lang w:val="en-GB"/>
        </w:rPr>
        <w:t>The LMA is a well-established and discussed concept in regional geography and statistics. The concept of LMAs has existed for almost 30 years, based on different definitions and known under various names (Labour Market Regions, Employment Zones, Commuting Zones, Travel-To-Work-Areas, Daily Urban Systems</w:t>
      </w:r>
      <w:r>
        <w:rPr>
          <w:rFonts w:ascii="Arial" w:hAnsi="Arial" w:cs="Arial"/>
          <w:sz w:val="24"/>
          <w:szCs w:val="24"/>
          <w:lang w:val="en-GB"/>
        </w:rPr>
        <w:t xml:space="preserve">, </w:t>
      </w:r>
      <w:proofErr w:type="gramStart"/>
      <w:r>
        <w:rPr>
          <w:rFonts w:ascii="Arial" w:hAnsi="Arial" w:cs="Arial"/>
          <w:sz w:val="24"/>
          <w:szCs w:val="24"/>
          <w:lang w:val="en-GB"/>
        </w:rPr>
        <w:t>Working</w:t>
      </w:r>
      <w:proofErr w:type="gramEnd"/>
      <w:r>
        <w:rPr>
          <w:rFonts w:ascii="Arial" w:hAnsi="Arial" w:cs="Arial"/>
          <w:sz w:val="24"/>
          <w:szCs w:val="24"/>
          <w:lang w:val="en-GB"/>
        </w:rPr>
        <w:t xml:space="preserve"> Catchment Areas etc.)</w:t>
      </w:r>
      <w:r w:rsidR="00D0258C" w:rsidRPr="00EC5F5A">
        <w:rPr>
          <w:rFonts w:ascii="Arial" w:hAnsi="Arial" w:cs="Arial"/>
          <w:sz w:val="24"/>
          <w:szCs w:val="24"/>
          <w:lang w:val="en-GB"/>
        </w:rPr>
        <w:t>.</w:t>
      </w:r>
    </w:p>
    <w:p w:rsidR="00105F84" w:rsidRDefault="00105F84" w:rsidP="00105F84">
      <w:pPr>
        <w:spacing w:before="120" w:after="0" w:line="360" w:lineRule="auto"/>
        <w:jc w:val="both"/>
        <w:rPr>
          <w:rFonts w:ascii="Arial" w:hAnsi="Arial" w:cs="Arial"/>
          <w:sz w:val="24"/>
          <w:szCs w:val="24"/>
          <w:lang w:val="en-GB"/>
        </w:rPr>
      </w:pPr>
      <w:r w:rsidRPr="00105F84">
        <w:rPr>
          <w:rFonts w:ascii="Arial" w:hAnsi="Arial" w:cs="Arial"/>
          <w:sz w:val="24"/>
          <w:szCs w:val="24"/>
          <w:lang w:val="en-GB"/>
        </w:rPr>
        <w:t xml:space="preserve">The need for functional geographies in the statistical practice is indisputable. Administrative boundaries often break up single LMAs. Commuting across NUTS and country boundaries can lead to significant differences between total employment (job-place-based) in a region and resident working population (domestic employment) in the same region. Indicators such as GDP per inhabitant </w:t>
      </w:r>
      <w:proofErr w:type="gramStart"/>
      <w:r w:rsidRPr="00105F84">
        <w:rPr>
          <w:rFonts w:ascii="Arial" w:hAnsi="Arial" w:cs="Arial"/>
          <w:sz w:val="24"/>
          <w:szCs w:val="24"/>
          <w:lang w:val="en-GB"/>
        </w:rPr>
        <w:t>will be affected</w:t>
      </w:r>
      <w:proofErr w:type="gramEnd"/>
      <w:r w:rsidRPr="00105F84">
        <w:rPr>
          <w:rFonts w:ascii="Arial" w:hAnsi="Arial" w:cs="Arial"/>
          <w:sz w:val="24"/>
          <w:szCs w:val="24"/>
          <w:lang w:val="en-GB"/>
        </w:rPr>
        <w:t xml:space="preserve"> in regions with asymmetric commuting patterns. Luxembourg, </w:t>
      </w:r>
      <w:r w:rsidR="004F6B35">
        <w:rPr>
          <w:rFonts w:ascii="Arial" w:hAnsi="Arial" w:cs="Arial"/>
          <w:sz w:val="24"/>
          <w:szCs w:val="24"/>
          <w:lang w:val="en-GB"/>
        </w:rPr>
        <w:t xml:space="preserve">the NUTS regions of </w:t>
      </w:r>
      <w:r w:rsidRPr="00105F84">
        <w:rPr>
          <w:rFonts w:ascii="Arial" w:hAnsi="Arial" w:cs="Arial"/>
          <w:sz w:val="24"/>
          <w:szCs w:val="24"/>
          <w:lang w:val="en-GB"/>
        </w:rPr>
        <w:t xml:space="preserve">Inner London and Brussels are only a few examples of territories where employment and GDP data </w:t>
      </w:r>
      <w:proofErr w:type="gramStart"/>
      <w:r w:rsidRPr="00105F84">
        <w:rPr>
          <w:rFonts w:ascii="Arial" w:hAnsi="Arial" w:cs="Arial"/>
          <w:sz w:val="24"/>
          <w:szCs w:val="24"/>
          <w:lang w:val="en-GB"/>
        </w:rPr>
        <w:t>are distorted</w:t>
      </w:r>
      <w:proofErr w:type="gramEnd"/>
      <w:r w:rsidRPr="00105F84">
        <w:rPr>
          <w:rFonts w:ascii="Arial" w:hAnsi="Arial" w:cs="Arial"/>
          <w:sz w:val="24"/>
          <w:szCs w:val="24"/>
          <w:lang w:val="en-GB"/>
        </w:rPr>
        <w:t xml:space="preserve"> when presented as divided by inhabitants.</w:t>
      </w:r>
    </w:p>
    <w:p w:rsidR="00362D5C" w:rsidRPr="00105F84" w:rsidRDefault="00362D5C" w:rsidP="00105F84">
      <w:pPr>
        <w:spacing w:before="120" w:after="0" w:line="360" w:lineRule="auto"/>
        <w:jc w:val="both"/>
        <w:rPr>
          <w:rFonts w:ascii="Arial" w:hAnsi="Arial" w:cs="Arial"/>
          <w:sz w:val="24"/>
          <w:szCs w:val="24"/>
          <w:lang w:val="en-GB"/>
        </w:rPr>
      </w:pPr>
      <w:r w:rsidRPr="00362D5C">
        <w:rPr>
          <w:rFonts w:ascii="Arial" w:hAnsi="Arial" w:cs="Arial"/>
          <w:sz w:val="24"/>
          <w:szCs w:val="24"/>
          <w:lang w:val="en-GB"/>
        </w:rPr>
        <w:t xml:space="preserve">LMAs </w:t>
      </w:r>
      <w:proofErr w:type="gramStart"/>
      <w:r w:rsidRPr="00362D5C">
        <w:rPr>
          <w:rFonts w:ascii="Arial" w:hAnsi="Arial" w:cs="Arial"/>
          <w:sz w:val="24"/>
          <w:szCs w:val="24"/>
          <w:lang w:val="en-GB"/>
        </w:rPr>
        <w:t>can be defined</w:t>
      </w:r>
      <w:proofErr w:type="gramEnd"/>
      <w:r w:rsidRPr="00362D5C">
        <w:rPr>
          <w:rFonts w:ascii="Arial" w:hAnsi="Arial" w:cs="Arial"/>
          <w:sz w:val="24"/>
          <w:szCs w:val="24"/>
          <w:lang w:val="en-GB"/>
        </w:rPr>
        <w:t xml:space="preserve"> as a geographic area de</w:t>
      </w:r>
      <w:r>
        <w:rPr>
          <w:rFonts w:ascii="Arial" w:hAnsi="Arial" w:cs="Arial"/>
          <w:sz w:val="24"/>
          <w:szCs w:val="24"/>
          <w:lang w:val="en-GB"/>
        </w:rPr>
        <w:t>sign</w:t>
      </w:r>
      <w:r w:rsidRPr="00362D5C">
        <w:rPr>
          <w:rFonts w:ascii="Arial" w:hAnsi="Arial" w:cs="Arial"/>
          <w:sz w:val="24"/>
          <w:szCs w:val="24"/>
          <w:lang w:val="en-GB"/>
        </w:rPr>
        <w:t>ed for the purposes of compiling, reporting, and evaluating employment, unemployment, workforce availability and related topics. It is a statistically defined, economically integrated territory, where</w:t>
      </w:r>
      <w:r w:rsidR="00942365">
        <w:rPr>
          <w:rFonts w:ascii="Arial" w:hAnsi="Arial" w:cs="Arial"/>
          <w:sz w:val="24"/>
          <w:szCs w:val="24"/>
          <w:lang w:val="en-GB"/>
        </w:rPr>
        <w:t xml:space="preserve"> the majority of people live and work. </w:t>
      </w:r>
    </w:p>
    <w:p w:rsidR="00105F84" w:rsidRDefault="00105F84" w:rsidP="00105F84">
      <w:pPr>
        <w:spacing w:before="120" w:after="0" w:line="360" w:lineRule="auto"/>
        <w:jc w:val="both"/>
        <w:rPr>
          <w:rFonts w:ascii="Arial" w:hAnsi="Arial" w:cs="Arial"/>
          <w:sz w:val="24"/>
          <w:szCs w:val="24"/>
          <w:lang w:val="en-GB"/>
        </w:rPr>
      </w:pPr>
      <w:r w:rsidRPr="00105F84">
        <w:rPr>
          <w:rFonts w:ascii="Arial" w:hAnsi="Arial" w:cs="Arial"/>
          <w:sz w:val="24"/>
          <w:szCs w:val="24"/>
          <w:lang w:val="en-GB"/>
        </w:rPr>
        <w:t>For the last ten years, Eurostat has intensively worked on the EU-wide harmonisation of the LMAs concept starting with a study together with the research community to investigate the value a</w:t>
      </w:r>
      <w:r w:rsidR="004F6B35">
        <w:rPr>
          <w:rFonts w:ascii="Arial" w:hAnsi="Arial" w:cs="Arial"/>
          <w:sz w:val="24"/>
          <w:szCs w:val="24"/>
          <w:lang w:val="en-GB"/>
        </w:rPr>
        <w:t>dd</w:t>
      </w:r>
      <w:r w:rsidRPr="00105F84">
        <w:rPr>
          <w:rFonts w:ascii="Arial" w:hAnsi="Arial" w:cs="Arial"/>
          <w:sz w:val="24"/>
          <w:szCs w:val="24"/>
          <w:lang w:val="en-GB"/>
        </w:rPr>
        <w:t xml:space="preserve">ed, feasibility and best practices in the EU. </w:t>
      </w:r>
      <w:r w:rsidR="00D63FCC">
        <w:rPr>
          <w:rFonts w:ascii="Arial" w:hAnsi="Arial" w:cs="Arial"/>
          <w:sz w:val="24"/>
          <w:szCs w:val="24"/>
          <w:lang w:val="en-GB"/>
        </w:rPr>
        <w:t>T</w:t>
      </w:r>
      <w:r w:rsidR="00D63FCC" w:rsidRPr="00D63FCC">
        <w:rPr>
          <w:rFonts w:ascii="Arial" w:hAnsi="Arial" w:cs="Arial"/>
          <w:sz w:val="24"/>
          <w:szCs w:val="24"/>
          <w:lang w:val="en-GB"/>
        </w:rPr>
        <w:t xml:space="preserve">he subject </w:t>
      </w:r>
      <w:proofErr w:type="gramStart"/>
      <w:r w:rsidR="00D63FCC" w:rsidRPr="00D63FCC">
        <w:rPr>
          <w:rFonts w:ascii="Arial" w:hAnsi="Arial" w:cs="Arial"/>
          <w:sz w:val="24"/>
          <w:szCs w:val="24"/>
          <w:lang w:val="en-GB"/>
        </w:rPr>
        <w:t>has been intensively studied</w:t>
      </w:r>
      <w:proofErr w:type="gramEnd"/>
      <w:r w:rsidR="00D63FCC" w:rsidRPr="00D63FCC">
        <w:rPr>
          <w:rFonts w:ascii="Arial" w:hAnsi="Arial" w:cs="Arial"/>
          <w:sz w:val="24"/>
          <w:szCs w:val="24"/>
          <w:lang w:val="en-GB"/>
        </w:rPr>
        <w:t xml:space="preserve"> in the Working Group on Regional, Urban and Rural Development Statistics, both in a specific Task Force </w:t>
      </w:r>
      <w:r w:rsidR="0074511E" w:rsidRPr="00D63FCC">
        <w:rPr>
          <w:rFonts w:ascii="Arial" w:hAnsi="Arial" w:cs="Arial"/>
          <w:sz w:val="24"/>
          <w:szCs w:val="24"/>
          <w:lang w:val="en-GB"/>
        </w:rPr>
        <w:t>and</w:t>
      </w:r>
      <w:r w:rsidR="00D63FCC" w:rsidRPr="00D63FCC">
        <w:rPr>
          <w:rFonts w:ascii="Arial" w:hAnsi="Arial" w:cs="Arial"/>
          <w:sz w:val="24"/>
          <w:szCs w:val="24"/>
          <w:lang w:val="en-GB"/>
        </w:rPr>
        <w:t xml:space="preserve"> in a range of EU grants.</w:t>
      </w:r>
      <w:r w:rsidR="008127CC">
        <w:rPr>
          <w:rFonts w:ascii="Arial" w:hAnsi="Arial" w:cs="Arial"/>
          <w:sz w:val="24"/>
          <w:szCs w:val="24"/>
          <w:lang w:val="en-GB"/>
        </w:rPr>
        <w:t xml:space="preserve"> </w:t>
      </w:r>
      <w:r w:rsidR="008127CC" w:rsidRPr="008127CC">
        <w:rPr>
          <w:rFonts w:ascii="Arial" w:hAnsi="Arial" w:cs="Arial"/>
          <w:sz w:val="24"/>
          <w:szCs w:val="24"/>
          <w:lang w:val="en-GB"/>
        </w:rPr>
        <w:t xml:space="preserve">The approach for delineation of LMAs proposed to the Member States is a simple, transparent, reproducible, consistent, and policy independent bottom-up method that needs only commuting flows as input. Furthermore, </w:t>
      </w:r>
      <w:r w:rsidR="00CC1874" w:rsidRPr="008127CC">
        <w:rPr>
          <w:rFonts w:ascii="Arial" w:hAnsi="Arial" w:cs="Arial"/>
          <w:sz w:val="24"/>
          <w:szCs w:val="24"/>
          <w:lang w:val="en-GB"/>
        </w:rPr>
        <w:t>a script based on open-source software (R</w:t>
      </w:r>
      <w:r w:rsidR="00EA4B33">
        <w:rPr>
          <w:rFonts w:ascii="Arial" w:hAnsi="Arial" w:cs="Arial"/>
          <w:sz w:val="24"/>
          <w:szCs w:val="24"/>
          <w:lang w:val="en-GB"/>
        </w:rPr>
        <w:t xml:space="preserve"> package</w:t>
      </w:r>
      <w:r w:rsidR="00CC1874" w:rsidRPr="008127CC">
        <w:rPr>
          <w:rFonts w:ascii="Arial" w:hAnsi="Arial" w:cs="Arial"/>
          <w:sz w:val="24"/>
          <w:szCs w:val="24"/>
          <w:lang w:val="en-GB"/>
        </w:rPr>
        <w:t>) supported the IT implementation of the method</w:t>
      </w:r>
      <w:r w:rsidR="00F5647F">
        <w:rPr>
          <w:rStyle w:val="FootnoteReference"/>
          <w:rFonts w:ascii="Arial" w:hAnsi="Arial" w:cs="Arial"/>
          <w:sz w:val="24"/>
          <w:szCs w:val="24"/>
          <w:lang w:val="en-GB"/>
        </w:rPr>
        <w:footnoteReference w:id="1"/>
      </w:r>
      <w:r w:rsidR="008127CC" w:rsidRPr="008127CC">
        <w:rPr>
          <w:rFonts w:ascii="Arial" w:hAnsi="Arial" w:cs="Arial"/>
          <w:sz w:val="24"/>
          <w:szCs w:val="24"/>
          <w:lang w:val="en-GB"/>
        </w:rPr>
        <w:t xml:space="preserve">. The algorithm operates with set of four parameters (minimum and target size of the employment </w:t>
      </w:r>
      <w:r w:rsidR="008127CC" w:rsidRPr="008127CC">
        <w:rPr>
          <w:rFonts w:ascii="Arial" w:hAnsi="Arial" w:cs="Arial"/>
          <w:sz w:val="24"/>
          <w:szCs w:val="24"/>
          <w:lang w:val="en-GB"/>
        </w:rPr>
        <w:lastRenderedPageBreak/>
        <w:t xml:space="preserve">and minimum and target self-containment). </w:t>
      </w:r>
      <w:r w:rsidR="00CC1874">
        <w:rPr>
          <w:rFonts w:ascii="Arial" w:hAnsi="Arial" w:cs="Arial"/>
          <w:sz w:val="24"/>
          <w:szCs w:val="24"/>
          <w:lang w:val="en-GB"/>
        </w:rPr>
        <w:t>I</w:t>
      </w:r>
      <w:r w:rsidR="008127CC" w:rsidRPr="008127CC">
        <w:rPr>
          <w:rFonts w:ascii="Arial" w:hAnsi="Arial" w:cs="Arial"/>
          <w:sz w:val="24"/>
          <w:szCs w:val="24"/>
          <w:lang w:val="en-GB"/>
        </w:rPr>
        <w:t xml:space="preserve">n the frames of a grant </w:t>
      </w:r>
      <w:r w:rsidR="00F5647F" w:rsidRPr="008127CC">
        <w:rPr>
          <w:rFonts w:ascii="Arial" w:hAnsi="Arial" w:cs="Arial"/>
          <w:sz w:val="24"/>
          <w:szCs w:val="24"/>
          <w:lang w:val="en-GB"/>
        </w:rPr>
        <w:t>programme,</w:t>
      </w:r>
      <w:r w:rsidR="008127CC" w:rsidRPr="008127CC">
        <w:rPr>
          <w:rFonts w:ascii="Arial" w:hAnsi="Arial" w:cs="Arial"/>
          <w:sz w:val="24"/>
          <w:szCs w:val="24"/>
          <w:lang w:val="en-GB"/>
        </w:rPr>
        <w:t xml:space="preserve"> several countries tested the IT tool and proved the feasibility of implementing the </w:t>
      </w:r>
      <w:r w:rsidR="004017EE">
        <w:rPr>
          <w:rFonts w:ascii="Arial" w:hAnsi="Arial" w:cs="Arial"/>
          <w:sz w:val="24"/>
          <w:szCs w:val="24"/>
          <w:lang w:val="en-GB"/>
        </w:rPr>
        <w:t xml:space="preserve">proposed </w:t>
      </w:r>
      <w:r w:rsidR="008127CC" w:rsidRPr="008127CC">
        <w:rPr>
          <w:rFonts w:ascii="Arial" w:hAnsi="Arial" w:cs="Arial"/>
          <w:sz w:val="24"/>
          <w:szCs w:val="24"/>
          <w:lang w:val="en-GB"/>
        </w:rPr>
        <w:t>harmonised method.</w:t>
      </w:r>
    </w:p>
    <w:p w:rsidR="00105F84" w:rsidRPr="00EC5F5A" w:rsidRDefault="00105F84" w:rsidP="00105F84">
      <w:pPr>
        <w:spacing w:before="120" w:after="0" w:line="360" w:lineRule="auto"/>
        <w:jc w:val="both"/>
        <w:rPr>
          <w:rFonts w:ascii="Arial" w:hAnsi="Arial" w:cs="Arial"/>
          <w:sz w:val="24"/>
          <w:szCs w:val="24"/>
          <w:lang w:val="en-GB"/>
        </w:rPr>
      </w:pPr>
      <w:r w:rsidRPr="00105F84">
        <w:rPr>
          <w:rFonts w:ascii="Arial" w:hAnsi="Arial" w:cs="Arial"/>
          <w:sz w:val="24"/>
          <w:szCs w:val="24"/>
          <w:lang w:val="en-GB"/>
        </w:rPr>
        <w:t>This article aims to present the method in detail</w:t>
      </w:r>
      <w:r w:rsidR="004F6B35">
        <w:rPr>
          <w:rFonts w:ascii="Arial" w:hAnsi="Arial" w:cs="Arial"/>
          <w:sz w:val="24"/>
          <w:szCs w:val="24"/>
          <w:lang w:val="en-GB"/>
        </w:rPr>
        <w:t xml:space="preserve"> and its applicability to analyse rural functional areas or urban-rural linkages within a functional area on the example of Portugal and Bulgaria</w:t>
      </w:r>
      <w:r w:rsidRPr="00105F84">
        <w:rPr>
          <w:rFonts w:ascii="Arial" w:hAnsi="Arial" w:cs="Arial"/>
          <w:sz w:val="24"/>
          <w:szCs w:val="24"/>
          <w:lang w:val="en-GB"/>
        </w:rPr>
        <w:t>.</w:t>
      </w:r>
    </w:p>
    <w:p w:rsidR="00D0258C" w:rsidRPr="0028150C" w:rsidRDefault="00402A1A"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 The method</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 xml:space="preserve">The aim of the method is to aggregate neighbouring </w:t>
      </w:r>
      <w:r w:rsidR="0074511E">
        <w:rPr>
          <w:rFonts w:ascii="Arial" w:hAnsi="Arial" w:cs="Arial"/>
          <w:sz w:val="24"/>
          <w:szCs w:val="24"/>
          <w:lang w:val="en-GB"/>
        </w:rPr>
        <w:t>Local Administrative Units (</w:t>
      </w:r>
      <w:r w:rsidRPr="009A20D1">
        <w:rPr>
          <w:rFonts w:ascii="Arial" w:hAnsi="Arial" w:cs="Arial"/>
          <w:sz w:val="24"/>
          <w:szCs w:val="24"/>
          <w:lang w:val="en-GB"/>
        </w:rPr>
        <w:t>LAUs</w:t>
      </w:r>
      <w:r w:rsidR="0074511E">
        <w:rPr>
          <w:rFonts w:ascii="Arial" w:hAnsi="Arial" w:cs="Arial"/>
          <w:sz w:val="24"/>
          <w:szCs w:val="24"/>
          <w:lang w:val="en-GB"/>
        </w:rPr>
        <w:t>)</w:t>
      </w:r>
      <w:r w:rsidRPr="009A20D1">
        <w:rPr>
          <w:rFonts w:ascii="Arial" w:hAnsi="Arial" w:cs="Arial"/>
          <w:sz w:val="24"/>
          <w:szCs w:val="24"/>
          <w:lang w:val="en-GB"/>
        </w:rPr>
        <w:t xml:space="preserve"> to LMAs, satisfying a particular validity condition (internal cohesion and external separation principles), based on functional relationships, namely the commuting flows. </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 xml:space="preserve">The EU (TTWA) method operates with two properties: (1) self-containment and (2) number of workers (persons employed). The self-containment is the proportion of the labour force that lives and work in the area. For both properties, minimum and target values have to </w:t>
      </w:r>
      <w:proofErr w:type="gramStart"/>
      <w:r w:rsidRPr="009A20D1">
        <w:rPr>
          <w:rFonts w:ascii="Arial" w:hAnsi="Arial" w:cs="Arial"/>
          <w:sz w:val="24"/>
          <w:szCs w:val="24"/>
          <w:lang w:val="en-GB"/>
        </w:rPr>
        <w:t>be defined</w:t>
      </w:r>
      <w:proofErr w:type="gramEnd"/>
      <w:r w:rsidRPr="009A20D1">
        <w:rPr>
          <w:rFonts w:ascii="Arial" w:hAnsi="Arial" w:cs="Arial"/>
          <w:sz w:val="24"/>
          <w:szCs w:val="24"/>
          <w:lang w:val="en-GB"/>
        </w:rPr>
        <w:t xml:space="preserve"> to run the algorithm. Consequently, four parameters</w:t>
      </w:r>
      <w:r w:rsidR="009B527A">
        <w:rPr>
          <w:rFonts w:ascii="Arial" w:hAnsi="Arial" w:cs="Arial"/>
          <w:sz w:val="24"/>
          <w:szCs w:val="24"/>
          <w:lang w:val="en-GB"/>
        </w:rPr>
        <w:t xml:space="preserve"> (with values between 0</w:t>
      </w:r>
      <w:proofErr w:type="gramStart"/>
      <w:r w:rsidR="009B527A">
        <w:rPr>
          <w:rFonts w:ascii="Arial" w:hAnsi="Arial" w:cs="Arial"/>
          <w:sz w:val="24"/>
          <w:szCs w:val="24"/>
          <w:lang w:val="en-GB"/>
        </w:rPr>
        <w:t>..1</w:t>
      </w:r>
      <w:proofErr w:type="gramEnd"/>
      <w:r w:rsidRPr="009A20D1">
        <w:rPr>
          <w:rFonts w:ascii="Arial" w:hAnsi="Arial" w:cs="Arial"/>
          <w:sz w:val="24"/>
          <w:szCs w:val="24"/>
          <w:lang w:val="en-GB"/>
        </w:rPr>
        <w:t xml:space="preserve"> set the constraints to define what is considered to be a LMA: </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1.</w:t>
      </w:r>
      <w:r w:rsidRPr="009A20D1">
        <w:rPr>
          <w:rFonts w:ascii="Arial" w:hAnsi="Arial" w:cs="Arial"/>
          <w:sz w:val="24"/>
          <w:szCs w:val="24"/>
          <w:lang w:val="en-GB"/>
        </w:rPr>
        <w:tab/>
      </w:r>
      <w:proofErr w:type="gramStart"/>
      <w:r w:rsidRPr="009A20D1">
        <w:rPr>
          <w:rFonts w:ascii="Arial" w:hAnsi="Arial" w:cs="Arial"/>
          <w:sz w:val="24"/>
          <w:szCs w:val="24"/>
          <w:lang w:val="en-GB"/>
        </w:rPr>
        <w:t>minimum</w:t>
      </w:r>
      <w:proofErr w:type="gramEnd"/>
      <w:r w:rsidRPr="009A20D1">
        <w:rPr>
          <w:rFonts w:ascii="Arial" w:hAnsi="Arial" w:cs="Arial"/>
          <w:sz w:val="24"/>
          <w:szCs w:val="24"/>
          <w:lang w:val="en-GB"/>
        </w:rPr>
        <w:t xml:space="preserve"> self-containment (</w:t>
      </w:r>
      <w:proofErr w:type="spellStart"/>
      <w:r w:rsidRPr="009A20D1">
        <w:rPr>
          <w:rFonts w:ascii="Arial" w:hAnsi="Arial" w:cs="Arial"/>
          <w:sz w:val="24"/>
          <w:szCs w:val="24"/>
          <w:lang w:val="en-GB"/>
        </w:rPr>
        <w:t>minSC</w:t>
      </w:r>
      <w:proofErr w:type="spellEnd"/>
      <w:r w:rsidRPr="009A20D1">
        <w:rPr>
          <w:rFonts w:ascii="Arial" w:hAnsi="Arial" w:cs="Arial"/>
          <w:sz w:val="24"/>
          <w:szCs w:val="24"/>
          <w:lang w:val="en-GB"/>
        </w:rPr>
        <w:t>),</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2.</w:t>
      </w:r>
      <w:r w:rsidRPr="009A20D1">
        <w:rPr>
          <w:rFonts w:ascii="Arial" w:hAnsi="Arial" w:cs="Arial"/>
          <w:sz w:val="24"/>
          <w:szCs w:val="24"/>
          <w:lang w:val="en-GB"/>
        </w:rPr>
        <w:tab/>
      </w:r>
      <w:proofErr w:type="gramStart"/>
      <w:r w:rsidRPr="009A20D1">
        <w:rPr>
          <w:rFonts w:ascii="Arial" w:hAnsi="Arial" w:cs="Arial"/>
          <w:sz w:val="24"/>
          <w:szCs w:val="24"/>
          <w:lang w:val="en-GB"/>
        </w:rPr>
        <w:t>target</w:t>
      </w:r>
      <w:proofErr w:type="gramEnd"/>
      <w:r w:rsidRPr="009A20D1">
        <w:rPr>
          <w:rFonts w:ascii="Arial" w:hAnsi="Arial" w:cs="Arial"/>
          <w:sz w:val="24"/>
          <w:szCs w:val="24"/>
          <w:lang w:val="en-GB"/>
        </w:rPr>
        <w:t xml:space="preserve"> self-containment (</w:t>
      </w:r>
      <w:proofErr w:type="spellStart"/>
      <w:r w:rsidRPr="009A20D1">
        <w:rPr>
          <w:rFonts w:ascii="Arial" w:hAnsi="Arial" w:cs="Arial"/>
          <w:sz w:val="24"/>
          <w:szCs w:val="24"/>
          <w:lang w:val="en-GB"/>
        </w:rPr>
        <w:t>tarSC</w:t>
      </w:r>
      <w:proofErr w:type="spellEnd"/>
      <w:r w:rsidRPr="009A20D1">
        <w:rPr>
          <w:rFonts w:ascii="Arial" w:hAnsi="Arial" w:cs="Arial"/>
          <w:sz w:val="24"/>
          <w:szCs w:val="24"/>
          <w:lang w:val="en-GB"/>
        </w:rPr>
        <w:t>),</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3.</w:t>
      </w:r>
      <w:r w:rsidRPr="009A20D1">
        <w:rPr>
          <w:rFonts w:ascii="Arial" w:hAnsi="Arial" w:cs="Arial"/>
          <w:sz w:val="24"/>
          <w:szCs w:val="24"/>
          <w:lang w:val="en-GB"/>
        </w:rPr>
        <w:tab/>
      </w:r>
      <w:proofErr w:type="gramStart"/>
      <w:r w:rsidRPr="009A20D1">
        <w:rPr>
          <w:rFonts w:ascii="Arial" w:hAnsi="Arial" w:cs="Arial"/>
          <w:sz w:val="24"/>
          <w:szCs w:val="24"/>
          <w:lang w:val="en-GB"/>
        </w:rPr>
        <w:t>minimum</w:t>
      </w:r>
      <w:proofErr w:type="gramEnd"/>
      <w:r w:rsidRPr="009A20D1">
        <w:rPr>
          <w:rFonts w:ascii="Arial" w:hAnsi="Arial" w:cs="Arial"/>
          <w:sz w:val="24"/>
          <w:szCs w:val="24"/>
          <w:lang w:val="en-GB"/>
        </w:rPr>
        <w:t xml:space="preserve"> number of workers (</w:t>
      </w:r>
      <w:proofErr w:type="spellStart"/>
      <w:r w:rsidRPr="009A20D1">
        <w:rPr>
          <w:rFonts w:ascii="Arial" w:hAnsi="Arial" w:cs="Arial"/>
          <w:sz w:val="24"/>
          <w:szCs w:val="24"/>
          <w:lang w:val="en-GB"/>
        </w:rPr>
        <w:t>minSZ</w:t>
      </w:r>
      <w:proofErr w:type="spellEnd"/>
      <w:r w:rsidRPr="009A20D1">
        <w:rPr>
          <w:rFonts w:ascii="Arial" w:hAnsi="Arial" w:cs="Arial"/>
          <w:sz w:val="24"/>
          <w:szCs w:val="24"/>
          <w:lang w:val="en-GB"/>
        </w:rPr>
        <w:t>),</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4.</w:t>
      </w:r>
      <w:r w:rsidRPr="009A20D1">
        <w:rPr>
          <w:rFonts w:ascii="Arial" w:hAnsi="Arial" w:cs="Arial"/>
          <w:sz w:val="24"/>
          <w:szCs w:val="24"/>
          <w:lang w:val="en-GB"/>
        </w:rPr>
        <w:tab/>
      </w:r>
      <w:proofErr w:type="gramStart"/>
      <w:r w:rsidRPr="009A20D1">
        <w:rPr>
          <w:rFonts w:ascii="Arial" w:hAnsi="Arial" w:cs="Arial"/>
          <w:sz w:val="24"/>
          <w:szCs w:val="24"/>
          <w:lang w:val="en-GB"/>
        </w:rPr>
        <w:t>target</w:t>
      </w:r>
      <w:proofErr w:type="gramEnd"/>
      <w:r w:rsidRPr="009A20D1">
        <w:rPr>
          <w:rFonts w:ascii="Arial" w:hAnsi="Arial" w:cs="Arial"/>
          <w:sz w:val="24"/>
          <w:szCs w:val="24"/>
          <w:lang w:val="en-GB"/>
        </w:rPr>
        <w:t xml:space="preserve"> number of workers (</w:t>
      </w:r>
      <w:proofErr w:type="spellStart"/>
      <w:r w:rsidRPr="009A20D1">
        <w:rPr>
          <w:rFonts w:ascii="Arial" w:hAnsi="Arial" w:cs="Arial"/>
          <w:sz w:val="24"/>
          <w:szCs w:val="24"/>
          <w:lang w:val="en-GB"/>
        </w:rPr>
        <w:t>tarSZ</w:t>
      </w:r>
      <w:proofErr w:type="spellEnd"/>
      <w:r w:rsidRPr="009A20D1">
        <w:rPr>
          <w:rFonts w:ascii="Arial" w:hAnsi="Arial" w:cs="Arial"/>
          <w:sz w:val="24"/>
          <w:szCs w:val="24"/>
          <w:lang w:val="en-GB"/>
        </w:rPr>
        <w:t>).</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 xml:space="preserve">The parameter </w:t>
      </w:r>
      <w:proofErr w:type="spellStart"/>
      <w:r w:rsidRPr="009A20D1">
        <w:rPr>
          <w:rFonts w:ascii="Arial" w:hAnsi="Arial" w:cs="Arial"/>
          <w:sz w:val="24"/>
          <w:szCs w:val="24"/>
          <w:lang w:val="en-GB"/>
        </w:rPr>
        <w:t>tarSC</w:t>
      </w:r>
      <w:proofErr w:type="spellEnd"/>
      <w:r w:rsidRPr="009A20D1">
        <w:rPr>
          <w:rFonts w:ascii="Arial" w:hAnsi="Arial" w:cs="Arial"/>
          <w:sz w:val="24"/>
          <w:szCs w:val="24"/>
          <w:lang w:val="en-GB"/>
        </w:rPr>
        <w:t xml:space="preserve"> is always greater than </w:t>
      </w:r>
      <w:proofErr w:type="spellStart"/>
      <w:r w:rsidRPr="009A20D1">
        <w:rPr>
          <w:rFonts w:ascii="Arial" w:hAnsi="Arial" w:cs="Arial"/>
          <w:sz w:val="24"/>
          <w:szCs w:val="24"/>
          <w:lang w:val="en-GB"/>
        </w:rPr>
        <w:t>minSC</w:t>
      </w:r>
      <w:proofErr w:type="spellEnd"/>
      <w:r w:rsidRPr="009A20D1">
        <w:rPr>
          <w:rFonts w:ascii="Arial" w:hAnsi="Arial" w:cs="Arial"/>
          <w:sz w:val="24"/>
          <w:szCs w:val="24"/>
          <w:lang w:val="en-GB"/>
        </w:rPr>
        <w:t xml:space="preserve">. The default values for </w:t>
      </w:r>
      <w:proofErr w:type="spellStart"/>
      <w:r w:rsidRPr="009A20D1">
        <w:rPr>
          <w:rFonts w:ascii="Arial" w:hAnsi="Arial" w:cs="Arial"/>
          <w:sz w:val="24"/>
          <w:szCs w:val="24"/>
          <w:lang w:val="en-GB"/>
        </w:rPr>
        <w:t>tarSC</w:t>
      </w:r>
      <w:proofErr w:type="spellEnd"/>
      <w:r w:rsidRPr="009A20D1">
        <w:rPr>
          <w:rFonts w:ascii="Arial" w:hAnsi="Arial" w:cs="Arial"/>
          <w:sz w:val="24"/>
          <w:szCs w:val="24"/>
          <w:lang w:val="en-GB"/>
        </w:rPr>
        <w:t xml:space="preserve"> are between 0.75 and 0.8 but in specific situations higher values </w:t>
      </w:r>
      <w:proofErr w:type="gramStart"/>
      <w:r w:rsidRPr="009A20D1">
        <w:rPr>
          <w:rFonts w:ascii="Arial" w:hAnsi="Arial" w:cs="Arial"/>
          <w:sz w:val="24"/>
          <w:szCs w:val="24"/>
          <w:lang w:val="en-GB"/>
        </w:rPr>
        <w:t>can also be selected</w:t>
      </w:r>
      <w:proofErr w:type="gramEnd"/>
      <w:r w:rsidRPr="009A20D1">
        <w:rPr>
          <w:rFonts w:ascii="Arial" w:hAnsi="Arial" w:cs="Arial"/>
          <w:sz w:val="24"/>
          <w:szCs w:val="24"/>
          <w:lang w:val="en-GB"/>
        </w:rPr>
        <w:t xml:space="preserve">. For the parameter </w:t>
      </w:r>
      <w:proofErr w:type="spellStart"/>
      <w:r w:rsidRPr="009A20D1">
        <w:rPr>
          <w:rFonts w:ascii="Arial" w:hAnsi="Arial" w:cs="Arial"/>
          <w:sz w:val="24"/>
          <w:szCs w:val="24"/>
          <w:lang w:val="en-GB"/>
        </w:rPr>
        <w:t>minSC</w:t>
      </w:r>
      <w:proofErr w:type="spellEnd"/>
      <w:r w:rsidRPr="009A20D1">
        <w:rPr>
          <w:rFonts w:ascii="Arial" w:hAnsi="Arial" w:cs="Arial"/>
          <w:sz w:val="24"/>
          <w:szCs w:val="24"/>
          <w:lang w:val="en-GB"/>
        </w:rPr>
        <w:t>, the default values are between 0.6 and 0.6667. In other words, 0.8</w:t>
      </w:r>
      <w:r w:rsidR="00885E0A">
        <w:rPr>
          <w:rFonts w:ascii="Arial" w:hAnsi="Arial" w:cs="Arial"/>
          <w:sz w:val="24"/>
          <w:szCs w:val="24"/>
          <w:lang w:val="en-GB"/>
        </w:rPr>
        <w:t xml:space="preserve"> </w:t>
      </w:r>
      <w:r w:rsidR="00885E0A" w:rsidRPr="009A20D1">
        <w:rPr>
          <w:rFonts w:ascii="Arial" w:hAnsi="Arial" w:cs="Arial"/>
          <w:sz w:val="24"/>
          <w:szCs w:val="24"/>
          <w:lang w:val="en-GB"/>
        </w:rPr>
        <w:t>self-containment</w:t>
      </w:r>
      <w:r w:rsidRPr="009A20D1">
        <w:rPr>
          <w:rFonts w:ascii="Arial" w:hAnsi="Arial" w:cs="Arial"/>
          <w:sz w:val="24"/>
          <w:szCs w:val="24"/>
          <w:lang w:val="en-GB"/>
        </w:rPr>
        <w:t xml:space="preserve"> means that only one out of 5 residents is commuting out of the LMA, 0.75 means that three out of four residents work inside the LMA, 0.6667 corresponds to </w:t>
      </w:r>
      <w:r w:rsidR="00885E0A">
        <w:rPr>
          <w:rFonts w:ascii="Arial" w:hAnsi="Arial" w:cs="Arial"/>
          <w:sz w:val="24"/>
          <w:szCs w:val="24"/>
          <w:lang w:val="en-GB"/>
        </w:rPr>
        <w:t>two</w:t>
      </w:r>
      <w:r w:rsidRPr="009A20D1">
        <w:rPr>
          <w:rFonts w:ascii="Arial" w:hAnsi="Arial" w:cs="Arial"/>
          <w:sz w:val="24"/>
          <w:szCs w:val="24"/>
          <w:lang w:val="en-GB"/>
        </w:rPr>
        <w:t xml:space="preserve"> out of </w:t>
      </w:r>
      <w:r w:rsidR="00885E0A">
        <w:rPr>
          <w:rFonts w:ascii="Arial" w:hAnsi="Arial" w:cs="Arial"/>
          <w:sz w:val="24"/>
          <w:szCs w:val="24"/>
          <w:lang w:val="en-GB"/>
        </w:rPr>
        <w:t>three</w:t>
      </w:r>
      <w:r w:rsidRPr="009A20D1">
        <w:rPr>
          <w:rFonts w:ascii="Arial" w:hAnsi="Arial" w:cs="Arial"/>
          <w:sz w:val="24"/>
          <w:szCs w:val="24"/>
          <w:lang w:val="en-GB"/>
        </w:rPr>
        <w:t xml:space="preserve">, 0.6 to three out of five. </w:t>
      </w:r>
      <w:r w:rsidR="00033D0C">
        <w:rPr>
          <w:rFonts w:ascii="Arial" w:hAnsi="Arial" w:cs="Arial"/>
          <w:sz w:val="24"/>
          <w:szCs w:val="24"/>
          <w:lang w:val="en-GB"/>
        </w:rPr>
        <w:t xml:space="preserve">The parameters </w:t>
      </w:r>
      <w:proofErr w:type="gramStart"/>
      <w:r w:rsidR="00033D0C">
        <w:rPr>
          <w:rFonts w:ascii="Arial" w:hAnsi="Arial" w:cs="Arial"/>
          <w:sz w:val="24"/>
          <w:szCs w:val="24"/>
          <w:lang w:val="en-GB"/>
        </w:rPr>
        <w:t>could be changed</w:t>
      </w:r>
      <w:proofErr w:type="gramEnd"/>
      <w:r w:rsidR="00033D0C">
        <w:rPr>
          <w:rFonts w:ascii="Arial" w:hAnsi="Arial" w:cs="Arial"/>
          <w:sz w:val="24"/>
          <w:szCs w:val="24"/>
          <w:lang w:val="en-GB"/>
        </w:rPr>
        <w:t xml:space="preserve"> based on expert decision to better reflect on the reality. </w:t>
      </w:r>
    </w:p>
    <w:p w:rsidR="009A20D1" w:rsidRPr="009A20D1" w:rsidRDefault="009A20D1" w:rsidP="009A20D1">
      <w:pPr>
        <w:spacing w:before="120" w:after="0" w:line="360" w:lineRule="auto"/>
        <w:jc w:val="both"/>
        <w:rPr>
          <w:rFonts w:ascii="Arial" w:hAnsi="Arial" w:cs="Arial"/>
          <w:sz w:val="24"/>
          <w:szCs w:val="24"/>
          <w:lang w:val="en-GB"/>
        </w:rPr>
      </w:pPr>
      <w:r w:rsidRPr="009A20D1">
        <w:rPr>
          <w:rFonts w:ascii="Arial" w:hAnsi="Arial" w:cs="Arial"/>
          <w:sz w:val="24"/>
          <w:szCs w:val="24"/>
          <w:lang w:val="en-GB"/>
        </w:rPr>
        <w:t xml:space="preserve">Self-containment </w:t>
      </w:r>
      <w:proofErr w:type="gramStart"/>
      <w:r w:rsidRPr="009A20D1">
        <w:rPr>
          <w:rFonts w:ascii="Arial" w:hAnsi="Arial" w:cs="Arial"/>
          <w:sz w:val="24"/>
          <w:szCs w:val="24"/>
          <w:lang w:val="en-GB"/>
        </w:rPr>
        <w:t>is measured</w:t>
      </w:r>
      <w:proofErr w:type="gramEnd"/>
      <w:r w:rsidRPr="009A20D1">
        <w:rPr>
          <w:rFonts w:ascii="Arial" w:hAnsi="Arial" w:cs="Arial"/>
          <w:sz w:val="24"/>
          <w:szCs w:val="24"/>
          <w:lang w:val="en-GB"/>
        </w:rPr>
        <w:t xml:space="preserve"> for both the supply and the demand side. Supply side self-containment (SSC) is the number of people living and working in an area divided by the number of workers in the area. Demand side self-containment (DSC) is the </w:t>
      </w:r>
      <w:r w:rsidRPr="009A20D1">
        <w:rPr>
          <w:rFonts w:ascii="Arial" w:hAnsi="Arial" w:cs="Arial"/>
          <w:sz w:val="24"/>
          <w:szCs w:val="24"/>
          <w:lang w:val="en-GB"/>
        </w:rPr>
        <w:lastRenderedPageBreak/>
        <w:t>number of people living and working in an area divided by the number of jobs (taken by resident and non-resident workers) in the area.</w:t>
      </w:r>
    </w:p>
    <w:p w:rsidR="00D0258C" w:rsidRDefault="009A20D1" w:rsidP="00E602E8">
      <w:pPr>
        <w:spacing w:before="120" w:after="120" w:line="360" w:lineRule="auto"/>
        <w:jc w:val="both"/>
        <w:rPr>
          <w:rFonts w:ascii="Arial" w:hAnsi="Arial" w:cs="Arial"/>
          <w:sz w:val="24"/>
          <w:szCs w:val="24"/>
          <w:lang w:val="en-GB"/>
        </w:rPr>
      </w:pPr>
      <w:r w:rsidRPr="009A20D1">
        <w:rPr>
          <w:rFonts w:ascii="Arial" w:hAnsi="Arial" w:cs="Arial"/>
          <w:sz w:val="24"/>
          <w:szCs w:val="24"/>
          <w:lang w:val="en-GB"/>
        </w:rPr>
        <w:t>The method considers a cluster of municipalities to be an</w:t>
      </w:r>
      <w:r>
        <w:rPr>
          <w:rFonts w:ascii="Arial" w:hAnsi="Arial" w:cs="Arial"/>
          <w:sz w:val="24"/>
          <w:szCs w:val="24"/>
          <w:lang w:val="en-GB"/>
        </w:rPr>
        <w:t xml:space="preserve"> LMA if the validity condition </w:t>
      </w:r>
      <w:proofErr w:type="gramStart"/>
      <w:r w:rsidRPr="009A20D1">
        <w:rPr>
          <w:rFonts w:ascii="Arial" w:hAnsi="Arial" w:cs="Arial"/>
          <w:sz w:val="24"/>
          <w:szCs w:val="24"/>
          <w:lang w:val="en-GB"/>
        </w:rPr>
        <w:t>is fulfilled</w:t>
      </w:r>
      <w:proofErr w:type="gramEnd"/>
      <w:r w:rsidRPr="009A20D1">
        <w:rPr>
          <w:rFonts w:ascii="Arial" w:hAnsi="Arial" w:cs="Arial"/>
          <w:sz w:val="24"/>
          <w:szCs w:val="24"/>
          <w:lang w:val="en-GB"/>
        </w:rPr>
        <w:t>:</w:t>
      </w:r>
    </w:p>
    <w:p w:rsidR="009A20D1" w:rsidRPr="007A715E" w:rsidRDefault="007373C4" w:rsidP="009A20D1">
      <w:pPr>
        <w:spacing w:before="120" w:after="0" w:line="360" w:lineRule="auto"/>
        <w:jc w:val="both"/>
        <w:rPr>
          <w:rFonts w:ascii="Arial" w:eastAsiaTheme="minorEastAsia" w:hAnsi="Arial" w:cs="Arial"/>
          <w:sz w:val="24"/>
          <w:szCs w:val="24"/>
        </w:rPr>
      </w:pPr>
      <m:oMathPara>
        <m:oMathParaPr>
          <m:jc m:val="center"/>
        </m:oMathParaPr>
        <m:oMath>
          <m:f>
            <m:fPr>
              <m:ctrlPr>
                <w:rPr>
                  <w:rFonts w:ascii="Cambria Math" w:hAnsi="Cambria Math" w:cs="Cambria Math"/>
                  <w:sz w:val="24"/>
                  <w:szCs w:val="24"/>
                </w:rPr>
              </m:ctrlPr>
            </m:fPr>
            <m:num>
              <m:r>
                <m:rPr>
                  <m:sty m:val="p"/>
                </m:rPr>
                <w:rPr>
                  <w:rFonts w:ascii="Cambria Math" w:hAnsi="Cambria Math" w:cs="Cambria Math"/>
                  <w:sz w:val="24"/>
                  <w:szCs w:val="24"/>
                </w:rPr>
                <m:t>minSC</m:t>
              </m:r>
            </m:num>
            <m:den>
              <m:r>
                <m:rPr>
                  <m:sty m:val="p"/>
                </m:rPr>
                <w:rPr>
                  <w:rFonts w:ascii="Cambria Math" w:hAnsi="Cambria Math" w:cs="Cambria Math"/>
                  <w:sz w:val="24"/>
                  <w:szCs w:val="24"/>
                </w:rPr>
                <m:t>tarSC</m:t>
              </m:r>
            </m:den>
          </m:f>
          <m:r>
            <m:rPr>
              <m:sty m:val="p"/>
            </m:rPr>
            <w:rPr>
              <w:rFonts w:ascii="Cambria Math" w:hAnsi="Cambria Math" w:cs="Cambria Math"/>
              <w:sz w:val="24"/>
              <w:szCs w:val="24"/>
            </w:rPr>
            <m:t>≤</m:t>
          </m:r>
          <m:d>
            <m:dPr>
              <m:ctrlPr>
                <w:rPr>
                  <w:rFonts w:ascii="Cambria Math" w:hAnsi="Cambria Math" w:cs="Cambria Math"/>
                  <w:sz w:val="24"/>
                  <w:szCs w:val="24"/>
                </w:rPr>
              </m:ctrlPr>
            </m:dPr>
            <m:e>
              <m:r>
                <w:rPr>
                  <w:rFonts w:ascii="Cambria Math" w:hAnsi="Cambria Math"/>
                  <w:sz w:val="24"/>
                  <w:szCs w:val="24"/>
                </w:rPr>
                <m:t>1</m:t>
              </m:r>
              <m:r>
                <m:rPr>
                  <m:sty m:val="p"/>
                </m:rPr>
                <w:rPr>
                  <w:rFonts w:ascii="Cambria Math" w:hAnsi="Cambria Math"/>
                  <w:sz w:val="24"/>
                  <w:szCs w:val="24"/>
                </w:rPr>
                <m:t>-</m:t>
              </m:r>
              <m:d>
                <m:dPr>
                  <m:ctrlPr>
                    <w:rPr>
                      <w:rFonts w:ascii="Cambria Math" w:hAnsi="Cambria Math" w:cs="Cambria Math"/>
                      <w:i/>
                      <w:sz w:val="24"/>
                      <w:szCs w:val="24"/>
                    </w:rPr>
                  </m:ctrlPr>
                </m:dPr>
                <m:e>
                  <m:r>
                    <m:rPr>
                      <m:sty m:val="p"/>
                    </m:rPr>
                    <w:rPr>
                      <w:rFonts w:ascii="Cambria Math" w:hAnsi="Cambria Math"/>
                      <w:sz w:val="24"/>
                      <w:szCs w:val="24"/>
                    </w:rPr>
                    <m:t>1-</m:t>
                  </m:r>
                  <m:f>
                    <m:fPr>
                      <m:ctrlPr>
                        <w:rPr>
                          <w:rFonts w:ascii="Cambria Math" w:hAnsi="Cambria Math" w:cs="Cambria Math"/>
                          <w:sz w:val="24"/>
                          <w:szCs w:val="24"/>
                        </w:rPr>
                      </m:ctrlPr>
                    </m:fPr>
                    <m:num>
                      <m:r>
                        <m:rPr>
                          <m:sty m:val="p"/>
                        </m:rPr>
                        <w:rPr>
                          <w:rFonts w:ascii="Cambria Math" w:hAnsi="Cambria Math" w:cs="Cambria Math"/>
                          <w:sz w:val="24"/>
                          <w:szCs w:val="24"/>
                        </w:rPr>
                        <m:t>minSC</m:t>
                      </m:r>
                    </m:num>
                    <m:den>
                      <m:r>
                        <m:rPr>
                          <m:sty m:val="p"/>
                        </m:rPr>
                        <w:rPr>
                          <w:rFonts w:ascii="Cambria Math" w:hAnsi="Cambria Math" w:cs="Cambria Math"/>
                          <w:sz w:val="24"/>
                          <w:szCs w:val="24"/>
                        </w:rPr>
                        <m:t>tarSC</m:t>
                      </m:r>
                    </m:den>
                  </m:f>
                </m:e>
              </m:d>
              <m:r>
                <m:rPr>
                  <m:sty m:val="p"/>
                </m:rPr>
                <w:rPr>
                  <w:rFonts w:ascii="Cambria Math" w:hAnsi="Cambria Math"/>
                  <w:sz w:val="24"/>
                  <w:szCs w:val="24"/>
                </w:rPr>
                <m:t>∙</m:t>
              </m:r>
              <m:r>
                <w:rPr>
                  <w:rFonts w:ascii="Cambria Math" w:hAnsi="Cambria Math" w:cs="Cambria Math"/>
                  <w:sz w:val="24"/>
                  <w:szCs w:val="24"/>
                </w:rPr>
                <m:t>MAX</m:t>
              </m:r>
              <m:d>
                <m:dPr>
                  <m:ctrlPr>
                    <w:rPr>
                      <w:rFonts w:ascii="Cambria Math" w:hAnsi="Cambria Math" w:cs="Cambria Math"/>
                      <w:i/>
                      <w:sz w:val="24"/>
                      <w:szCs w:val="24"/>
                    </w:rPr>
                  </m:ctrlPr>
                </m:dPr>
                <m:e>
                  <m:f>
                    <m:fPr>
                      <m:ctrlPr>
                        <w:rPr>
                          <w:rFonts w:ascii="Cambria Math" w:hAnsi="Cambria Math"/>
                          <w:sz w:val="24"/>
                          <w:szCs w:val="24"/>
                        </w:rPr>
                      </m:ctrlPr>
                    </m:fPr>
                    <m:num>
                      <m:r>
                        <m:rPr>
                          <m:sty m:val="p"/>
                        </m:rPr>
                        <w:rPr>
                          <w:rFonts w:ascii="Cambria Math" w:hAnsi="Cambria Math" w:cs="Cambria Math"/>
                          <w:sz w:val="24"/>
                          <w:szCs w:val="24"/>
                        </w:rPr>
                        <m:t xml:space="preserve">tarSZ - </m:t>
                      </m:r>
                      <m:r>
                        <m:rPr>
                          <m:sty m:val="bi"/>
                        </m:rPr>
                        <w:rPr>
                          <w:rFonts w:ascii="Cambria Math" w:hAnsi="Cambria Math" w:cs="Cambria Math"/>
                          <w:sz w:val="24"/>
                          <w:szCs w:val="24"/>
                        </w:rPr>
                        <m:t>SZ</m:t>
                      </m:r>
                    </m:num>
                    <m:den>
                      <m:r>
                        <m:rPr>
                          <m:sty m:val="p"/>
                        </m:rPr>
                        <w:rPr>
                          <w:rFonts w:ascii="Cambria Math" w:hAnsi="Cambria Math" w:cs="Cambria Math"/>
                          <w:sz w:val="24"/>
                          <w:szCs w:val="24"/>
                        </w:rPr>
                        <m:t>tarSZ - minSZ</m:t>
                      </m:r>
                    </m:den>
                  </m:f>
                  <m:r>
                    <w:rPr>
                      <w:rFonts w:ascii="Cambria Math" w:hAnsi="Cambria Math"/>
                      <w:sz w:val="24"/>
                      <w:szCs w:val="24"/>
                    </w:rPr>
                    <m:t>,0</m:t>
                  </m:r>
                </m:e>
              </m:d>
            </m:e>
          </m:d>
          <m:r>
            <m:rPr>
              <m:sty m:val="p"/>
            </m:rPr>
            <w:rPr>
              <w:rFonts w:ascii="Cambria Math" w:hAnsi="Cambria Math"/>
              <w:sz w:val="24"/>
              <w:szCs w:val="24"/>
            </w:rPr>
            <m:t>∙</m:t>
          </m:r>
          <m:d>
            <m:dPr>
              <m:ctrlPr>
                <w:rPr>
                  <w:rFonts w:ascii="Cambria Math" w:hAnsi="Cambria Math" w:cs="Cambria Math"/>
                  <w:i/>
                  <w:sz w:val="24"/>
                  <w:szCs w:val="24"/>
                </w:rPr>
              </m:ctrlPr>
            </m:dPr>
            <m:e>
              <m:f>
                <m:fPr>
                  <m:ctrlPr>
                    <w:rPr>
                      <w:rFonts w:ascii="Cambria Math" w:hAnsi="Cambria Math"/>
                      <w:sz w:val="24"/>
                      <w:szCs w:val="24"/>
                    </w:rPr>
                  </m:ctrlPr>
                </m:fPr>
                <m:num>
                  <m:r>
                    <w:rPr>
                      <w:rFonts w:ascii="Cambria Math" w:hAnsi="Cambria Math" w:cs="Cambria Math"/>
                      <w:sz w:val="24"/>
                      <w:szCs w:val="24"/>
                    </w:rPr>
                    <m:t>MIN</m:t>
                  </m:r>
                  <m:r>
                    <m:rPr>
                      <m:sty m:val="p"/>
                    </m:rPr>
                    <w:rPr>
                      <w:rFonts w:ascii="Cambria Math" w:hAnsi="Cambria Math" w:cs="Cambria Math"/>
                      <w:sz w:val="24"/>
                      <w:szCs w:val="24"/>
                    </w:rPr>
                    <m:t>(</m:t>
                  </m:r>
                  <m:r>
                    <m:rPr>
                      <m:sty m:val="bi"/>
                    </m:rPr>
                    <w:rPr>
                      <w:rFonts w:ascii="Cambria Math" w:hAnsi="Cambria Math" w:cs="Cambria Math"/>
                      <w:sz w:val="24"/>
                      <w:szCs w:val="24"/>
                    </w:rPr>
                    <m:t>SC</m:t>
                  </m:r>
                  <m:r>
                    <m:rPr>
                      <m:sty m:val="p"/>
                    </m:rPr>
                    <w:rPr>
                      <w:rFonts w:ascii="Cambria Math" w:hAnsi="Cambria Math" w:cs="Cambria Math"/>
                      <w:sz w:val="24"/>
                      <w:szCs w:val="24"/>
                    </w:rPr>
                    <m:t>,  tarSC)</m:t>
                  </m:r>
                </m:num>
                <m:den>
                  <m:r>
                    <m:rPr>
                      <m:sty m:val="p"/>
                    </m:rPr>
                    <w:rPr>
                      <w:rFonts w:ascii="Cambria Math" w:hAnsi="Cambria Math" w:cs="Cambria Math"/>
                      <w:sz w:val="24"/>
                      <w:szCs w:val="24"/>
                    </w:rPr>
                    <m:t>tarSC</m:t>
                  </m:r>
                </m:den>
              </m:f>
            </m:e>
          </m:d>
        </m:oMath>
      </m:oMathPara>
    </w:p>
    <w:p w:rsidR="007A715E" w:rsidRDefault="007A715E" w:rsidP="009A20D1">
      <w:pPr>
        <w:spacing w:before="120" w:after="0" w:line="360" w:lineRule="auto"/>
        <w:jc w:val="both"/>
        <w:rPr>
          <w:rFonts w:ascii="Arial" w:eastAsiaTheme="minorEastAsia" w:hAnsi="Arial" w:cs="Arial"/>
          <w:sz w:val="24"/>
          <w:szCs w:val="24"/>
          <w:lang w:val="en-GB"/>
        </w:rPr>
      </w:pPr>
      <w:r w:rsidRPr="007A715E">
        <w:rPr>
          <w:rFonts w:ascii="Arial" w:eastAsiaTheme="minorEastAsia" w:hAnsi="Arial" w:cs="Arial"/>
          <w:sz w:val="24"/>
          <w:szCs w:val="24"/>
          <w:lang w:val="en-GB"/>
        </w:rPr>
        <w:t xml:space="preserve">As regards SC, the condition has to </w:t>
      </w:r>
      <w:proofErr w:type="gramStart"/>
      <w:r w:rsidRPr="007A715E">
        <w:rPr>
          <w:rFonts w:ascii="Arial" w:eastAsiaTheme="minorEastAsia" w:hAnsi="Arial" w:cs="Arial"/>
          <w:sz w:val="24"/>
          <w:szCs w:val="24"/>
          <w:lang w:val="en-GB"/>
        </w:rPr>
        <w:t>be fulfilled</w:t>
      </w:r>
      <w:proofErr w:type="gramEnd"/>
      <w:r w:rsidRPr="007A715E">
        <w:rPr>
          <w:rFonts w:ascii="Arial" w:eastAsiaTheme="minorEastAsia" w:hAnsi="Arial" w:cs="Arial"/>
          <w:sz w:val="24"/>
          <w:szCs w:val="24"/>
          <w:lang w:val="en-GB"/>
        </w:rPr>
        <w:t xml:space="preserve"> by both supply and demand side self-containment.</w:t>
      </w:r>
    </w:p>
    <w:p w:rsidR="00A405AC" w:rsidRDefault="00A405AC" w:rsidP="00A405AC">
      <w:pPr>
        <w:spacing w:before="120" w:after="120" w:line="360" w:lineRule="auto"/>
        <w:jc w:val="both"/>
        <w:rPr>
          <w:rFonts w:ascii="Arial" w:eastAsia="Times New Roman" w:hAnsi="Arial" w:cs="Arial"/>
          <w:sz w:val="24"/>
          <w:szCs w:val="24"/>
          <w:lang w:val="en-GB"/>
        </w:rPr>
      </w:pPr>
      <w:r w:rsidRPr="00A405AC">
        <w:rPr>
          <w:rFonts w:ascii="Arial" w:eastAsia="Times New Roman" w:hAnsi="Arial" w:cs="Arial"/>
          <w:sz w:val="24"/>
          <w:szCs w:val="24"/>
          <w:lang w:val="en-GB"/>
        </w:rPr>
        <w:t>In practice, the algorithm starts with assessing every municipality</w:t>
      </w:r>
      <w:r>
        <w:rPr>
          <w:rFonts w:ascii="Arial" w:eastAsia="Times New Roman" w:hAnsi="Arial" w:cs="Arial"/>
          <w:sz w:val="24"/>
          <w:szCs w:val="24"/>
          <w:lang w:val="en-GB"/>
        </w:rPr>
        <w:t>/Statistical Building Block</w:t>
      </w:r>
      <w:r w:rsidRPr="00A405AC">
        <w:rPr>
          <w:rFonts w:ascii="Arial" w:eastAsia="Times New Roman" w:hAnsi="Arial" w:cs="Arial"/>
          <w:sz w:val="24"/>
          <w:szCs w:val="24"/>
          <w:lang w:val="en-GB"/>
        </w:rPr>
        <w:t xml:space="preserve"> (SBB) against </w:t>
      </w:r>
      <w:r w:rsidR="0043764C">
        <w:rPr>
          <w:rFonts w:ascii="Arial" w:eastAsia="Times New Roman" w:hAnsi="Arial" w:cs="Arial"/>
          <w:sz w:val="24"/>
          <w:szCs w:val="24"/>
          <w:lang w:val="en-GB"/>
        </w:rPr>
        <w:t>the validity condition</w:t>
      </w:r>
      <w:r w:rsidRPr="00A405AC">
        <w:rPr>
          <w:rFonts w:ascii="Arial" w:eastAsia="Times New Roman" w:hAnsi="Arial" w:cs="Arial"/>
          <w:sz w:val="24"/>
          <w:szCs w:val="24"/>
          <w:lang w:val="en-GB"/>
        </w:rPr>
        <w:t xml:space="preserve"> above. If a SBB does not fulfil the condition, the SBB that gives the lowest value for the right-hand side of the condition </w:t>
      </w:r>
      <w:proofErr w:type="gramStart"/>
      <w:r w:rsidRPr="00A405AC">
        <w:rPr>
          <w:rFonts w:ascii="Arial" w:eastAsia="Times New Roman" w:hAnsi="Arial" w:cs="Arial"/>
          <w:sz w:val="24"/>
          <w:szCs w:val="24"/>
          <w:lang w:val="en-GB"/>
        </w:rPr>
        <w:t>is selected</w:t>
      </w:r>
      <w:proofErr w:type="gramEnd"/>
      <w:r w:rsidRPr="00A405AC">
        <w:rPr>
          <w:rFonts w:ascii="Arial" w:eastAsia="Times New Roman" w:hAnsi="Arial" w:cs="Arial"/>
          <w:sz w:val="24"/>
          <w:szCs w:val="24"/>
          <w:lang w:val="en-GB"/>
        </w:rPr>
        <w:t>. This SBB</w:t>
      </w:r>
      <w:r w:rsidRPr="00A405AC">
        <w:rPr>
          <w:rFonts w:ascii="Arial" w:eastAsia="Times New Roman" w:hAnsi="Arial" w:cs="Arial"/>
          <w:sz w:val="24"/>
          <w:szCs w:val="24"/>
          <w:vertAlign w:val="subscript"/>
          <w:lang w:val="en-GB"/>
        </w:rPr>
        <w:t>A</w:t>
      </w:r>
      <w:r w:rsidRPr="00A405AC">
        <w:rPr>
          <w:rFonts w:ascii="Arial" w:eastAsia="Times New Roman" w:hAnsi="Arial" w:cs="Arial"/>
          <w:sz w:val="24"/>
          <w:szCs w:val="24"/>
          <w:lang w:val="en-GB"/>
        </w:rPr>
        <w:t xml:space="preserve"> </w:t>
      </w:r>
      <w:proofErr w:type="gramStart"/>
      <w:r w:rsidRPr="00A405AC">
        <w:rPr>
          <w:rFonts w:ascii="Arial" w:eastAsia="Times New Roman" w:hAnsi="Arial" w:cs="Arial"/>
          <w:sz w:val="24"/>
          <w:szCs w:val="24"/>
          <w:lang w:val="en-GB"/>
        </w:rPr>
        <w:t>is then assessed</w:t>
      </w:r>
      <w:proofErr w:type="gramEnd"/>
      <w:r w:rsidRPr="00A405AC">
        <w:rPr>
          <w:rFonts w:ascii="Arial" w:eastAsia="Times New Roman" w:hAnsi="Arial" w:cs="Arial"/>
          <w:sz w:val="24"/>
          <w:szCs w:val="24"/>
          <w:lang w:val="en-GB"/>
        </w:rPr>
        <w:t xml:space="preserve"> against all other SBBs to find the one SBB</w:t>
      </w:r>
      <w:r w:rsidRPr="00A405AC">
        <w:rPr>
          <w:rFonts w:ascii="Arial" w:eastAsia="Times New Roman" w:hAnsi="Arial" w:cs="Arial"/>
          <w:sz w:val="24"/>
          <w:szCs w:val="24"/>
          <w:vertAlign w:val="subscript"/>
          <w:lang w:val="en-GB"/>
        </w:rPr>
        <w:t>B</w:t>
      </w:r>
      <w:r w:rsidRPr="00A405AC">
        <w:rPr>
          <w:rFonts w:ascii="Arial" w:eastAsia="Times New Roman" w:hAnsi="Arial" w:cs="Arial"/>
          <w:sz w:val="24"/>
          <w:szCs w:val="24"/>
          <w:lang w:val="en-GB"/>
        </w:rPr>
        <w:t xml:space="preserve">, which has the most important commuting flows according to the following </w:t>
      </w:r>
      <w:r>
        <w:rPr>
          <w:rFonts w:ascii="Arial" w:eastAsia="Times New Roman" w:hAnsi="Arial" w:cs="Arial"/>
          <w:sz w:val="24"/>
          <w:szCs w:val="24"/>
          <w:lang w:val="en-GB"/>
        </w:rPr>
        <w:t>formula:</w:t>
      </w:r>
    </w:p>
    <w:p w:rsidR="00A405AC" w:rsidRPr="008B7400" w:rsidRDefault="00A405AC" w:rsidP="009A20D1">
      <w:pPr>
        <w:spacing w:before="120" w:after="0" w:line="360" w:lineRule="auto"/>
        <w:jc w:val="both"/>
        <w:rPr>
          <w:rFonts w:ascii="Arial" w:eastAsiaTheme="minorEastAsia" w:hAnsi="Arial" w:cs="Arial"/>
          <w:sz w:val="24"/>
          <w:szCs w:val="24"/>
          <w:lang w:val="en-GB"/>
        </w:rPr>
      </w:pPr>
      <m:oMathPara>
        <m:oMathParaPr>
          <m:jc m:val="center"/>
        </m:oMathParaPr>
        <m:oMath>
          <m:r>
            <w:rPr>
              <w:rFonts w:ascii="Cambria Math" w:eastAsia="Calibri" w:hAnsi="Cambria Math" w:cs="Times New Roman"/>
              <w:sz w:val="24"/>
              <w:szCs w:val="24"/>
              <w:lang w:val="en-GB"/>
            </w:rPr>
            <m:t>MAX</m:t>
          </m:r>
          <m:f>
            <m:fPr>
              <m:ctrlPr>
                <w:rPr>
                  <w:rFonts w:ascii="Cambria Math" w:eastAsia="Calibri" w:hAnsi="Cambria Math" w:cs="Times New Roman"/>
                  <w:sz w:val="24"/>
                  <w:szCs w:val="24"/>
                  <w:lang w:val="en-GB"/>
                </w:rPr>
              </m:ctrlPr>
            </m:fPr>
            <m:num>
              <m:r>
                <m:rPr>
                  <m:sty m:val="p"/>
                </m:rPr>
                <w:rPr>
                  <w:rFonts w:ascii="Cambria Math" w:eastAsia="Calibri" w:hAnsi="Cambria Math" w:cs="Cambria Math"/>
                  <w:sz w:val="24"/>
                  <w:szCs w:val="24"/>
                  <w:lang w:val="en-GB"/>
                </w:rPr>
                <m:t>Commuters</m:t>
              </m:r>
              <m:sSup>
                <m:sSupPr>
                  <m:ctrlPr>
                    <w:rPr>
                      <w:rFonts w:ascii="Cambria Math" w:eastAsia="Calibri" w:hAnsi="Cambria Math" w:cs="Cambria Math"/>
                      <w:sz w:val="24"/>
                      <w:szCs w:val="24"/>
                      <w:lang w:val="en-GB"/>
                    </w:rPr>
                  </m:ctrlPr>
                </m:sSupPr>
                <m:e>
                  <m:r>
                    <m:rPr>
                      <m:sty m:val="p"/>
                    </m:rP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A</m:t>
                      </m:r>
                    </m:sub>
                  </m:sSub>
                  <m:r>
                    <m:rPr>
                      <m:sty m:val="p"/>
                    </m:rP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B</m:t>
                      </m:r>
                    </m:sub>
                  </m:sSub>
                  <m:r>
                    <m:rPr>
                      <m:sty m:val="p"/>
                    </m:rPr>
                    <w:rPr>
                      <w:rFonts w:ascii="Cambria Math" w:eastAsia="Calibri" w:hAnsi="Cambria Math" w:cs="Cambria Math"/>
                      <w:sz w:val="24"/>
                      <w:szCs w:val="24"/>
                      <w:lang w:val="en-GB"/>
                    </w:rPr>
                    <m:t>)</m:t>
                  </m:r>
                </m:e>
                <m:sup>
                  <m:r>
                    <w:rPr>
                      <w:rFonts w:ascii="Cambria Math" w:eastAsia="Calibri" w:hAnsi="Cambria Math" w:cs="Cambria Math"/>
                      <w:sz w:val="24"/>
                      <w:szCs w:val="24"/>
                      <w:lang w:val="en-GB"/>
                    </w:rPr>
                    <m:t>2</m:t>
                  </m:r>
                </m:sup>
              </m:sSup>
            </m:num>
            <m:den>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Workers</m:t>
                  </m:r>
                </m:e>
                <m:sub>
                  <m:sSub>
                    <m:sSubPr>
                      <m:ctrlPr>
                        <w:rPr>
                          <w:rFonts w:ascii="Cambria Math" w:eastAsia="Calibri" w:hAnsi="Cambria Math" w:cs="Cambria Math"/>
                          <w:i/>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A</m:t>
                      </m:r>
                    </m:sub>
                  </m:sSub>
                </m:sub>
              </m:sSub>
              <m: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 xml:space="preserve"> Jobs</m:t>
                  </m:r>
                </m:e>
                <m:sub>
                  <m:sSub>
                    <m:sSubPr>
                      <m:ctrlPr>
                        <w:rPr>
                          <w:rFonts w:ascii="Cambria Math" w:eastAsia="Calibri" w:hAnsi="Cambria Math" w:cs="Cambria Math"/>
                          <w:i/>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B</m:t>
                      </m:r>
                    </m:sub>
                  </m:sSub>
                </m:sub>
              </m:sSub>
            </m:den>
          </m:f>
          <m:r>
            <w:rPr>
              <w:rFonts w:ascii="Cambria Math" w:eastAsia="Calibri" w:hAnsi="Cambria Math" w:cs="Times New Roman"/>
              <w:sz w:val="24"/>
              <w:szCs w:val="24"/>
              <w:lang w:val="en-GB"/>
            </w:rPr>
            <m:t>+</m:t>
          </m:r>
          <m:f>
            <m:fPr>
              <m:ctrlPr>
                <w:rPr>
                  <w:rFonts w:ascii="Cambria Math" w:eastAsia="Calibri" w:hAnsi="Cambria Math" w:cs="Times New Roman"/>
                  <w:sz w:val="24"/>
                  <w:szCs w:val="24"/>
                  <w:lang w:val="en-GB"/>
                </w:rPr>
              </m:ctrlPr>
            </m:fPr>
            <m:num>
              <m:r>
                <m:rPr>
                  <m:sty m:val="p"/>
                </m:rPr>
                <w:rPr>
                  <w:rFonts w:ascii="Cambria Math" w:eastAsia="Calibri" w:hAnsi="Cambria Math" w:cs="Cambria Math"/>
                  <w:sz w:val="24"/>
                  <w:szCs w:val="24"/>
                  <w:lang w:val="en-GB"/>
                </w:rPr>
                <m:t>Commuters</m:t>
              </m:r>
              <m:sSup>
                <m:sSupPr>
                  <m:ctrlPr>
                    <w:rPr>
                      <w:rFonts w:ascii="Cambria Math" w:eastAsia="Calibri" w:hAnsi="Cambria Math" w:cs="Cambria Math"/>
                      <w:sz w:val="24"/>
                      <w:szCs w:val="24"/>
                      <w:lang w:val="en-GB"/>
                    </w:rPr>
                  </m:ctrlPr>
                </m:sSupPr>
                <m:e>
                  <m:r>
                    <m:rPr>
                      <m:sty m:val="p"/>
                    </m:rP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B</m:t>
                      </m:r>
                    </m:sub>
                  </m:sSub>
                  <m:r>
                    <m:rPr>
                      <m:sty m:val="p"/>
                    </m:rP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A</m:t>
                      </m:r>
                    </m:sub>
                  </m:sSub>
                  <m:r>
                    <m:rPr>
                      <m:sty m:val="p"/>
                    </m:rPr>
                    <w:rPr>
                      <w:rFonts w:ascii="Cambria Math" w:eastAsia="Calibri" w:hAnsi="Cambria Math" w:cs="Cambria Math"/>
                      <w:sz w:val="24"/>
                      <w:szCs w:val="24"/>
                      <w:lang w:val="en-GB"/>
                    </w:rPr>
                    <m:t>)</m:t>
                  </m:r>
                </m:e>
                <m:sup>
                  <m:r>
                    <w:rPr>
                      <w:rFonts w:ascii="Cambria Math" w:eastAsia="Calibri" w:hAnsi="Cambria Math" w:cs="Cambria Math"/>
                      <w:sz w:val="24"/>
                      <w:szCs w:val="24"/>
                      <w:lang w:val="en-GB"/>
                    </w:rPr>
                    <m:t>2</m:t>
                  </m:r>
                </m:sup>
              </m:sSup>
            </m:num>
            <m:den>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Workers</m:t>
                  </m:r>
                </m:e>
                <m:sub>
                  <m:sSub>
                    <m:sSubPr>
                      <m:ctrlPr>
                        <w:rPr>
                          <w:rFonts w:ascii="Cambria Math" w:eastAsia="Calibri" w:hAnsi="Cambria Math" w:cs="Cambria Math"/>
                          <w:i/>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B</m:t>
                      </m:r>
                    </m:sub>
                  </m:sSub>
                </m:sub>
              </m:sSub>
              <m:r>
                <w:rPr>
                  <w:rFonts w:ascii="Cambria Math" w:eastAsia="Calibri" w:hAnsi="Cambria Math" w:cs="Cambria Math"/>
                  <w:sz w:val="24"/>
                  <w:szCs w:val="24"/>
                  <w:lang w:val="en-GB"/>
                </w:rPr>
                <m:t>∙</m:t>
              </m:r>
              <m:sSub>
                <m:sSubPr>
                  <m:ctrlPr>
                    <w:rPr>
                      <w:rFonts w:ascii="Cambria Math" w:eastAsia="Calibri" w:hAnsi="Cambria Math" w:cs="Cambria Math"/>
                      <w:sz w:val="24"/>
                      <w:szCs w:val="24"/>
                      <w:lang w:val="en-GB"/>
                    </w:rPr>
                  </m:ctrlPr>
                </m:sSubPr>
                <m:e>
                  <m:r>
                    <m:rPr>
                      <m:sty m:val="p"/>
                    </m:rPr>
                    <w:rPr>
                      <w:rFonts w:ascii="Cambria Math" w:eastAsia="Calibri" w:hAnsi="Cambria Math" w:cs="Cambria Math"/>
                      <w:sz w:val="24"/>
                      <w:szCs w:val="24"/>
                      <w:lang w:val="en-GB"/>
                    </w:rPr>
                    <m:t xml:space="preserve"> Jobs</m:t>
                  </m:r>
                </m:e>
                <m:sub>
                  <m:sSub>
                    <m:sSubPr>
                      <m:ctrlPr>
                        <w:rPr>
                          <w:rFonts w:ascii="Cambria Math" w:eastAsia="Calibri" w:hAnsi="Cambria Math" w:cs="Cambria Math"/>
                          <w:i/>
                          <w:sz w:val="24"/>
                          <w:szCs w:val="24"/>
                          <w:lang w:val="en-GB"/>
                        </w:rPr>
                      </m:ctrlPr>
                    </m:sSubPr>
                    <m:e>
                      <m:r>
                        <w:rPr>
                          <w:rFonts w:ascii="Cambria Math" w:eastAsia="Calibri" w:hAnsi="Cambria Math" w:cs="Cambria Math"/>
                          <w:sz w:val="24"/>
                          <w:szCs w:val="24"/>
                          <w:lang w:val="en-GB"/>
                        </w:rPr>
                        <m:t>SBB</m:t>
                      </m:r>
                    </m:e>
                    <m:sub>
                      <m:r>
                        <w:rPr>
                          <w:rFonts w:ascii="Cambria Math" w:eastAsia="Calibri" w:hAnsi="Cambria Math" w:cs="Cambria Math"/>
                          <w:sz w:val="24"/>
                          <w:szCs w:val="24"/>
                          <w:lang w:val="en-GB"/>
                        </w:rPr>
                        <m:t>A</m:t>
                      </m:r>
                    </m:sub>
                  </m:sSub>
                </m:sub>
              </m:sSub>
            </m:den>
          </m:f>
        </m:oMath>
      </m:oMathPara>
    </w:p>
    <w:p w:rsidR="008B7400" w:rsidRPr="008B7400" w:rsidRDefault="008B7400" w:rsidP="008B7400">
      <w:pPr>
        <w:spacing w:before="120" w:after="0" w:line="360" w:lineRule="auto"/>
        <w:jc w:val="both"/>
        <w:rPr>
          <w:rFonts w:ascii="Arial" w:eastAsiaTheme="minorEastAsia" w:hAnsi="Arial" w:cs="Arial"/>
          <w:sz w:val="24"/>
          <w:szCs w:val="24"/>
          <w:lang w:val="en-GB"/>
        </w:rPr>
      </w:pPr>
      <w:proofErr w:type="gramStart"/>
      <w:r w:rsidRPr="008B7400">
        <w:rPr>
          <w:rFonts w:ascii="Arial" w:eastAsiaTheme="minorEastAsia" w:hAnsi="Arial" w:cs="Arial"/>
          <w:sz w:val="24"/>
          <w:szCs w:val="24"/>
          <w:lang w:val="en-GB"/>
        </w:rPr>
        <w:t>where</w:t>
      </w:r>
      <w:proofErr w:type="gramEnd"/>
      <w:r w:rsidRPr="008B7400">
        <w:rPr>
          <w:rFonts w:ascii="Arial" w:eastAsiaTheme="minorEastAsia" w:hAnsi="Arial" w:cs="Arial"/>
          <w:sz w:val="24"/>
          <w:szCs w:val="24"/>
          <w:lang w:val="en-GB"/>
        </w:rPr>
        <w:t>:</w:t>
      </w:r>
      <w:r w:rsidRPr="008B7400">
        <w:rPr>
          <w:rFonts w:ascii="Arial" w:eastAsiaTheme="minorEastAsia" w:hAnsi="Arial" w:cs="Arial"/>
          <w:sz w:val="24"/>
          <w:szCs w:val="24"/>
          <w:lang w:val="en-GB"/>
        </w:rPr>
        <w:tab/>
        <w:t>‘Commuters’ stands for the commuting flow,</w:t>
      </w:r>
    </w:p>
    <w:p w:rsidR="008B7400" w:rsidRPr="008B7400" w:rsidRDefault="008B7400" w:rsidP="008B7400">
      <w:pPr>
        <w:spacing w:before="120" w:after="0" w:line="360" w:lineRule="auto"/>
        <w:ind w:left="708" w:firstLine="708"/>
        <w:jc w:val="both"/>
        <w:rPr>
          <w:rFonts w:ascii="Arial" w:eastAsiaTheme="minorEastAsia" w:hAnsi="Arial" w:cs="Arial"/>
          <w:sz w:val="24"/>
          <w:szCs w:val="24"/>
          <w:lang w:val="en-GB"/>
        </w:rPr>
      </w:pPr>
      <w:r w:rsidRPr="008B7400">
        <w:rPr>
          <w:rFonts w:ascii="Arial" w:eastAsiaTheme="minorEastAsia" w:hAnsi="Arial" w:cs="Arial"/>
          <w:sz w:val="24"/>
          <w:szCs w:val="24"/>
          <w:lang w:val="en-GB"/>
        </w:rPr>
        <w:t>‘Workers’ stands for the residents employed in the municipality and</w:t>
      </w:r>
    </w:p>
    <w:p w:rsidR="008B7400" w:rsidRDefault="008B7400" w:rsidP="008B7400">
      <w:pPr>
        <w:spacing w:before="120" w:after="0" w:line="360" w:lineRule="auto"/>
        <w:jc w:val="both"/>
        <w:rPr>
          <w:rFonts w:ascii="Arial" w:eastAsiaTheme="minorEastAsia" w:hAnsi="Arial" w:cs="Arial"/>
          <w:sz w:val="24"/>
          <w:szCs w:val="24"/>
          <w:lang w:val="en-GB"/>
        </w:rPr>
      </w:pPr>
      <w:r w:rsidRPr="008B7400">
        <w:rPr>
          <w:rFonts w:ascii="Arial" w:eastAsiaTheme="minorEastAsia" w:hAnsi="Arial" w:cs="Arial"/>
          <w:sz w:val="24"/>
          <w:szCs w:val="24"/>
          <w:lang w:val="en-GB"/>
        </w:rPr>
        <w:tab/>
      </w:r>
      <w:r>
        <w:rPr>
          <w:rFonts w:ascii="Arial" w:eastAsiaTheme="minorEastAsia" w:hAnsi="Arial" w:cs="Arial"/>
          <w:sz w:val="24"/>
          <w:szCs w:val="24"/>
          <w:lang w:val="en-GB"/>
        </w:rPr>
        <w:tab/>
      </w:r>
      <w:r w:rsidRPr="008B7400">
        <w:rPr>
          <w:rFonts w:ascii="Arial" w:eastAsiaTheme="minorEastAsia" w:hAnsi="Arial" w:cs="Arial"/>
          <w:sz w:val="24"/>
          <w:szCs w:val="24"/>
          <w:lang w:val="en-GB"/>
        </w:rPr>
        <w:t>‘Jobs’ stand</w:t>
      </w:r>
      <w:r>
        <w:rPr>
          <w:rFonts w:ascii="Arial" w:eastAsiaTheme="minorEastAsia" w:hAnsi="Arial" w:cs="Arial"/>
          <w:sz w:val="24"/>
          <w:szCs w:val="24"/>
          <w:lang w:val="en-GB"/>
        </w:rPr>
        <w:t>s</w:t>
      </w:r>
      <w:r w:rsidRPr="008B7400">
        <w:rPr>
          <w:rFonts w:ascii="Arial" w:eastAsiaTheme="minorEastAsia" w:hAnsi="Arial" w:cs="Arial"/>
          <w:sz w:val="24"/>
          <w:szCs w:val="24"/>
          <w:lang w:val="en-GB"/>
        </w:rPr>
        <w:t xml:space="preserve"> for the population employed in a municipality (residents and non-residents together).</w:t>
      </w:r>
    </w:p>
    <w:p w:rsidR="0043764C" w:rsidRPr="0043764C" w:rsidRDefault="0043764C" w:rsidP="0043764C">
      <w:pPr>
        <w:spacing w:after="120" w:line="360" w:lineRule="auto"/>
        <w:jc w:val="both"/>
        <w:rPr>
          <w:rFonts w:ascii="Arial" w:eastAsia="Times New Roman" w:hAnsi="Arial" w:cs="Arial"/>
          <w:sz w:val="24"/>
          <w:szCs w:val="24"/>
          <w:lang w:val="en-GB"/>
        </w:rPr>
      </w:pPr>
      <w:r w:rsidRPr="0043764C">
        <w:rPr>
          <w:rFonts w:ascii="Arial" w:eastAsia="Times New Roman" w:hAnsi="Arial" w:cs="Arial"/>
          <w:sz w:val="24"/>
          <w:szCs w:val="24"/>
          <w:lang w:val="en-GB"/>
        </w:rPr>
        <w:t>The SBB</w:t>
      </w:r>
      <w:r w:rsidRPr="0043764C">
        <w:rPr>
          <w:rFonts w:ascii="Arial" w:eastAsia="Times New Roman" w:hAnsi="Arial" w:cs="Arial"/>
          <w:sz w:val="24"/>
          <w:szCs w:val="24"/>
          <w:vertAlign w:val="subscript"/>
          <w:lang w:val="en-GB"/>
        </w:rPr>
        <w:t>B</w:t>
      </w:r>
      <w:r w:rsidRPr="0043764C">
        <w:rPr>
          <w:rFonts w:ascii="Arial" w:eastAsia="Times New Roman" w:hAnsi="Arial" w:cs="Arial"/>
          <w:sz w:val="24"/>
          <w:szCs w:val="24"/>
          <w:lang w:val="en-GB"/>
        </w:rPr>
        <w:t xml:space="preserve"> is the one with the most important commuting links to SBB</w:t>
      </w:r>
      <w:r w:rsidRPr="0043764C">
        <w:rPr>
          <w:rFonts w:ascii="Arial" w:eastAsia="Times New Roman" w:hAnsi="Arial" w:cs="Arial"/>
          <w:sz w:val="24"/>
          <w:szCs w:val="24"/>
          <w:vertAlign w:val="subscript"/>
          <w:lang w:val="en-GB"/>
        </w:rPr>
        <w:t>A</w:t>
      </w:r>
      <w:r w:rsidRPr="0043764C">
        <w:rPr>
          <w:rFonts w:ascii="Arial" w:eastAsia="Times New Roman" w:hAnsi="Arial" w:cs="Arial"/>
          <w:sz w:val="24"/>
          <w:szCs w:val="24"/>
          <w:lang w:val="en-GB"/>
        </w:rPr>
        <w:t>. Therefore, SBB</w:t>
      </w:r>
      <w:r w:rsidRPr="0043764C">
        <w:rPr>
          <w:rFonts w:ascii="Arial" w:eastAsia="Times New Roman" w:hAnsi="Arial" w:cs="Arial"/>
          <w:sz w:val="24"/>
          <w:szCs w:val="24"/>
          <w:vertAlign w:val="subscript"/>
          <w:lang w:val="en-GB"/>
        </w:rPr>
        <w:t>A</w:t>
      </w:r>
      <w:r w:rsidRPr="0043764C">
        <w:rPr>
          <w:rFonts w:ascii="Arial" w:eastAsia="Times New Roman" w:hAnsi="Arial" w:cs="Arial"/>
          <w:sz w:val="24"/>
          <w:szCs w:val="24"/>
          <w:lang w:val="en-GB"/>
        </w:rPr>
        <w:t xml:space="preserve"> and SBB</w:t>
      </w:r>
      <w:r w:rsidRPr="0043764C">
        <w:rPr>
          <w:rFonts w:ascii="Arial" w:eastAsia="Times New Roman" w:hAnsi="Arial" w:cs="Arial"/>
          <w:sz w:val="24"/>
          <w:szCs w:val="24"/>
          <w:vertAlign w:val="subscript"/>
          <w:lang w:val="en-GB"/>
        </w:rPr>
        <w:t>B</w:t>
      </w:r>
      <w:r w:rsidRPr="0043764C">
        <w:rPr>
          <w:rFonts w:ascii="Arial" w:eastAsia="Times New Roman" w:hAnsi="Arial" w:cs="Arial"/>
          <w:sz w:val="24"/>
          <w:szCs w:val="24"/>
          <w:lang w:val="en-GB"/>
        </w:rPr>
        <w:t xml:space="preserve"> </w:t>
      </w:r>
      <w:proofErr w:type="gramStart"/>
      <w:r w:rsidRPr="0043764C">
        <w:rPr>
          <w:rFonts w:ascii="Arial" w:eastAsia="Times New Roman" w:hAnsi="Arial" w:cs="Arial"/>
          <w:sz w:val="24"/>
          <w:szCs w:val="24"/>
          <w:lang w:val="en-GB"/>
        </w:rPr>
        <w:t>are grouped</w:t>
      </w:r>
      <w:proofErr w:type="gramEnd"/>
      <w:r w:rsidRPr="0043764C">
        <w:rPr>
          <w:rFonts w:ascii="Arial" w:eastAsia="Times New Roman" w:hAnsi="Arial" w:cs="Arial"/>
          <w:sz w:val="24"/>
          <w:szCs w:val="24"/>
          <w:lang w:val="en-GB"/>
        </w:rPr>
        <w:t>. The grouping of SBB</w:t>
      </w:r>
      <w:r w:rsidRPr="0043764C">
        <w:rPr>
          <w:rFonts w:ascii="Arial" w:eastAsia="Times New Roman" w:hAnsi="Arial" w:cs="Arial"/>
          <w:sz w:val="24"/>
          <w:szCs w:val="24"/>
          <w:vertAlign w:val="subscript"/>
          <w:lang w:val="en-GB"/>
        </w:rPr>
        <w:t>A</w:t>
      </w:r>
      <w:r w:rsidRPr="0043764C">
        <w:rPr>
          <w:rFonts w:ascii="Arial" w:eastAsia="Times New Roman" w:hAnsi="Arial" w:cs="Arial"/>
          <w:sz w:val="24"/>
          <w:szCs w:val="24"/>
          <w:lang w:val="en-GB"/>
        </w:rPr>
        <w:t xml:space="preserve"> and SBB</w:t>
      </w:r>
      <w:r w:rsidRPr="0043764C">
        <w:rPr>
          <w:rFonts w:ascii="Arial" w:eastAsia="Times New Roman" w:hAnsi="Arial" w:cs="Arial"/>
          <w:sz w:val="24"/>
          <w:szCs w:val="24"/>
          <w:vertAlign w:val="subscript"/>
          <w:lang w:val="en-GB"/>
        </w:rPr>
        <w:t>B</w:t>
      </w:r>
      <w:r w:rsidRPr="0043764C">
        <w:rPr>
          <w:rFonts w:ascii="Arial" w:eastAsia="Times New Roman" w:hAnsi="Arial" w:cs="Arial"/>
          <w:sz w:val="24"/>
          <w:szCs w:val="24"/>
          <w:lang w:val="en-GB"/>
        </w:rPr>
        <w:t xml:space="preserve"> (SBB</w:t>
      </w:r>
      <w:r w:rsidRPr="0043764C">
        <w:rPr>
          <w:rFonts w:ascii="Arial" w:eastAsia="Times New Roman" w:hAnsi="Arial" w:cs="Arial"/>
          <w:sz w:val="24"/>
          <w:szCs w:val="24"/>
          <w:vertAlign w:val="subscript"/>
          <w:lang w:val="en-GB"/>
        </w:rPr>
        <w:t>AB</w:t>
      </w:r>
      <w:r w:rsidRPr="0043764C">
        <w:rPr>
          <w:rFonts w:ascii="Arial" w:eastAsia="Times New Roman" w:hAnsi="Arial" w:cs="Arial"/>
          <w:sz w:val="24"/>
          <w:szCs w:val="24"/>
          <w:lang w:val="en-GB"/>
        </w:rPr>
        <w:t xml:space="preserve">) </w:t>
      </w:r>
      <w:proofErr w:type="gramStart"/>
      <w:r w:rsidRPr="0043764C">
        <w:rPr>
          <w:rFonts w:ascii="Arial" w:eastAsia="Times New Roman" w:hAnsi="Arial" w:cs="Arial"/>
          <w:sz w:val="24"/>
          <w:szCs w:val="24"/>
          <w:lang w:val="en-GB"/>
        </w:rPr>
        <w:t>is now considered</w:t>
      </w:r>
      <w:proofErr w:type="gramEnd"/>
      <w:r w:rsidRPr="0043764C">
        <w:rPr>
          <w:rFonts w:ascii="Arial" w:eastAsia="Times New Roman" w:hAnsi="Arial" w:cs="Arial"/>
          <w:sz w:val="24"/>
          <w:szCs w:val="24"/>
          <w:lang w:val="en-GB"/>
        </w:rPr>
        <w:t xml:space="preserve"> as one entity and the joined commuting flows to the other SBBs will be recalculated.</w:t>
      </w:r>
    </w:p>
    <w:p w:rsidR="0043764C" w:rsidRPr="0043764C" w:rsidRDefault="0043764C" w:rsidP="0043764C">
      <w:pPr>
        <w:spacing w:after="120" w:line="360" w:lineRule="auto"/>
        <w:jc w:val="both"/>
        <w:rPr>
          <w:rFonts w:ascii="Arial" w:eastAsia="Times New Roman" w:hAnsi="Arial" w:cs="Arial"/>
          <w:sz w:val="24"/>
          <w:szCs w:val="24"/>
          <w:lang w:val="en-GB"/>
        </w:rPr>
      </w:pPr>
      <w:r w:rsidRPr="0043764C">
        <w:rPr>
          <w:rFonts w:ascii="Arial" w:eastAsia="Times New Roman" w:hAnsi="Arial" w:cs="Arial"/>
          <w:sz w:val="24"/>
          <w:szCs w:val="24"/>
          <w:lang w:val="en-GB"/>
        </w:rPr>
        <w:t>Then the procedure restarts, with the SBBs and groupings of SBBs (e.g. SBB</w:t>
      </w:r>
      <w:r w:rsidRPr="0043764C">
        <w:rPr>
          <w:rFonts w:ascii="Arial" w:eastAsia="Times New Roman" w:hAnsi="Arial" w:cs="Arial"/>
          <w:sz w:val="24"/>
          <w:szCs w:val="24"/>
          <w:vertAlign w:val="subscript"/>
          <w:lang w:val="en-GB"/>
        </w:rPr>
        <w:t>AB</w:t>
      </w:r>
      <w:r w:rsidRPr="0043764C">
        <w:rPr>
          <w:rFonts w:ascii="Arial" w:eastAsia="Times New Roman" w:hAnsi="Arial" w:cs="Arial"/>
          <w:sz w:val="24"/>
          <w:szCs w:val="24"/>
          <w:lang w:val="en-GB"/>
        </w:rPr>
        <w:t xml:space="preserve">) </w:t>
      </w:r>
      <w:proofErr w:type="gramStart"/>
      <w:r w:rsidRPr="0043764C">
        <w:rPr>
          <w:rFonts w:ascii="Arial" w:eastAsia="Times New Roman" w:hAnsi="Arial" w:cs="Arial"/>
          <w:sz w:val="24"/>
          <w:szCs w:val="24"/>
          <w:lang w:val="en-GB"/>
        </w:rPr>
        <w:t>being treated</w:t>
      </w:r>
      <w:proofErr w:type="gramEnd"/>
      <w:r w:rsidRPr="0043764C">
        <w:rPr>
          <w:rFonts w:ascii="Arial" w:eastAsia="Times New Roman" w:hAnsi="Arial" w:cs="Arial"/>
          <w:sz w:val="24"/>
          <w:szCs w:val="24"/>
          <w:lang w:val="en-GB"/>
        </w:rPr>
        <w:t xml:space="preserve"> equally.</w:t>
      </w:r>
    </w:p>
    <w:p w:rsidR="0043764C" w:rsidRPr="0043764C" w:rsidRDefault="0043764C" w:rsidP="0043764C">
      <w:pPr>
        <w:spacing w:after="120" w:line="360" w:lineRule="auto"/>
        <w:jc w:val="both"/>
        <w:rPr>
          <w:rFonts w:ascii="Arial" w:eastAsia="Times New Roman" w:hAnsi="Arial" w:cs="Arial"/>
          <w:sz w:val="24"/>
          <w:szCs w:val="24"/>
          <w:lang w:val="en-GB"/>
        </w:rPr>
      </w:pPr>
      <w:r w:rsidRPr="0043764C">
        <w:rPr>
          <w:rFonts w:ascii="Arial" w:eastAsia="Times New Roman" w:hAnsi="Arial" w:cs="Arial"/>
          <w:sz w:val="24"/>
          <w:szCs w:val="24"/>
          <w:lang w:val="en-GB"/>
        </w:rPr>
        <w:t xml:space="preserve">However, in case in the ranking of SBBs that do not fulfil </w:t>
      </w:r>
      <w:r>
        <w:rPr>
          <w:rFonts w:ascii="Arial" w:eastAsia="Times New Roman" w:hAnsi="Arial" w:cs="Arial"/>
          <w:sz w:val="24"/>
          <w:szCs w:val="24"/>
          <w:lang w:val="en-GB"/>
        </w:rPr>
        <w:t>the validity condition,</w:t>
      </w:r>
      <w:r w:rsidRPr="0043764C">
        <w:rPr>
          <w:rFonts w:ascii="Arial" w:eastAsia="Times New Roman" w:hAnsi="Arial" w:cs="Arial"/>
          <w:sz w:val="24"/>
          <w:szCs w:val="24"/>
          <w:lang w:val="en-GB"/>
        </w:rPr>
        <w:t xml:space="preserve"> a grouping of SBBs gives the lowest value for the right-hand side of </w:t>
      </w:r>
      <w:r>
        <w:rPr>
          <w:rFonts w:ascii="Arial" w:eastAsia="Times New Roman" w:hAnsi="Arial" w:cs="Arial"/>
          <w:sz w:val="24"/>
          <w:szCs w:val="24"/>
          <w:lang w:val="en-GB"/>
        </w:rPr>
        <w:t>the validity condition</w:t>
      </w:r>
      <w:r w:rsidRPr="0043764C">
        <w:rPr>
          <w:rFonts w:ascii="Arial" w:eastAsia="Times New Roman" w:hAnsi="Arial" w:cs="Arial"/>
          <w:sz w:val="24"/>
          <w:szCs w:val="24"/>
          <w:lang w:val="en-GB"/>
        </w:rPr>
        <w:t xml:space="preserve">, the grouping of SBBs </w:t>
      </w:r>
      <w:proofErr w:type="gramStart"/>
      <w:r w:rsidRPr="0043764C">
        <w:rPr>
          <w:rFonts w:ascii="Arial" w:eastAsia="Times New Roman" w:hAnsi="Arial" w:cs="Arial"/>
          <w:sz w:val="24"/>
          <w:szCs w:val="24"/>
          <w:lang w:val="en-GB"/>
        </w:rPr>
        <w:t>is dismembered</w:t>
      </w:r>
      <w:proofErr w:type="gramEnd"/>
      <w:r w:rsidRPr="0043764C">
        <w:rPr>
          <w:rFonts w:ascii="Arial" w:eastAsia="Times New Roman" w:hAnsi="Arial" w:cs="Arial"/>
          <w:sz w:val="24"/>
          <w:szCs w:val="24"/>
          <w:lang w:val="en-GB"/>
        </w:rPr>
        <w:t xml:space="preserve"> and each SBB is re-grouped.</w:t>
      </w:r>
    </w:p>
    <w:p w:rsidR="0043764C" w:rsidRDefault="0043764C" w:rsidP="0043764C">
      <w:pPr>
        <w:spacing w:before="120" w:after="0" w:line="360" w:lineRule="auto"/>
        <w:jc w:val="both"/>
        <w:rPr>
          <w:rFonts w:ascii="Arial" w:eastAsia="Times New Roman" w:hAnsi="Arial" w:cs="Arial"/>
          <w:sz w:val="24"/>
          <w:szCs w:val="24"/>
          <w:lang w:val="en-GB"/>
        </w:rPr>
      </w:pPr>
      <w:r w:rsidRPr="0043764C">
        <w:rPr>
          <w:rFonts w:ascii="Arial" w:eastAsia="Times New Roman" w:hAnsi="Arial" w:cs="Arial"/>
          <w:sz w:val="24"/>
          <w:szCs w:val="24"/>
          <w:lang w:val="en-GB"/>
        </w:rPr>
        <w:t xml:space="preserve">The sequence of the re-grouping follows the ranking according to the right-hand side of </w:t>
      </w:r>
      <w:r>
        <w:rPr>
          <w:rFonts w:ascii="Arial" w:eastAsia="Times New Roman" w:hAnsi="Arial" w:cs="Arial"/>
          <w:sz w:val="24"/>
          <w:szCs w:val="24"/>
          <w:lang w:val="en-GB"/>
        </w:rPr>
        <w:t>the validity condition</w:t>
      </w:r>
      <w:r w:rsidRPr="0043764C">
        <w:rPr>
          <w:rFonts w:ascii="Arial" w:eastAsia="Times New Roman" w:hAnsi="Arial" w:cs="Arial"/>
          <w:sz w:val="24"/>
          <w:szCs w:val="24"/>
          <w:lang w:val="en-GB"/>
        </w:rPr>
        <w:t xml:space="preserve"> starting with SBB</w:t>
      </w:r>
      <w:r w:rsidRPr="0043764C">
        <w:rPr>
          <w:rFonts w:ascii="Arial" w:eastAsia="Times New Roman" w:hAnsi="Arial" w:cs="Arial"/>
          <w:sz w:val="24"/>
          <w:szCs w:val="24"/>
          <w:vertAlign w:val="subscript"/>
          <w:lang w:val="en-GB"/>
        </w:rPr>
        <w:t>Z</w:t>
      </w:r>
      <w:r w:rsidRPr="0043764C">
        <w:rPr>
          <w:rFonts w:ascii="Arial" w:eastAsia="Times New Roman" w:hAnsi="Arial" w:cs="Arial"/>
          <w:sz w:val="24"/>
          <w:szCs w:val="24"/>
          <w:lang w:val="en-GB"/>
        </w:rPr>
        <w:t xml:space="preserve"> with the lowest value.</w:t>
      </w:r>
    </w:p>
    <w:p w:rsidR="006C5326" w:rsidRPr="006C5326" w:rsidRDefault="006C5326" w:rsidP="006C5326">
      <w:pPr>
        <w:spacing w:after="120" w:line="360" w:lineRule="auto"/>
        <w:jc w:val="both"/>
        <w:rPr>
          <w:rFonts w:ascii="Arial" w:eastAsia="Times New Roman" w:hAnsi="Arial" w:cs="Arial"/>
          <w:sz w:val="24"/>
          <w:szCs w:val="24"/>
          <w:lang w:val="en-GB"/>
        </w:rPr>
      </w:pPr>
      <w:r w:rsidRPr="006C5326">
        <w:rPr>
          <w:rFonts w:ascii="Arial" w:eastAsia="Times New Roman" w:hAnsi="Arial" w:cs="Arial"/>
          <w:sz w:val="24"/>
          <w:szCs w:val="24"/>
          <w:lang w:val="en-GB"/>
        </w:rPr>
        <w:lastRenderedPageBreak/>
        <w:t>SBB</w:t>
      </w:r>
      <w:r w:rsidRPr="006C5326">
        <w:rPr>
          <w:rFonts w:ascii="Arial" w:eastAsia="Times New Roman" w:hAnsi="Arial" w:cs="Arial"/>
          <w:sz w:val="24"/>
          <w:szCs w:val="24"/>
          <w:vertAlign w:val="subscript"/>
          <w:lang w:val="en-GB"/>
        </w:rPr>
        <w:t>Z</w:t>
      </w:r>
      <w:r w:rsidRPr="006C5326">
        <w:rPr>
          <w:rFonts w:ascii="Arial" w:eastAsia="Times New Roman" w:hAnsi="Arial" w:cs="Arial"/>
          <w:sz w:val="24"/>
          <w:szCs w:val="24"/>
          <w:lang w:val="en-GB"/>
        </w:rPr>
        <w:t xml:space="preserve"> </w:t>
      </w:r>
      <w:proofErr w:type="gramStart"/>
      <w:r w:rsidRPr="006C5326">
        <w:rPr>
          <w:rFonts w:ascii="Arial" w:eastAsia="Times New Roman" w:hAnsi="Arial" w:cs="Arial"/>
          <w:sz w:val="24"/>
          <w:szCs w:val="24"/>
          <w:lang w:val="en-GB"/>
        </w:rPr>
        <w:t>is then re-grouped</w:t>
      </w:r>
      <w:proofErr w:type="gramEnd"/>
      <w:r w:rsidRPr="006C5326">
        <w:rPr>
          <w:rFonts w:ascii="Arial" w:eastAsia="Times New Roman" w:hAnsi="Arial" w:cs="Arial"/>
          <w:sz w:val="24"/>
          <w:szCs w:val="24"/>
          <w:lang w:val="en-GB"/>
        </w:rPr>
        <w:t xml:space="preserve"> with another SBB or grouping of SBBs according to </w:t>
      </w:r>
      <w:r>
        <w:rPr>
          <w:rFonts w:ascii="Arial" w:eastAsia="Times New Roman" w:hAnsi="Arial" w:cs="Arial"/>
          <w:sz w:val="24"/>
          <w:szCs w:val="24"/>
          <w:lang w:val="en-GB"/>
        </w:rPr>
        <w:t>the formula above expressing the relationships between commuters, workers and jobs</w:t>
      </w:r>
      <w:r w:rsidRPr="006C5326">
        <w:rPr>
          <w:rFonts w:ascii="Arial" w:eastAsia="Times New Roman" w:hAnsi="Arial" w:cs="Arial"/>
          <w:sz w:val="24"/>
          <w:szCs w:val="24"/>
          <w:lang w:val="en-GB"/>
        </w:rPr>
        <w:t>, unless – because of the merge with SBB</w:t>
      </w:r>
      <w:r w:rsidRPr="006C5326">
        <w:rPr>
          <w:rFonts w:ascii="Arial" w:eastAsia="Times New Roman" w:hAnsi="Arial" w:cs="Arial"/>
          <w:sz w:val="24"/>
          <w:szCs w:val="24"/>
          <w:vertAlign w:val="subscript"/>
          <w:lang w:val="en-GB"/>
        </w:rPr>
        <w:t>Z</w:t>
      </w:r>
      <w:r w:rsidRPr="006C5326">
        <w:rPr>
          <w:rFonts w:ascii="Arial" w:eastAsia="Times New Roman" w:hAnsi="Arial" w:cs="Arial"/>
          <w:sz w:val="24"/>
          <w:szCs w:val="24"/>
          <w:lang w:val="en-GB"/>
        </w:rPr>
        <w:t xml:space="preserve"> – the new grouping fails </w:t>
      </w:r>
      <w:r>
        <w:rPr>
          <w:rFonts w:ascii="Arial" w:eastAsia="Times New Roman" w:hAnsi="Arial" w:cs="Arial"/>
          <w:sz w:val="24"/>
          <w:szCs w:val="24"/>
          <w:lang w:val="en-GB"/>
        </w:rPr>
        <w:t>the validity condition</w:t>
      </w:r>
      <w:r w:rsidRPr="006C5326">
        <w:rPr>
          <w:rFonts w:ascii="Arial" w:eastAsia="Times New Roman" w:hAnsi="Arial" w:cs="Arial"/>
          <w:sz w:val="24"/>
          <w:szCs w:val="24"/>
          <w:lang w:val="en-GB"/>
        </w:rPr>
        <w:t>. In such a case, SBB</w:t>
      </w:r>
      <w:r w:rsidRPr="006C5326">
        <w:rPr>
          <w:rFonts w:ascii="Arial" w:eastAsia="Times New Roman" w:hAnsi="Arial" w:cs="Arial"/>
          <w:sz w:val="24"/>
          <w:szCs w:val="24"/>
          <w:vertAlign w:val="subscript"/>
          <w:lang w:val="en-GB"/>
        </w:rPr>
        <w:t>Z</w:t>
      </w:r>
      <w:r w:rsidRPr="006C5326">
        <w:rPr>
          <w:rFonts w:ascii="Arial" w:eastAsia="Times New Roman" w:hAnsi="Arial" w:cs="Arial"/>
          <w:sz w:val="24"/>
          <w:szCs w:val="24"/>
          <w:lang w:val="en-GB"/>
        </w:rPr>
        <w:t xml:space="preserve"> </w:t>
      </w:r>
      <w:proofErr w:type="gramStart"/>
      <w:r w:rsidRPr="006C5326">
        <w:rPr>
          <w:rFonts w:ascii="Arial" w:eastAsia="Times New Roman" w:hAnsi="Arial" w:cs="Arial"/>
          <w:sz w:val="24"/>
          <w:szCs w:val="24"/>
          <w:lang w:val="en-GB"/>
        </w:rPr>
        <w:t>will be put</w:t>
      </w:r>
      <w:proofErr w:type="gramEnd"/>
      <w:r w:rsidRPr="006C5326">
        <w:rPr>
          <w:rFonts w:ascii="Arial" w:eastAsia="Times New Roman" w:hAnsi="Arial" w:cs="Arial"/>
          <w:sz w:val="24"/>
          <w:szCs w:val="24"/>
          <w:lang w:val="en-GB"/>
        </w:rPr>
        <w:t xml:space="preserve"> in a reserve list, as SBB</w:t>
      </w:r>
      <w:r w:rsidRPr="006C5326">
        <w:rPr>
          <w:rFonts w:ascii="Arial" w:eastAsia="Times New Roman" w:hAnsi="Arial" w:cs="Arial"/>
          <w:sz w:val="24"/>
          <w:szCs w:val="24"/>
          <w:vertAlign w:val="subscript"/>
          <w:lang w:val="en-GB"/>
        </w:rPr>
        <w:t>Z</w:t>
      </w:r>
      <w:r w:rsidRPr="006C5326">
        <w:rPr>
          <w:rFonts w:ascii="Arial" w:eastAsia="Times New Roman" w:hAnsi="Arial" w:cs="Arial"/>
          <w:sz w:val="24"/>
          <w:szCs w:val="24"/>
          <w:lang w:val="en-GB"/>
        </w:rPr>
        <w:t xml:space="preserve"> cannot be re-grouped to a SBB in its previous group.</w:t>
      </w:r>
    </w:p>
    <w:p w:rsidR="006C5326" w:rsidRPr="006C5326" w:rsidRDefault="006C5326" w:rsidP="006C5326">
      <w:pPr>
        <w:spacing w:after="120" w:line="360" w:lineRule="auto"/>
        <w:jc w:val="both"/>
        <w:rPr>
          <w:rFonts w:ascii="Arial" w:eastAsia="Times New Roman" w:hAnsi="Arial" w:cs="Arial"/>
          <w:sz w:val="24"/>
          <w:szCs w:val="24"/>
          <w:lang w:val="en-GB"/>
        </w:rPr>
      </w:pPr>
      <w:r w:rsidRPr="006C5326">
        <w:rPr>
          <w:rFonts w:ascii="Arial" w:eastAsia="Times New Roman" w:hAnsi="Arial" w:cs="Arial"/>
          <w:sz w:val="24"/>
          <w:szCs w:val="24"/>
          <w:lang w:val="en-GB"/>
        </w:rPr>
        <w:t>SBB</w:t>
      </w:r>
      <w:r w:rsidRPr="006C5326">
        <w:rPr>
          <w:rFonts w:ascii="Arial" w:eastAsia="Times New Roman" w:hAnsi="Arial" w:cs="Arial"/>
          <w:sz w:val="24"/>
          <w:szCs w:val="24"/>
          <w:vertAlign w:val="subscript"/>
          <w:lang w:val="en-GB"/>
        </w:rPr>
        <w:t>X,</w:t>
      </w:r>
      <w:r w:rsidRPr="006C5326">
        <w:rPr>
          <w:rFonts w:ascii="Arial" w:eastAsia="Times New Roman" w:hAnsi="Arial" w:cs="Arial"/>
          <w:sz w:val="24"/>
          <w:szCs w:val="24"/>
          <w:lang w:val="en-GB"/>
        </w:rPr>
        <w:t xml:space="preserve"> previously identified having the second lowest value of the right-hand side of </w:t>
      </w:r>
      <w:r w:rsidR="00ED592F">
        <w:rPr>
          <w:rFonts w:ascii="Arial" w:eastAsia="Times New Roman" w:hAnsi="Arial" w:cs="Arial"/>
          <w:sz w:val="24"/>
          <w:szCs w:val="24"/>
          <w:lang w:val="en-GB"/>
        </w:rPr>
        <w:t>the validity condition</w:t>
      </w:r>
      <w:r w:rsidRPr="006C5326">
        <w:rPr>
          <w:rFonts w:ascii="Arial" w:eastAsia="Times New Roman" w:hAnsi="Arial" w:cs="Arial"/>
          <w:i/>
          <w:sz w:val="24"/>
          <w:szCs w:val="24"/>
          <w:lang w:val="en-GB"/>
        </w:rPr>
        <w:t>,</w:t>
      </w:r>
      <w:r w:rsidRPr="006C5326">
        <w:rPr>
          <w:rFonts w:ascii="Arial" w:eastAsia="Times New Roman" w:hAnsi="Arial" w:cs="Arial"/>
          <w:sz w:val="24"/>
          <w:szCs w:val="24"/>
          <w:lang w:val="en-GB"/>
        </w:rPr>
        <w:t xml:space="preserve"> is re-grouped next, and so on, until all the SBBs have been re-grouped. Once such a regrouping is finalised, the commuting flows have to </w:t>
      </w:r>
      <w:proofErr w:type="gramStart"/>
      <w:r w:rsidRPr="006C5326">
        <w:rPr>
          <w:rFonts w:ascii="Arial" w:eastAsia="Times New Roman" w:hAnsi="Arial" w:cs="Arial"/>
          <w:sz w:val="24"/>
          <w:szCs w:val="24"/>
          <w:lang w:val="en-GB"/>
        </w:rPr>
        <w:t>be recalculated</w:t>
      </w:r>
      <w:proofErr w:type="gramEnd"/>
      <w:r w:rsidRPr="006C5326">
        <w:rPr>
          <w:rFonts w:ascii="Arial" w:eastAsia="Times New Roman" w:hAnsi="Arial" w:cs="Arial"/>
          <w:sz w:val="24"/>
          <w:szCs w:val="24"/>
          <w:lang w:val="en-GB"/>
        </w:rPr>
        <w:t xml:space="preserve"> before the procedure can restart.</w:t>
      </w:r>
    </w:p>
    <w:p w:rsidR="006C5326" w:rsidRPr="006C5326" w:rsidRDefault="006C5326" w:rsidP="006C5326">
      <w:pPr>
        <w:spacing w:after="120" w:line="360" w:lineRule="auto"/>
        <w:jc w:val="both"/>
        <w:rPr>
          <w:rFonts w:ascii="Arial" w:eastAsia="Times New Roman" w:hAnsi="Arial" w:cs="Arial"/>
          <w:sz w:val="24"/>
          <w:szCs w:val="24"/>
          <w:lang w:val="en-GB"/>
        </w:rPr>
      </w:pPr>
      <w:r w:rsidRPr="006C5326">
        <w:rPr>
          <w:rFonts w:ascii="Arial" w:eastAsia="Times New Roman" w:hAnsi="Arial" w:cs="Arial"/>
          <w:sz w:val="24"/>
          <w:szCs w:val="24"/>
          <w:lang w:val="en-GB"/>
        </w:rPr>
        <w:t xml:space="preserve">The process stops when all SBBs or groupings of SBBs fulfil </w:t>
      </w:r>
      <w:r w:rsidR="00ED592F">
        <w:rPr>
          <w:rFonts w:ascii="Arial" w:eastAsia="Times New Roman" w:hAnsi="Arial" w:cs="Arial"/>
          <w:sz w:val="24"/>
          <w:szCs w:val="24"/>
          <w:lang w:val="en-GB"/>
        </w:rPr>
        <w:t>the validity condition</w:t>
      </w:r>
      <w:r w:rsidRPr="006C5326">
        <w:rPr>
          <w:rFonts w:ascii="Arial" w:eastAsia="Times New Roman" w:hAnsi="Arial" w:cs="Arial"/>
          <w:sz w:val="24"/>
          <w:szCs w:val="24"/>
          <w:lang w:val="en-GB"/>
        </w:rPr>
        <w:t>.</w:t>
      </w:r>
    </w:p>
    <w:p w:rsidR="006C5326" w:rsidRPr="006C5326" w:rsidRDefault="006C5326" w:rsidP="006C5326">
      <w:pPr>
        <w:spacing w:before="120" w:after="0" w:line="360" w:lineRule="auto"/>
        <w:jc w:val="both"/>
        <w:rPr>
          <w:rFonts w:ascii="Arial" w:eastAsiaTheme="minorEastAsia" w:hAnsi="Arial" w:cs="Arial"/>
          <w:sz w:val="24"/>
          <w:szCs w:val="24"/>
          <w:lang w:val="en-GB"/>
        </w:rPr>
      </w:pPr>
      <w:r w:rsidRPr="006C5326">
        <w:rPr>
          <w:rFonts w:ascii="Arial" w:eastAsia="Times New Roman" w:hAnsi="Arial" w:cs="Arial"/>
          <w:sz w:val="24"/>
          <w:szCs w:val="24"/>
          <w:lang w:val="en-GB"/>
        </w:rPr>
        <w:t xml:space="preserve">The output of the algorithm is not the final solution. The fine-tuning procedure </w:t>
      </w:r>
      <w:proofErr w:type="gramStart"/>
      <w:r w:rsidRPr="006C5326">
        <w:rPr>
          <w:rFonts w:ascii="Arial" w:eastAsia="Times New Roman" w:hAnsi="Arial" w:cs="Arial"/>
          <w:sz w:val="24"/>
          <w:szCs w:val="24"/>
          <w:lang w:val="en-GB"/>
        </w:rPr>
        <w:t>is designed</w:t>
      </w:r>
      <w:proofErr w:type="gramEnd"/>
      <w:r w:rsidRPr="006C5326">
        <w:rPr>
          <w:rFonts w:ascii="Arial" w:eastAsia="Times New Roman" w:hAnsi="Arial" w:cs="Arial"/>
          <w:sz w:val="24"/>
          <w:szCs w:val="24"/>
          <w:lang w:val="en-GB"/>
        </w:rPr>
        <w:t xml:space="preserve"> to check for contiguity and deals with enclaves/exclaves.</w:t>
      </w:r>
    </w:p>
    <w:p w:rsidR="00CB2B44"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2A53BC">
        <w:rPr>
          <w:rFonts w:ascii="Arial" w:hAnsi="Arial" w:cs="Arial"/>
          <w:b/>
          <w:sz w:val="24"/>
          <w:szCs w:val="24"/>
          <w:lang w:val="en-GB"/>
        </w:rPr>
        <w:t>Illustration of the results on LMAs obtained by two Member States</w:t>
      </w:r>
    </w:p>
    <w:p w:rsidR="008F5AE2" w:rsidRDefault="004017EE" w:rsidP="008F5AE2">
      <w:pPr>
        <w:spacing w:before="360" w:after="0" w:line="360" w:lineRule="auto"/>
        <w:jc w:val="both"/>
        <w:rPr>
          <w:rFonts w:ascii="Arial" w:hAnsi="Arial" w:cs="Arial"/>
          <w:sz w:val="24"/>
          <w:szCs w:val="24"/>
          <w:lang w:val="en-GB"/>
        </w:rPr>
      </w:pPr>
      <w:r>
        <w:rPr>
          <w:rFonts w:ascii="Arial" w:hAnsi="Arial" w:cs="Arial"/>
          <w:sz w:val="24"/>
          <w:szCs w:val="24"/>
          <w:lang w:val="en-GB"/>
        </w:rPr>
        <w:t xml:space="preserve">Bulgaria and Portugal </w:t>
      </w:r>
      <w:r w:rsidR="00C940C9">
        <w:rPr>
          <w:rFonts w:ascii="Arial" w:hAnsi="Arial" w:cs="Arial"/>
          <w:sz w:val="24"/>
          <w:szCs w:val="24"/>
          <w:lang w:val="en-GB"/>
        </w:rPr>
        <w:t xml:space="preserve">are two of the countries that have </w:t>
      </w:r>
      <w:r>
        <w:rPr>
          <w:rFonts w:ascii="Arial" w:hAnsi="Arial" w:cs="Arial"/>
          <w:sz w:val="24"/>
          <w:szCs w:val="24"/>
          <w:lang w:val="en-GB"/>
        </w:rPr>
        <w:t xml:space="preserve">produced LMAs based on the </w:t>
      </w:r>
      <w:r w:rsidR="00842C24">
        <w:rPr>
          <w:rFonts w:ascii="Arial" w:hAnsi="Arial" w:cs="Arial"/>
          <w:sz w:val="24"/>
          <w:szCs w:val="24"/>
          <w:lang w:val="en-GB"/>
        </w:rPr>
        <w:t xml:space="preserve">harmonised method described above. </w:t>
      </w:r>
      <w:r>
        <w:rPr>
          <w:rFonts w:ascii="Arial" w:hAnsi="Arial" w:cs="Arial"/>
          <w:sz w:val="24"/>
          <w:szCs w:val="24"/>
          <w:lang w:val="en-GB"/>
        </w:rPr>
        <w:t xml:space="preserve">The </w:t>
      </w:r>
      <w:r w:rsidR="00842C24">
        <w:rPr>
          <w:rFonts w:ascii="Arial" w:hAnsi="Arial" w:cs="Arial"/>
          <w:sz w:val="24"/>
          <w:szCs w:val="24"/>
          <w:lang w:val="en-GB"/>
        </w:rPr>
        <w:t xml:space="preserve">results </w:t>
      </w:r>
      <w:r w:rsidR="00C940C9">
        <w:rPr>
          <w:rFonts w:ascii="Arial" w:hAnsi="Arial" w:cs="Arial"/>
          <w:sz w:val="24"/>
          <w:szCs w:val="24"/>
          <w:lang w:val="en-GB"/>
        </w:rPr>
        <w:t xml:space="preserve">obtained by the two countries </w:t>
      </w:r>
      <w:r w:rsidR="00842C24">
        <w:rPr>
          <w:rFonts w:ascii="Arial" w:hAnsi="Arial" w:cs="Arial"/>
          <w:sz w:val="24"/>
          <w:szCs w:val="24"/>
          <w:lang w:val="en-GB"/>
        </w:rPr>
        <w:t>have been communicated to national stakeholders, who have accepted the LMAs as meaningful, and reflecting the reality of the local labour</w:t>
      </w:r>
      <w:r>
        <w:rPr>
          <w:rFonts w:ascii="Arial" w:hAnsi="Arial" w:cs="Arial"/>
          <w:sz w:val="24"/>
          <w:szCs w:val="24"/>
          <w:lang w:val="en-GB"/>
        </w:rPr>
        <w:t xml:space="preserve"> </w:t>
      </w:r>
      <w:r w:rsidR="00842C24">
        <w:rPr>
          <w:rFonts w:ascii="Arial" w:hAnsi="Arial" w:cs="Arial"/>
          <w:sz w:val="24"/>
          <w:szCs w:val="24"/>
          <w:lang w:val="en-GB"/>
        </w:rPr>
        <w:t xml:space="preserve">market and the observed commuting patterns. </w:t>
      </w:r>
      <w:r w:rsidR="00C940C9">
        <w:rPr>
          <w:rFonts w:ascii="Arial" w:hAnsi="Arial" w:cs="Arial"/>
          <w:sz w:val="24"/>
          <w:szCs w:val="24"/>
          <w:lang w:val="en-GB"/>
        </w:rPr>
        <w:t xml:space="preserve">Furthermore, we checked whether the LMAs capture the rurality. Maps </w:t>
      </w:r>
      <w:r w:rsidR="000C188A">
        <w:rPr>
          <w:rFonts w:ascii="Arial" w:hAnsi="Arial" w:cs="Arial"/>
          <w:sz w:val="24"/>
          <w:szCs w:val="24"/>
          <w:lang w:val="en-GB"/>
        </w:rPr>
        <w:t>one</w:t>
      </w:r>
      <w:r w:rsidR="00C940C9">
        <w:rPr>
          <w:rFonts w:ascii="Arial" w:hAnsi="Arial" w:cs="Arial"/>
          <w:sz w:val="24"/>
          <w:szCs w:val="24"/>
          <w:lang w:val="en-GB"/>
        </w:rPr>
        <w:t xml:space="preserve"> and </w:t>
      </w:r>
      <w:r w:rsidR="000C188A">
        <w:rPr>
          <w:rFonts w:ascii="Arial" w:hAnsi="Arial" w:cs="Arial"/>
          <w:sz w:val="24"/>
          <w:szCs w:val="24"/>
          <w:lang w:val="en-GB"/>
        </w:rPr>
        <w:t>two</w:t>
      </w:r>
      <w:r w:rsidR="00C940C9">
        <w:rPr>
          <w:rFonts w:ascii="Arial" w:hAnsi="Arial" w:cs="Arial"/>
          <w:sz w:val="24"/>
          <w:szCs w:val="24"/>
          <w:lang w:val="en-GB"/>
        </w:rPr>
        <w:t xml:space="preserve"> show the share of population by individual LMA living in high density and urban clusters</w:t>
      </w:r>
      <w:r w:rsidR="000C188A">
        <w:rPr>
          <w:rStyle w:val="FootnoteReference"/>
          <w:rFonts w:ascii="Arial" w:hAnsi="Arial" w:cs="Arial"/>
          <w:sz w:val="24"/>
          <w:szCs w:val="24"/>
          <w:lang w:val="en-GB"/>
        </w:rPr>
        <w:footnoteReference w:id="2"/>
      </w:r>
      <w:r w:rsidR="00C940C9">
        <w:rPr>
          <w:rFonts w:ascii="Arial" w:hAnsi="Arial" w:cs="Arial"/>
          <w:sz w:val="24"/>
          <w:szCs w:val="24"/>
          <w:lang w:val="en-GB"/>
        </w:rPr>
        <w:t xml:space="preserve"> </w:t>
      </w:r>
      <w:r w:rsidR="00BC480F">
        <w:rPr>
          <w:rFonts w:ascii="Arial" w:hAnsi="Arial" w:cs="Arial"/>
          <w:sz w:val="24"/>
          <w:szCs w:val="24"/>
          <w:lang w:val="en-GB"/>
        </w:rPr>
        <w:t xml:space="preserve">and demonstrate how </w:t>
      </w:r>
      <w:r w:rsidR="000C188A">
        <w:rPr>
          <w:rFonts w:ascii="Arial" w:hAnsi="Arial" w:cs="Arial"/>
          <w:sz w:val="24"/>
          <w:szCs w:val="24"/>
          <w:lang w:val="en-GB"/>
        </w:rPr>
        <w:t>the LMAs reflect the rurality. It is interesting to see that the rural LMAs in Bulgaria are generally smaller while the rural LMAs in Portugal are rather bigger as a size</w:t>
      </w:r>
      <w:r w:rsidR="00BC6BE4">
        <w:rPr>
          <w:rFonts w:ascii="Arial" w:hAnsi="Arial" w:cs="Arial"/>
          <w:sz w:val="24"/>
          <w:szCs w:val="24"/>
          <w:lang w:val="en-GB"/>
        </w:rPr>
        <w:t>, both countries having settlements asymmetries</w:t>
      </w:r>
      <w:r w:rsidR="000C188A">
        <w:rPr>
          <w:rFonts w:ascii="Arial" w:hAnsi="Arial" w:cs="Arial"/>
          <w:sz w:val="24"/>
          <w:szCs w:val="24"/>
          <w:lang w:val="en-GB"/>
        </w:rPr>
        <w:t xml:space="preserve">. </w:t>
      </w:r>
      <w:r w:rsidR="003D1565">
        <w:rPr>
          <w:rFonts w:ascii="Arial" w:hAnsi="Arial" w:cs="Arial"/>
          <w:sz w:val="24"/>
          <w:szCs w:val="24"/>
          <w:lang w:val="en-GB"/>
        </w:rPr>
        <w:t xml:space="preserve">The area of the Bulgarian LMAs </w:t>
      </w:r>
      <w:r w:rsidR="00DF7696">
        <w:rPr>
          <w:rFonts w:ascii="Arial" w:hAnsi="Arial" w:cs="Arial"/>
          <w:sz w:val="24"/>
          <w:szCs w:val="24"/>
          <w:lang w:val="en-GB"/>
        </w:rPr>
        <w:t xml:space="preserve">with a median of 907.9 sq. km </w:t>
      </w:r>
      <w:r w:rsidR="003D1565">
        <w:rPr>
          <w:rFonts w:ascii="Arial" w:hAnsi="Arial" w:cs="Arial"/>
          <w:sz w:val="24"/>
          <w:szCs w:val="24"/>
          <w:lang w:val="en-GB"/>
        </w:rPr>
        <w:t xml:space="preserve">varies from 174.8 sq. km </w:t>
      </w:r>
      <w:r w:rsidR="00065B61">
        <w:rPr>
          <w:rFonts w:ascii="Arial" w:hAnsi="Arial" w:cs="Arial"/>
          <w:sz w:val="24"/>
          <w:szCs w:val="24"/>
          <w:lang w:val="en-GB"/>
        </w:rPr>
        <w:t xml:space="preserve">in </w:t>
      </w:r>
      <w:r w:rsidR="00010BA9">
        <w:rPr>
          <w:rFonts w:ascii="Arial" w:hAnsi="Arial" w:cs="Arial"/>
          <w:sz w:val="24"/>
          <w:szCs w:val="24"/>
          <w:lang w:val="en-GB"/>
        </w:rPr>
        <w:t>a rural</w:t>
      </w:r>
      <w:r w:rsidR="00065B61">
        <w:rPr>
          <w:rFonts w:ascii="Arial" w:hAnsi="Arial" w:cs="Arial"/>
          <w:sz w:val="24"/>
          <w:szCs w:val="24"/>
          <w:lang w:val="en-GB"/>
        </w:rPr>
        <w:t xml:space="preserve"> LMA </w:t>
      </w:r>
      <w:r w:rsidR="00DF7696">
        <w:rPr>
          <w:rFonts w:ascii="Arial" w:hAnsi="Arial" w:cs="Arial"/>
          <w:sz w:val="24"/>
          <w:szCs w:val="24"/>
          <w:lang w:val="en-GB"/>
        </w:rPr>
        <w:t>located</w:t>
      </w:r>
      <w:r w:rsidR="00065B61">
        <w:rPr>
          <w:rFonts w:ascii="Arial" w:hAnsi="Arial" w:cs="Arial"/>
          <w:sz w:val="24"/>
          <w:szCs w:val="24"/>
          <w:lang w:val="en-GB"/>
        </w:rPr>
        <w:t xml:space="preserve"> at the border with Greece </w:t>
      </w:r>
      <w:r w:rsidR="003D1565">
        <w:rPr>
          <w:rFonts w:ascii="Arial" w:hAnsi="Arial" w:cs="Arial"/>
          <w:sz w:val="24"/>
          <w:szCs w:val="24"/>
          <w:lang w:val="en-GB"/>
        </w:rPr>
        <w:t xml:space="preserve">to 4210.4 sq. km </w:t>
      </w:r>
      <w:r w:rsidR="00065B61">
        <w:rPr>
          <w:rFonts w:ascii="Arial" w:hAnsi="Arial" w:cs="Arial"/>
          <w:sz w:val="24"/>
          <w:szCs w:val="24"/>
          <w:lang w:val="en-GB"/>
        </w:rPr>
        <w:t>in the LMA of the capital city</w:t>
      </w:r>
      <w:r w:rsidR="00BC6BE4">
        <w:rPr>
          <w:rFonts w:ascii="Arial" w:hAnsi="Arial" w:cs="Arial"/>
          <w:sz w:val="24"/>
          <w:szCs w:val="24"/>
          <w:lang w:val="en-GB"/>
        </w:rPr>
        <w:t xml:space="preserve"> of Sofia</w:t>
      </w:r>
      <w:r w:rsidR="00065B61">
        <w:rPr>
          <w:rFonts w:ascii="Arial" w:hAnsi="Arial" w:cs="Arial"/>
          <w:sz w:val="24"/>
          <w:szCs w:val="24"/>
          <w:lang w:val="en-GB"/>
        </w:rPr>
        <w:t xml:space="preserve">. </w:t>
      </w:r>
      <w:r w:rsidR="00010BA9">
        <w:rPr>
          <w:rFonts w:ascii="Arial" w:hAnsi="Arial" w:cs="Arial"/>
          <w:sz w:val="24"/>
          <w:szCs w:val="24"/>
          <w:lang w:val="en-GB"/>
        </w:rPr>
        <w:t>On the other hand, t</w:t>
      </w:r>
      <w:r w:rsidR="00BC6BE4">
        <w:rPr>
          <w:rFonts w:ascii="Arial" w:hAnsi="Arial" w:cs="Arial"/>
          <w:sz w:val="24"/>
          <w:szCs w:val="24"/>
          <w:lang w:val="en-GB"/>
        </w:rPr>
        <w:t xml:space="preserve">he area of the Portuguese LMAs with a median of 2795 sq. km varies from 794 sq. km in the second largest city of Porto to 8543 in the rural LMA of </w:t>
      </w:r>
      <w:r w:rsidR="002F4993">
        <w:rPr>
          <w:rFonts w:ascii="Arial" w:hAnsi="Arial" w:cs="Arial"/>
          <w:sz w:val="24"/>
          <w:szCs w:val="24"/>
          <w:lang w:val="en-GB"/>
        </w:rPr>
        <w:t>Beja.</w:t>
      </w:r>
    </w:p>
    <w:p w:rsidR="008F5AE2" w:rsidRDefault="008F5AE2" w:rsidP="008F5AE2">
      <w:pPr>
        <w:spacing w:before="360" w:after="0" w:line="360" w:lineRule="auto"/>
        <w:jc w:val="both"/>
        <w:rPr>
          <w:noProof/>
          <w:lang w:val="en-GB" w:eastAsia="en-GB"/>
        </w:rPr>
      </w:pPr>
      <w:r>
        <w:rPr>
          <w:rFonts w:ascii="Arial" w:hAnsi="Arial" w:cs="Arial"/>
          <w:sz w:val="24"/>
          <w:szCs w:val="24"/>
          <w:lang w:val="en-GB"/>
        </w:rPr>
        <w:t xml:space="preserve">Maps </w:t>
      </w:r>
      <w:proofErr w:type="gramStart"/>
      <w:r>
        <w:rPr>
          <w:rFonts w:ascii="Arial" w:hAnsi="Arial" w:cs="Arial"/>
          <w:sz w:val="24"/>
          <w:szCs w:val="24"/>
          <w:lang w:val="en-GB"/>
        </w:rPr>
        <w:t>three</w:t>
      </w:r>
      <w:proofErr w:type="gramEnd"/>
      <w:r>
        <w:rPr>
          <w:rFonts w:ascii="Arial" w:hAnsi="Arial" w:cs="Arial"/>
          <w:sz w:val="24"/>
          <w:szCs w:val="24"/>
          <w:lang w:val="en-GB"/>
        </w:rPr>
        <w:t xml:space="preserve"> and four go deeper showing the d</w:t>
      </w:r>
      <w:r w:rsidRPr="00C940C9">
        <w:rPr>
          <w:rFonts w:ascii="Arial" w:hAnsi="Arial" w:cs="Arial"/>
          <w:sz w:val="24"/>
          <w:szCs w:val="24"/>
          <w:lang w:val="en-GB"/>
        </w:rPr>
        <w:t xml:space="preserve">istribution of the population by different type of density clusters </w:t>
      </w:r>
      <w:r>
        <w:rPr>
          <w:rFonts w:ascii="Arial" w:hAnsi="Arial" w:cs="Arial"/>
          <w:sz w:val="24"/>
          <w:szCs w:val="24"/>
          <w:lang w:val="en-GB"/>
        </w:rPr>
        <w:t>visualising also the clusters.</w:t>
      </w:r>
    </w:p>
    <w:p w:rsidR="008F5AE2" w:rsidRDefault="008F5AE2" w:rsidP="008F5AE2">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lastRenderedPageBreak/>
        <w:t>Map 1.</w:t>
      </w:r>
      <w:proofErr w:type="gramEnd"/>
      <w:r>
        <w:rPr>
          <w:rFonts w:ascii="Arial" w:hAnsi="Arial" w:cs="Arial"/>
          <w:sz w:val="24"/>
          <w:szCs w:val="24"/>
          <w:lang w:val="en-GB"/>
        </w:rPr>
        <w:t xml:space="preserve"> Share of population by LMA living in high density and urban clusters in Bulgaria (2011 population grid data)</w:t>
      </w:r>
    </w:p>
    <w:p w:rsidR="008F5AE2" w:rsidRPr="00B138E6" w:rsidRDefault="008F5AE2" w:rsidP="008F5AE2">
      <w:pPr>
        <w:spacing w:before="360" w:after="0" w:line="360" w:lineRule="auto"/>
        <w:jc w:val="both"/>
        <w:rPr>
          <w:rFonts w:ascii="Arial" w:hAnsi="Arial" w:cs="Arial"/>
          <w:sz w:val="24"/>
          <w:szCs w:val="24"/>
          <w:lang w:val="en-GB"/>
        </w:rPr>
      </w:pPr>
      <w:r>
        <w:rPr>
          <w:noProof/>
          <w:lang w:val="en-GB" w:eastAsia="en-GB"/>
        </w:rPr>
        <w:drawing>
          <wp:inline distT="0" distB="0" distL="0" distR="0" wp14:anchorId="770E2A5F" wp14:editId="757C84A1">
            <wp:extent cx="5572800" cy="6840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2800" cy="6840000"/>
                    </a:xfrm>
                    <a:prstGeom prst="rect">
                      <a:avLst/>
                    </a:prstGeom>
                  </pic:spPr>
                </pic:pic>
              </a:graphicData>
            </a:graphic>
          </wp:inline>
        </w:drawing>
      </w:r>
    </w:p>
    <w:p w:rsidR="00823F15" w:rsidRDefault="002F4993" w:rsidP="00CC1C1D">
      <w:pPr>
        <w:spacing w:before="360" w:after="0" w:line="360" w:lineRule="auto"/>
        <w:jc w:val="both"/>
        <w:rPr>
          <w:rFonts w:ascii="Arial" w:hAnsi="Arial" w:cs="Arial"/>
          <w:sz w:val="24"/>
          <w:szCs w:val="24"/>
          <w:lang w:val="en-GB"/>
        </w:rPr>
      </w:pPr>
      <w:r>
        <w:rPr>
          <w:rFonts w:ascii="Arial" w:hAnsi="Arial" w:cs="Arial"/>
          <w:sz w:val="24"/>
          <w:szCs w:val="24"/>
          <w:lang w:val="en-GB"/>
        </w:rPr>
        <w:t>We observe that the rural and the unlived grid cells follow the elevation of the two countries</w:t>
      </w:r>
      <w:r w:rsidR="00246506">
        <w:rPr>
          <w:rFonts w:ascii="Arial" w:hAnsi="Arial" w:cs="Arial"/>
          <w:sz w:val="24"/>
          <w:szCs w:val="24"/>
          <w:lang w:val="en-GB"/>
        </w:rPr>
        <w:t xml:space="preserve">. The elevation has an impact on the transport </w:t>
      </w:r>
      <w:r w:rsidR="00717954">
        <w:rPr>
          <w:rFonts w:ascii="Arial" w:hAnsi="Arial" w:cs="Arial"/>
          <w:sz w:val="24"/>
          <w:szCs w:val="24"/>
          <w:lang w:val="en-GB"/>
        </w:rPr>
        <w:t>connections;</w:t>
      </w:r>
      <w:r w:rsidR="00246506">
        <w:rPr>
          <w:rFonts w:ascii="Arial" w:hAnsi="Arial" w:cs="Arial"/>
          <w:sz w:val="24"/>
          <w:szCs w:val="24"/>
          <w:lang w:val="en-GB"/>
        </w:rPr>
        <w:t xml:space="preserve"> </w:t>
      </w:r>
      <w:r w:rsidR="00717954">
        <w:rPr>
          <w:rFonts w:ascii="Arial" w:hAnsi="Arial" w:cs="Arial"/>
          <w:sz w:val="24"/>
          <w:szCs w:val="24"/>
          <w:lang w:val="en-GB"/>
        </w:rPr>
        <w:t>hence,</w:t>
      </w:r>
      <w:r w:rsidR="00246506">
        <w:rPr>
          <w:rFonts w:ascii="Arial" w:hAnsi="Arial" w:cs="Arial"/>
          <w:sz w:val="24"/>
          <w:szCs w:val="24"/>
          <w:lang w:val="en-GB"/>
        </w:rPr>
        <w:t xml:space="preserve"> on the</w:t>
      </w:r>
      <w:r>
        <w:rPr>
          <w:rFonts w:ascii="Arial" w:hAnsi="Arial" w:cs="Arial"/>
          <w:sz w:val="24"/>
          <w:szCs w:val="24"/>
          <w:lang w:val="en-GB"/>
        </w:rPr>
        <w:t xml:space="preserve"> distance which people are whiling to travel to work </w:t>
      </w:r>
      <w:r w:rsidR="00C940C9">
        <w:rPr>
          <w:rFonts w:ascii="Arial" w:hAnsi="Arial" w:cs="Arial"/>
          <w:sz w:val="24"/>
          <w:szCs w:val="24"/>
          <w:lang w:val="en-GB"/>
        </w:rPr>
        <w:t xml:space="preserve">Although the scale does not allow us to zoom </w:t>
      </w:r>
      <w:r w:rsidR="00482000">
        <w:rPr>
          <w:rFonts w:ascii="Arial" w:hAnsi="Arial" w:cs="Arial"/>
          <w:sz w:val="24"/>
          <w:szCs w:val="24"/>
          <w:lang w:val="en-GB"/>
        </w:rPr>
        <w:t>into the maps presenting the clusters, it give</w:t>
      </w:r>
      <w:r w:rsidR="00BC480F">
        <w:rPr>
          <w:rFonts w:ascii="Arial" w:hAnsi="Arial" w:cs="Arial"/>
          <w:sz w:val="24"/>
          <w:szCs w:val="24"/>
          <w:lang w:val="en-GB"/>
        </w:rPr>
        <w:t>s</w:t>
      </w:r>
      <w:r w:rsidR="00482000">
        <w:rPr>
          <w:rFonts w:ascii="Arial" w:hAnsi="Arial" w:cs="Arial"/>
          <w:sz w:val="24"/>
          <w:szCs w:val="24"/>
          <w:lang w:val="en-GB"/>
        </w:rPr>
        <w:t xml:space="preserve"> an idea of the analytical </w:t>
      </w:r>
      <w:r w:rsidR="00482000">
        <w:rPr>
          <w:rFonts w:ascii="Arial" w:hAnsi="Arial" w:cs="Arial"/>
          <w:sz w:val="24"/>
          <w:szCs w:val="24"/>
          <w:lang w:val="en-GB"/>
        </w:rPr>
        <w:lastRenderedPageBreak/>
        <w:t>power of the grid statistics combined with functional geograph</w:t>
      </w:r>
      <w:r w:rsidR="00CA601E">
        <w:rPr>
          <w:rFonts w:ascii="Arial" w:hAnsi="Arial" w:cs="Arial"/>
          <w:sz w:val="24"/>
          <w:szCs w:val="24"/>
          <w:lang w:val="en-GB"/>
        </w:rPr>
        <w:t>ies</w:t>
      </w:r>
      <w:r w:rsidR="00482000">
        <w:rPr>
          <w:rFonts w:ascii="Arial" w:hAnsi="Arial" w:cs="Arial"/>
          <w:sz w:val="24"/>
          <w:szCs w:val="24"/>
          <w:lang w:val="en-GB"/>
        </w:rPr>
        <w:t xml:space="preserve"> such as the LMAs. </w:t>
      </w:r>
      <w:r w:rsidR="00CA601E">
        <w:rPr>
          <w:rFonts w:ascii="Arial" w:hAnsi="Arial" w:cs="Arial"/>
          <w:sz w:val="24"/>
          <w:szCs w:val="24"/>
          <w:lang w:val="en-GB"/>
        </w:rPr>
        <w:t>The 2011 Census population grid is available on the Eurostat's webpage</w:t>
      </w:r>
      <w:r w:rsidR="00CA601E">
        <w:rPr>
          <w:rStyle w:val="FootnoteReference"/>
          <w:rFonts w:ascii="Arial" w:hAnsi="Arial" w:cs="Arial"/>
          <w:sz w:val="24"/>
          <w:szCs w:val="24"/>
          <w:lang w:val="en-GB"/>
        </w:rPr>
        <w:footnoteReference w:id="3"/>
      </w:r>
      <w:r w:rsidR="00CA601E">
        <w:rPr>
          <w:rFonts w:ascii="Arial" w:hAnsi="Arial" w:cs="Arial"/>
          <w:sz w:val="24"/>
          <w:szCs w:val="24"/>
          <w:lang w:val="en-GB"/>
        </w:rPr>
        <w:t>.</w:t>
      </w:r>
    </w:p>
    <w:p w:rsidR="008F5AE2" w:rsidRDefault="008F5AE2" w:rsidP="008F5AE2">
      <w:pPr>
        <w:spacing w:before="360" w:after="0" w:line="360" w:lineRule="auto"/>
        <w:jc w:val="both"/>
        <w:rPr>
          <w:rFonts w:ascii="Arial" w:hAnsi="Arial" w:cs="Arial"/>
          <w:sz w:val="24"/>
          <w:szCs w:val="24"/>
          <w:lang w:val="en-GB"/>
        </w:rPr>
      </w:pPr>
      <w:proofErr w:type="gramStart"/>
      <w:r w:rsidRPr="00341CA6">
        <w:rPr>
          <w:rFonts w:ascii="Arial" w:hAnsi="Arial" w:cs="Arial"/>
          <w:sz w:val="24"/>
          <w:szCs w:val="24"/>
          <w:lang w:val="en-GB"/>
        </w:rPr>
        <w:t>Map 2.</w:t>
      </w:r>
      <w:proofErr w:type="gramEnd"/>
      <w:r w:rsidRPr="00341CA6">
        <w:rPr>
          <w:rFonts w:ascii="Arial" w:hAnsi="Arial" w:cs="Arial"/>
          <w:sz w:val="24"/>
          <w:szCs w:val="24"/>
          <w:lang w:val="en-GB"/>
        </w:rPr>
        <w:t xml:space="preserve"> </w:t>
      </w:r>
      <w:r>
        <w:rPr>
          <w:rFonts w:ascii="Arial" w:hAnsi="Arial" w:cs="Arial"/>
          <w:sz w:val="24"/>
          <w:szCs w:val="24"/>
          <w:lang w:val="en-GB"/>
        </w:rPr>
        <w:t xml:space="preserve">Share of population by LMA </w:t>
      </w:r>
      <w:r w:rsidRPr="00341CA6">
        <w:rPr>
          <w:rFonts w:ascii="Arial" w:hAnsi="Arial" w:cs="Arial"/>
          <w:sz w:val="24"/>
          <w:szCs w:val="24"/>
          <w:lang w:val="en-GB"/>
        </w:rPr>
        <w:t>living in high density and urban clusters</w:t>
      </w:r>
      <w:r>
        <w:rPr>
          <w:rFonts w:ascii="Arial" w:hAnsi="Arial" w:cs="Arial"/>
          <w:sz w:val="24"/>
          <w:szCs w:val="24"/>
          <w:lang w:val="en-GB"/>
        </w:rPr>
        <w:t xml:space="preserve"> in Portugal</w:t>
      </w:r>
      <w:r w:rsidRPr="00341CA6">
        <w:rPr>
          <w:rFonts w:ascii="Arial" w:hAnsi="Arial" w:cs="Arial"/>
          <w:sz w:val="24"/>
          <w:szCs w:val="24"/>
          <w:lang w:val="en-GB"/>
        </w:rPr>
        <w:t xml:space="preserve"> (2011 population grid data)</w:t>
      </w:r>
    </w:p>
    <w:p w:rsidR="00341CA6" w:rsidRPr="00341CA6" w:rsidRDefault="00D96B65" w:rsidP="00CC1C1D">
      <w:pPr>
        <w:spacing w:before="360" w:after="0" w:line="360" w:lineRule="auto"/>
        <w:jc w:val="both"/>
        <w:rPr>
          <w:rFonts w:ascii="Arial" w:hAnsi="Arial" w:cs="Arial"/>
          <w:sz w:val="24"/>
          <w:szCs w:val="24"/>
          <w:lang w:val="en-GB"/>
        </w:rPr>
      </w:pPr>
      <w:r>
        <w:rPr>
          <w:noProof/>
          <w:lang w:val="en-GB" w:eastAsia="en-GB"/>
        </w:rPr>
        <w:drawing>
          <wp:inline distT="0" distB="0" distL="0" distR="0" wp14:anchorId="3191BEC1" wp14:editId="3F4FB420">
            <wp:extent cx="5472000" cy="68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2000" cy="6840000"/>
                    </a:xfrm>
                    <a:prstGeom prst="rect">
                      <a:avLst/>
                    </a:prstGeom>
                  </pic:spPr>
                </pic:pic>
              </a:graphicData>
            </a:graphic>
          </wp:inline>
        </w:drawing>
      </w:r>
    </w:p>
    <w:p w:rsidR="00C43E81" w:rsidRDefault="00C43E81" w:rsidP="00CC1C1D">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lastRenderedPageBreak/>
        <w:t>Map 3.</w:t>
      </w:r>
      <w:proofErr w:type="gramEnd"/>
      <w:r>
        <w:rPr>
          <w:rFonts w:ascii="Arial" w:hAnsi="Arial" w:cs="Arial"/>
          <w:sz w:val="24"/>
          <w:szCs w:val="24"/>
          <w:lang w:val="en-GB"/>
        </w:rPr>
        <w:t xml:space="preserve"> Distribution of the population by different type of </w:t>
      </w:r>
      <w:r w:rsidR="00823F15">
        <w:rPr>
          <w:rFonts w:ascii="Arial" w:hAnsi="Arial" w:cs="Arial"/>
          <w:sz w:val="24"/>
          <w:szCs w:val="24"/>
          <w:lang w:val="en-GB"/>
        </w:rPr>
        <w:t xml:space="preserve">density </w:t>
      </w:r>
      <w:r>
        <w:rPr>
          <w:rFonts w:ascii="Arial" w:hAnsi="Arial" w:cs="Arial"/>
          <w:sz w:val="24"/>
          <w:szCs w:val="24"/>
          <w:lang w:val="en-GB"/>
        </w:rPr>
        <w:t>clusters</w:t>
      </w:r>
      <w:r w:rsidR="00823F15">
        <w:rPr>
          <w:rFonts w:ascii="Arial" w:hAnsi="Arial" w:cs="Arial"/>
          <w:sz w:val="24"/>
          <w:szCs w:val="24"/>
          <w:lang w:val="en-GB"/>
        </w:rPr>
        <w:t xml:space="preserve"> in Bulgaria </w:t>
      </w:r>
      <w:r w:rsidR="00823F15" w:rsidRPr="00823F15">
        <w:rPr>
          <w:rFonts w:ascii="Arial" w:hAnsi="Arial" w:cs="Arial"/>
          <w:sz w:val="24"/>
          <w:szCs w:val="24"/>
          <w:lang w:val="en-GB"/>
        </w:rPr>
        <w:t>(2011 population grid data)</w:t>
      </w:r>
    </w:p>
    <w:p w:rsidR="00823F15" w:rsidRDefault="00D96B3C" w:rsidP="00CC1C1D">
      <w:pPr>
        <w:spacing w:before="360" w:after="0" w:line="360" w:lineRule="auto"/>
        <w:jc w:val="both"/>
        <w:rPr>
          <w:rFonts w:ascii="Arial" w:hAnsi="Arial" w:cs="Arial"/>
          <w:sz w:val="24"/>
          <w:szCs w:val="24"/>
          <w:lang w:val="en-GB"/>
        </w:rPr>
      </w:pPr>
      <w:r w:rsidRPr="00D96B3C">
        <w:rPr>
          <w:noProof/>
          <w:lang w:val="en-GB" w:eastAsia="en-GB"/>
        </w:rPr>
        <w:t xml:space="preserve"> </w:t>
      </w:r>
      <w:r>
        <w:rPr>
          <w:noProof/>
          <w:lang w:val="en-GB" w:eastAsia="en-GB"/>
        </w:rPr>
        <w:drawing>
          <wp:inline distT="0" distB="0" distL="0" distR="0" wp14:anchorId="5DA3A8E2" wp14:editId="6A92BF44">
            <wp:extent cx="5659200" cy="68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59200" cy="6840000"/>
                    </a:xfrm>
                    <a:prstGeom prst="rect">
                      <a:avLst/>
                    </a:prstGeom>
                  </pic:spPr>
                </pic:pic>
              </a:graphicData>
            </a:graphic>
          </wp:inline>
        </w:drawing>
      </w:r>
    </w:p>
    <w:p w:rsidR="008F5AE2" w:rsidRDefault="008F5AE2">
      <w:pPr>
        <w:rPr>
          <w:rFonts w:ascii="Arial" w:hAnsi="Arial" w:cs="Arial"/>
          <w:sz w:val="24"/>
          <w:szCs w:val="24"/>
          <w:lang w:val="en-GB"/>
        </w:rPr>
      </w:pPr>
      <w:r>
        <w:rPr>
          <w:rFonts w:ascii="Arial" w:hAnsi="Arial" w:cs="Arial"/>
          <w:sz w:val="24"/>
          <w:szCs w:val="24"/>
          <w:lang w:val="en-GB"/>
        </w:rPr>
        <w:br w:type="page"/>
      </w:r>
    </w:p>
    <w:p w:rsidR="00823F15" w:rsidRDefault="00823F15" w:rsidP="00CC1C1D">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lastRenderedPageBreak/>
        <w:t>Map 4</w:t>
      </w:r>
      <w:r w:rsidRPr="00823F15">
        <w:rPr>
          <w:rFonts w:ascii="Arial" w:hAnsi="Arial" w:cs="Arial"/>
          <w:sz w:val="24"/>
          <w:szCs w:val="24"/>
          <w:lang w:val="en-GB"/>
        </w:rPr>
        <w:t>.</w:t>
      </w:r>
      <w:proofErr w:type="gramEnd"/>
      <w:r w:rsidRPr="00823F15">
        <w:rPr>
          <w:rFonts w:ascii="Arial" w:hAnsi="Arial" w:cs="Arial"/>
          <w:sz w:val="24"/>
          <w:szCs w:val="24"/>
          <w:lang w:val="en-GB"/>
        </w:rPr>
        <w:t xml:space="preserve"> Distribution of the population by different type of density clusters in </w:t>
      </w:r>
      <w:r>
        <w:rPr>
          <w:rFonts w:ascii="Arial" w:hAnsi="Arial" w:cs="Arial"/>
          <w:sz w:val="24"/>
          <w:szCs w:val="24"/>
          <w:lang w:val="en-GB"/>
        </w:rPr>
        <w:t>Portugal</w:t>
      </w:r>
      <w:r w:rsidRPr="00823F15">
        <w:rPr>
          <w:rFonts w:ascii="Arial" w:hAnsi="Arial" w:cs="Arial"/>
          <w:sz w:val="24"/>
          <w:szCs w:val="24"/>
          <w:lang w:val="en-GB"/>
        </w:rPr>
        <w:t xml:space="preserve"> (2011 population grid data)</w:t>
      </w:r>
    </w:p>
    <w:p w:rsidR="00823F15" w:rsidRPr="00823F15" w:rsidRDefault="00823F15" w:rsidP="00CC1C1D">
      <w:pPr>
        <w:spacing w:before="360" w:after="0" w:line="360" w:lineRule="auto"/>
        <w:jc w:val="both"/>
        <w:rPr>
          <w:rFonts w:ascii="Arial" w:hAnsi="Arial" w:cs="Arial"/>
          <w:sz w:val="24"/>
          <w:szCs w:val="24"/>
          <w:lang w:val="en-GB"/>
        </w:rPr>
      </w:pPr>
      <w:r>
        <w:rPr>
          <w:noProof/>
          <w:lang w:val="en-GB" w:eastAsia="en-GB"/>
        </w:rPr>
        <w:drawing>
          <wp:inline distT="0" distB="0" distL="0" distR="0" wp14:anchorId="4095D564" wp14:editId="4F284541">
            <wp:extent cx="5691600" cy="68400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1600" cy="6840000"/>
                    </a:xfrm>
                    <a:prstGeom prst="rect">
                      <a:avLst/>
                    </a:prstGeom>
                  </pic:spPr>
                </pic:pic>
              </a:graphicData>
            </a:graphic>
          </wp:inline>
        </w:drawing>
      </w:r>
    </w:p>
    <w:p w:rsidR="00F30C27" w:rsidRDefault="00E56DA2"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F30C27" w:rsidRPr="00EC5F5A">
        <w:rPr>
          <w:rFonts w:ascii="Arial" w:hAnsi="Arial" w:cs="Arial"/>
          <w:b/>
          <w:sz w:val="24"/>
          <w:szCs w:val="24"/>
          <w:lang w:val="en-GB"/>
        </w:rPr>
        <w:t>. References</w:t>
      </w:r>
    </w:p>
    <w:p w:rsidR="00BE6FC6" w:rsidRDefault="00BE6FC6" w:rsidP="00BE6FC6">
      <w:pPr>
        <w:spacing w:before="360" w:after="0" w:line="360" w:lineRule="auto"/>
        <w:jc w:val="both"/>
        <w:rPr>
          <w:rFonts w:ascii="Arial" w:hAnsi="Arial" w:cs="Arial"/>
          <w:sz w:val="24"/>
          <w:szCs w:val="24"/>
          <w:lang w:val="en-GB"/>
        </w:rPr>
      </w:pPr>
      <w:proofErr w:type="gramStart"/>
      <w:r w:rsidRPr="008F5AE2">
        <w:rPr>
          <w:rFonts w:ascii="Arial" w:hAnsi="Arial" w:cs="Arial"/>
          <w:sz w:val="24"/>
          <w:szCs w:val="24"/>
          <w:lang w:val="en-GB"/>
        </w:rPr>
        <w:t xml:space="preserve">Coombes, M., </w:t>
      </w:r>
      <w:proofErr w:type="spellStart"/>
      <w:r w:rsidRPr="008F5AE2">
        <w:rPr>
          <w:rFonts w:ascii="Arial" w:hAnsi="Arial" w:cs="Arial"/>
          <w:sz w:val="24"/>
          <w:szCs w:val="24"/>
          <w:lang w:val="en-GB"/>
        </w:rPr>
        <w:t>Casado</w:t>
      </w:r>
      <w:proofErr w:type="spellEnd"/>
      <w:r w:rsidRPr="008F5AE2">
        <w:rPr>
          <w:rFonts w:ascii="Arial" w:hAnsi="Arial" w:cs="Arial"/>
          <w:sz w:val="24"/>
          <w:szCs w:val="24"/>
          <w:lang w:val="en-GB"/>
        </w:rPr>
        <w:t>-Diaz, J.M., Martinez-</w:t>
      </w:r>
      <w:proofErr w:type="spellStart"/>
      <w:r w:rsidRPr="008F5AE2">
        <w:rPr>
          <w:rFonts w:ascii="Arial" w:hAnsi="Arial" w:cs="Arial"/>
          <w:sz w:val="24"/>
          <w:szCs w:val="24"/>
          <w:lang w:val="en-GB"/>
        </w:rPr>
        <w:t>Bernabeu</w:t>
      </w:r>
      <w:proofErr w:type="spellEnd"/>
      <w:r w:rsidRPr="008F5AE2">
        <w:rPr>
          <w:rFonts w:ascii="Arial" w:hAnsi="Arial" w:cs="Arial"/>
          <w:sz w:val="24"/>
          <w:szCs w:val="24"/>
          <w:lang w:val="en-GB"/>
        </w:rPr>
        <w:t xml:space="preserve">, L., </w:t>
      </w:r>
      <w:proofErr w:type="spellStart"/>
      <w:r w:rsidR="00222806" w:rsidRPr="008F5AE2">
        <w:rPr>
          <w:rFonts w:ascii="Arial" w:hAnsi="Arial" w:cs="Arial"/>
          <w:sz w:val="24"/>
          <w:szCs w:val="24"/>
          <w:lang w:val="en-GB"/>
        </w:rPr>
        <w:t>Carausu</w:t>
      </w:r>
      <w:proofErr w:type="spellEnd"/>
      <w:r w:rsidR="00222806" w:rsidRPr="008F5AE2">
        <w:rPr>
          <w:rFonts w:ascii="Arial" w:hAnsi="Arial" w:cs="Arial"/>
          <w:sz w:val="24"/>
          <w:szCs w:val="24"/>
          <w:lang w:val="en-GB"/>
        </w:rPr>
        <w:t>, F.</w:t>
      </w:r>
      <w:r w:rsidRPr="008F5AE2">
        <w:rPr>
          <w:rFonts w:ascii="Arial" w:hAnsi="Arial" w:cs="Arial"/>
          <w:sz w:val="24"/>
          <w:szCs w:val="24"/>
          <w:lang w:val="en-GB"/>
        </w:rPr>
        <w:t xml:space="preserve"> (20</w:t>
      </w:r>
      <w:r w:rsidR="00222806" w:rsidRPr="008F5AE2">
        <w:rPr>
          <w:rFonts w:ascii="Arial" w:hAnsi="Arial" w:cs="Arial"/>
          <w:sz w:val="24"/>
          <w:szCs w:val="24"/>
          <w:lang w:val="en-GB"/>
        </w:rPr>
        <w:t>12</w:t>
      </w:r>
      <w:r w:rsidRPr="008F5AE2">
        <w:rPr>
          <w:rFonts w:ascii="Arial" w:hAnsi="Arial" w:cs="Arial"/>
          <w:sz w:val="24"/>
          <w:szCs w:val="24"/>
          <w:lang w:val="en-GB"/>
        </w:rPr>
        <w:t>).</w:t>
      </w:r>
      <w:proofErr w:type="gramEnd"/>
      <w:r w:rsidRPr="008F5AE2">
        <w:rPr>
          <w:rFonts w:ascii="Arial" w:hAnsi="Arial" w:cs="Arial"/>
          <w:sz w:val="24"/>
          <w:szCs w:val="24"/>
          <w:lang w:val="en-GB"/>
        </w:rPr>
        <w:t xml:space="preserve"> </w:t>
      </w:r>
      <w:r w:rsidR="00222806" w:rsidRPr="00222806">
        <w:rPr>
          <w:rFonts w:ascii="Arial" w:hAnsi="Arial" w:cs="Arial"/>
          <w:sz w:val="24"/>
          <w:szCs w:val="24"/>
          <w:lang w:val="en-GB"/>
        </w:rPr>
        <w:t xml:space="preserve">Study on comparable Labour Market Areas, Final research report, Luxembourg. </w:t>
      </w:r>
      <w:r w:rsidR="00222806">
        <w:rPr>
          <w:rFonts w:ascii="Arial" w:hAnsi="Arial" w:cs="Arial"/>
          <w:sz w:val="24"/>
          <w:szCs w:val="24"/>
          <w:lang w:val="en-GB"/>
        </w:rPr>
        <w:t xml:space="preserve">Available </w:t>
      </w:r>
      <w:r w:rsidR="00222806">
        <w:rPr>
          <w:rFonts w:ascii="Arial" w:hAnsi="Arial" w:cs="Arial"/>
          <w:sz w:val="24"/>
          <w:szCs w:val="24"/>
          <w:lang w:val="en-GB"/>
        </w:rPr>
        <w:lastRenderedPageBreak/>
        <w:t xml:space="preserve">at: </w:t>
      </w:r>
      <w:hyperlink r:id="rId13" w:history="1">
        <w:r w:rsidR="00222806" w:rsidRPr="008E1B68">
          <w:rPr>
            <w:rStyle w:val="Hyperlink"/>
            <w:rFonts w:ascii="Arial" w:hAnsi="Arial" w:cs="Arial"/>
            <w:sz w:val="24"/>
            <w:szCs w:val="24"/>
            <w:lang w:val="en-GB"/>
          </w:rPr>
          <w:t>https://ec.europa.eu/eurostat/cros/content/study-comparable-labour-market-areas_en</w:t>
        </w:r>
      </w:hyperlink>
      <w:r w:rsidR="008F5AE2">
        <w:rPr>
          <w:rStyle w:val="Hyperlink"/>
          <w:rFonts w:ascii="Arial" w:hAnsi="Arial" w:cs="Arial"/>
          <w:sz w:val="24"/>
          <w:szCs w:val="24"/>
          <w:lang w:val="en-GB"/>
        </w:rPr>
        <w:t xml:space="preserve"> </w:t>
      </w:r>
    </w:p>
    <w:p w:rsidR="00E56DA2" w:rsidRDefault="00E56DA2" w:rsidP="00CC1C1D">
      <w:pPr>
        <w:spacing w:before="360" w:after="0" w:line="360" w:lineRule="auto"/>
        <w:jc w:val="both"/>
        <w:rPr>
          <w:rFonts w:ascii="Arial" w:hAnsi="Arial" w:cs="Arial"/>
          <w:sz w:val="24"/>
          <w:szCs w:val="24"/>
          <w:lang w:val="en-GB"/>
        </w:rPr>
      </w:pPr>
      <w:r w:rsidRPr="00222806">
        <w:rPr>
          <w:rFonts w:ascii="Arial" w:hAnsi="Arial" w:cs="Arial"/>
          <w:sz w:val="24"/>
          <w:szCs w:val="24"/>
          <w:lang w:val="it-IT"/>
        </w:rPr>
        <w:t>ISTAT (2015), La nuova geografia dei sistemi locali</w:t>
      </w:r>
      <w:r w:rsidR="00222806" w:rsidRPr="00222806">
        <w:rPr>
          <w:rFonts w:ascii="Arial" w:hAnsi="Arial" w:cs="Arial"/>
          <w:sz w:val="24"/>
          <w:szCs w:val="24"/>
          <w:lang w:val="it-IT"/>
        </w:rPr>
        <w:t>,</w:t>
      </w:r>
      <w:r w:rsidR="00BE6FC6" w:rsidRPr="00222806">
        <w:rPr>
          <w:rFonts w:ascii="Arial" w:hAnsi="Arial" w:cs="Arial"/>
          <w:sz w:val="24"/>
          <w:szCs w:val="24"/>
          <w:lang w:val="it-IT"/>
        </w:rPr>
        <w:t xml:space="preserve"> Roma. </w:t>
      </w:r>
      <w:r w:rsidR="00BE6FC6" w:rsidRPr="004017EE">
        <w:rPr>
          <w:rFonts w:ascii="Arial" w:hAnsi="Arial" w:cs="Arial"/>
          <w:sz w:val="24"/>
          <w:szCs w:val="24"/>
          <w:lang w:val="en-GB"/>
        </w:rPr>
        <w:t>Available at:</w:t>
      </w:r>
      <w:r w:rsidR="00BE6FC6" w:rsidRPr="004017EE">
        <w:rPr>
          <w:lang w:val="en-GB"/>
        </w:rPr>
        <w:t xml:space="preserve"> </w:t>
      </w:r>
      <w:hyperlink r:id="rId14" w:history="1">
        <w:r w:rsidR="00BE6FC6" w:rsidRPr="004017EE">
          <w:rPr>
            <w:rStyle w:val="Hyperlink"/>
            <w:rFonts w:ascii="Arial" w:hAnsi="Arial" w:cs="Arial"/>
            <w:sz w:val="24"/>
            <w:szCs w:val="24"/>
            <w:lang w:val="en-GB"/>
          </w:rPr>
          <w:t>https://ec.europa.</w:t>
        </w:r>
        <w:r w:rsidR="00BE6FC6" w:rsidRPr="008E1B68">
          <w:rPr>
            <w:rStyle w:val="Hyperlink"/>
            <w:rFonts w:ascii="Arial" w:hAnsi="Arial" w:cs="Arial"/>
            <w:sz w:val="24"/>
            <w:szCs w:val="24"/>
            <w:lang w:val="en-GB"/>
          </w:rPr>
          <w:t>eu/eurostat/cros/content/new-geography-local-systems_en</w:t>
        </w:r>
      </w:hyperlink>
    </w:p>
    <w:sectPr w:rsidR="00E56DA2"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373C4">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F5647F" w:rsidRPr="007C0841" w:rsidRDefault="00F5647F">
      <w:pPr>
        <w:pStyle w:val="FootnoteText"/>
        <w:rPr>
          <w:rFonts w:ascii="Arial" w:hAnsi="Arial" w:cs="Arial"/>
          <w:lang w:val="en-GB"/>
        </w:rPr>
      </w:pPr>
      <w:r w:rsidRPr="007C0841">
        <w:rPr>
          <w:rStyle w:val="FootnoteReference"/>
          <w:rFonts w:ascii="Arial" w:hAnsi="Arial" w:cs="Arial"/>
        </w:rPr>
        <w:footnoteRef/>
      </w:r>
      <w:r w:rsidRPr="007C0841">
        <w:rPr>
          <w:rFonts w:ascii="Arial" w:hAnsi="Arial" w:cs="Arial"/>
          <w:lang w:val="en-GB"/>
        </w:rPr>
        <w:t xml:space="preserve"> </w:t>
      </w:r>
      <w:hyperlink r:id="rId1" w:history="1">
        <w:r w:rsidRPr="007C0841">
          <w:rPr>
            <w:rStyle w:val="Hyperlink"/>
            <w:rFonts w:ascii="Arial" w:hAnsi="Arial" w:cs="Arial"/>
            <w:lang w:val="en-GB"/>
          </w:rPr>
          <w:t>https://ec.europa.eu/eurostat/cros/content/it-tools_en</w:t>
        </w:r>
      </w:hyperlink>
    </w:p>
    <w:p w:rsidR="00F5647F" w:rsidRPr="00F5647F" w:rsidRDefault="00F5647F">
      <w:pPr>
        <w:pStyle w:val="FootnoteText"/>
        <w:rPr>
          <w:lang w:val="en-GB"/>
        </w:rPr>
      </w:pPr>
    </w:p>
  </w:footnote>
  <w:footnote w:id="2">
    <w:p w:rsidR="000C188A" w:rsidRPr="000C188A" w:rsidRDefault="000C188A">
      <w:pPr>
        <w:pStyle w:val="FootnoteText"/>
        <w:rPr>
          <w:rFonts w:ascii="Arial" w:hAnsi="Arial" w:cs="Arial"/>
          <w:lang w:val="en-GB"/>
        </w:rPr>
      </w:pPr>
      <w:r w:rsidRPr="000C188A">
        <w:rPr>
          <w:rStyle w:val="FootnoteReference"/>
          <w:rFonts w:ascii="Arial" w:hAnsi="Arial" w:cs="Arial"/>
        </w:rPr>
        <w:footnoteRef/>
      </w:r>
      <w:r w:rsidRPr="000C188A">
        <w:rPr>
          <w:rFonts w:ascii="Arial" w:hAnsi="Arial" w:cs="Arial"/>
          <w:lang w:val="en-GB"/>
        </w:rPr>
        <w:t xml:space="preserve"> http://ec.europa.eu/regional_policy/sources/docgener/work/2014_01_new_urban.pdf</w:t>
      </w:r>
    </w:p>
  </w:footnote>
  <w:footnote w:id="3">
    <w:p w:rsidR="00CA601E" w:rsidRPr="00CA601E" w:rsidRDefault="00CA601E">
      <w:pPr>
        <w:pStyle w:val="FootnoteText"/>
        <w:rPr>
          <w:rFonts w:ascii="Arial" w:hAnsi="Arial" w:cs="Arial"/>
          <w:lang w:val="en-GB"/>
        </w:rPr>
      </w:pPr>
      <w:r w:rsidRPr="00CA601E">
        <w:rPr>
          <w:rStyle w:val="FootnoteReference"/>
          <w:rFonts w:ascii="Arial" w:hAnsi="Arial" w:cs="Arial"/>
        </w:rPr>
        <w:footnoteRef/>
      </w:r>
      <w:r w:rsidRPr="00CA601E">
        <w:rPr>
          <w:rFonts w:ascii="Arial" w:hAnsi="Arial" w:cs="Arial"/>
          <w:lang w:val="en-GB"/>
        </w:rPr>
        <w:t xml:space="preserve"> http://ec.europa.eu/eurostat/web/gisco/geodata/reference-data/population-distribution-demography/geostat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373C4">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373C4">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373C4">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0BA9"/>
    <w:rsid w:val="00026CD3"/>
    <w:rsid w:val="00033D0C"/>
    <w:rsid w:val="00047C24"/>
    <w:rsid w:val="00052831"/>
    <w:rsid w:val="00065B61"/>
    <w:rsid w:val="00070925"/>
    <w:rsid w:val="0007704A"/>
    <w:rsid w:val="000957CC"/>
    <w:rsid w:val="000C188A"/>
    <w:rsid w:val="000C6472"/>
    <w:rsid w:val="000D705A"/>
    <w:rsid w:val="000F337F"/>
    <w:rsid w:val="00104EB5"/>
    <w:rsid w:val="00105F84"/>
    <w:rsid w:val="00133E07"/>
    <w:rsid w:val="00142A8D"/>
    <w:rsid w:val="00157DAD"/>
    <w:rsid w:val="00160406"/>
    <w:rsid w:val="0016743D"/>
    <w:rsid w:val="00182357"/>
    <w:rsid w:val="001E43DC"/>
    <w:rsid w:val="00221F17"/>
    <w:rsid w:val="00222806"/>
    <w:rsid w:val="00234927"/>
    <w:rsid w:val="0023623C"/>
    <w:rsid w:val="00242620"/>
    <w:rsid w:val="00246506"/>
    <w:rsid w:val="0028150C"/>
    <w:rsid w:val="00282B53"/>
    <w:rsid w:val="00293580"/>
    <w:rsid w:val="002A53BC"/>
    <w:rsid w:val="002B6D33"/>
    <w:rsid w:val="002E7D32"/>
    <w:rsid w:val="002F4993"/>
    <w:rsid w:val="00332A38"/>
    <w:rsid w:val="00336E21"/>
    <w:rsid w:val="00341CA6"/>
    <w:rsid w:val="0035694D"/>
    <w:rsid w:val="00362815"/>
    <w:rsid w:val="00362D5C"/>
    <w:rsid w:val="00380F84"/>
    <w:rsid w:val="003A1D16"/>
    <w:rsid w:val="003D1565"/>
    <w:rsid w:val="003D653F"/>
    <w:rsid w:val="004017EE"/>
    <w:rsid w:val="00402A1A"/>
    <w:rsid w:val="004150F5"/>
    <w:rsid w:val="0043764C"/>
    <w:rsid w:val="004740F1"/>
    <w:rsid w:val="00482000"/>
    <w:rsid w:val="0048234A"/>
    <w:rsid w:val="00493026"/>
    <w:rsid w:val="004A12A7"/>
    <w:rsid w:val="004A1A99"/>
    <w:rsid w:val="004B39C1"/>
    <w:rsid w:val="004B6729"/>
    <w:rsid w:val="004C5048"/>
    <w:rsid w:val="004E771A"/>
    <w:rsid w:val="004F04B4"/>
    <w:rsid w:val="004F6B35"/>
    <w:rsid w:val="005215E8"/>
    <w:rsid w:val="00530FD6"/>
    <w:rsid w:val="005812C5"/>
    <w:rsid w:val="005A1F57"/>
    <w:rsid w:val="005B6971"/>
    <w:rsid w:val="005F3CA6"/>
    <w:rsid w:val="006052BF"/>
    <w:rsid w:val="0062581B"/>
    <w:rsid w:val="00653D6C"/>
    <w:rsid w:val="00667788"/>
    <w:rsid w:val="00672848"/>
    <w:rsid w:val="0069009D"/>
    <w:rsid w:val="00697934"/>
    <w:rsid w:val="006B5A4A"/>
    <w:rsid w:val="006C5326"/>
    <w:rsid w:val="006C5879"/>
    <w:rsid w:val="006F76A5"/>
    <w:rsid w:val="00705EC1"/>
    <w:rsid w:val="00717954"/>
    <w:rsid w:val="007373C4"/>
    <w:rsid w:val="00742CF6"/>
    <w:rsid w:val="0074511E"/>
    <w:rsid w:val="007730C4"/>
    <w:rsid w:val="00776C97"/>
    <w:rsid w:val="007A715E"/>
    <w:rsid w:val="007B1498"/>
    <w:rsid w:val="007C0841"/>
    <w:rsid w:val="007E6D8C"/>
    <w:rsid w:val="008127CC"/>
    <w:rsid w:val="0082373C"/>
    <w:rsid w:val="00823F15"/>
    <w:rsid w:val="00842C24"/>
    <w:rsid w:val="00867B2C"/>
    <w:rsid w:val="00873330"/>
    <w:rsid w:val="00883326"/>
    <w:rsid w:val="00885E0A"/>
    <w:rsid w:val="008A71D2"/>
    <w:rsid w:val="008B0935"/>
    <w:rsid w:val="008B7400"/>
    <w:rsid w:val="008D56E1"/>
    <w:rsid w:val="008D6094"/>
    <w:rsid w:val="008F5AE2"/>
    <w:rsid w:val="00902A7F"/>
    <w:rsid w:val="009378F5"/>
    <w:rsid w:val="00942365"/>
    <w:rsid w:val="00973B8D"/>
    <w:rsid w:val="009825CF"/>
    <w:rsid w:val="009A20D1"/>
    <w:rsid w:val="009B527A"/>
    <w:rsid w:val="00A00E25"/>
    <w:rsid w:val="00A23816"/>
    <w:rsid w:val="00A405AC"/>
    <w:rsid w:val="00A454B6"/>
    <w:rsid w:val="00A531F2"/>
    <w:rsid w:val="00A572A4"/>
    <w:rsid w:val="00A6013E"/>
    <w:rsid w:val="00A637FF"/>
    <w:rsid w:val="00AD1423"/>
    <w:rsid w:val="00AD4AEE"/>
    <w:rsid w:val="00B138E6"/>
    <w:rsid w:val="00B30AAA"/>
    <w:rsid w:val="00B47197"/>
    <w:rsid w:val="00B72169"/>
    <w:rsid w:val="00B74218"/>
    <w:rsid w:val="00B77A7F"/>
    <w:rsid w:val="00B86FC7"/>
    <w:rsid w:val="00B912C3"/>
    <w:rsid w:val="00BB19AC"/>
    <w:rsid w:val="00BC26CE"/>
    <w:rsid w:val="00BC480F"/>
    <w:rsid w:val="00BC6BE4"/>
    <w:rsid w:val="00BE1DD7"/>
    <w:rsid w:val="00BE6FC6"/>
    <w:rsid w:val="00BF6893"/>
    <w:rsid w:val="00BF6DBC"/>
    <w:rsid w:val="00C16E8E"/>
    <w:rsid w:val="00C261EA"/>
    <w:rsid w:val="00C40213"/>
    <w:rsid w:val="00C43E81"/>
    <w:rsid w:val="00C444A7"/>
    <w:rsid w:val="00C55909"/>
    <w:rsid w:val="00C726EA"/>
    <w:rsid w:val="00C74A1D"/>
    <w:rsid w:val="00C940C9"/>
    <w:rsid w:val="00CA601E"/>
    <w:rsid w:val="00CB2B44"/>
    <w:rsid w:val="00CB4074"/>
    <w:rsid w:val="00CC1874"/>
    <w:rsid w:val="00CC1C1D"/>
    <w:rsid w:val="00CF33AD"/>
    <w:rsid w:val="00CF656A"/>
    <w:rsid w:val="00D0258C"/>
    <w:rsid w:val="00D0270E"/>
    <w:rsid w:val="00D02C44"/>
    <w:rsid w:val="00D20550"/>
    <w:rsid w:val="00D3638C"/>
    <w:rsid w:val="00D52194"/>
    <w:rsid w:val="00D63FCC"/>
    <w:rsid w:val="00D65C24"/>
    <w:rsid w:val="00D96B3C"/>
    <w:rsid w:val="00D96B65"/>
    <w:rsid w:val="00DA74F6"/>
    <w:rsid w:val="00DA7E14"/>
    <w:rsid w:val="00DD4526"/>
    <w:rsid w:val="00DD4977"/>
    <w:rsid w:val="00DE01B4"/>
    <w:rsid w:val="00DF27A8"/>
    <w:rsid w:val="00DF7696"/>
    <w:rsid w:val="00E261EB"/>
    <w:rsid w:val="00E56DA2"/>
    <w:rsid w:val="00E602E8"/>
    <w:rsid w:val="00E7228E"/>
    <w:rsid w:val="00E82B25"/>
    <w:rsid w:val="00E92831"/>
    <w:rsid w:val="00E9313B"/>
    <w:rsid w:val="00EA4B33"/>
    <w:rsid w:val="00EB7A63"/>
    <w:rsid w:val="00EC5F5A"/>
    <w:rsid w:val="00ED592F"/>
    <w:rsid w:val="00EE4A70"/>
    <w:rsid w:val="00F30C27"/>
    <w:rsid w:val="00F51570"/>
    <w:rsid w:val="00F5647F"/>
    <w:rsid w:val="00F63155"/>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o.BUONO@ec.europa.eu" TargetMode="External"/><Relationship Id="rId13" Type="http://schemas.openxmlformats.org/officeDocument/2006/relationships/hyperlink" Target="https://ec.europa.eu/eurostat/cros/content/study-comparable-labour-market-areas_en"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c.europa.eu/eurostat/cros/content/new-geography-local-system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cros/content/it-tool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3BFA-62E5-4BDF-B987-17E82BE0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1896</Words>
  <Characters>10811</Characters>
  <Application>Microsoft Office Word</Application>
  <DocSecurity>4</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ANGELOVA-TOSHEVA Valeriya (ESTAT)</cp:lastModifiedBy>
  <cp:revision>2</cp:revision>
  <cp:lastPrinted>2018-05-22T13:28:00Z</cp:lastPrinted>
  <dcterms:created xsi:type="dcterms:W3CDTF">2018-05-25T07:15:00Z</dcterms:created>
  <dcterms:modified xsi:type="dcterms:W3CDTF">2018-05-25T07:15:00Z</dcterms:modified>
</cp:coreProperties>
</file>