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7AE" w:rsidRDefault="004567AE" w:rsidP="00D0270E">
      <w:pPr>
        <w:spacing w:before="480" w:after="480" w:line="360" w:lineRule="auto"/>
        <w:jc w:val="center"/>
        <w:rPr>
          <w:rFonts w:ascii="Arial" w:hAnsi="Arial" w:cs="Arial"/>
          <w:b/>
          <w:sz w:val="48"/>
          <w:szCs w:val="48"/>
          <w:lang w:val="en-GB"/>
        </w:rPr>
      </w:pPr>
      <w:r>
        <w:rPr>
          <w:rFonts w:ascii="Arial" w:hAnsi="Arial" w:cs="Arial"/>
          <w:b/>
          <w:sz w:val="48"/>
          <w:szCs w:val="48"/>
          <w:lang w:val="en-GB"/>
        </w:rPr>
        <w:t xml:space="preserve">Why consistency matters – </w:t>
      </w:r>
    </w:p>
    <w:p w:rsidR="004A1A99" w:rsidRPr="00EC5F5A" w:rsidRDefault="004567AE" w:rsidP="00D0270E">
      <w:pPr>
        <w:spacing w:before="480" w:after="480" w:line="360" w:lineRule="auto"/>
        <w:jc w:val="center"/>
        <w:rPr>
          <w:rFonts w:ascii="Arial" w:hAnsi="Arial" w:cs="Arial"/>
          <w:b/>
          <w:sz w:val="48"/>
          <w:szCs w:val="48"/>
          <w:lang w:val="en-GB"/>
        </w:rPr>
      </w:pPr>
      <w:r w:rsidRPr="004567AE">
        <w:rPr>
          <w:rFonts w:ascii="Arial" w:hAnsi="Arial" w:cs="Arial"/>
          <w:b/>
          <w:sz w:val="32"/>
          <w:szCs w:val="32"/>
          <w:lang w:val="en-GB"/>
        </w:rPr>
        <w:t>The impact of the consistency debate on increased accuracy and coordination within the national accounts and between the EU national accounts and balance of payments statistics</w:t>
      </w:r>
    </w:p>
    <w:p w:rsidR="00D0270E" w:rsidRPr="00E46BA4" w:rsidRDefault="00181DF3" w:rsidP="00C726EA">
      <w:pPr>
        <w:spacing w:after="0" w:line="360" w:lineRule="auto"/>
        <w:jc w:val="both"/>
        <w:rPr>
          <w:rFonts w:ascii="Arial" w:hAnsi="Arial" w:cs="Arial"/>
          <w:sz w:val="24"/>
          <w:szCs w:val="24"/>
          <w:lang w:val="it-IT"/>
        </w:rPr>
      </w:pPr>
      <w:r w:rsidRPr="00E46BA4">
        <w:rPr>
          <w:rFonts w:ascii="Arial" w:hAnsi="Arial" w:cs="Arial"/>
          <w:sz w:val="24"/>
          <w:szCs w:val="24"/>
          <w:lang w:val="it-IT"/>
        </w:rPr>
        <w:t>Robert Obrzut</w:t>
      </w:r>
      <w:r w:rsidR="000D705A" w:rsidRPr="00E46BA4">
        <w:rPr>
          <w:rFonts w:ascii="Arial" w:hAnsi="Arial" w:cs="Arial"/>
          <w:sz w:val="24"/>
          <w:szCs w:val="24"/>
          <w:lang w:val="it-IT"/>
        </w:rPr>
        <w:t xml:space="preserve">, </w:t>
      </w:r>
      <w:proofErr w:type="spellStart"/>
      <w:r w:rsidRPr="00E46BA4">
        <w:rPr>
          <w:rFonts w:ascii="Arial" w:hAnsi="Arial" w:cs="Arial"/>
          <w:sz w:val="24"/>
          <w:szCs w:val="24"/>
          <w:lang w:val="it-IT"/>
        </w:rPr>
        <w:t>Eurostat</w:t>
      </w:r>
      <w:proofErr w:type="spellEnd"/>
      <w:r w:rsidR="000D705A" w:rsidRPr="00E46BA4">
        <w:rPr>
          <w:rFonts w:ascii="Arial" w:hAnsi="Arial" w:cs="Arial"/>
          <w:sz w:val="24"/>
          <w:szCs w:val="24"/>
          <w:lang w:val="it-IT"/>
        </w:rPr>
        <w:t xml:space="preserve">, </w:t>
      </w:r>
      <w:hyperlink r:id="rId9" w:history="1">
        <w:r w:rsidRPr="00E46BA4">
          <w:rPr>
            <w:rStyle w:val="Hyperlink"/>
            <w:rFonts w:ascii="Arial" w:hAnsi="Arial" w:cs="Arial"/>
            <w:sz w:val="24"/>
            <w:szCs w:val="24"/>
            <w:lang w:val="it-IT"/>
          </w:rPr>
          <w:t>robert.obrzut@ec.europa.eu</w:t>
        </w:r>
      </w:hyperlink>
      <w:r w:rsidRPr="00E46BA4">
        <w:rPr>
          <w:rFonts w:ascii="Arial" w:hAnsi="Arial" w:cs="Arial"/>
          <w:sz w:val="24"/>
          <w:szCs w:val="24"/>
          <w:lang w:val="it-IT"/>
        </w:rPr>
        <w:t xml:space="preserve"> </w:t>
      </w:r>
    </w:p>
    <w:p w:rsidR="000D705A" w:rsidRPr="00181DF3" w:rsidRDefault="00181DF3" w:rsidP="00C726EA">
      <w:pPr>
        <w:spacing w:after="0" w:line="360" w:lineRule="auto"/>
        <w:jc w:val="both"/>
        <w:rPr>
          <w:rFonts w:ascii="Arial" w:hAnsi="Arial" w:cs="Arial"/>
          <w:sz w:val="24"/>
          <w:szCs w:val="24"/>
          <w:lang w:val="it-IT"/>
        </w:rPr>
      </w:pPr>
      <w:r w:rsidRPr="00181DF3">
        <w:rPr>
          <w:rFonts w:ascii="Arial" w:hAnsi="Arial" w:cs="Arial"/>
          <w:sz w:val="24"/>
          <w:szCs w:val="24"/>
          <w:lang w:val="it-IT"/>
        </w:rPr>
        <w:t xml:space="preserve">Francesca </w:t>
      </w:r>
      <w:proofErr w:type="spellStart"/>
      <w:r w:rsidRPr="00181DF3">
        <w:rPr>
          <w:rFonts w:ascii="Arial" w:hAnsi="Arial" w:cs="Arial"/>
          <w:sz w:val="24"/>
          <w:szCs w:val="24"/>
          <w:lang w:val="it-IT"/>
        </w:rPr>
        <w:t>Tartamella</w:t>
      </w:r>
      <w:proofErr w:type="spellEnd"/>
      <w:r w:rsidR="000D705A" w:rsidRPr="00181DF3">
        <w:rPr>
          <w:rFonts w:ascii="Arial" w:hAnsi="Arial" w:cs="Arial"/>
          <w:sz w:val="24"/>
          <w:szCs w:val="24"/>
          <w:lang w:val="it-IT"/>
        </w:rPr>
        <w:t xml:space="preserve">, </w:t>
      </w:r>
      <w:proofErr w:type="spellStart"/>
      <w:r w:rsidRPr="00181DF3">
        <w:rPr>
          <w:rFonts w:ascii="Arial" w:hAnsi="Arial" w:cs="Arial"/>
          <w:sz w:val="24"/>
          <w:szCs w:val="24"/>
          <w:lang w:val="it-IT"/>
        </w:rPr>
        <w:t>Eurostat</w:t>
      </w:r>
      <w:proofErr w:type="spellEnd"/>
      <w:r w:rsidR="000D705A" w:rsidRPr="00181DF3">
        <w:rPr>
          <w:rFonts w:ascii="Arial" w:hAnsi="Arial" w:cs="Arial"/>
          <w:sz w:val="24"/>
          <w:szCs w:val="24"/>
          <w:lang w:val="it-IT"/>
        </w:rPr>
        <w:t xml:space="preserve">, </w:t>
      </w:r>
      <w:hyperlink r:id="rId10" w:history="1">
        <w:r w:rsidRPr="008146C9">
          <w:rPr>
            <w:rStyle w:val="Hyperlink"/>
            <w:rFonts w:ascii="Arial" w:hAnsi="Arial" w:cs="Arial"/>
            <w:sz w:val="24"/>
            <w:szCs w:val="24"/>
            <w:lang w:val="it-IT"/>
          </w:rPr>
          <w:t>francesca.tartamella@ec.europa.eu</w:t>
        </w:r>
      </w:hyperlink>
      <w:r w:rsidRPr="00181DF3">
        <w:rPr>
          <w:rFonts w:ascii="Arial" w:hAnsi="Arial" w:cs="Arial"/>
          <w:sz w:val="24"/>
          <w:szCs w:val="24"/>
          <w:lang w:val="it-IT"/>
        </w:rPr>
        <w:t xml:space="preserve"> </w:t>
      </w:r>
    </w:p>
    <w:p w:rsidR="000D705A" w:rsidRPr="00E32FA8" w:rsidRDefault="000D705A" w:rsidP="00C726EA">
      <w:pPr>
        <w:spacing w:before="240" w:after="0" w:line="360" w:lineRule="auto"/>
        <w:jc w:val="both"/>
        <w:rPr>
          <w:rFonts w:ascii="Arial" w:hAnsi="Arial" w:cs="Arial"/>
          <w:b/>
          <w:sz w:val="20"/>
          <w:szCs w:val="20"/>
          <w:lang w:val="en-GB"/>
        </w:rPr>
      </w:pPr>
      <w:r w:rsidRPr="00E32FA8">
        <w:rPr>
          <w:rFonts w:ascii="Arial" w:hAnsi="Arial" w:cs="Arial"/>
          <w:b/>
          <w:sz w:val="20"/>
          <w:szCs w:val="20"/>
          <w:lang w:val="en-GB"/>
        </w:rPr>
        <w:t>Abstract</w:t>
      </w:r>
    </w:p>
    <w:p w:rsidR="000D705A" w:rsidRPr="00EC5F5A" w:rsidRDefault="00181DF3" w:rsidP="00181DF3">
      <w:pPr>
        <w:spacing w:after="0" w:line="240" w:lineRule="auto"/>
        <w:jc w:val="both"/>
        <w:rPr>
          <w:rFonts w:ascii="Arial" w:hAnsi="Arial" w:cs="Arial"/>
          <w:i/>
          <w:sz w:val="20"/>
          <w:szCs w:val="20"/>
          <w:lang w:val="en-GB"/>
        </w:rPr>
      </w:pPr>
      <w:r w:rsidRPr="00181DF3">
        <w:rPr>
          <w:rFonts w:ascii="Arial" w:hAnsi="Arial" w:cs="Arial"/>
          <w:i/>
          <w:sz w:val="20"/>
          <w:szCs w:val="20"/>
          <w:lang w:val="en-GB"/>
        </w:rPr>
        <w:t xml:space="preserve">In the international concept of data quality, accuracy and reliability </w:t>
      </w:r>
      <w:proofErr w:type="gramStart"/>
      <w:r w:rsidRPr="00181DF3">
        <w:rPr>
          <w:rFonts w:ascii="Arial" w:hAnsi="Arial" w:cs="Arial"/>
          <w:i/>
          <w:sz w:val="20"/>
          <w:szCs w:val="20"/>
          <w:lang w:val="en-GB"/>
        </w:rPr>
        <w:t>are</w:t>
      </w:r>
      <w:proofErr w:type="gramEnd"/>
      <w:r w:rsidRPr="00181DF3">
        <w:rPr>
          <w:rFonts w:ascii="Arial" w:hAnsi="Arial" w:cs="Arial"/>
          <w:i/>
          <w:sz w:val="20"/>
          <w:szCs w:val="20"/>
          <w:lang w:val="en-GB"/>
        </w:rPr>
        <w:t xml:space="preserve"> a major quality dimension. The quality assurance framework of the European Statistical System suggests in this context the critical assessment of data sources, statistical techniques and revision practices as well as the assessment and validation of intermediate data and statistical outputs. These point at underlying statistical compilation processes that involve the use of primary data sources and statistics in order to obtain a finalised statistical product. As a prominent example in macroeconomic statistics, the national accounts and balance of payments statistics complement each other in such a manner. This sequential concept, however, hardly reflects the realities of statistical compilation practices, where statistical products are often released in parallel, playing a role both as data source and final statistical product. It is argued that statistical compilation rather has to be perceived as a twinning process which is usually conducted by more than one compiling institution and obliges c</w:t>
      </w:r>
      <w:bookmarkStart w:id="0" w:name="_GoBack"/>
      <w:bookmarkEnd w:id="0"/>
      <w:r w:rsidRPr="00181DF3">
        <w:rPr>
          <w:rFonts w:ascii="Arial" w:hAnsi="Arial" w:cs="Arial"/>
          <w:i/>
          <w:sz w:val="20"/>
          <w:szCs w:val="20"/>
          <w:lang w:val="en-GB"/>
        </w:rPr>
        <w:t xml:space="preserve">ompilers to introduce only data sources and estimation practices which they can directly control for the sake of timeliness of their statistical products. In such situations a critical assessment as demanded by the international framework is conducted by each compiler autonomously. In the EU this has resulted in about </w:t>
      </w:r>
      <w:r w:rsidR="00CF00C8">
        <w:rPr>
          <w:rFonts w:ascii="Arial" w:hAnsi="Arial" w:cs="Arial"/>
          <w:i/>
          <w:sz w:val="20"/>
          <w:szCs w:val="20"/>
          <w:lang w:val="en-GB"/>
        </w:rPr>
        <w:t>half</w:t>
      </w:r>
      <w:r w:rsidRPr="00181DF3">
        <w:rPr>
          <w:rFonts w:ascii="Arial" w:hAnsi="Arial" w:cs="Arial"/>
          <w:i/>
          <w:sz w:val="20"/>
          <w:szCs w:val="20"/>
          <w:lang w:val="en-GB"/>
        </w:rPr>
        <w:t xml:space="preserve"> of its Member States still releasing national accounts and balance of payments statistics with either high or moderate inconsistencies due to the autonomous use of data sources and compilation practices, although the methodological standards would require full consistency.</w:t>
      </w:r>
      <w:r>
        <w:rPr>
          <w:rFonts w:ascii="Arial" w:hAnsi="Arial" w:cs="Arial"/>
          <w:i/>
          <w:sz w:val="20"/>
          <w:szCs w:val="20"/>
          <w:lang w:val="en-GB"/>
        </w:rPr>
        <w:t xml:space="preserve"> </w:t>
      </w:r>
      <w:r w:rsidRPr="00181DF3">
        <w:rPr>
          <w:rFonts w:ascii="Arial" w:hAnsi="Arial" w:cs="Arial"/>
          <w:i/>
          <w:sz w:val="20"/>
          <w:szCs w:val="20"/>
          <w:lang w:val="en-GB"/>
        </w:rPr>
        <w:t>Different deadlines in the transmission program and limited resources of national statistical institutes can lead to inconsistencies across tables also within the same domain (national accounts), even when the compilation is carried out by the same institution.</w:t>
      </w:r>
      <w:r w:rsidR="00021B2D">
        <w:rPr>
          <w:rFonts w:ascii="Arial" w:hAnsi="Arial" w:cs="Arial"/>
          <w:i/>
          <w:sz w:val="20"/>
          <w:szCs w:val="20"/>
          <w:lang w:val="en-GB"/>
        </w:rPr>
        <w:t xml:space="preserve"> </w:t>
      </w:r>
      <w:r w:rsidRPr="00181DF3">
        <w:rPr>
          <w:rFonts w:ascii="Arial" w:hAnsi="Arial" w:cs="Arial"/>
          <w:i/>
          <w:sz w:val="20"/>
          <w:szCs w:val="20"/>
          <w:lang w:val="en-GB"/>
        </w:rPr>
        <w:t>Sector accounts data should be consistently reflected in the other tables</w:t>
      </w:r>
      <w:r w:rsidR="00021B2D">
        <w:rPr>
          <w:rFonts w:ascii="Arial" w:hAnsi="Arial" w:cs="Arial"/>
          <w:i/>
          <w:sz w:val="20"/>
          <w:szCs w:val="20"/>
          <w:lang w:val="en-GB"/>
        </w:rPr>
        <w:t xml:space="preserve"> of the accounting framework</w:t>
      </w:r>
      <w:r w:rsidRPr="00181DF3">
        <w:rPr>
          <w:rFonts w:ascii="Arial" w:hAnsi="Arial" w:cs="Arial"/>
          <w:i/>
          <w:sz w:val="20"/>
          <w:szCs w:val="20"/>
          <w:lang w:val="en-GB"/>
        </w:rPr>
        <w:t>. But this is not always the case as relevant variables often show disturbing inconsistencies in both the annual and the quarterly tables.</w:t>
      </w:r>
      <w:r>
        <w:rPr>
          <w:rFonts w:ascii="Arial" w:hAnsi="Arial" w:cs="Arial"/>
          <w:i/>
          <w:sz w:val="20"/>
          <w:szCs w:val="20"/>
          <w:lang w:val="en-GB"/>
        </w:rPr>
        <w:t xml:space="preserve"> </w:t>
      </w:r>
      <w:r w:rsidRPr="00181DF3">
        <w:rPr>
          <w:rFonts w:ascii="Arial" w:hAnsi="Arial" w:cs="Arial"/>
          <w:i/>
          <w:sz w:val="20"/>
          <w:szCs w:val="20"/>
          <w:lang w:val="en-GB"/>
        </w:rPr>
        <w:t>This paper will combine data evidence about inconsistencies across the tables of national accounts and between the external accounts and balance of payments and concludes that there is a distinct need for increased coordination of the underlying compilation processes and their use of data sources at both national and international level. Although being criticised for being one-dimensional, it is argued that the consistency debate can effectively contribute towards higher levels of accuracy when broadly applied, by bringing up organisational issues related to the underlying compilation processes and emphasising the significant resource impact of coordination. As a consequence, consistency can be seen as a concrete step forward towards higher accuracy in statistics.</w:t>
      </w:r>
    </w:p>
    <w:p w:rsidR="00C726EA" w:rsidRPr="00EC5F5A" w:rsidRDefault="00C726EA" w:rsidP="00181DF3">
      <w:pPr>
        <w:spacing w:before="240" w:after="0" w:line="24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181DF3" w:rsidRPr="00181DF3">
        <w:rPr>
          <w:rFonts w:ascii="Arial" w:hAnsi="Arial" w:cs="Arial"/>
          <w:bCs/>
          <w:sz w:val="20"/>
          <w:szCs w:val="20"/>
          <w:lang w:val="en-GB"/>
        </w:rPr>
        <w:t>national accounts;</w:t>
      </w:r>
      <w:r w:rsidR="00181DF3" w:rsidRPr="00181DF3">
        <w:rPr>
          <w:rFonts w:ascii="Arial" w:hAnsi="Arial" w:cs="Arial"/>
          <w:sz w:val="20"/>
          <w:szCs w:val="20"/>
          <w:lang w:val="en-GB"/>
        </w:rPr>
        <w:t xml:space="preserve"> balance of payments; cross-domain consistency; international comparability</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 xml:space="preserve">1. </w:t>
      </w:r>
      <w:r w:rsidR="00181DF3">
        <w:rPr>
          <w:rFonts w:ascii="Arial" w:hAnsi="Arial" w:cs="Arial"/>
          <w:b/>
          <w:sz w:val="24"/>
          <w:szCs w:val="24"/>
          <w:lang w:val="en-GB"/>
        </w:rPr>
        <w:t>Introduction</w:t>
      </w:r>
    </w:p>
    <w:p w:rsidR="00E46BA4" w:rsidRDefault="00181DF3" w:rsidP="00181DF3">
      <w:pPr>
        <w:spacing w:before="360" w:after="0" w:line="360" w:lineRule="auto"/>
        <w:jc w:val="both"/>
        <w:rPr>
          <w:rFonts w:ascii="Arial" w:hAnsi="Arial" w:cs="Arial"/>
          <w:sz w:val="24"/>
          <w:szCs w:val="24"/>
          <w:lang w:val="en-GB"/>
        </w:rPr>
      </w:pPr>
      <w:r w:rsidRPr="00181DF3">
        <w:rPr>
          <w:rFonts w:ascii="Arial" w:hAnsi="Arial" w:cs="Arial"/>
          <w:sz w:val="24"/>
          <w:szCs w:val="24"/>
          <w:lang w:val="en-GB"/>
        </w:rPr>
        <w:t>In the Quality Assurance Framework of the European Statistical System (ESS)</w:t>
      </w:r>
      <w:r w:rsidRPr="00181DF3">
        <w:rPr>
          <w:rFonts w:ascii="Arial" w:hAnsi="Arial" w:cs="Arial"/>
          <w:sz w:val="24"/>
          <w:szCs w:val="24"/>
          <w:vertAlign w:val="superscript"/>
          <w:lang w:val="en-GB"/>
        </w:rPr>
        <w:footnoteReference w:id="1"/>
      </w:r>
      <w:r w:rsidRPr="00181DF3">
        <w:rPr>
          <w:rFonts w:ascii="Arial" w:hAnsi="Arial" w:cs="Arial"/>
          <w:sz w:val="24"/>
          <w:szCs w:val="24"/>
          <w:lang w:val="en-GB"/>
        </w:rPr>
        <w:t xml:space="preserve"> Coherence and Comparability is a prominent dimension in assessing the statistical output, and relates to the concept of statistical consistency. </w:t>
      </w:r>
      <w:r w:rsidR="00680C74">
        <w:rPr>
          <w:rFonts w:ascii="Arial" w:hAnsi="Arial" w:cs="Arial"/>
          <w:sz w:val="24"/>
          <w:szCs w:val="24"/>
          <w:lang w:val="en-GB"/>
        </w:rPr>
        <w:t>The</w:t>
      </w:r>
      <w:r w:rsidRPr="00181DF3">
        <w:rPr>
          <w:rFonts w:ascii="Arial" w:hAnsi="Arial" w:cs="Arial"/>
          <w:sz w:val="24"/>
          <w:szCs w:val="24"/>
          <w:lang w:val="en-GB"/>
        </w:rPr>
        <w:t xml:space="preserve"> European System of Accounts 2010 (ESA2010) and the Balance of Payments and International Investment Position Manual in its 6</w:t>
      </w:r>
      <w:r w:rsidRPr="00181DF3">
        <w:rPr>
          <w:rFonts w:ascii="Arial" w:hAnsi="Arial" w:cs="Arial"/>
          <w:sz w:val="24"/>
          <w:szCs w:val="24"/>
          <w:vertAlign w:val="superscript"/>
          <w:lang w:val="en-GB"/>
        </w:rPr>
        <w:t>th</w:t>
      </w:r>
      <w:r w:rsidRPr="00181DF3">
        <w:rPr>
          <w:rFonts w:ascii="Arial" w:hAnsi="Arial" w:cs="Arial"/>
          <w:sz w:val="24"/>
          <w:szCs w:val="24"/>
          <w:lang w:val="en-GB"/>
        </w:rPr>
        <w:t xml:space="preserve"> edition (BPM6) are the current methodological standards applied to the compilation of European National Accounts and Balance of Payments (BOP) statistics. They request a high degree of consistency between BOP and the external account of National Accounts (Rest-of-the-world account)</w:t>
      </w:r>
      <w:r w:rsidRPr="00181DF3">
        <w:rPr>
          <w:rFonts w:ascii="Arial" w:hAnsi="Arial" w:cs="Arial"/>
          <w:sz w:val="24"/>
          <w:szCs w:val="24"/>
          <w:vertAlign w:val="superscript"/>
          <w:lang w:val="en-GB"/>
        </w:rPr>
        <w:footnoteReference w:id="2"/>
      </w:r>
      <w:r w:rsidR="00E45CD8">
        <w:rPr>
          <w:rFonts w:ascii="Arial" w:hAnsi="Arial" w:cs="Arial"/>
          <w:sz w:val="24"/>
          <w:szCs w:val="24"/>
          <w:lang w:val="en-GB"/>
        </w:rPr>
        <w:t>. A</w:t>
      </w:r>
      <w:r w:rsidRPr="00181DF3">
        <w:rPr>
          <w:rFonts w:ascii="Arial" w:hAnsi="Arial" w:cs="Arial"/>
          <w:sz w:val="24"/>
          <w:szCs w:val="24"/>
          <w:lang w:val="en-GB"/>
        </w:rPr>
        <w:t>s a consequence the dimension of coherence and comparability has received more prominence in current quality analyses and reports than before</w:t>
      </w:r>
      <w:r w:rsidR="00E46BA4">
        <w:rPr>
          <w:rFonts w:ascii="Arial" w:hAnsi="Arial" w:cs="Arial"/>
          <w:sz w:val="24"/>
          <w:szCs w:val="24"/>
          <w:lang w:val="en-GB"/>
        </w:rPr>
        <w:t xml:space="preserve">, including the requirements on </w:t>
      </w:r>
      <w:r w:rsidRPr="00181DF3">
        <w:rPr>
          <w:rFonts w:ascii="Arial" w:hAnsi="Arial" w:cs="Arial"/>
          <w:sz w:val="24"/>
          <w:szCs w:val="24"/>
          <w:lang w:val="en-GB"/>
        </w:rPr>
        <w:t xml:space="preserve">cross-domain/cross-table </w:t>
      </w:r>
      <w:r w:rsidR="00E46BA4">
        <w:rPr>
          <w:rFonts w:ascii="Arial" w:hAnsi="Arial" w:cs="Arial"/>
          <w:sz w:val="24"/>
          <w:szCs w:val="24"/>
          <w:lang w:val="en-GB"/>
        </w:rPr>
        <w:t xml:space="preserve">consistency </w:t>
      </w:r>
      <w:r w:rsidRPr="00181DF3">
        <w:rPr>
          <w:rFonts w:ascii="Arial" w:hAnsi="Arial" w:cs="Arial"/>
          <w:sz w:val="24"/>
          <w:szCs w:val="24"/>
          <w:lang w:val="en-GB"/>
        </w:rPr>
        <w:t>in the National Accounts</w:t>
      </w:r>
      <w:r w:rsidR="00923AB0">
        <w:rPr>
          <w:rFonts w:ascii="Arial" w:hAnsi="Arial" w:cs="Arial"/>
          <w:sz w:val="24"/>
          <w:szCs w:val="24"/>
          <w:lang w:val="en-GB"/>
        </w:rPr>
        <w:t xml:space="preserve"> (NA)</w:t>
      </w:r>
      <w:r w:rsidR="00E46BA4">
        <w:rPr>
          <w:rFonts w:ascii="Arial" w:hAnsi="Arial" w:cs="Arial"/>
          <w:sz w:val="24"/>
          <w:szCs w:val="24"/>
          <w:lang w:val="en-GB"/>
        </w:rPr>
        <w:t>. Altogether th</w:t>
      </w:r>
      <w:r w:rsidR="00917992">
        <w:rPr>
          <w:rFonts w:ascii="Arial" w:hAnsi="Arial" w:cs="Arial"/>
          <w:sz w:val="24"/>
          <w:szCs w:val="24"/>
          <w:lang w:val="en-GB"/>
        </w:rPr>
        <w:t>e statistical standards</w:t>
      </w:r>
      <w:r w:rsidR="00E46BA4">
        <w:rPr>
          <w:rFonts w:ascii="Arial" w:hAnsi="Arial" w:cs="Arial"/>
          <w:sz w:val="24"/>
          <w:szCs w:val="24"/>
          <w:lang w:val="en-GB"/>
        </w:rPr>
        <w:t xml:space="preserve"> emphasise </w:t>
      </w:r>
      <w:r w:rsidR="00680C74">
        <w:rPr>
          <w:rFonts w:ascii="Arial" w:hAnsi="Arial" w:cs="Arial"/>
          <w:sz w:val="24"/>
          <w:szCs w:val="24"/>
          <w:lang w:val="en-GB"/>
        </w:rPr>
        <w:t xml:space="preserve">the </w:t>
      </w:r>
      <w:r w:rsidRPr="00181DF3">
        <w:rPr>
          <w:rFonts w:ascii="Arial" w:hAnsi="Arial" w:cs="Arial"/>
          <w:sz w:val="24"/>
          <w:szCs w:val="24"/>
          <w:lang w:val="en-GB"/>
        </w:rPr>
        <w:t xml:space="preserve">integrated nature of the accounts </w:t>
      </w:r>
      <w:r w:rsidR="00E66108">
        <w:rPr>
          <w:rFonts w:ascii="Arial" w:hAnsi="Arial" w:cs="Arial"/>
          <w:sz w:val="24"/>
          <w:szCs w:val="24"/>
          <w:lang w:val="en-GB"/>
        </w:rPr>
        <w:t xml:space="preserve">with a significant impact on </w:t>
      </w:r>
      <w:r w:rsidR="00EC64F1">
        <w:rPr>
          <w:rFonts w:ascii="Arial" w:hAnsi="Arial" w:cs="Arial"/>
          <w:sz w:val="24"/>
          <w:szCs w:val="24"/>
          <w:lang w:val="en-GB"/>
        </w:rPr>
        <w:t>the underlying compilation processes</w:t>
      </w:r>
      <w:r w:rsidR="00E46BA4">
        <w:rPr>
          <w:rFonts w:ascii="Arial" w:hAnsi="Arial" w:cs="Arial"/>
          <w:sz w:val="24"/>
          <w:szCs w:val="24"/>
          <w:lang w:val="en-GB"/>
        </w:rPr>
        <w:t>.</w:t>
      </w:r>
    </w:p>
    <w:p w:rsidR="00D0258C" w:rsidRPr="0028150C" w:rsidRDefault="00D0258C" w:rsidP="00181DF3">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4B5CD4">
        <w:rPr>
          <w:rFonts w:ascii="Arial" w:hAnsi="Arial" w:cs="Arial"/>
          <w:b/>
          <w:sz w:val="24"/>
          <w:szCs w:val="24"/>
          <w:lang w:val="en-GB"/>
        </w:rPr>
        <w:t>Basic concepts and dimensions of consistency</w:t>
      </w:r>
    </w:p>
    <w:p w:rsidR="004B5CD4" w:rsidRDefault="004B5CD4" w:rsidP="003A1D16">
      <w:pPr>
        <w:spacing w:before="120" w:after="0" w:line="360" w:lineRule="auto"/>
        <w:jc w:val="both"/>
        <w:rPr>
          <w:rFonts w:ascii="Arial" w:hAnsi="Arial" w:cs="Arial"/>
          <w:sz w:val="24"/>
          <w:szCs w:val="24"/>
          <w:lang w:val="en-GB"/>
        </w:rPr>
      </w:pPr>
      <w:r w:rsidRPr="004B5CD4">
        <w:rPr>
          <w:rFonts w:ascii="Arial" w:hAnsi="Arial" w:cs="Arial"/>
          <w:sz w:val="24"/>
          <w:szCs w:val="24"/>
          <w:lang w:val="en-GB"/>
        </w:rPr>
        <w:t>This analysis covers both elements of different but related statistics (</w:t>
      </w:r>
      <w:r w:rsidR="00923AB0">
        <w:rPr>
          <w:rFonts w:ascii="Arial" w:hAnsi="Arial" w:cs="Arial"/>
          <w:sz w:val="24"/>
          <w:szCs w:val="24"/>
          <w:lang w:val="en-GB"/>
        </w:rPr>
        <w:t>NA</w:t>
      </w:r>
      <w:r w:rsidRPr="004B5CD4">
        <w:rPr>
          <w:rFonts w:ascii="Arial" w:hAnsi="Arial" w:cs="Arial"/>
          <w:sz w:val="24"/>
          <w:szCs w:val="24"/>
          <w:lang w:val="en-GB"/>
        </w:rPr>
        <w:t xml:space="preserve"> and BOP statistics) and selected tables of the </w:t>
      </w:r>
      <w:r w:rsidR="00923AB0">
        <w:rPr>
          <w:rFonts w:ascii="Arial" w:hAnsi="Arial" w:cs="Arial"/>
          <w:sz w:val="24"/>
          <w:szCs w:val="24"/>
          <w:lang w:val="en-GB"/>
        </w:rPr>
        <w:t>NA</w:t>
      </w:r>
      <w:r w:rsidRPr="004B5CD4">
        <w:rPr>
          <w:rFonts w:ascii="Arial" w:hAnsi="Arial" w:cs="Arial"/>
          <w:sz w:val="24"/>
          <w:szCs w:val="24"/>
          <w:lang w:val="en-GB"/>
        </w:rPr>
        <w:t xml:space="preserve"> accounting framework (</w:t>
      </w:r>
      <w:r w:rsidR="00923AB0">
        <w:rPr>
          <w:rFonts w:ascii="Arial" w:hAnsi="Arial" w:cs="Arial"/>
          <w:sz w:val="24"/>
          <w:szCs w:val="24"/>
          <w:lang w:val="en-GB"/>
        </w:rPr>
        <w:t xml:space="preserve">NA </w:t>
      </w:r>
      <w:r w:rsidRPr="004B5CD4">
        <w:rPr>
          <w:rFonts w:ascii="Arial" w:hAnsi="Arial" w:cs="Arial"/>
          <w:sz w:val="24"/>
          <w:szCs w:val="24"/>
          <w:lang w:val="en-GB"/>
        </w:rPr>
        <w:t>tables/domains). While the three domains of main aggregates, sector accounts and government finance statistics</w:t>
      </w:r>
      <w:r w:rsidR="00923AB0">
        <w:rPr>
          <w:rFonts w:ascii="Arial" w:hAnsi="Arial" w:cs="Arial"/>
          <w:sz w:val="24"/>
          <w:szCs w:val="24"/>
          <w:lang w:val="en-GB"/>
        </w:rPr>
        <w:t xml:space="preserve"> (GFS)</w:t>
      </w:r>
      <w:r w:rsidRPr="004B5CD4">
        <w:rPr>
          <w:rFonts w:ascii="Arial" w:hAnsi="Arial" w:cs="Arial"/>
          <w:sz w:val="24"/>
          <w:szCs w:val="24"/>
          <w:lang w:val="en-GB"/>
        </w:rPr>
        <w:t xml:space="preserve"> are directly related to the same accounting framework and its transmission programme</w:t>
      </w:r>
      <w:r w:rsidRPr="004B5CD4">
        <w:rPr>
          <w:rFonts w:ascii="Arial" w:hAnsi="Arial" w:cs="Arial"/>
          <w:sz w:val="24"/>
          <w:szCs w:val="24"/>
          <w:vertAlign w:val="superscript"/>
          <w:lang w:val="en-GB"/>
        </w:rPr>
        <w:footnoteReference w:id="3"/>
      </w:r>
      <w:r w:rsidRPr="004B5CD4">
        <w:rPr>
          <w:rFonts w:ascii="Arial" w:hAnsi="Arial" w:cs="Arial"/>
          <w:sz w:val="24"/>
          <w:szCs w:val="24"/>
          <w:lang w:val="en-GB"/>
        </w:rPr>
        <w:t>, BOP statistics is a separate domain, although with a high degree of methodological consistency to</w:t>
      </w:r>
      <w:r w:rsidR="004961DB">
        <w:rPr>
          <w:rFonts w:ascii="Arial" w:hAnsi="Arial" w:cs="Arial"/>
          <w:sz w:val="24"/>
          <w:szCs w:val="24"/>
          <w:lang w:val="en-GB"/>
        </w:rPr>
        <w:t xml:space="preserve"> the</w:t>
      </w:r>
      <w:r w:rsidRPr="004B5CD4">
        <w:rPr>
          <w:rFonts w:ascii="Arial" w:hAnsi="Arial" w:cs="Arial"/>
          <w:sz w:val="24"/>
          <w:szCs w:val="24"/>
          <w:lang w:val="en-GB"/>
        </w:rPr>
        <w:t xml:space="preserve"> NA. The </w:t>
      </w:r>
      <w:r w:rsidR="00923AB0">
        <w:rPr>
          <w:rFonts w:ascii="Arial" w:hAnsi="Arial" w:cs="Arial"/>
          <w:sz w:val="24"/>
          <w:szCs w:val="24"/>
          <w:lang w:val="en-GB"/>
        </w:rPr>
        <w:t>understanding</w:t>
      </w:r>
      <w:r w:rsidRPr="004B5CD4">
        <w:rPr>
          <w:rFonts w:ascii="Arial" w:hAnsi="Arial" w:cs="Arial"/>
          <w:sz w:val="24"/>
          <w:szCs w:val="24"/>
          <w:lang w:val="en-GB"/>
        </w:rPr>
        <w:t xml:space="preserve"> that BOP statistics respects its own accounting framework and statistical purposes (although with comparable results to </w:t>
      </w:r>
      <w:r w:rsidR="00923AB0">
        <w:rPr>
          <w:rFonts w:ascii="Arial" w:hAnsi="Arial" w:cs="Arial"/>
          <w:sz w:val="24"/>
          <w:szCs w:val="24"/>
          <w:lang w:val="en-GB"/>
        </w:rPr>
        <w:t>NA</w:t>
      </w:r>
      <w:r w:rsidRPr="004B5CD4">
        <w:rPr>
          <w:rFonts w:ascii="Arial" w:hAnsi="Arial" w:cs="Arial"/>
          <w:sz w:val="24"/>
          <w:szCs w:val="24"/>
          <w:lang w:val="en-GB"/>
        </w:rPr>
        <w:t xml:space="preserve">) has </w:t>
      </w:r>
      <w:r w:rsidR="004E6CC6">
        <w:rPr>
          <w:rFonts w:ascii="Arial" w:hAnsi="Arial" w:cs="Arial"/>
          <w:sz w:val="24"/>
          <w:szCs w:val="24"/>
          <w:lang w:val="en-GB"/>
        </w:rPr>
        <w:t>fostered</w:t>
      </w:r>
      <w:r w:rsidRPr="004B5CD4">
        <w:rPr>
          <w:rFonts w:ascii="Arial" w:hAnsi="Arial" w:cs="Arial"/>
          <w:sz w:val="24"/>
          <w:szCs w:val="24"/>
          <w:lang w:val="en-GB"/>
        </w:rPr>
        <w:t xml:space="preserve"> different</w:t>
      </w:r>
      <w:r w:rsidR="00ED5F6B">
        <w:rPr>
          <w:rFonts w:ascii="Arial" w:hAnsi="Arial" w:cs="Arial"/>
          <w:sz w:val="24"/>
          <w:szCs w:val="24"/>
          <w:lang w:val="en-GB"/>
        </w:rPr>
        <w:t xml:space="preserve"> and partly historically grown</w:t>
      </w:r>
      <w:r w:rsidR="004E6CC6">
        <w:rPr>
          <w:rFonts w:ascii="Arial" w:hAnsi="Arial" w:cs="Arial"/>
          <w:sz w:val="24"/>
          <w:szCs w:val="24"/>
          <w:lang w:val="en-GB"/>
        </w:rPr>
        <w:t xml:space="preserve"> autonomous </w:t>
      </w:r>
      <w:r w:rsidR="00923AB0">
        <w:rPr>
          <w:rFonts w:ascii="Arial" w:hAnsi="Arial" w:cs="Arial"/>
          <w:sz w:val="24"/>
          <w:szCs w:val="24"/>
          <w:lang w:val="en-GB"/>
        </w:rPr>
        <w:t>compil</w:t>
      </w:r>
      <w:r w:rsidR="00371553">
        <w:rPr>
          <w:rFonts w:ascii="Arial" w:hAnsi="Arial" w:cs="Arial"/>
          <w:sz w:val="24"/>
          <w:szCs w:val="24"/>
          <w:lang w:val="en-GB"/>
        </w:rPr>
        <w:t>ation</w:t>
      </w:r>
      <w:r w:rsidR="00923AB0">
        <w:rPr>
          <w:rFonts w:ascii="Arial" w:hAnsi="Arial" w:cs="Arial"/>
          <w:sz w:val="24"/>
          <w:szCs w:val="24"/>
          <w:lang w:val="en-GB"/>
        </w:rPr>
        <w:t xml:space="preserve"> </w:t>
      </w:r>
      <w:r w:rsidRPr="004B5CD4">
        <w:rPr>
          <w:rFonts w:ascii="Arial" w:hAnsi="Arial" w:cs="Arial"/>
          <w:sz w:val="24"/>
          <w:szCs w:val="24"/>
          <w:lang w:val="en-GB"/>
        </w:rPr>
        <w:t>approaches</w:t>
      </w:r>
      <w:r w:rsidR="00A95AD9">
        <w:rPr>
          <w:rFonts w:ascii="Arial" w:hAnsi="Arial" w:cs="Arial"/>
          <w:sz w:val="24"/>
          <w:szCs w:val="24"/>
          <w:lang w:val="en-GB"/>
        </w:rPr>
        <w:t xml:space="preserve">. </w:t>
      </w:r>
      <w:r w:rsidR="004961DB">
        <w:rPr>
          <w:rFonts w:ascii="Arial" w:hAnsi="Arial" w:cs="Arial"/>
          <w:sz w:val="24"/>
          <w:szCs w:val="24"/>
          <w:lang w:val="en-GB"/>
        </w:rPr>
        <w:t>T</w:t>
      </w:r>
      <w:r w:rsidR="00923AB0" w:rsidRPr="00D564C9">
        <w:rPr>
          <w:rFonts w:ascii="Arial" w:hAnsi="Arial" w:cs="Arial"/>
          <w:sz w:val="24"/>
          <w:szCs w:val="24"/>
          <w:lang w:val="en-GB"/>
        </w:rPr>
        <w:t xml:space="preserve">he guiding principle </w:t>
      </w:r>
      <w:r w:rsidR="004961DB">
        <w:rPr>
          <w:rFonts w:ascii="Arial" w:hAnsi="Arial" w:cs="Arial"/>
          <w:sz w:val="24"/>
          <w:szCs w:val="24"/>
          <w:lang w:val="en-GB"/>
        </w:rPr>
        <w:t>is</w:t>
      </w:r>
      <w:r w:rsidR="00923AB0" w:rsidRPr="00D564C9">
        <w:rPr>
          <w:rFonts w:ascii="Arial" w:hAnsi="Arial" w:cs="Arial"/>
          <w:sz w:val="24"/>
          <w:szCs w:val="24"/>
          <w:lang w:val="en-GB"/>
        </w:rPr>
        <w:t xml:space="preserve"> </w:t>
      </w:r>
      <w:r w:rsidR="00ED5F6B">
        <w:rPr>
          <w:rFonts w:ascii="Arial" w:hAnsi="Arial" w:cs="Arial"/>
          <w:sz w:val="24"/>
          <w:szCs w:val="24"/>
          <w:lang w:val="en-GB"/>
        </w:rPr>
        <w:t xml:space="preserve">however </w:t>
      </w:r>
      <w:r w:rsidR="00923AB0" w:rsidRPr="00D564C9">
        <w:rPr>
          <w:rFonts w:ascii="Arial" w:hAnsi="Arial" w:cs="Arial"/>
          <w:sz w:val="24"/>
          <w:szCs w:val="24"/>
          <w:lang w:val="en-GB"/>
        </w:rPr>
        <w:t xml:space="preserve">the comparability of 5 data dimensions involving the respective domains, where the sector accounts firm as the “anchor” for the comparison due to elements </w:t>
      </w:r>
      <w:r w:rsidR="004961DB">
        <w:rPr>
          <w:rFonts w:ascii="Arial" w:hAnsi="Arial" w:cs="Arial"/>
          <w:sz w:val="24"/>
          <w:szCs w:val="24"/>
          <w:lang w:val="en-GB"/>
        </w:rPr>
        <w:t xml:space="preserve">being reflected in </w:t>
      </w:r>
      <w:r w:rsidR="00923AB0" w:rsidRPr="00D564C9">
        <w:rPr>
          <w:rFonts w:ascii="Arial" w:hAnsi="Arial" w:cs="Arial"/>
          <w:sz w:val="24"/>
          <w:szCs w:val="24"/>
          <w:lang w:val="en-GB"/>
        </w:rPr>
        <w:t>all other domains</w:t>
      </w:r>
      <w:r w:rsidR="00923AB0">
        <w:rPr>
          <w:rFonts w:ascii="Arial" w:hAnsi="Arial" w:cs="Arial"/>
          <w:sz w:val="24"/>
          <w:szCs w:val="24"/>
          <w:lang w:val="en-GB"/>
        </w:rPr>
        <w:t xml:space="preserve"> – the external aspect of </w:t>
      </w:r>
      <w:r w:rsidR="007512FD">
        <w:rPr>
          <w:rFonts w:ascii="Arial" w:hAnsi="Arial" w:cs="Arial"/>
          <w:sz w:val="24"/>
          <w:szCs w:val="24"/>
          <w:lang w:val="en-GB"/>
        </w:rPr>
        <w:t xml:space="preserve">the </w:t>
      </w:r>
      <w:r w:rsidR="00923AB0">
        <w:rPr>
          <w:rFonts w:ascii="Arial" w:hAnsi="Arial" w:cs="Arial"/>
          <w:sz w:val="24"/>
          <w:szCs w:val="24"/>
          <w:lang w:val="en-GB"/>
        </w:rPr>
        <w:t xml:space="preserve">sector accounts (ROW </w:t>
      </w:r>
      <w:r w:rsidR="00923AB0">
        <w:rPr>
          <w:rFonts w:ascii="Arial" w:hAnsi="Arial" w:cs="Arial"/>
          <w:sz w:val="24"/>
          <w:szCs w:val="24"/>
          <w:lang w:val="en-GB"/>
        </w:rPr>
        <w:lastRenderedPageBreak/>
        <w:t>sector) against BOP</w:t>
      </w:r>
      <w:r w:rsidR="00ED5F6B">
        <w:rPr>
          <w:rStyle w:val="FootnoteReference"/>
          <w:rFonts w:ascii="Arial" w:hAnsi="Arial" w:cs="Arial"/>
          <w:sz w:val="24"/>
          <w:szCs w:val="24"/>
          <w:lang w:val="en-GB"/>
        </w:rPr>
        <w:footnoteReference w:id="4"/>
      </w:r>
      <w:r w:rsidR="00923AB0">
        <w:rPr>
          <w:rFonts w:ascii="Arial" w:hAnsi="Arial" w:cs="Arial"/>
          <w:sz w:val="24"/>
          <w:szCs w:val="24"/>
          <w:lang w:val="en-GB"/>
        </w:rPr>
        <w:t xml:space="preserve">, and the internal aspect of </w:t>
      </w:r>
      <w:r w:rsidR="007512FD">
        <w:rPr>
          <w:rFonts w:ascii="Arial" w:hAnsi="Arial" w:cs="Arial"/>
          <w:sz w:val="24"/>
          <w:szCs w:val="24"/>
          <w:lang w:val="en-GB"/>
        </w:rPr>
        <w:t xml:space="preserve">the </w:t>
      </w:r>
      <w:r w:rsidR="00923AB0">
        <w:rPr>
          <w:rFonts w:ascii="Arial" w:hAnsi="Arial" w:cs="Arial"/>
          <w:sz w:val="24"/>
          <w:szCs w:val="24"/>
          <w:lang w:val="en-GB"/>
        </w:rPr>
        <w:t xml:space="preserve">sector accounts against </w:t>
      </w:r>
      <w:r w:rsidR="00ED5F6B">
        <w:rPr>
          <w:rFonts w:ascii="Arial" w:hAnsi="Arial" w:cs="Arial"/>
          <w:sz w:val="24"/>
          <w:szCs w:val="24"/>
          <w:lang w:val="en-GB"/>
        </w:rPr>
        <w:t xml:space="preserve">the </w:t>
      </w:r>
      <w:r w:rsidR="00923AB0">
        <w:rPr>
          <w:rFonts w:ascii="Arial" w:hAnsi="Arial" w:cs="Arial"/>
          <w:sz w:val="24"/>
          <w:szCs w:val="24"/>
          <w:lang w:val="en-GB"/>
        </w:rPr>
        <w:t>NA main aggregates</w:t>
      </w:r>
      <w:r w:rsidR="004961DB">
        <w:rPr>
          <w:rFonts w:ascii="Arial" w:hAnsi="Arial" w:cs="Arial"/>
          <w:sz w:val="24"/>
          <w:szCs w:val="24"/>
          <w:lang w:val="en-GB"/>
        </w:rPr>
        <w:t xml:space="preserve"> </w:t>
      </w:r>
      <w:r w:rsidR="00923AB0">
        <w:rPr>
          <w:rFonts w:ascii="Arial" w:hAnsi="Arial" w:cs="Arial"/>
          <w:sz w:val="24"/>
          <w:szCs w:val="24"/>
          <w:lang w:val="en-GB"/>
        </w:rPr>
        <w:t>and GFS</w:t>
      </w:r>
      <w:r w:rsidR="00923AB0">
        <w:rPr>
          <w:rStyle w:val="FootnoteReference"/>
          <w:rFonts w:ascii="Arial" w:hAnsi="Arial" w:cs="Arial"/>
          <w:sz w:val="24"/>
          <w:szCs w:val="24"/>
          <w:lang w:val="en-GB"/>
        </w:rPr>
        <w:footnoteReference w:id="5"/>
      </w:r>
      <w:r w:rsidR="00923AB0">
        <w:rPr>
          <w:rFonts w:ascii="Arial" w:hAnsi="Arial" w:cs="Arial"/>
          <w:sz w:val="24"/>
          <w:szCs w:val="24"/>
          <w:lang w:val="en-GB"/>
        </w:rPr>
        <w:t>.</w:t>
      </w:r>
    </w:p>
    <w:p w:rsidR="004B5CD4" w:rsidRPr="00EC5F5A" w:rsidRDefault="004B5CD4" w:rsidP="004B5CD4">
      <w:pPr>
        <w:pStyle w:val="Caption"/>
        <w:keepNext/>
        <w:jc w:val="both"/>
        <w:rPr>
          <w:rFonts w:ascii="Arial" w:hAnsi="Arial" w:cs="Arial"/>
          <w:b/>
          <w:i w:val="0"/>
          <w:color w:val="auto"/>
          <w:sz w:val="20"/>
          <w:szCs w:val="20"/>
          <w:lang w:val="en-GB"/>
        </w:rPr>
      </w:pPr>
      <w:proofErr w:type="gramStart"/>
      <w:r w:rsidRPr="00EC5F5A">
        <w:rPr>
          <w:rFonts w:ascii="Arial" w:hAnsi="Arial" w:cs="Arial"/>
          <w:b/>
          <w:i w:val="0"/>
          <w:color w:val="auto"/>
          <w:sz w:val="20"/>
          <w:szCs w:val="20"/>
          <w:lang w:val="en-GB"/>
        </w:rPr>
        <w:t xml:space="preserve">Figure </w:t>
      </w:r>
      <w:r w:rsidRPr="00BF6DBC">
        <w:rPr>
          <w:rFonts w:ascii="Arial" w:hAnsi="Arial" w:cs="Arial"/>
          <w:b/>
          <w:i w:val="0"/>
          <w:color w:val="auto"/>
          <w:sz w:val="20"/>
          <w:szCs w:val="20"/>
          <w:lang w:val="en-GB"/>
        </w:rPr>
        <w:fldChar w:fldCharType="begin"/>
      </w:r>
      <w:r w:rsidRPr="00EC5F5A">
        <w:rPr>
          <w:rFonts w:ascii="Arial" w:hAnsi="Arial" w:cs="Arial"/>
          <w:b/>
          <w:i w:val="0"/>
          <w:color w:val="auto"/>
          <w:sz w:val="20"/>
          <w:szCs w:val="20"/>
          <w:lang w:val="en-GB"/>
        </w:rPr>
        <w:instrText xml:space="preserve"> SEQ Figure \* ARABIC </w:instrText>
      </w:r>
      <w:r w:rsidRPr="00BF6DBC">
        <w:rPr>
          <w:rFonts w:ascii="Arial" w:hAnsi="Arial" w:cs="Arial"/>
          <w:b/>
          <w:i w:val="0"/>
          <w:color w:val="auto"/>
          <w:sz w:val="20"/>
          <w:szCs w:val="20"/>
          <w:lang w:val="en-GB"/>
        </w:rPr>
        <w:fldChar w:fldCharType="separate"/>
      </w:r>
      <w:r w:rsidR="003B282C">
        <w:rPr>
          <w:rFonts w:ascii="Arial" w:hAnsi="Arial" w:cs="Arial"/>
          <w:b/>
          <w:i w:val="0"/>
          <w:noProof/>
          <w:color w:val="auto"/>
          <w:sz w:val="20"/>
          <w:szCs w:val="20"/>
          <w:lang w:val="en-GB"/>
        </w:rPr>
        <w:t>1</w:t>
      </w:r>
      <w:r w:rsidRPr="00BF6DBC">
        <w:rPr>
          <w:rFonts w:ascii="Arial" w:hAnsi="Arial" w:cs="Arial"/>
          <w:b/>
          <w:i w:val="0"/>
          <w:color w:val="auto"/>
          <w:sz w:val="20"/>
          <w:szCs w:val="20"/>
          <w:lang w:val="en-GB"/>
        </w:rPr>
        <w:fldChar w:fldCharType="end"/>
      </w:r>
      <w:r w:rsidRPr="00EC5F5A">
        <w:rPr>
          <w:rFonts w:ascii="Arial" w:hAnsi="Arial" w:cs="Arial"/>
          <w:b/>
          <w:i w:val="0"/>
          <w:color w:val="auto"/>
          <w:sz w:val="20"/>
          <w:szCs w:val="20"/>
          <w:lang w:val="en-GB"/>
        </w:rPr>
        <w:t>.</w:t>
      </w:r>
      <w:proofErr w:type="gramEnd"/>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Dimensions of consistency</w:t>
      </w:r>
    </w:p>
    <w:p w:rsidR="004B5CD4" w:rsidRPr="00EC5F5A" w:rsidRDefault="00D564C9" w:rsidP="004B5CD4">
      <w:pPr>
        <w:rPr>
          <w:lang w:val="en-GB"/>
        </w:rPr>
      </w:pPr>
      <w:r>
        <w:rPr>
          <w:noProof/>
          <w:lang w:val="en-GB" w:eastAsia="en-GB"/>
        </w:rPr>
        <w:drawing>
          <wp:inline distT="0" distB="0" distL="0" distR="0" wp14:anchorId="09B5DDB6" wp14:editId="210735DB">
            <wp:extent cx="5753819" cy="270006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8658" cy="2702339"/>
                    </a:xfrm>
                    <a:prstGeom prst="rect">
                      <a:avLst/>
                    </a:prstGeom>
                    <a:noFill/>
                  </pic:spPr>
                </pic:pic>
              </a:graphicData>
            </a:graphic>
          </wp:inline>
        </w:drawing>
      </w:r>
    </w:p>
    <w:p w:rsidR="004B5CD4" w:rsidRPr="00F0585F" w:rsidRDefault="00D564C9" w:rsidP="00D564C9">
      <w:pPr>
        <w:spacing w:after="0" w:line="240" w:lineRule="auto"/>
        <w:ind w:left="851"/>
        <w:jc w:val="both"/>
        <w:rPr>
          <w:rFonts w:ascii="Arial" w:hAnsi="Arial" w:cs="Arial"/>
          <w:sz w:val="20"/>
          <w:szCs w:val="20"/>
          <w:lang w:val="en-GB"/>
        </w:rPr>
      </w:pPr>
      <w:r w:rsidRPr="00F0585F">
        <w:rPr>
          <w:rFonts w:ascii="Arial" w:hAnsi="Arial" w:cs="Arial"/>
          <w:sz w:val="20"/>
          <w:szCs w:val="20"/>
          <w:lang w:val="en-GB"/>
        </w:rPr>
        <w:t>Note: GDP=Gross Domestic Product at market prices; B9=Net lending/Net borrowing of the non-financial accounts; B9F=net lending/net borrowing of the financial accounts; S.1=total sectors; S.13=General Government sector; S.2=ROW sector.</w:t>
      </w:r>
    </w:p>
    <w:p w:rsidR="00D564C9" w:rsidRPr="00D564C9" w:rsidRDefault="00D564C9" w:rsidP="00D564C9">
      <w:pPr>
        <w:spacing w:before="120" w:after="0" w:line="360" w:lineRule="auto"/>
        <w:jc w:val="both"/>
        <w:rPr>
          <w:rFonts w:ascii="Arial" w:hAnsi="Arial" w:cs="Arial"/>
          <w:sz w:val="24"/>
          <w:szCs w:val="24"/>
          <w:lang w:val="en-GB"/>
        </w:rPr>
      </w:pPr>
      <w:r w:rsidRPr="00D564C9">
        <w:rPr>
          <w:rFonts w:ascii="Arial" w:hAnsi="Arial" w:cs="Arial"/>
          <w:sz w:val="24"/>
          <w:szCs w:val="24"/>
          <w:lang w:val="en-GB"/>
        </w:rPr>
        <w:t xml:space="preserve">GDP and B9/B9F are indicators at the most aggregate level, which are positioned in the centre of public interest and policy analysis. Any inconsistencies occurring to </w:t>
      </w:r>
      <w:r w:rsidR="004961DB">
        <w:rPr>
          <w:rFonts w:ascii="Arial" w:hAnsi="Arial" w:cs="Arial"/>
          <w:sz w:val="24"/>
          <w:szCs w:val="24"/>
          <w:lang w:val="en-GB"/>
        </w:rPr>
        <w:t>them</w:t>
      </w:r>
      <w:r w:rsidRPr="00D564C9">
        <w:rPr>
          <w:rFonts w:ascii="Arial" w:hAnsi="Arial" w:cs="Arial"/>
          <w:sz w:val="24"/>
          <w:szCs w:val="24"/>
          <w:lang w:val="en-GB"/>
        </w:rPr>
        <w:t xml:space="preserve"> could considerably challenge the public view on reliability of these measures. </w:t>
      </w:r>
    </w:p>
    <w:p w:rsidR="00CB2B44" w:rsidRPr="00EC5F5A"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D564C9">
        <w:rPr>
          <w:rFonts w:ascii="Arial" w:hAnsi="Arial" w:cs="Arial"/>
          <w:b/>
          <w:sz w:val="24"/>
          <w:szCs w:val="24"/>
          <w:lang w:val="en-GB"/>
        </w:rPr>
        <w:t xml:space="preserve">The overall picture </w:t>
      </w:r>
      <w:r w:rsidR="00923AB0">
        <w:rPr>
          <w:rFonts w:ascii="Arial" w:hAnsi="Arial" w:cs="Arial"/>
          <w:b/>
          <w:sz w:val="24"/>
          <w:szCs w:val="24"/>
          <w:lang w:val="en-GB"/>
        </w:rPr>
        <w:t>– a synoptic view on the accounts</w:t>
      </w:r>
    </w:p>
    <w:p w:rsidR="00D564C9" w:rsidRPr="00D564C9" w:rsidRDefault="00E81A62" w:rsidP="00D564C9">
      <w:pPr>
        <w:spacing w:before="360" w:after="0" w:line="360" w:lineRule="auto"/>
        <w:jc w:val="both"/>
        <w:rPr>
          <w:rFonts w:ascii="Arial" w:hAnsi="Arial" w:cs="Arial"/>
          <w:sz w:val="24"/>
          <w:szCs w:val="24"/>
          <w:lang w:val="en-GB"/>
        </w:rPr>
      </w:pPr>
      <w:r>
        <w:rPr>
          <w:rFonts w:ascii="Arial" w:hAnsi="Arial" w:cs="Arial"/>
          <w:sz w:val="24"/>
          <w:szCs w:val="24"/>
          <w:lang w:val="en-GB"/>
        </w:rPr>
        <w:t xml:space="preserve">From </w:t>
      </w:r>
      <w:r w:rsidR="00F33ACB">
        <w:rPr>
          <w:rFonts w:ascii="Arial" w:hAnsi="Arial" w:cs="Arial"/>
          <w:sz w:val="24"/>
          <w:szCs w:val="24"/>
          <w:lang w:val="en-GB"/>
        </w:rPr>
        <w:t xml:space="preserve">an overall view </w:t>
      </w:r>
      <w:r>
        <w:rPr>
          <w:rFonts w:ascii="Arial" w:hAnsi="Arial" w:cs="Arial"/>
          <w:sz w:val="24"/>
          <w:szCs w:val="24"/>
          <w:lang w:val="en-GB"/>
        </w:rPr>
        <w:t xml:space="preserve">the </w:t>
      </w:r>
      <w:r w:rsidR="00F33ACB">
        <w:rPr>
          <w:rFonts w:ascii="Arial" w:hAnsi="Arial" w:cs="Arial"/>
          <w:sz w:val="24"/>
          <w:szCs w:val="24"/>
          <w:lang w:val="en-GB"/>
        </w:rPr>
        <w:t>m</w:t>
      </w:r>
      <w:r w:rsidR="00D564C9" w:rsidRPr="00D564C9">
        <w:rPr>
          <w:rFonts w:ascii="Arial" w:hAnsi="Arial" w:cs="Arial"/>
          <w:sz w:val="24"/>
          <w:szCs w:val="24"/>
          <w:lang w:val="en-GB"/>
        </w:rPr>
        <w:t xml:space="preserve">easured differences in the country statistics of the EU-28 </w:t>
      </w:r>
      <w:r>
        <w:rPr>
          <w:rFonts w:ascii="Arial" w:hAnsi="Arial" w:cs="Arial"/>
          <w:sz w:val="24"/>
          <w:szCs w:val="24"/>
          <w:lang w:val="en-GB"/>
        </w:rPr>
        <w:t xml:space="preserve">were highest in the BOP-ROW comparison and </w:t>
      </w:r>
      <w:r w:rsidR="00D75501">
        <w:rPr>
          <w:rFonts w:ascii="Arial" w:hAnsi="Arial" w:cs="Arial"/>
          <w:sz w:val="24"/>
          <w:szCs w:val="24"/>
          <w:lang w:val="en-GB"/>
        </w:rPr>
        <w:t>p</w:t>
      </w:r>
      <w:r w:rsidR="00D564C9" w:rsidRPr="00D564C9">
        <w:rPr>
          <w:rFonts w:ascii="Arial" w:hAnsi="Arial" w:cs="Arial"/>
          <w:sz w:val="24"/>
          <w:szCs w:val="24"/>
          <w:lang w:val="en-GB"/>
        </w:rPr>
        <w:t>articular</w:t>
      </w:r>
      <w:r w:rsidR="001256BB">
        <w:rPr>
          <w:rFonts w:ascii="Arial" w:hAnsi="Arial" w:cs="Arial"/>
          <w:sz w:val="24"/>
          <w:szCs w:val="24"/>
          <w:lang w:val="en-GB"/>
        </w:rPr>
        <w:t>ly in</w:t>
      </w:r>
      <w:r w:rsidR="00D564C9" w:rsidRPr="00D564C9">
        <w:rPr>
          <w:rFonts w:ascii="Arial" w:hAnsi="Arial" w:cs="Arial"/>
          <w:sz w:val="24"/>
          <w:szCs w:val="24"/>
          <w:lang w:val="en-GB"/>
        </w:rPr>
        <w:t xml:space="preserve"> the financial accounts. Differences between the sector accounts and </w:t>
      </w:r>
      <w:r w:rsidR="00375F09">
        <w:rPr>
          <w:rFonts w:ascii="Arial" w:hAnsi="Arial" w:cs="Arial"/>
          <w:sz w:val="24"/>
          <w:szCs w:val="24"/>
          <w:lang w:val="en-GB"/>
        </w:rPr>
        <w:t xml:space="preserve">the </w:t>
      </w:r>
      <w:r w:rsidR="00515DF5">
        <w:rPr>
          <w:rFonts w:ascii="Arial" w:hAnsi="Arial" w:cs="Arial"/>
          <w:sz w:val="24"/>
          <w:szCs w:val="24"/>
          <w:lang w:val="en-GB"/>
        </w:rPr>
        <w:t xml:space="preserve">NA </w:t>
      </w:r>
      <w:r w:rsidR="00D564C9" w:rsidRPr="00D564C9">
        <w:rPr>
          <w:rFonts w:ascii="Arial" w:hAnsi="Arial" w:cs="Arial"/>
          <w:sz w:val="24"/>
          <w:szCs w:val="24"/>
          <w:lang w:val="en-GB"/>
        </w:rPr>
        <w:t xml:space="preserve">main aggregates on the other hand appeared minor in absolute terms. </w:t>
      </w:r>
      <w:r w:rsidR="0015482A" w:rsidRPr="00D564C9">
        <w:rPr>
          <w:rFonts w:ascii="Arial" w:hAnsi="Arial" w:cs="Arial"/>
          <w:sz w:val="24"/>
          <w:szCs w:val="24"/>
          <w:lang w:val="en-GB"/>
        </w:rPr>
        <w:t>In relation to GDP BOP-ROW differences were 0.6% and 1.3% respectively in their multiannual averages</w:t>
      </w:r>
      <w:r w:rsidR="001256BB">
        <w:rPr>
          <w:rFonts w:ascii="Arial" w:hAnsi="Arial" w:cs="Arial"/>
          <w:sz w:val="24"/>
          <w:szCs w:val="24"/>
          <w:lang w:val="en-GB"/>
        </w:rPr>
        <w:t xml:space="preserve"> for 2010-2016</w:t>
      </w:r>
      <w:r w:rsidR="0015482A" w:rsidRPr="00D564C9">
        <w:rPr>
          <w:rFonts w:ascii="Arial" w:hAnsi="Arial" w:cs="Arial"/>
          <w:sz w:val="24"/>
          <w:szCs w:val="24"/>
          <w:lang w:val="en-GB"/>
        </w:rPr>
        <w:t xml:space="preserve">, but below 0.1% across </w:t>
      </w:r>
      <w:r w:rsidR="0015482A">
        <w:rPr>
          <w:rFonts w:ascii="Arial" w:hAnsi="Arial" w:cs="Arial"/>
          <w:sz w:val="24"/>
          <w:szCs w:val="24"/>
          <w:lang w:val="en-GB"/>
        </w:rPr>
        <w:t xml:space="preserve">the NA </w:t>
      </w:r>
      <w:r w:rsidR="0015482A" w:rsidRPr="00D564C9">
        <w:rPr>
          <w:rFonts w:ascii="Arial" w:hAnsi="Arial" w:cs="Arial"/>
          <w:sz w:val="24"/>
          <w:szCs w:val="24"/>
          <w:lang w:val="en-GB"/>
        </w:rPr>
        <w:t>domains.</w:t>
      </w:r>
    </w:p>
    <w:p w:rsidR="00D564C9" w:rsidRPr="00EC5F5A" w:rsidRDefault="003E6683" w:rsidP="00D564C9">
      <w:pPr>
        <w:pStyle w:val="Caption"/>
        <w:keepNext/>
        <w:jc w:val="both"/>
        <w:rPr>
          <w:rFonts w:ascii="Arial" w:hAnsi="Arial" w:cs="Arial"/>
          <w:b/>
          <w:i w:val="0"/>
          <w:color w:val="auto"/>
          <w:sz w:val="20"/>
          <w:szCs w:val="20"/>
          <w:lang w:val="en-GB"/>
        </w:rPr>
      </w:pPr>
      <w:r>
        <w:rPr>
          <w:rFonts w:ascii="Arial" w:hAnsi="Arial" w:cs="Arial"/>
          <w:noProof/>
          <w:sz w:val="24"/>
          <w:szCs w:val="24"/>
          <w:lang w:val="en-GB" w:eastAsia="en-GB"/>
        </w:rPr>
        <w:lastRenderedPageBreak/>
        <w:drawing>
          <wp:anchor distT="0" distB="0" distL="114300" distR="114300" simplePos="0" relativeHeight="251658240" behindDoc="0" locked="0" layoutInCell="1" allowOverlap="1" wp14:anchorId="46B11149" wp14:editId="11F10AD8">
            <wp:simplePos x="0" y="0"/>
            <wp:positionH relativeFrom="column">
              <wp:posOffset>-1905</wp:posOffset>
            </wp:positionH>
            <wp:positionV relativeFrom="paragraph">
              <wp:posOffset>459740</wp:posOffset>
            </wp:positionV>
            <wp:extent cx="5756275" cy="221805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275" cy="221805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D564C9" w:rsidRPr="00EC5F5A">
        <w:rPr>
          <w:rFonts w:ascii="Arial" w:hAnsi="Arial" w:cs="Arial"/>
          <w:b/>
          <w:i w:val="0"/>
          <w:color w:val="auto"/>
          <w:sz w:val="20"/>
          <w:szCs w:val="20"/>
          <w:lang w:val="en-GB"/>
        </w:rPr>
        <w:t xml:space="preserve">Figure </w:t>
      </w:r>
      <w:r w:rsidR="00D564C9">
        <w:rPr>
          <w:rFonts w:ascii="Arial" w:hAnsi="Arial" w:cs="Arial"/>
          <w:b/>
          <w:i w:val="0"/>
          <w:color w:val="auto"/>
          <w:sz w:val="20"/>
          <w:szCs w:val="20"/>
          <w:lang w:val="en-GB"/>
        </w:rPr>
        <w:t>2</w:t>
      </w:r>
      <w:r w:rsidR="00D564C9" w:rsidRPr="00EC5F5A">
        <w:rPr>
          <w:rFonts w:ascii="Arial" w:hAnsi="Arial" w:cs="Arial"/>
          <w:b/>
          <w:i w:val="0"/>
          <w:color w:val="auto"/>
          <w:sz w:val="20"/>
          <w:szCs w:val="20"/>
          <w:lang w:val="en-GB"/>
        </w:rPr>
        <w:t>.</w:t>
      </w:r>
      <w:proofErr w:type="gramEnd"/>
      <w:r w:rsidR="00D564C9" w:rsidRPr="00EC5F5A">
        <w:rPr>
          <w:rFonts w:ascii="Arial" w:hAnsi="Arial" w:cs="Arial"/>
          <w:b/>
          <w:i w:val="0"/>
          <w:color w:val="auto"/>
          <w:sz w:val="20"/>
          <w:szCs w:val="20"/>
          <w:lang w:val="en-GB"/>
        </w:rPr>
        <w:t xml:space="preserve"> </w:t>
      </w:r>
      <w:r w:rsidR="00D564C9">
        <w:rPr>
          <w:rFonts w:ascii="Arial" w:hAnsi="Arial" w:cs="Arial"/>
          <w:b/>
          <w:i w:val="0"/>
          <w:color w:val="auto"/>
          <w:sz w:val="20"/>
          <w:szCs w:val="20"/>
          <w:lang w:val="en-GB"/>
        </w:rPr>
        <w:t>Mean average differences in GDP or balancing items B9/B9F of the accounts, sum of EU-28 Member States, 2010-2016 (EUR million)</w:t>
      </w:r>
    </w:p>
    <w:p w:rsidR="00D564C9" w:rsidRPr="00EC5F5A" w:rsidRDefault="00D564C9" w:rsidP="00D564C9">
      <w:pPr>
        <w:spacing w:after="0" w:line="240" w:lineRule="auto"/>
        <w:ind w:left="851"/>
        <w:jc w:val="both"/>
        <w:rPr>
          <w:rFonts w:ascii="Arial" w:hAnsi="Arial" w:cs="Arial"/>
          <w:sz w:val="20"/>
          <w:szCs w:val="20"/>
          <w:lang w:val="en-GB"/>
        </w:rPr>
      </w:pPr>
      <w:r w:rsidRPr="00F0585F">
        <w:rPr>
          <w:rFonts w:ascii="Arial" w:hAnsi="Arial" w:cs="Arial"/>
          <w:sz w:val="20"/>
          <w:szCs w:val="20"/>
          <w:lang w:val="en-GB"/>
        </w:rPr>
        <w:t xml:space="preserve">Source: Eurostat – BOP-ROW: differences in gross transactions of current account/net transactions of capital account/net transactions in assets/liabilities; ASA-ANA: differences in Annual Sector Accounts (ASA) and annual main aggregates (ANA); ASA-GFS: differences in Annual Sector Accounts (ASA) and GFS for non-financial and financial accounts. Mean absolute differences are based on multiannual averages 2010-2016 in country statistics and summed up to EU-28 total. </w:t>
      </w:r>
      <w:r w:rsidR="00923301">
        <w:rPr>
          <w:rFonts w:ascii="Arial" w:hAnsi="Arial" w:cs="Arial"/>
          <w:sz w:val="20"/>
          <w:szCs w:val="20"/>
          <w:lang w:val="en-GB"/>
        </w:rPr>
        <w:t>Data as of October 2017.</w:t>
      </w:r>
    </w:p>
    <w:p w:rsidR="00D564C9" w:rsidRPr="00D564C9" w:rsidRDefault="00971907" w:rsidP="00D564C9">
      <w:pPr>
        <w:spacing w:before="360" w:after="0" w:line="360" w:lineRule="auto"/>
        <w:jc w:val="both"/>
        <w:rPr>
          <w:rFonts w:ascii="Arial" w:hAnsi="Arial" w:cs="Arial"/>
          <w:sz w:val="24"/>
          <w:szCs w:val="24"/>
          <w:lang w:val="en-GB"/>
        </w:rPr>
      </w:pPr>
      <w:r>
        <w:rPr>
          <w:rFonts w:ascii="Arial" w:hAnsi="Arial" w:cs="Arial"/>
          <w:sz w:val="24"/>
          <w:szCs w:val="24"/>
          <w:lang w:val="en-GB"/>
        </w:rPr>
        <w:t>However, a</w:t>
      </w:r>
      <w:r w:rsidR="00D564C9" w:rsidRPr="00D564C9">
        <w:rPr>
          <w:rFonts w:ascii="Arial" w:hAnsi="Arial" w:cs="Arial"/>
          <w:sz w:val="24"/>
          <w:szCs w:val="24"/>
          <w:lang w:val="en-GB"/>
        </w:rPr>
        <w:t xml:space="preserve">s the presented multiannual averages reflect the evolution since 2010, the risk for importing “historical” effects is high due to the differences in revision practices in BOP and </w:t>
      </w:r>
      <w:r w:rsidR="00F33ACB">
        <w:rPr>
          <w:rFonts w:ascii="Arial" w:hAnsi="Arial" w:cs="Arial"/>
          <w:sz w:val="24"/>
          <w:szCs w:val="24"/>
          <w:lang w:val="en-GB"/>
        </w:rPr>
        <w:t>NA</w:t>
      </w:r>
      <w:r w:rsidR="00D564C9" w:rsidRPr="00D564C9">
        <w:rPr>
          <w:rFonts w:ascii="Arial" w:hAnsi="Arial" w:cs="Arial"/>
          <w:sz w:val="24"/>
          <w:szCs w:val="24"/>
          <w:lang w:val="en-GB"/>
        </w:rPr>
        <w:t xml:space="preserve"> statistics</w:t>
      </w:r>
      <w:r w:rsidR="00515DF5">
        <w:rPr>
          <w:rStyle w:val="FootnoteReference"/>
          <w:rFonts w:ascii="Arial" w:hAnsi="Arial" w:cs="Arial"/>
          <w:sz w:val="24"/>
          <w:szCs w:val="24"/>
          <w:lang w:val="en-GB"/>
        </w:rPr>
        <w:footnoteReference w:id="6"/>
      </w:r>
      <w:r w:rsidR="00D564C9" w:rsidRPr="00D564C9">
        <w:rPr>
          <w:rFonts w:ascii="Arial" w:hAnsi="Arial" w:cs="Arial"/>
          <w:sz w:val="24"/>
          <w:szCs w:val="24"/>
          <w:lang w:val="en-GB"/>
        </w:rPr>
        <w:t xml:space="preserve">. </w:t>
      </w:r>
    </w:p>
    <w:p w:rsidR="00D564C9" w:rsidRPr="00D564C9" w:rsidRDefault="00D564C9" w:rsidP="00CC1C1D">
      <w:pPr>
        <w:spacing w:before="360" w:after="0" w:line="360" w:lineRule="auto"/>
        <w:jc w:val="both"/>
        <w:rPr>
          <w:rFonts w:ascii="Arial" w:hAnsi="Arial" w:cs="Arial"/>
          <w:b/>
          <w:sz w:val="24"/>
          <w:szCs w:val="24"/>
          <w:lang w:val="en-GB"/>
        </w:rPr>
      </w:pPr>
      <w:r w:rsidRPr="00D564C9">
        <w:rPr>
          <w:rFonts w:ascii="Arial" w:hAnsi="Arial" w:cs="Arial"/>
          <w:b/>
          <w:sz w:val="24"/>
          <w:szCs w:val="24"/>
          <w:lang w:val="en-GB"/>
        </w:rPr>
        <w:t xml:space="preserve">4. The external aspect </w:t>
      </w:r>
      <w:r w:rsidR="006E274B">
        <w:rPr>
          <w:rFonts w:ascii="Arial" w:hAnsi="Arial" w:cs="Arial"/>
          <w:b/>
          <w:sz w:val="24"/>
          <w:szCs w:val="24"/>
          <w:lang w:val="en-GB"/>
        </w:rPr>
        <w:t xml:space="preserve">of </w:t>
      </w:r>
      <w:r w:rsidRPr="00D564C9">
        <w:rPr>
          <w:rFonts w:ascii="Arial" w:hAnsi="Arial" w:cs="Arial"/>
          <w:b/>
          <w:sz w:val="24"/>
          <w:szCs w:val="24"/>
          <w:lang w:val="en-GB"/>
        </w:rPr>
        <w:t xml:space="preserve">consistency </w:t>
      </w:r>
      <w:r w:rsidR="00373F70">
        <w:rPr>
          <w:rFonts w:ascii="Arial" w:hAnsi="Arial" w:cs="Arial"/>
          <w:b/>
          <w:sz w:val="24"/>
          <w:szCs w:val="24"/>
          <w:lang w:val="en-GB"/>
        </w:rPr>
        <w:t>between</w:t>
      </w:r>
      <w:r w:rsidRPr="00D564C9">
        <w:rPr>
          <w:rFonts w:ascii="Arial" w:hAnsi="Arial" w:cs="Arial"/>
          <w:b/>
          <w:sz w:val="24"/>
          <w:szCs w:val="24"/>
          <w:lang w:val="en-GB"/>
        </w:rPr>
        <w:t xml:space="preserve"> BOP </w:t>
      </w:r>
      <w:r w:rsidR="00515DF5">
        <w:rPr>
          <w:rFonts w:ascii="Arial" w:hAnsi="Arial" w:cs="Arial"/>
          <w:b/>
          <w:sz w:val="24"/>
          <w:szCs w:val="24"/>
          <w:lang w:val="en-GB"/>
        </w:rPr>
        <w:t xml:space="preserve">and </w:t>
      </w:r>
      <w:r w:rsidR="00373F70">
        <w:rPr>
          <w:rFonts w:ascii="Arial" w:hAnsi="Arial" w:cs="Arial"/>
          <w:b/>
          <w:sz w:val="24"/>
          <w:szCs w:val="24"/>
          <w:lang w:val="en-GB"/>
        </w:rPr>
        <w:t>NA</w:t>
      </w:r>
      <w:r w:rsidR="00515DF5">
        <w:rPr>
          <w:rFonts w:ascii="Arial" w:hAnsi="Arial" w:cs="Arial"/>
          <w:b/>
          <w:sz w:val="24"/>
          <w:szCs w:val="24"/>
          <w:lang w:val="en-GB"/>
        </w:rPr>
        <w:t xml:space="preserve"> </w:t>
      </w:r>
    </w:p>
    <w:p w:rsidR="00D564C9" w:rsidRDefault="00D564C9" w:rsidP="00CC1C1D">
      <w:pPr>
        <w:spacing w:before="360" w:after="0" w:line="360" w:lineRule="auto"/>
        <w:jc w:val="both"/>
        <w:rPr>
          <w:rFonts w:ascii="Arial" w:hAnsi="Arial" w:cs="Arial"/>
          <w:sz w:val="24"/>
          <w:szCs w:val="24"/>
          <w:lang w:val="en-GB"/>
        </w:rPr>
      </w:pPr>
      <w:r w:rsidRPr="00D564C9">
        <w:rPr>
          <w:rFonts w:ascii="Arial" w:hAnsi="Arial" w:cs="Arial"/>
          <w:sz w:val="24"/>
          <w:szCs w:val="24"/>
          <w:lang w:val="en-GB"/>
        </w:rPr>
        <w:t>Both BOP and the ROW sector statistics refer to a closed accounting framework which allows for the balancing items to be directly comparable. In the non-financial accounts these are the balances of the BOP current plus capital account (CKA) and the net lending/net borrowing (B9) of the ROW sector. A comparison of the two items can thus give a rough indication about the comparability of both statistics in the country data</w:t>
      </w:r>
      <w:r w:rsidRPr="00D564C9">
        <w:rPr>
          <w:rFonts w:ascii="Arial" w:hAnsi="Arial" w:cs="Arial"/>
          <w:sz w:val="24"/>
          <w:szCs w:val="24"/>
          <w:vertAlign w:val="superscript"/>
          <w:lang w:val="en-GB"/>
        </w:rPr>
        <w:footnoteReference w:id="7"/>
      </w:r>
      <w:r w:rsidRPr="00D564C9">
        <w:rPr>
          <w:rFonts w:ascii="Arial" w:hAnsi="Arial" w:cs="Arial"/>
          <w:sz w:val="24"/>
          <w:szCs w:val="24"/>
          <w:lang w:val="en-GB"/>
        </w:rPr>
        <w:t xml:space="preserve">. </w:t>
      </w:r>
      <w:r w:rsidR="004E6CC6">
        <w:rPr>
          <w:rFonts w:ascii="Arial" w:hAnsi="Arial" w:cs="Arial"/>
          <w:sz w:val="24"/>
          <w:szCs w:val="24"/>
          <w:lang w:val="en-GB"/>
        </w:rPr>
        <w:t>T</w:t>
      </w:r>
      <w:r w:rsidRPr="00D564C9">
        <w:rPr>
          <w:rFonts w:ascii="Arial" w:hAnsi="Arial" w:cs="Arial"/>
          <w:sz w:val="24"/>
          <w:szCs w:val="24"/>
          <w:lang w:val="en-GB"/>
        </w:rPr>
        <w:t>he extent of deviation</w:t>
      </w:r>
      <w:r w:rsidR="006E274B">
        <w:rPr>
          <w:rFonts w:ascii="Arial" w:hAnsi="Arial" w:cs="Arial"/>
          <w:sz w:val="24"/>
          <w:szCs w:val="24"/>
          <w:lang w:val="en-GB"/>
        </w:rPr>
        <w:t xml:space="preserve"> over a multiannual period</w:t>
      </w:r>
      <w:r w:rsidRPr="00D564C9">
        <w:rPr>
          <w:rFonts w:ascii="Arial" w:hAnsi="Arial" w:cs="Arial"/>
          <w:sz w:val="24"/>
          <w:szCs w:val="24"/>
          <w:lang w:val="en-GB"/>
        </w:rPr>
        <w:t xml:space="preserve"> </w:t>
      </w:r>
      <w:r w:rsidR="006E274B">
        <w:rPr>
          <w:rFonts w:ascii="Arial" w:hAnsi="Arial" w:cs="Arial"/>
          <w:sz w:val="24"/>
          <w:szCs w:val="24"/>
          <w:lang w:val="en-GB"/>
        </w:rPr>
        <w:t xml:space="preserve">can be </w:t>
      </w:r>
      <w:r w:rsidRPr="00D564C9">
        <w:rPr>
          <w:rFonts w:ascii="Arial" w:hAnsi="Arial" w:cs="Arial"/>
          <w:sz w:val="24"/>
          <w:szCs w:val="24"/>
          <w:lang w:val="en-GB"/>
        </w:rPr>
        <w:t xml:space="preserve">measured by the mean average percentage deviation (MAPD). </w:t>
      </w:r>
      <w:r w:rsidR="00EF352F">
        <w:rPr>
          <w:rFonts w:ascii="Arial" w:hAnsi="Arial" w:cs="Arial"/>
          <w:sz w:val="24"/>
          <w:szCs w:val="24"/>
          <w:lang w:val="en-GB"/>
        </w:rPr>
        <w:t>In the recent production series of the non-financial accounts 4 </w:t>
      </w:r>
      <w:r w:rsidR="00EF352F" w:rsidRPr="00F0585F">
        <w:rPr>
          <w:rFonts w:ascii="Arial" w:hAnsi="Arial" w:cs="Arial"/>
          <w:sz w:val="24"/>
          <w:szCs w:val="24"/>
          <w:lang w:val="en-GB"/>
        </w:rPr>
        <w:t>Member States show measures above 1.0, which alert for significant deviations in the balancing items of their statistics</w:t>
      </w:r>
      <w:r w:rsidR="00EF352F">
        <w:rPr>
          <w:rFonts w:ascii="Arial" w:hAnsi="Arial" w:cs="Arial"/>
          <w:sz w:val="24"/>
          <w:szCs w:val="24"/>
          <w:lang w:val="en-GB"/>
        </w:rPr>
        <w:t>, and another 7 Member States record elevated deviations (between 0.5 and 1.0) – whereas 14 Member States have little or no deviations (0.0 to 0.2)</w:t>
      </w:r>
      <w:r w:rsidR="00EF352F" w:rsidRPr="00F0585F">
        <w:rPr>
          <w:rFonts w:ascii="Arial" w:hAnsi="Arial" w:cs="Arial"/>
          <w:sz w:val="24"/>
          <w:szCs w:val="24"/>
          <w:lang w:val="en-GB"/>
        </w:rPr>
        <w:t>.</w:t>
      </w:r>
    </w:p>
    <w:p w:rsidR="00D564C9" w:rsidRPr="00D564C9" w:rsidRDefault="00D564C9" w:rsidP="00D75501">
      <w:pPr>
        <w:pStyle w:val="Caption"/>
        <w:keepNext/>
        <w:rPr>
          <w:rFonts w:ascii="Arial" w:hAnsi="Arial" w:cs="Arial"/>
          <w:sz w:val="24"/>
          <w:szCs w:val="24"/>
          <w:lang w:val="en-GB"/>
        </w:rPr>
      </w:pPr>
      <w:proofErr w:type="gramStart"/>
      <w:r w:rsidRPr="00EC5F5A">
        <w:rPr>
          <w:rFonts w:ascii="Arial" w:hAnsi="Arial" w:cs="Arial"/>
          <w:b/>
          <w:i w:val="0"/>
          <w:color w:val="auto"/>
          <w:sz w:val="20"/>
          <w:szCs w:val="20"/>
          <w:lang w:val="en-GB"/>
        </w:rPr>
        <w:lastRenderedPageBreak/>
        <w:t xml:space="preserve">Figure </w:t>
      </w:r>
      <w:r>
        <w:rPr>
          <w:rFonts w:ascii="Arial" w:hAnsi="Arial" w:cs="Arial"/>
          <w:b/>
          <w:i w:val="0"/>
          <w:color w:val="auto"/>
          <w:sz w:val="20"/>
          <w:szCs w:val="20"/>
          <w:lang w:val="en-GB"/>
        </w:rPr>
        <w:t>3</w:t>
      </w:r>
      <w:r w:rsidRPr="00EC5F5A">
        <w:rPr>
          <w:rFonts w:ascii="Arial" w:hAnsi="Arial" w:cs="Arial"/>
          <w:b/>
          <w:i w:val="0"/>
          <w:color w:val="auto"/>
          <w:sz w:val="20"/>
          <w:szCs w:val="20"/>
          <w:lang w:val="en-GB"/>
        </w:rPr>
        <w:t>.</w:t>
      </w:r>
      <w:proofErr w:type="gramEnd"/>
      <w:r w:rsidRPr="00EC5F5A">
        <w:rPr>
          <w:rFonts w:ascii="Arial" w:hAnsi="Arial" w:cs="Arial"/>
          <w:b/>
          <w:i w:val="0"/>
          <w:color w:val="auto"/>
          <w:sz w:val="20"/>
          <w:szCs w:val="20"/>
          <w:lang w:val="en-GB"/>
        </w:rPr>
        <w:t xml:space="preserve"> </w:t>
      </w:r>
      <w:r>
        <w:rPr>
          <w:rFonts w:ascii="Arial" w:hAnsi="Arial" w:cs="Arial"/>
          <w:b/>
          <w:i w:val="0"/>
          <w:color w:val="auto"/>
          <w:sz w:val="20"/>
          <w:szCs w:val="20"/>
          <w:lang w:val="en-GB"/>
        </w:rPr>
        <w:t>Mean average percentage deviation of balancing item B9, non-financial accounts, EU-28 Member States, 2014-2016</w:t>
      </w:r>
      <w:r w:rsidR="00E62D0A">
        <w:rPr>
          <w:rFonts w:ascii="Arial" w:hAnsi="Arial" w:cs="Arial"/>
          <w:b/>
          <w:i w:val="0"/>
          <w:color w:val="auto"/>
          <w:sz w:val="20"/>
          <w:szCs w:val="20"/>
          <w:lang w:val="en-GB"/>
        </w:rPr>
        <w:t xml:space="preserve"> (mean absolute percentage deviation)</w:t>
      </w:r>
      <w:r>
        <w:rPr>
          <w:rFonts w:ascii="Arial" w:hAnsi="Arial" w:cs="Arial"/>
          <w:b/>
          <w:i w:val="0"/>
          <w:color w:val="auto"/>
          <w:sz w:val="20"/>
          <w:szCs w:val="20"/>
          <w:lang w:val="en-GB"/>
        </w:rPr>
        <w:t xml:space="preserve"> </w:t>
      </w:r>
      <w:r w:rsidR="00EF352F">
        <w:rPr>
          <w:rFonts w:ascii="Arial" w:hAnsi="Arial" w:cs="Arial"/>
          <w:b/>
          <w:i w:val="0"/>
          <w:noProof/>
          <w:color w:val="auto"/>
          <w:sz w:val="20"/>
          <w:szCs w:val="20"/>
          <w:lang w:val="en-GB" w:eastAsia="en-GB"/>
        </w:rPr>
        <w:drawing>
          <wp:inline distT="0" distB="0" distL="0" distR="0" wp14:anchorId="07D58F3E" wp14:editId="26E503E2">
            <wp:extent cx="5780598" cy="26716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83841" cy="2673137"/>
                    </a:xfrm>
                    <a:prstGeom prst="rect">
                      <a:avLst/>
                    </a:prstGeom>
                    <a:noFill/>
                  </pic:spPr>
                </pic:pic>
              </a:graphicData>
            </a:graphic>
          </wp:inline>
        </w:drawing>
      </w:r>
    </w:p>
    <w:p w:rsidR="00F0585F" w:rsidRPr="00F0585F" w:rsidRDefault="00F0585F" w:rsidP="00F0585F">
      <w:pPr>
        <w:spacing w:after="0" w:line="240" w:lineRule="auto"/>
        <w:ind w:left="851"/>
        <w:jc w:val="both"/>
        <w:rPr>
          <w:rFonts w:ascii="Arial" w:hAnsi="Arial" w:cs="Arial"/>
          <w:b/>
          <w:sz w:val="20"/>
          <w:szCs w:val="20"/>
          <w:lang w:val="en-GB"/>
        </w:rPr>
      </w:pPr>
      <w:r w:rsidRPr="00F0585F">
        <w:rPr>
          <w:rFonts w:ascii="Arial" w:hAnsi="Arial" w:cs="Arial"/>
          <w:sz w:val="20"/>
          <w:szCs w:val="20"/>
          <w:lang w:val="en-GB"/>
        </w:rPr>
        <w:t xml:space="preserve">Source: Eurostat – Balancing items: BOP Balance of Current and Capital Account (CKA), ROW balance of net lending/net borrowing (B9); Croatia: QSA data missing for 2014-2016, Malta: QSA data missing for 2016; United Kingdom: QSA data were not </w:t>
      </w:r>
      <w:proofErr w:type="gramStart"/>
      <w:r w:rsidRPr="00F0585F">
        <w:rPr>
          <w:rFonts w:ascii="Arial" w:hAnsi="Arial" w:cs="Arial"/>
          <w:sz w:val="20"/>
          <w:szCs w:val="20"/>
          <w:lang w:val="en-GB"/>
        </w:rPr>
        <w:t>updated,</w:t>
      </w:r>
      <w:proofErr w:type="gramEnd"/>
      <w:r w:rsidRPr="00F0585F">
        <w:rPr>
          <w:rFonts w:ascii="Arial" w:hAnsi="Arial" w:cs="Arial"/>
          <w:sz w:val="20"/>
          <w:szCs w:val="20"/>
          <w:lang w:val="en-GB"/>
        </w:rPr>
        <w:t xml:space="preserve"> there is a risk for a vintage effect. – MAPD is calculated as deviation of the ROW value from the BOP value.</w:t>
      </w:r>
      <w:r w:rsidR="00D75501">
        <w:rPr>
          <w:rFonts w:ascii="Arial" w:hAnsi="Arial" w:cs="Arial"/>
          <w:sz w:val="20"/>
          <w:szCs w:val="20"/>
          <w:lang w:val="en-GB"/>
        </w:rPr>
        <w:t xml:space="preserve"> MAPD value of 0.0 indicates full identity.</w:t>
      </w:r>
      <w:r w:rsidR="00EF352F">
        <w:rPr>
          <w:rFonts w:ascii="Arial" w:hAnsi="Arial" w:cs="Arial"/>
          <w:sz w:val="20"/>
          <w:szCs w:val="20"/>
          <w:lang w:val="en-GB"/>
        </w:rPr>
        <w:t xml:space="preserve"> Data </w:t>
      </w:r>
      <w:r w:rsidR="00923301">
        <w:rPr>
          <w:rFonts w:ascii="Arial" w:hAnsi="Arial" w:cs="Arial"/>
          <w:sz w:val="20"/>
          <w:szCs w:val="20"/>
          <w:lang w:val="en-GB"/>
        </w:rPr>
        <w:t>as of</w:t>
      </w:r>
      <w:r w:rsidR="00EF352F">
        <w:rPr>
          <w:rFonts w:ascii="Arial" w:hAnsi="Arial" w:cs="Arial"/>
          <w:sz w:val="20"/>
          <w:szCs w:val="20"/>
          <w:lang w:val="en-GB"/>
        </w:rPr>
        <w:t xml:space="preserve"> April 2018.</w:t>
      </w:r>
    </w:p>
    <w:p w:rsidR="00DD5664" w:rsidRPr="00606392" w:rsidRDefault="00F0585F" w:rsidP="00324856">
      <w:pPr>
        <w:spacing w:before="360" w:after="0" w:line="360" w:lineRule="auto"/>
        <w:jc w:val="both"/>
        <w:rPr>
          <w:rFonts w:ascii="Arial" w:hAnsi="Arial" w:cs="Arial"/>
          <w:b/>
          <w:i/>
          <w:sz w:val="20"/>
          <w:szCs w:val="20"/>
          <w:lang w:val="en-GB"/>
        </w:rPr>
      </w:pPr>
      <w:r w:rsidRPr="00F0585F">
        <w:rPr>
          <w:rFonts w:ascii="Arial" w:hAnsi="Arial" w:cs="Arial"/>
          <w:sz w:val="24"/>
          <w:szCs w:val="24"/>
          <w:lang w:val="en-GB"/>
        </w:rPr>
        <w:t xml:space="preserve">As for the financial accounts the extent of </w:t>
      </w:r>
      <w:r w:rsidR="00606392">
        <w:rPr>
          <w:rFonts w:ascii="Arial" w:hAnsi="Arial" w:cs="Arial"/>
          <w:sz w:val="24"/>
          <w:szCs w:val="24"/>
          <w:lang w:val="en-GB"/>
        </w:rPr>
        <w:t>deviations</w:t>
      </w:r>
      <w:r w:rsidRPr="00F0585F">
        <w:rPr>
          <w:rFonts w:ascii="Arial" w:hAnsi="Arial" w:cs="Arial"/>
          <w:sz w:val="24"/>
          <w:szCs w:val="24"/>
          <w:lang w:val="en-GB"/>
        </w:rPr>
        <w:t xml:space="preserve"> appears generally higher than in the non-financial accounts</w:t>
      </w:r>
      <w:r w:rsidR="00E242CC">
        <w:rPr>
          <w:rFonts w:ascii="Arial" w:hAnsi="Arial" w:cs="Arial"/>
          <w:sz w:val="24"/>
          <w:szCs w:val="24"/>
          <w:lang w:val="en-GB"/>
        </w:rPr>
        <w:t>,</w:t>
      </w:r>
      <w:r w:rsidRPr="00F0585F">
        <w:rPr>
          <w:rFonts w:ascii="Arial" w:hAnsi="Arial" w:cs="Arial"/>
          <w:sz w:val="24"/>
          <w:szCs w:val="24"/>
          <w:lang w:val="en-GB"/>
        </w:rPr>
        <w:t xml:space="preserve"> </w:t>
      </w:r>
      <w:r w:rsidR="005B674D">
        <w:rPr>
          <w:rFonts w:ascii="Arial" w:hAnsi="Arial" w:cs="Arial"/>
          <w:sz w:val="24"/>
          <w:szCs w:val="24"/>
          <w:lang w:val="en-GB"/>
        </w:rPr>
        <w:t>but show</w:t>
      </w:r>
      <w:r w:rsidR="00EF352F">
        <w:rPr>
          <w:rFonts w:ascii="Arial" w:hAnsi="Arial" w:cs="Arial"/>
          <w:sz w:val="24"/>
          <w:szCs w:val="24"/>
          <w:lang w:val="en-GB"/>
        </w:rPr>
        <w:t>s</w:t>
      </w:r>
      <w:r w:rsidR="005B674D">
        <w:rPr>
          <w:rFonts w:ascii="Arial" w:hAnsi="Arial" w:cs="Arial"/>
          <w:sz w:val="24"/>
          <w:szCs w:val="24"/>
          <w:lang w:val="en-GB"/>
        </w:rPr>
        <w:t xml:space="preserve"> similar </w:t>
      </w:r>
      <w:r w:rsidR="00D70518">
        <w:rPr>
          <w:rFonts w:ascii="Arial" w:hAnsi="Arial" w:cs="Arial"/>
          <w:sz w:val="24"/>
          <w:szCs w:val="24"/>
          <w:lang w:val="en-GB"/>
        </w:rPr>
        <w:t>geograph</w:t>
      </w:r>
      <w:r w:rsidR="00EF352F">
        <w:rPr>
          <w:rFonts w:ascii="Arial" w:hAnsi="Arial" w:cs="Arial"/>
          <w:sz w:val="24"/>
          <w:szCs w:val="24"/>
          <w:lang w:val="en-GB"/>
        </w:rPr>
        <w:t>i</w:t>
      </w:r>
      <w:r w:rsidR="00D70518">
        <w:rPr>
          <w:rFonts w:ascii="Arial" w:hAnsi="Arial" w:cs="Arial"/>
          <w:sz w:val="24"/>
          <w:szCs w:val="24"/>
          <w:lang w:val="en-GB"/>
        </w:rPr>
        <w:t>cal</w:t>
      </w:r>
      <w:r w:rsidR="005B674D">
        <w:rPr>
          <w:rFonts w:ascii="Arial" w:hAnsi="Arial" w:cs="Arial"/>
          <w:sz w:val="24"/>
          <w:szCs w:val="24"/>
          <w:lang w:val="en-GB"/>
        </w:rPr>
        <w:t xml:space="preserve"> patterns.</w:t>
      </w:r>
      <w:r w:rsidR="00324856">
        <w:rPr>
          <w:rFonts w:ascii="Arial" w:hAnsi="Arial" w:cs="Arial"/>
          <w:sz w:val="24"/>
          <w:szCs w:val="24"/>
          <w:lang w:val="en-GB"/>
        </w:rPr>
        <w:t xml:space="preserve"> </w:t>
      </w:r>
      <w:r w:rsidR="0015482A">
        <w:rPr>
          <w:rFonts w:ascii="Arial" w:hAnsi="Arial" w:cs="Arial"/>
          <w:sz w:val="24"/>
          <w:szCs w:val="24"/>
          <w:lang w:val="en-GB"/>
        </w:rPr>
        <w:t xml:space="preserve">Earlier analyses by Eurostat have shown that the observed </w:t>
      </w:r>
      <w:r w:rsidRPr="00F0585F">
        <w:rPr>
          <w:rFonts w:ascii="Arial" w:hAnsi="Arial" w:cs="Arial"/>
          <w:sz w:val="24"/>
          <w:szCs w:val="24"/>
          <w:lang w:val="en-GB"/>
        </w:rPr>
        <w:t>BOP</w:t>
      </w:r>
      <w:r w:rsidR="0015482A">
        <w:rPr>
          <w:rFonts w:ascii="Arial" w:hAnsi="Arial" w:cs="Arial"/>
          <w:sz w:val="24"/>
          <w:szCs w:val="24"/>
          <w:lang w:val="en-GB"/>
        </w:rPr>
        <w:t>-</w:t>
      </w:r>
      <w:r w:rsidRPr="00F0585F">
        <w:rPr>
          <w:rFonts w:ascii="Arial" w:hAnsi="Arial" w:cs="Arial"/>
          <w:sz w:val="24"/>
          <w:szCs w:val="24"/>
          <w:lang w:val="en-GB"/>
        </w:rPr>
        <w:t>ROW</w:t>
      </w:r>
      <w:r w:rsidR="0015482A">
        <w:rPr>
          <w:rFonts w:ascii="Arial" w:hAnsi="Arial" w:cs="Arial"/>
          <w:sz w:val="24"/>
          <w:szCs w:val="24"/>
          <w:lang w:val="en-GB"/>
        </w:rPr>
        <w:t xml:space="preserve"> discrepancies in the non-financial accounts predominantly </w:t>
      </w:r>
      <w:r w:rsidR="00EF352F">
        <w:rPr>
          <w:rFonts w:ascii="Arial" w:hAnsi="Arial" w:cs="Arial"/>
          <w:sz w:val="24"/>
          <w:szCs w:val="24"/>
          <w:lang w:val="en-GB"/>
        </w:rPr>
        <w:t xml:space="preserve">are related to </w:t>
      </w:r>
      <w:r w:rsidRPr="00F0585F">
        <w:rPr>
          <w:rFonts w:ascii="Arial" w:hAnsi="Arial" w:cs="Arial"/>
          <w:sz w:val="24"/>
          <w:szCs w:val="24"/>
          <w:lang w:val="en-GB"/>
        </w:rPr>
        <w:t>services</w:t>
      </w:r>
      <w:r w:rsidR="0015482A">
        <w:rPr>
          <w:rFonts w:ascii="Arial" w:hAnsi="Arial" w:cs="Arial"/>
          <w:sz w:val="24"/>
          <w:szCs w:val="24"/>
          <w:lang w:val="en-GB"/>
        </w:rPr>
        <w:t xml:space="preserve"> –</w:t>
      </w:r>
      <w:r w:rsidRPr="00F0585F">
        <w:rPr>
          <w:rFonts w:ascii="Arial" w:hAnsi="Arial" w:cs="Arial"/>
          <w:sz w:val="24"/>
          <w:szCs w:val="24"/>
          <w:lang w:val="en-GB"/>
        </w:rPr>
        <w:t xml:space="preserve"> and to some further extent </w:t>
      </w:r>
      <w:r w:rsidR="00EF352F">
        <w:rPr>
          <w:rFonts w:ascii="Arial" w:hAnsi="Arial" w:cs="Arial"/>
          <w:sz w:val="24"/>
          <w:szCs w:val="24"/>
          <w:lang w:val="en-GB"/>
        </w:rPr>
        <w:t>to goods and</w:t>
      </w:r>
      <w:r w:rsidR="0015482A">
        <w:rPr>
          <w:rFonts w:ascii="Arial" w:hAnsi="Arial" w:cs="Arial"/>
          <w:sz w:val="24"/>
          <w:szCs w:val="24"/>
          <w:lang w:val="en-GB"/>
        </w:rPr>
        <w:t xml:space="preserve"> </w:t>
      </w:r>
      <w:r w:rsidRPr="00F0585F">
        <w:rPr>
          <w:rFonts w:ascii="Arial" w:hAnsi="Arial" w:cs="Arial"/>
          <w:sz w:val="24"/>
          <w:szCs w:val="24"/>
          <w:lang w:val="en-GB"/>
        </w:rPr>
        <w:t>primary income</w:t>
      </w:r>
      <w:r w:rsidR="0015482A">
        <w:rPr>
          <w:rStyle w:val="FootnoteReference"/>
          <w:rFonts w:ascii="Arial" w:hAnsi="Arial" w:cs="Arial"/>
          <w:sz w:val="24"/>
          <w:szCs w:val="24"/>
          <w:lang w:val="en-GB"/>
        </w:rPr>
        <w:footnoteReference w:id="8"/>
      </w:r>
      <w:r w:rsidRPr="00F0585F">
        <w:rPr>
          <w:rFonts w:ascii="Arial" w:hAnsi="Arial" w:cs="Arial"/>
          <w:sz w:val="24"/>
          <w:szCs w:val="24"/>
          <w:lang w:val="en-GB"/>
        </w:rPr>
        <w:t>. The profile of inconsistencies across Member States is very heterogeneous</w:t>
      </w:r>
      <w:r w:rsidR="00D75501">
        <w:rPr>
          <w:rFonts w:ascii="Arial" w:hAnsi="Arial" w:cs="Arial"/>
          <w:sz w:val="24"/>
          <w:szCs w:val="24"/>
          <w:lang w:val="en-GB"/>
        </w:rPr>
        <w:t>, with d</w:t>
      </w:r>
      <w:r w:rsidR="000B618D">
        <w:rPr>
          <w:rFonts w:ascii="Arial" w:hAnsi="Arial" w:cs="Arial"/>
          <w:sz w:val="24"/>
          <w:szCs w:val="24"/>
          <w:lang w:val="en-GB"/>
        </w:rPr>
        <w:t xml:space="preserve">irectional inconsistencies </w:t>
      </w:r>
      <w:r w:rsidR="00EF352F">
        <w:rPr>
          <w:rFonts w:ascii="Arial" w:hAnsi="Arial" w:cs="Arial"/>
          <w:sz w:val="24"/>
          <w:szCs w:val="24"/>
          <w:lang w:val="en-GB"/>
        </w:rPr>
        <w:t xml:space="preserve">in the component balances </w:t>
      </w:r>
      <w:r w:rsidR="00D75501">
        <w:rPr>
          <w:rFonts w:ascii="Arial" w:hAnsi="Arial" w:cs="Arial"/>
          <w:sz w:val="24"/>
          <w:szCs w:val="24"/>
          <w:lang w:val="en-GB"/>
        </w:rPr>
        <w:t>occurring</w:t>
      </w:r>
      <w:r w:rsidR="000B618D">
        <w:rPr>
          <w:rFonts w:ascii="Arial" w:hAnsi="Arial" w:cs="Arial"/>
          <w:sz w:val="24"/>
          <w:szCs w:val="24"/>
          <w:lang w:val="en-GB"/>
        </w:rPr>
        <w:t xml:space="preserve"> as a result. </w:t>
      </w:r>
      <w:r w:rsidR="00D75501">
        <w:rPr>
          <w:rFonts w:ascii="Arial" w:hAnsi="Arial" w:cs="Arial"/>
          <w:sz w:val="24"/>
          <w:szCs w:val="24"/>
          <w:lang w:val="en-GB"/>
        </w:rPr>
        <w:t xml:space="preserve">Balances in </w:t>
      </w:r>
      <w:r w:rsidRPr="00F0585F">
        <w:rPr>
          <w:rFonts w:ascii="Arial" w:hAnsi="Arial" w:cs="Arial"/>
          <w:sz w:val="24"/>
          <w:szCs w:val="24"/>
          <w:lang w:val="en-GB"/>
        </w:rPr>
        <w:t xml:space="preserve">components should </w:t>
      </w:r>
      <w:r w:rsidR="004E6CC6">
        <w:rPr>
          <w:rFonts w:ascii="Arial" w:hAnsi="Arial" w:cs="Arial"/>
          <w:sz w:val="24"/>
          <w:szCs w:val="24"/>
          <w:lang w:val="en-GB"/>
        </w:rPr>
        <w:t xml:space="preserve">generally </w:t>
      </w:r>
      <w:r w:rsidRPr="00F0585F">
        <w:rPr>
          <w:rFonts w:ascii="Arial" w:hAnsi="Arial" w:cs="Arial"/>
          <w:sz w:val="24"/>
          <w:szCs w:val="24"/>
          <w:lang w:val="en-GB"/>
        </w:rPr>
        <w:t>show th</w:t>
      </w:r>
      <w:r w:rsidR="000B618D">
        <w:rPr>
          <w:rFonts w:ascii="Arial" w:hAnsi="Arial" w:cs="Arial"/>
          <w:sz w:val="24"/>
          <w:szCs w:val="24"/>
          <w:lang w:val="en-GB"/>
        </w:rPr>
        <w:t>e same sign</w:t>
      </w:r>
      <w:r w:rsidR="00EF352F">
        <w:rPr>
          <w:rFonts w:ascii="Arial" w:hAnsi="Arial" w:cs="Arial"/>
          <w:sz w:val="24"/>
          <w:szCs w:val="24"/>
          <w:lang w:val="en-GB"/>
        </w:rPr>
        <w:t xml:space="preserve"> in both statistics</w:t>
      </w:r>
      <w:r w:rsidR="000B618D">
        <w:rPr>
          <w:rFonts w:ascii="Arial" w:hAnsi="Arial" w:cs="Arial"/>
          <w:sz w:val="24"/>
          <w:szCs w:val="24"/>
          <w:lang w:val="en-GB"/>
        </w:rPr>
        <w:t xml:space="preserve">, </w:t>
      </w:r>
      <w:r w:rsidRPr="00F0585F">
        <w:rPr>
          <w:rFonts w:ascii="Arial" w:hAnsi="Arial" w:cs="Arial"/>
          <w:sz w:val="24"/>
          <w:szCs w:val="24"/>
          <w:lang w:val="en-GB"/>
        </w:rPr>
        <w:t xml:space="preserve">thus conveying conclusive information to users about an economy’s </w:t>
      </w:r>
      <w:r w:rsidR="004E6CC6">
        <w:rPr>
          <w:rFonts w:ascii="Arial" w:hAnsi="Arial" w:cs="Arial"/>
          <w:sz w:val="24"/>
          <w:szCs w:val="24"/>
          <w:lang w:val="en-GB"/>
        </w:rPr>
        <w:t>transactions</w:t>
      </w:r>
      <w:r w:rsidR="008C5A4E">
        <w:rPr>
          <w:rFonts w:ascii="Arial" w:hAnsi="Arial" w:cs="Arial"/>
          <w:sz w:val="24"/>
          <w:szCs w:val="24"/>
          <w:lang w:val="en-GB"/>
        </w:rPr>
        <w:t xml:space="preserve"> with the ROW</w:t>
      </w:r>
      <w:r w:rsidRPr="00F0585F">
        <w:rPr>
          <w:rFonts w:ascii="Arial" w:hAnsi="Arial" w:cs="Arial"/>
          <w:sz w:val="24"/>
          <w:szCs w:val="24"/>
          <w:lang w:val="en-GB"/>
        </w:rPr>
        <w:t>.</w:t>
      </w:r>
      <w:r w:rsidR="00E242CC">
        <w:rPr>
          <w:rFonts w:ascii="Arial" w:hAnsi="Arial" w:cs="Arial"/>
          <w:sz w:val="24"/>
          <w:szCs w:val="24"/>
          <w:lang w:val="en-GB"/>
        </w:rPr>
        <w:t xml:space="preserve"> However this is not always the case</w:t>
      </w:r>
      <w:r w:rsidR="00E242CC">
        <w:rPr>
          <w:rStyle w:val="FootnoteReference"/>
          <w:rFonts w:ascii="Arial" w:hAnsi="Arial" w:cs="Arial"/>
          <w:sz w:val="24"/>
          <w:szCs w:val="24"/>
          <w:lang w:val="en-GB"/>
        </w:rPr>
        <w:footnoteReference w:id="9"/>
      </w:r>
      <w:r w:rsidR="00E242CC">
        <w:rPr>
          <w:rFonts w:ascii="Arial" w:hAnsi="Arial" w:cs="Arial"/>
          <w:sz w:val="24"/>
          <w:szCs w:val="24"/>
          <w:lang w:val="en-GB"/>
        </w:rPr>
        <w:t>.</w:t>
      </w:r>
      <w:r w:rsidRPr="00F0585F">
        <w:rPr>
          <w:rFonts w:ascii="Arial" w:hAnsi="Arial" w:cs="Arial"/>
          <w:sz w:val="24"/>
          <w:szCs w:val="24"/>
          <w:lang w:val="en-GB"/>
        </w:rPr>
        <w:t xml:space="preserve"> </w:t>
      </w:r>
    </w:p>
    <w:p w:rsidR="00E62D0A" w:rsidRPr="00E62D0A" w:rsidRDefault="00E62D0A" w:rsidP="00E62D0A">
      <w:pPr>
        <w:spacing w:before="360" w:after="0" w:line="360" w:lineRule="auto"/>
        <w:jc w:val="both"/>
        <w:rPr>
          <w:rFonts w:ascii="Arial" w:hAnsi="Arial" w:cs="Arial"/>
          <w:b/>
          <w:sz w:val="24"/>
          <w:szCs w:val="24"/>
          <w:lang w:val="en-GB"/>
        </w:rPr>
      </w:pPr>
      <w:r w:rsidRPr="00E62D0A">
        <w:rPr>
          <w:rFonts w:ascii="Arial" w:hAnsi="Arial" w:cs="Arial"/>
          <w:b/>
          <w:sz w:val="24"/>
          <w:szCs w:val="24"/>
          <w:lang w:val="en-GB"/>
        </w:rPr>
        <w:t>5. The internal aspect – measuring cross-domain consistency in N</w:t>
      </w:r>
      <w:r w:rsidR="00373F70">
        <w:rPr>
          <w:rFonts w:ascii="Arial" w:hAnsi="Arial" w:cs="Arial"/>
          <w:b/>
          <w:sz w:val="24"/>
          <w:szCs w:val="24"/>
          <w:lang w:val="en-GB"/>
        </w:rPr>
        <w:t>A</w:t>
      </w:r>
    </w:p>
    <w:p w:rsidR="00C24BD3" w:rsidRPr="00C24BD3" w:rsidRDefault="00E62D0A" w:rsidP="00C24BD3">
      <w:pPr>
        <w:spacing w:before="360" w:after="0" w:line="360" w:lineRule="auto"/>
        <w:jc w:val="both"/>
        <w:rPr>
          <w:rFonts w:ascii="Arial" w:hAnsi="Arial" w:cs="Arial"/>
          <w:sz w:val="24"/>
          <w:szCs w:val="24"/>
          <w:lang w:val="en-GB"/>
        </w:rPr>
      </w:pPr>
      <w:r w:rsidRPr="00E62D0A">
        <w:rPr>
          <w:rFonts w:ascii="Arial" w:hAnsi="Arial" w:cs="Arial"/>
          <w:sz w:val="24"/>
          <w:szCs w:val="24"/>
          <w:lang w:val="en-GB"/>
        </w:rPr>
        <w:t xml:space="preserve">The European System of National and Regional Accounts (ESA2010) is the current standard of the EU accounting framework. It </w:t>
      </w:r>
      <w:r w:rsidR="0092595A">
        <w:rPr>
          <w:rFonts w:ascii="Arial" w:hAnsi="Arial" w:cs="Arial"/>
          <w:sz w:val="24"/>
          <w:szCs w:val="24"/>
          <w:lang w:val="en-GB"/>
        </w:rPr>
        <w:t xml:space="preserve">is defined in </w:t>
      </w:r>
      <w:r w:rsidRPr="00E62D0A">
        <w:rPr>
          <w:rFonts w:ascii="Arial" w:hAnsi="Arial" w:cs="Arial"/>
          <w:sz w:val="24"/>
          <w:szCs w:val="24"/>
          <w:lang w:val="en-GB"/>
        </w:rPr>
        <w:t xml:space="preserve">Regulation (EU) </w:t>
      </w:r>
      <w:r w:rsidRPr="00E62D0A">
        <w:rPr>
          <w:rFonts w:ascii="Arial" w:hAnsi="Arial" w:cs="Arial"/>
          <w:sz w:val="24"/>
          <w:szCs w:val="24"/>
          <w:lang w:val="en-GB"/>
        </w:rPr>
        <w:lastRenderedPageBreak/>
        <w:t>No</w:t>
      </w:r>
      <w:r w:rsidR="00762E6E">
        <w:rPr>
          <w:rFonts w:ascii="Arial" w:hAnsi="Arial" w:cs="Arial"/>
          <w:sz w:val="24"/>
          <w:szCs w:val="24"/>
          <w:lang w:val="en-GB"/>
        </w:rPr>
        <w:t>. </w:t>
      </w:r>
      <w:r w:rsidRPr="00E62D0A">
        <w:rPr>
          <w:rFonts w:ascii="Arial" w:hAnsi="Arial" w:cs="Arial"/>
          <w:sz w:val="24"/>
          <w:szCs w:val="24"/>
          <w:lang w:val="en-GB"/>
        </w:rPr>
        <w:t>549/2013 and includes a detailed transmission programme</w:t>
      </w:r>
      <w:r w:rsidR="009448D4">
        <w:rPr>
          <w:rFonts w:ascii="Arial" w:hAnsi="Arial" w:cs="Arial"/>
          <w:sz w:val="24"/>
          <w:szCs w:val="24"/>
          <w:lang w:val="en-GB"/>
        </w:rPr>
        <w:t xml:space="preserve">, which </w:t>
      </w:r>
      <w:r w:rsidR="00762E6E">
        <w:rPr>
          <w:rFonts w:ascii="Arial" w:hAnsi="Arial" w:cs="Arial"/>
          <w:sz w:val="24"/>
          <w:szCs w:val="24"/>
          <w:lang w:val="en-GB"/>
        </w:rPr>
        <w:t>describes</w:t>
      </w:r>
      <w:r w:rsidRPr="00E62D0A">
        <w:rPr>
          <w:rFonts w:ascii="Arial" w:hAnsi="Arial" w:cs="Arial"/>
          <w:sz w:val="24"/>
          <w:szCs w:val="24"/>
          <w:lang w:val="en-GB"/>
        </w:rPr>
        <w:t xml:space="preserve"> the scope of national accounts statistics in the EU. Among </w:t>
      </w:r>
      <w:r w:rsidR="009448D4">
        <w:rPr>
          <w:rFonts w:ascii="Arial" w:hAnsi="Arial" w:cs="Arial"/>
          <w:sz w:val="24"/>
          <w:szCs w:val="24"/>
          <w:lang w:val="en-GB"/>
        </w:rPr>
        <w:t xml:space="preserve">the 22 </w:t>
      </w:r>
      <w:r w:rsidRPr="00E62D0A">
        <w:rPr>
          <w:rFonts w:ascii="Arial" w:hAnsi="Arial" w:cs="Arial"/>
          <w:sz w:val="24"/>
          <w:szCs w:val="24"/>
          <w:lang w:val="en-GB"/>
        </w:rPr>
        <w:t>tables,</w:t>
      </w:r>
      <w:r w:rsidR="00E91392">
        <w:rPr>
          <w:rFonts w:ascii="Arial" w:hAnsi="Arial" w:cs="Arial"/>
          <w:sz w:val="24"/>
          <w:szCs w:val="24"/>
          <w:lang w:val="en-GB"/>
        </w:rPr>
        <w:t xml:space="preserve"> transmission tables 1, 2, 6 and 8 </w:t>
      </w:r>
      <w:r w:rsidR="009448D4" w:rsidRPr="00E62D0A">
        <w:rPr>
          <w:rFonts w:ascii="Arial" w:hAnsi="Arial" w:cs="Arial"/>
          <w:sz w:val="24"/>
          <w:szCs w:val="24"/>
          <w:lang w:val="en-GB"/>
        </w:rPr>
        <w:t>re</w:t>
      </w:r>
      <w:r w:rsidR="00E91392">
        <w:rPr>
          <w:rFonts w:ascii="Arial" w:hAnsi="Arial" w:cs="Arial"/>
          <w:sz w:val="24"/>
          <w:szCs w:val="24"/>
          <w:lang w:val="en-GB"/>
        </w:rPr>
        <w:t>present the statistical domains</w:t>
      </w:r>
      <w:r w:rsidR="009448D4">
        <w:rPr>
          <w:rFonts w:ascii="Arial" w:hAnsi="Arial" w:cs="Arial"/>
          <w:sz w:val="24"/>
          <w:szCs w:val="24"/>
          <w:lang w:val="en-GB"/>
        </w:rPr>
        <w:t xml:space="preserve"> </w:t>
      </w:r>
      <w:r w:rsidR="009448D4" w:rsidRPr="00E62D0A">
        <w:rPr>
          <w:rFonts w:ascii="Arial" w:hAnsi="Arial" w:cs="Arial"/>
          <w:sz w:val="24"/>
          <w:szCs w:val="24"/>
          <w:lang w:val="en-GB"/>
        </w:rPr>
        <w:t xml:space="preserve">of the </w:t>
      </w:r>
      <w:r w:rsidR="009448D4">
        <w:rPr>
          <w:rFonts w:ascii="Arial" w:hAnsi="Arial" w:cs="Arial"/>
          <w:sz w:val="24"/>
          <w:szCs w:val="24"/>
          <w:lang w:val="en-GB"/>
        </w:rPr>
        <w:t>NA main aggregates, GFS and</w:t>
      </w:r>
      <w:r w:rsidR="00E91392">
        <w:rPr>
          <w:rFonts w:ascii="Arial" w:hAnsi="Arial" w:cs="Arial"/>
          <w:sz w:val="24"/>
          <w:szCs w:val="24"/>
          <w:lang w:val="en-GB"/>
        </w:rPr>
        <w:t xml:space="preserve"> </w:t>
      </w:r>
      <w:r w:rsidR="009448D4">
        <w:rPr>
          <w:rFonts w:ascii="Arial" w:hAnsi="Arial" w:cs="Arial"/>
          <w:sz w:val="24"/>
          <w:szCs w:val="24"/>
          <w:lang w:val="en-GB"/>
        </w:rPr>
        <w:t>the</w:t>
      </w:r>
      <w:r w:rsidR="00E91392">
        <w:rPr>
          <w:rFonts w:ascii="Arial" w:hAnsi="Arial" w:cs="Arial"/>
          <w:sz w:val="24"/>
          <w:szCs w:val="24"/>
          <w:lang w:val="en-GB"/>
        </w:rPr>
        <w:t xml:space="preserve"> financial and non-financial </w:t>
      </w:r>
      <w:r w:rsidR="009448D4">
        <w:rPr>
          <w:rFonts w:ascii="Arial" w:hAnsi="Arial" w:cs="Arial"/>
          <w:sz w:val="24"/>
          <w:szCs w:val="24"/>
          <w:lang w:val="en-GB"/>
        </w:rPr>
        <w:t>sector accounts</w:t>
      </w:r>
      <w:r w:rsidRPr="00E62D0A">
        <w:rPr>
          <w:rFonts w:ascii="Arial" w:hAnsi="Arial" w:cs="Arial"/>
          <w:sz w:val="24"/>
          <w:szCs w:val="24"/>
          <w:lang w:val="en-GB"/>
        </w:rPr>
        <w:t xml:space="preserve"> </w:t>
      </w:r>
      <w:r w:rsidR="00E91392">
        <w:rPr>
          <w:rFonts w:ascii="Arial" w:hAnsi="Arial" w:cs="Arial"/>
          <w:sz w:val="24"/>
          <w:szCs w:val="24"/>
          <w:lang w:val="en-GB"/>
        </w:rPr>
        <w:t xml:space="preserve">in </w:t>
      </w:r>
      <w:r w:rsidR="00331551">
        <w:rPr>
          <w:rFonts w:ascii="Arial" w:hAnsi="Arial" w:cs="Arial"/>
          <w:sz w:val="24"/>
          <w:szCs w:val="24"/>
          <w:lang w:val="en-GB"/>
        </w:rPr>
        <w:t>quarterly and annual statistics</w:t>
      </w:r>
      <w:r w:rsidR="00E91392">
        <w:rPr>
          <w:rFonts w:ascii="Arial" w:hAnsi="Arial" w:cs="Arial"/>
          <w:sz w:val="24"/>
          <w:szCs w:val="24"/>
          <w:lang w:val="en-GB"/>
        </w:rPr>
        <w:t xml:space="preserve"> respectively</w:t>
      </w:r>
      <w:r w:rsidR="009448D4">
        <w:rPr>
          <w:rStyle w:val="FootnoteReference"/>
          <w:rFonts w:ascii="Arial" w:hAnsi="Arial" w:cs="Arial"/>
          <w:sz w:val="24"/>
          <w:szCs w:val="24"/>
          <w:lang w:val="en-GB"/>
        </w:rPr>
        <w:footnoteReference w:id="10"/>
      </w:r>
      <w:r w:rsidRPr="00E62D0A">
        <w:rPr>
          <w:rFonts w:ascii="Arial" w:hAnsi="Arial" w:cs="Arial"/>
          <w:sz w:val="24"/>
          <w:szCs w:val="24"/>
          <w:lang w:val="en-GB"/>
        </w:rPr>
        <w:t xml:space="preserve">. Given the fact that the mentioned tables provide an important input to political and strategic decision-making as well as the fiscal monitoring of the EU Member States, potential inconsistencies could rightfully or not, </w:t>
      </w:r>
      <w:r w:rsidR="000021E2">
        <w:rPr>
          <w:rFonts w:ascii="Arial" w:hAnsi="Arial" w:cs="Arial"/>
          <w:sz w:val="24"/>
          <w:szCs w:val="24"/>
          <w:lang w:val="en-GB"/>
        </w:rPr>
        <w:t>jeopardise</w:t>
      </w:r>
      <w:r w:rsidRPr="00E62D0A">
        <w:rPr>
          <w:rFonts w:ascii="Arial" w:hAnsi="Arial" w:cs="Arial"/>
          <w:sz w:val="24"/>
          <w:szCs w:val="24"/>
          <w:lang w:val="en-GB"/>
        </w:rPr>
        <w:t xml:space="preserve"> the reliability of the data. </w:t>
      </w:r>
      <w:r w:rsidR="009448D4">
        <w:rPr>
          <w:rFonts w:ascii="Arial" w:hAnsi="Arial" w:cs="Arial"/>
          <w:sz w:val="24"/>
          <w:szCs w:val="24"/>
          <w:lang w:val="en-GB"/>
        </w:rPr>
        <w:t>Although at a lower level than BOP-ROW inconsistencies</w:t>
      </w:r>
      <w:r w:rsidR="000021E2">
        <w:rPr>
          <w:rFonts w:ascii="Arial" w:hAnsi="Arial" w:cs="Arial"/>
          <w:sz w:val="24"/>
          <w:szCs w:val="24"/>
          <w:lang w:val="en-GB"/>
        </w:rPr>
        <w:t>,</w:t>
      </w:r>
      <w:r w:rsidR="009448D4">
        <w:rPr>
          <w:rFonts w:ascii="Arial" w:hAnsi="Arial" w:cs="Arial"/>
          <w:sz w:val="24"/>
          <w:szCs w:val="24"/>
          <w:lang w:val="en-GB"/>
        </w:rPr>
        <w:t xml:space="preserve"> c</w:t>
      </w:r>
      <w:r w:rsidR="00E657DF">
        <w:rPr>
          <w:rFonts w:ascii="Arial" w:hAnsi="Arial" w:cs="Arial"/>
          <w:sz w:val="24"/>
          <w:szCs w:val="24"/>
          <w:lang w:val="en-GB"/>
        </w:rPr>
        <w:t>ross-domain inconsistencies of the sector accounts</w:t>
      </w:r>
      <w:r w:rsidR="009448D4">
        <w:rPr>
          <w:rFonts w:ascii="Arial" w:hAnsi="Arial" w:cs="Arial"/>
          <w:sz w:val="24"/>
          <w:szCs w:val="24"/>
          <w:lang w:val="en-GB"/>
        </w:rPr>
        <w:t xml:space="preserve"> with the other NA </w:t>
      </w:r>
      <w:r w:rsidR="00144B58">
        <w:rPr>
          <w:rFonts w:ascii="Arial" w:hAnsi="Arial" w:cs="Arial"/>
          <w:sz w:val="24"/>
          <w:szCs w:val="24"/>
          <w:lang w:val="en-GB"/>
        </w:rPr>
        <w:t>domains</w:t>
      </w:r>
      <w:r w:rsidR="00E657DF">
        <w:rPr>
          <w:rFonts w:ascii="Arial" w:hAnsi="Arial" w:cs="Arial"/>
          <w:sz w:val="24"/>
          <w:szCs w:val="24"/>
          <w:lang w:val="en-GB"/>
        </w:rPr>
        <w:t xml:space="preserve"> appear generally elevated only with GFS and only for a few countries</w:t>
      </w:r>
      <w:r w:rsidR="000021E2">
        <w:rPr>
          <w:rStyle w:val="FootnoteReference"/>
          <w:rFonts w:ascii="Arial" w:hAnsi="Arial" w:cs="Arial"/>
          <w:sz w:val="24"/>
          <w:szCs w:val="24"/>
          <w:lang w:val="en-GB"/>
        </w:rPr>
        <w:footnoteReference w:id="11"/>
      </w:r>
      <w:r w:rsidRPr="00E62D0A">
        <w:rPr>
          <w:rFonts w:ascii="Arial" w:hAnsi="Arial" w:cs="Arial"/>
          <w:sz w:val="24"/>
          <w:szCs w:val="24"/>
          <w:lang w:val="en-GB"/>
        </w:rPr>
        <w:t>.</w:t>
      </w:r>
      <w:r w:rsidR="00E657DF">
        <w:rPr>
          <w:rFonts w:ascii="Arial" w:hAnsi="Arial" w:cs="Arial"/>
          <w:sz w:val="24"/>
          <w:szCs w:val="24"/>
          <w:lang w:val="en-GB"/>
        </w:rPr>
        <w:t xml:space="preserve"> </w:t>
      </w:r>
    </w:p>
    <w:p w:rsidR="00E62D0A" w:rsidRPr="00EC5F5A" w:rsidRDefault="00E37391" w:rsidP="00E37391">
      <w:pPr>
        <w:pStyle w:val="Caption"/>
        <w:keepNext/>
        <w:spacing w:after="0"/>
        <w:jc w:val="both"/>
        <w:rPr>
          <w:rFonts w:ascii="Arial" w:hAnsi="Arial" w:cs="Arial"/>
          <w:b/>
          <w:i w:val="0"/>
          <w:color w:val="auto"/>
          <w:sz w:val="20"/>
          <w:szCs w:val="20"/>
          <w:lang w:val="en-GB"/>
        </w:rPr>
      </w:pPr>
      <w:r>
        <w:rPr>
          <w:rFonts w:ascii="Arial" w:hAnsi="Arial" w:cs="Arial"/>
          <w:noProof/>
          <w:sz w:val="24"/>
          <w:szCs w:val="24"/>
          <w:lang w:val="en-GB" w:eastAsia="en-GB"/>
        </w:rPr>
        <w:drawing>
          <wp:anchor distT="0" distB="0" distL="114300" distR="114300" simplePos="0" relativeHeight="251659264" behindDoc="0" locked="0" layoutInCell="1" allowOverlap="1" wp14:anchorId="007FAE93" wp14:editId="3D58F047">
            <wp:simplePos x="0" y="0"/>
            <wp:positionH relativeFrom="column">
              <wp:posOffset>-1905</wp:posOffset>
            </wp:positionH>
            <wp:positionV relativeFrom="paragraph">
              <wp:posOffset>382270</wp:posOffset>
            </wp:positionV>
            <wp:extent cx="5756275" cy="2019300"/>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6275" cy="20193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E62D0A" w:rsidRPr="00EC5F5A">
        <w:rPr>
          <w:rFonts w:ascii="Arial" w:hAnsi="Arial" w:cs="Arial"/>
          <w:b/>
          <w:i w:val="0"/>
          <w:color w:val="auto"/>
          <w:sz w:val="20"/>
          <w:szCs w:val="20"/>
          <w:lang w:val="en-GB"/>
        </w:rPr>
        <w:t xml:space="preserve">Figure </w:t>
      </w:r>
      <w:r w:rsidR="00C24BD3">
        <w:rPr>
          <w:rFonts w:ascii="Arial" w:hAnsi="Arial" w:cs="Arial"/>
          <w:b/>
          <w:i w:val="0"/>
          <w:color w:val="auto"/>
          <w:sz w:val="20"/>
          <w:szCs w:val="20"/>
          <w:lang w:val="en-GB"/>
        </w:rPr>
        <w:t>4</w:t>
      </w:r>
      <w:r w:rsidR="00E62D0A" w:rsidRPr="00EC5F5A">
        <w:rPr>
          <w:rFonts w:ascii="Arial" w:hAnsi="Arial" w:cs="Arial"/>
          <w:b/>
          <w:i w:val="0"/>
          <w:color w:val="auto"/>
          <w:sz w:val="20"/>
          <w:szCs w:val="20"/>
          <w:lang w:val="en-GB"/>
        </w:rPr>
        <w:t>.</w:t>
      </w:r>
      <w:proofErr w:type="gramEnd"/>
      <w:r w:rsidR="00E62D0A" w:rsidRPr="00EC5F5A">
        <w:rPr>
          <w:rFonts w:ascii="Arial" w:hAnsi="Arial" w:cs="Arial"/>
          <w:b/>
          <w:i w:val="0"/>
          <w:color w:val="auto"/>
          <w:sz w:val="20"/>
          <w:szCs w:val="20"/>
          <w:lang w:val="en-GB"/>
        </w:rPr>
        <w:t xml:space="preserve"> </w:t>
      </w:r>
      <w:r w:rsidR="00E62D0A">
        <w:rPr>
          <w:rFonts w:ascii="Arial" w:hAnsi="Arial" w:cs="Arial"/>
          <w:b/>
          <w:i w:val="0"/>
          <w:color w:val="auto"/>
          <w:sz w:val="20"/>
          <w:szCs w:val="20"/>
          <w:lang w:val="en-GB"/>
        </w:rPr>
        <w:t xml:space="preserve">Cross-domain inconsistencies of the annual sector accounts, EU-28 Member States, 2010-2016 (mean absolute percentage deviation, EUR million) </w:t>
      </w:r>
    </w:p>
    <w:p w:rsidR="00DC07A9" w:rsidRPr="00D564C9" w:rsidRDefault="00DC07A9" w:rsidP="00E62D0A">
      <w:pPr>
        <w:spacing w:before="360" w:after="0" w:line="360" w:lineRule="auto"/>
        <w:jc w:val="both"/>
        <w:rPr>
          <w:rFonts w:ascii="Arial" w:hAnsi="Arial" w:cs="Arial"/>
          <w:sz w:val="24"/>
          <w:szCs w:val="24"/>
          <w:lang w:val="en-GB"/>
        </w:rPr>
      </w:pPr>
      <w:r>
        <w:rPr>
          <w:rFonts w:ascii="Arial" w:hAnsi="Arial" w:cs="Arial"/>
          <w:noProof/>
          <w:sz w:val="24"/>
          <w:szCs w:val="24"/>
          <w:lang w:val="en-GB" w:eastAsia="en-GB"/>
        </w:rPr>
        <w:drawing>
          <wp:inline distT="0" distB="0" distL="0" distR="0" wp14:anchorId="2C969540">
            <wp:extent cx="5761915" cy="190831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1355" cy="1908128"/>
                    </a:xfrm>
                    <a:prstGeom prst="rect">
                      <a:avLst/>
                    </a:prstGeom>
                    <a:noFill/>
                  </pic:spPr>
                </pic:pic>
              </a:graphicData>
            </a:graphic>
          </wp:inline>
        </w:drawing>
      </w:r>
    </w:p>
    <w:p w:rsidR="00E62D0A" w:rsidRPr="00F0585F" w:rsidRDefault="00E62D0A" w:rsidP="00E62D0A">
      <w:pPr>
        <w:spacing w:after="0" w:line="240" w:lineRule="auto"/>
        <w:ind w:left="851"/>
        <w:jc w:val="both"/>
        <w:rPr>
          <w:rFonts w:ascii="Arial" w:hAnsi="Arial" w:cs="Arial"/>
          <w:b/>
          <w:sz w:val="20"/>
          <w:szCs w:val="20"/>
          <w:lang w:val="en-GB"/>
        </w:rPr>
      </w:pPr>
      <w:r w:rsidRPr="00F0585F">
        <w:rPr>
          <w:rFonts w:ascii="Arial" w:hAnsi="Arial" w:cs="Arial"/>
          <w:sz w:val="20"/>
          <w:szCs w:val="20"/>
          <w:lang w:val="en-GB"/>
        </w:rPr>
        <w:t>Source: Eurostat</w:t>
      </w:r>
      <w:r w:rsidR="00E657DF">
        <w:rPr>
          <w:rFonts w:ascii="Arial" w:hAnsi="Arial" w:cs="Arial"/>
          <w:sz w:val="20"/>
          <w:szCs w:val="20"/>
          <w:lang w:val="en-GB"/>
        </w:rPr>
        <w:t xml:space="preserve"> – mean absolute differences indicate average differences over the period</w:t>
      </w:r>
      <w:r w:rsidR="00923301">
        <w:rPr>
          <w:rFonts w:ascii="Arial" w:hAnsi="Arial" w:cs="Arial"/>
          <w:sz w:val="20"/>
          <w:szCs w:val="20"/>
          <w:lang w:val="en-GB"/>
        </w:rPr>
        <w:t>. Data as of October 2017.</w:t>
      </w:r>
    </w:p>
    <w:p w:rsidR="00923301" w:rsidRDefault="00923301" w:rsidP="00C24BD3">
      <w:pPr>
        <w:spacing w:before="360" w:after="0" w:line="360" w:lineRule="auto"/>
        <w:jc w:val="both"/>
        <w:rPr>
          <w:rFonts w:ascii="Arial" w:hAnsi="Arial" w:cs="Arial"/>
          <w:sz w:val="24"/>
          <w:szCs w:val="24"/>
          <w:lang w:val="en-GB"/>
        </w:rPr>
      </w:pPr>
      <w:r>
        <w:rPr>
          <w:rFonts w:ascii="Arial" w:hAnsi="Arial" w:cs="Arial"/>
          <w:sz w:val="24"/>
          <w:szCs w:val="24"/>
          <w:lang w:val="en-GB"/>
        </w:rPr>
        <w:lastRenderedPageBreak/>
        <w:t>While</w:t>
      </w:r>
      <w:r w:rsidRPr="00E657DF">
        <w:rPr>
          <w:rFonts w:ascii="Arial" w:hAnsi="Arial" w:cs="Arial"/>
          <w:sz w:val="24"/>
          <w:szCs w:val="24"/>
          <w:lang w:val="en-GB"/>
        </w:rPr>
        <w:t xml:space="preserve"> </w:t>
      </w:r>
      <w:r>
        <w:rPr>
          <w:rFonts w:ascii="Arial" w:hAnsi="Arial" w:cs="Arial"/>
          <w:sz w:val="24"/>
          <w:szCs w:val="24"/>
          <w:lang w:val="en-GB"/>
        </w:rPr>
        <w:t>s</w:t>
      </w:r>
      <w:r w:rsidRPr="00DC07A9">
        <w:rPr>
          <w:rFonts w:ascii="Arial" w:hAnsi="Arial" w:cs="Arial"/>
          <w:sz w:val="24"/>
          <w:szCs w:val="24"/>
          <w:lang w:val="en-GB"/>
        </w:rPr>
        <w:t xml:space="preserve">ector accounts and main aggregates </w:t>
      </w:r>
      <w:r>
        <w:rPr>
          <w:rFonts w:ascii="Arial" w:hAnsi="Arial" w:cs="Arial"/>
          <w:sz w:val="24"/>
          <w:szCs w:val="24"/>
          <w:lang w:val="en-GB"/>
        </w:rPr>
        <w:t xml:space="preserve">appear </w:t>
      </w:r>
      <w:r w:rsidRPr="00DC07A9">
        <w:rPr>
          <w:rFonts w:ascii="Arial" w:hAnsi="Arial" w:cs="Arial"/>
          <w:sz w:val="24"/>
          <w:szCs w:val="24"/>
          <w:lang w:val="en-GB"/>
        </w:rPr>
        <w:t xml:space="preserve">consistent in </w:t>
      </w:r>
      <w:r>
        <w:rPr>
          <w:rFonts w:ascii="Arial" w:hAnsi="Arial" w:cs="Arial"/>
          <w:sz w:val="24"/>
          <w:szCs w:val="24"/>
          <w:lang w:val="en-GB"/>
        </w:rPr>
        <w:t xml:space="preserve">most </w:t>
      </w:r>
      <w:r w:rsidRPr="00DC07A9">
        <w:rPr>
          <w:rFonts w:ascii="Arial" w:hAnsi="Arial" w:cs="Arial"/>
          <w:sz w:val="24"/>
          <w:szCs w:val="24"/>
          <w:lang w:val="en-GB"/>
        </w:rPr>
        <w:t>Member States (pink bars)</w:t>
      </w:r>
      <w:r>
        <w:rPr>
          <w:rFonts w:ascii="Arial" w:hAnsi="Arial" w:cs="Arial"/>
          <w:sz w:val="24"/>
          <w:szCs w:val="24"/>
          <w:lang w:val="en-GB"/>
        </w:rPr>
        <w:t xml:space="preserve">, higher exposure was measured for a few Member States with GFS (blue bars – non-financial accounts, green bars – financial accounts). </w:t>
      </w:r>
    </w:p>
    <w:p w:rsidR="00C24BD3" w:rsidRPr="00C24BD3" w:rsidRDefault="00923301" w:rsidP="00C24BD3">
      <w:pPr>
        <w:spacing w:before="360" w:after="0" w:line="360" w:lineRule="auto"/>
        <w:jc w:val="both"/>
        <w:rPr>
          <w:rFonts w:ascii="Arial" w:hAnsi="Arial" w:cs="Arial"/>
          <w:sz w:val="24"/>
          <w:szCs w:val="24"/>
          <w:lang w:val="en-GB"/>
        </w:rPr>
      </w:pPr>
      <w:r>
        <w:rPr>
          <w:rFonts w:ascii="Arial" w:hAnsi="Arial" w:cs="Arial"/>
          <w:sz w:val="24"/>
          <w:szCs w:val="24"/>
          <w:lang w:val="en-GB"/>
        </w:rPr>
        <w:t>Finally it</w:t>
      </w:r>
      <w:r w:rsidR="00C24BD3" w:rsidRPr="00C24BD3">
        <w:rPr>
          <w:rFonts w:ascii="Arial" w:hAnsi="Arial" w:cs="Arial"/>
          <w:sz w:val="24"/>
          <w:szCs w:val="24"/>
          <w:lang w:val="en-GB"/>
        </w:rPr>
        <w:t xml:space="preserve"> has to be </w:t>
      </w:r>
      <w:r>
        <w:rPr>
          <w:rFonts w:ascii="Arial" w:hAnsi="Arial" w:cs="Arial"/>
          <w:sz w:val="24"/>
          <w:szCs w:val="24"/>
          <w:lang w:val="en-GB"/>
        </w:rPr>
        <w:t>emphasised</w:t>
      </w:r>
      <w:r w:rsidR="00C24BD3" w:rsidRPr="00C24BD3">
        <w:rPr>
          <w:rFonts w:ascii="Arial" w:hAnsi="Arial" w:cs="Arial"/>
          <w:sz w:val="24"/>
          <w:szCs w:val="24"/>
          <w:lang w:val="en-GB"/>
        </w:rPr>
        <w:t xml:space="preserve"> that consistency is </w:t>
      </w:r>
      <w:r>
        <w:rPr>
          <w:rFonts w:ascii="Arial" w:hAnsi="Arial" w:cs="Arial"/>
          <w:sz w:val="24"/>
          <w:szCs w:val="24"/>
          <w:lang w:val="en-GB"/>
        </w:rPr>
        <w:t xml:space="preserve">also </w:t>
      </w:r>
      <w:r w:rsidR="00C24BD3" w:rsidRPr="00C24BD3">
        <w:rPr>
          <w:rFonts w:ascii="Arial" w:hAnsi="Arial" w:cs="Arial"/>
          <w:sz w:val="24"/>
          <w:szCs w:val="24"/>
          <w:lang w:val="en-GB"/>
        </w:rPr>
        <w:t xml:space="preserve">expected </w:t>
      </w:r>
      <w:r w:rsidR="007445DC">
        <w:rPr>
          <w:rFonts w:ascii="Arial" w:hAnsi="Arial" w:cs="Arial"/>
          <w:sz w:val="24"/>
          <w:szCs w:val="24"/>
          <w:lang w:val="en-GB"/>
        </w:rPr>
        <w:t xml:space="preserve">in the </w:t>
      </w:r>
      <w:r w:rsidR="00C24BD3" w:rsidRPr="00C24BD3">
        <w:rPr>
          <w:rFonts w:ascii="Arial" w:hAnsi="Arial" w:cs="Arial"/>
          <w:sz w:val="24"/>
          <w:szCs w:val="24"/>
          <w:lang w:val="en-GB"/>
        </w:rPr>
        <w:t>annual and quarterly sector accounts table</w:t>
      </w:r>
      <w:r w:rsidR="00C24BD3">
        <w:rPr>
          <w:rFonts w:ascii="Arial" w:hAnsi="Arial" w:cs="Arial"/>
          <w:sz w:val="24"/>
          <w:szCs w:val="24"/>
          <w:lang w:val="en-GB"/>
        </w:rPr>
        <w:t>s</w:t>
      </w:r>
      <w:r w:rsidR="007445DC">
        <w:rPr>
          <w:rFonts w:ascii="Arial" w:hAnsi="Arial" w:cs="Arial"/>
          <w:sz w:val="24"/>
          <w:szCs w:val="24"/>
          <w:lang w:val="en-GB"/>
        </w:rPr>
        <w:t xml:space="preserve">, following </w:t>
      </w:r>
      <w:r w:rsidR="00C24BD3" w:rsidRPr="00C24BD3">
        <w:rPr>
          <w:rFonts w:ascii="Arial" w:hAnsi="Arial" w:cs="Arial"/>
          <w:sz w:val="24"/>
          <w:szCs w:val="24"/>
          <w:lang w:val="en-GB"/>
        </w:rPr>
        <w:t>the general accounting rules (uses=resources, main items=sum of sub</w:t>
      </w:r>
      <w:r w:rsidR="007445DC">
        <w:rPr>
          <w:rFonts w:ascii="Arial" w:hAnsi="Arial" w:cs="Arial"/>
          <w:sz w:val="24"/>
          <w:szCs w:val="24"/>
          <w:lang w:val="en-GB"/>
        </w:rPr>
        <w:t xml:space="preserve"> </w:t>
      </w:r>
      <w:r w:rsidR="00C24BD3" w:rsidRPr="00C24BD3">
        <w:rPr>
          <w:rFonts w:ascii="Arial" w:hAnsi="Arial" w:cs="Arial"/>
          <w:sz w:val="24"/>
          <w:szCs w:val="24"/>
          <w:lang w:val="en-GB"/>
        </w:rPr>
        <w:t>items, total economy=sum of sectors)</w:t>
      </w:r>
      <w:r w:rsidR="007445DC">
        <w:rPr>
          <w:rFonts w:ascii="Arial" w:hAnsi="Arial" w:cs="Arial"/>
          <w:sz w:val="24"/>
          <w:szCs w:val="24"/>
          <w:lang w:val="en-GB"/>
        </w:rPr>
        <w:t>. F</w:t>
      </w:r>
      <w:r w:rsidR="00C24BD3" w:rsidRPr="00C24BD3">
        <w:rPr>
          <w:rFonts w:ascii="Arial" w:hAnsi="Arial" w:cs="Arial"/>
          <w:sz w:val="24"/>
          <w:szCs w:val="24"/>
          <w:lang w:val="en-GB"/>
        </w:rPr>
        <w:t xml:space="preserve">orcing external constraints from tables 1 and 2 without a globally consistent system </w:t>
      </w:r>
      <w:r w:rsidR="007445DC">
        <w:rPr>
          <w:rFonts w:ascii="Arial" w:hAnsi="Arial" w:cs="Arial"/>
          <w:sz w:val="24"/>
          <w:szCs w:val="24"/>
          <w:lang w:val="en-GB"/>
        </w:rPr>
        <w:t>will trigger</w:t>
      </w:r>
      <w:r w:rsidR="00C24BD3" w:rsidRPr="00C24BD3">
        <w:rPr>
          <w:rFonts w:ascii="Arial" w:hAnsi="Arial" w:cs="Arial"/>
          <w:sz w:val="24"/>
          <w:szCs w:val="24"/>
          <w:lang w:val="en-GB"/>
        </w:rPr>
        <w:t xml:space="preserve"> cross-table </w:t>
      </w:r>
      <w:r w:rsidR="007E3E5D">
        <w:rPr>
          <w:rFonts w:ascii="Arial" w:hAnsi="Arial" w:cs="Arial"/>
          <w:sz w:val="24"/>
          <w:szCs w:val="24"/>
          <w:lang w:val="en-GB"/>
        </w:rPr>
        <w:t>in</w:t>
      </w:r>
      <w:r w:rsidR="00C24BD3" w:rsidRPr="00C24BD3">
        <w:rPr>
          <w:rFonts w:ascii="Arial" w:hAnsi="Arial" w:cs="Arial"/>
          <w:sz w:val="24"/>
          <w:szCs w:val="24"/>
          <w:lang w:val="en-GB"/>
        </w:rPr>
        <w:t>consistencies</w:t>
      </w:r>
      <w:r w:rsidR="007445DC">
        <w:rPr>
          <w:rFonts w:ascii="Arial" w:hAnsi="Arial" w:cs="Arial"/>
          <w:sz w:val="24"/>
          <w:szCs w:val="24"/>
          <w:lang w:val="en-GB"/>
        </w:rPr>
        <w:t xml:space="preserve"> also between </w:t>
      </w:r>
      <w:r w:rsidR="00C24BD3" w:rsidRPr="00C24BD3">
        <w:rPr>
          <w:rFonts w:ascii="Arial" w:hAnsi="Arial" w:cs="Arial"/>
          <w:sz w:val="24"/>
          <w:szCs w:val="24"/>
          <w:lang w:val="en-GB"/>
        </w:rPr>
        <w:t xml:space="preserve">annual and quarterly </w:t>
      </w:r>
      <w:r w:rsidR="00BE5CB0">
        <w:rPr>
          <w:rFonts w:ascii="Arial" w:hAnsi="Arial" w:cs="Arial"/>
          <w:sz w:val="24"/>
          <w:szCs w:val="24"/>
          <w:lang w:val="en-GB"/>
        </w:rPr>
        <w:t xml:space="preserve">sector accounts </w:t>
      </w:r>
      <w:r w:rsidR="00C24BD3" w:rsidRPr="00C24BD3">
        <w:rPr>
          <w:rFonts w:ascii="Arial" w:hAnsi="Arial" w:cs="Arial"/>
          <w:sz w:val="24"/>
          <w:szCs w:val="24"/>
          <w:lang w:val="en-GB"/>
        </w:rPr>
        <w:t>table</w:t>
      </w:r>
      <w:r w:rsidR="007E3E5D">
        <w:rPr>
          <w:rFonts w:ascii="Arial" w:hAnsi="Arial" w:cs="Arial"/>
          <w:sz w:val="24"/>
          <w:szCs w:val="24"/>
          <w:lang w:val="en-GB"/>
        </w:rPr>
        <w:t>s</w:t>
      </w:r>
      <w:r w:rsidR="00BE5CB0">
        <w:rPr>
          <w:rFonts w:ascii="Arial" w:hAnsi="Arial" w:cs="Arial"/>
          <w:sz w:val="24"/>
          <w:szCs w:val="24"/>
          <w:lang w:val="en-GB"/>
        </w:rPr>
        <w:t>,</w:t>
      </w:r>
      <w:r w:rsidR="007445DC">
        <w:rPr>
          <w:rFonts w:ascii="Arial" w:hAnsi="Arial" w:cs="Arial"/>
          <w:sz w:val="24"/>
          <w:szCs w:val="24"/>
          <w:lang w:val="en-GB"/>
        </w:rPr>
        <w:t xml:space="preserve"> even </w:t>
      </w:r>
      <w:r w:rsidR="00C24BD3" w:rsidRPr="00C24BD3">
        <w:rPr>
          <w:rFonts w:ascii="Arial" w:hAnsi="Arial" w:cs="Arial"/>
          <w:sz w:val="24"/>
          <w:szCs w:val="24"/>
          <w:lang w:val="en-GB"/>
        </w:rPr>
        <w:t>when full alignment of all table</w:t>
      </w:r>
      <w:r w:rsidR="00C24BD3">
        <w:rPr>
          <w:rFonts w:ascii="Arial" w:hAnsi="Arial" w:cs="Arial"/>
          <w:sz w:val="24"/>
          <w:szCs w:val="24"/>
          <w:lang w:val="en-GB"/>
        </w:rPr>
        <w:t>s</w:t>
      </w:r>
      <w:r w:rsidR="00C24BD3" w:rsidRPr="00C24BD3">
        <w:rPr>
          <w:rFonts w:ascii="Arial" w:hAnsi="Arial" w:cs="Arial"/>
          <w:sz w:val="24"/>
          <w:szCs w:val="24"/>
          <w:lang w:val="en-GB"/>
        </w:rPr>
        <w:t xml:space="preserve"> should be </w:t>
      </w:r>
      <w:r w:rsidR="007E3E5D">
        <w:rPr>
          <w:rFonts w:ascii="Arial" w:hAnsi="Arial" w:cs="Arial"/>
          <w:sz w:val="24"/>
          <w:szCs w:val="24"/>
          <w:lang w:val="en-GB"/>
        </w:rPr>
        <w:t>achieved</w:t>
      </w:r>
      <w:r w:rsidR="00C24BD3" w:rsidRPr="00C24BD3">
        <w:rPr>
          <w:rFonts w:ascii="Arial" w:hAnsi="Arial" w:cs="Arial"/>
          <w:sz w:val="24"/>
          <w:szCs w:val="24"/>
          <w:lang w:val="en-GB"/>
        </w:rPr>
        <w:t xml:space="preserve"> </w:t>
      </w:r>
      <w:r w:rsidR="00BE5CB0">
        <w:rPr>
          <w:rFonts w:ascii="Arial" w:hAnsi="Arial" w:cs="Arial"/>
          <w:sz w:val="24"/>
          <w:szCs w:val="24"/>
          <w:lang w:val="en-GB"/>
        </w:rPr>
        <w:t>through</w:t>
      </w:r>
      <w:r w:rsidR="007E3E5D">
        <w:rPr>
          <w:rFonts w:ascii="Arial" w:hAnsi="Arial" w:cs="Arial"/>
          <w:sz w:val="24"/>
          <w:szCs w:val="24"/>
          <w:lang w:val="en-GB"/>
        </w:rPr>
        <w:t xml:space="preserve"> annual revisions</w:t>
      </w:r>
      <w:r w:rsidR="007445DC">
        <w:rPr>
          <w:rStyle w:val="FootnoteReference"/>
          <w:rFonts w:ascii="Arial" w:hAnsi="Arial" w:cs="Arial"/>
          <w:sz w:val="24"/>
          <w:szCs w:val="24"/>
          <w:lang w:val="en-GB"/>
        </w:rPr>
        <w:footnoteReference w:id="12"/>
      </w:r>
      <w:r w:rsidR="00C24BD3" w:rsidRPr="00C24BD3">
        <w:rPr>
          <w:rFonts w:ascii="Arial" w:hAnsi="Arial" w:cs="Arial"/>
          <w:sz w:val="24"/>
          <w:szCs w:val="24"/>
          <w:lang w:val="en-GB"/>
        </w:rPr>
        <w:t xml:space="preserve">. </w:t>
      </w:r>
    </w:p>
    <w:p w:rsidR="00E32FA8" w:rsidRDefault="00E32FA8" w:rsidP="00E5411C">
      <w:pPr>
        <w:spacing w:before="360" w:after="0" w:line="360" w:lineRule="auto"/>
        <w:jc w:val="both"/>
        <w:rPr>
          <w:rFonts w:ascii="Arial" w:hAnsi="Arial" w:cs="Arial"/>
          <w:b/>
          <w:bCs/>
          <w:sz w:val="24"/>
          <w:szCs w:val="24"/>
          <w:lang w:val="en-GB"/>
        </w:rPr>
      </w:pPr>
      <w:r>
        <w:rPr>
          <w:rFonts w:ascii="Arial" w:hAnsi="Arial" w:cs="Arial"/>
          <w:b/>
          <w:bCs/>
          <w:sz w:val="24"/>
          <w:szCs w:val="24"/>
          <w:lang w:val="en-GB"/>
        </w:rPr>
        <w:t>6. When are inconsistencies critical?</w:t>
      </w:r>
    </w:p>
    <w:p w:rsidR="0021541E" w:rsidRDefault="00C64EE1" w:rsidP="00352EA6">
      <w:pPr>
        <w:spacing w:before="120" w:after="0" w:line="360" w:lineRule="auto"/>
        <w:jc w:val="both"/>
        <w:rPr>
          <w:rFonts w:ascii="Arial" w:hAnsi="Arial" w:cs="Arial"/>
          <w:sz w:val="24"/>
          <w:szCs w:val="24"/>
          <w:lang w:val="en-GB"/>
        </w:rPr>
      </w:pPr>
      <w:r>
        <w:rPr>
          <w:rFonts w:ascii="Arial" w:hAnsi="Arial" w:cs="Arial"/>
          <w:sz w:val="24"/>
          <w:szCs w:val="24"/>
          <w:lang w:val="en-GB"/>
        </w:rPr>
        <w:t xml:space="preserve">In order to assess whether measured inconsistencies are critical, no scientific justification can be </w:t>
      </w:r>
      <w:r w:rsidR="0021541E">
        <w:rPr>
          <w:rFonts w:ascii="Arial" w:hAnsi="Arial" w:cs="Arial"/>
          <w:sz w:val="24"/>
          <w:szCs w:val="24"/>
          <w:lang w:val="en-GB"/>
        </w:rPr>
        <w:t>given</w:t>
      </w:r>
      <w:r>
        <w:rPr>
          <w:rFonts w:ascii="Arial" w:hAnsi="Arial" w:cs="Arial"/>
          <w:sz w:val="24"/>
          <w:szCs w:val="24"/>
          <w:lang w:val="en-GB"/>
        </w:rPr>
        <w:t xml:space="preserve"> and </w:t>
      </w:r>
      <w:r w:rsidR="00B63509">
        <w:rPr>
          <w:rFonts w:ascii="Arial" w:hAnsi="Arial" w:cs="Arial"/>
          <w:sz w:val="24"/>
          <w:szCs w:val="24"/>
          <w:lang w:val="en-GB"/>
        </w:rPr>
        <w:t xml:space="preserve">thus </w:t>
      </w:r>
      <w:r>
        <w:rPr>
          <w:rFonts w:ascii="Arial" w:hAnsi="Arial" w:cs="Arial"/>
          <w:sz w:val="24"/>
          <w:szCs w:val="24"/>
          <w:lang w:val="en-GB"/>
        </w:rPr>
        <w:t xml:space="preserve">relative measures appear arbitrary. Zero </w:t>
      </w:r>
      <w:r w:rsidR="00B63509">
        <w:rPr>
          <w:rFonts w:ascii="Arial" w:hAnsi="Arial" w:cs="Arial"/>
          <w:sz w:val="24"/>
          <w:szCs w:val="24"/>
          <w:lang w:val="en-GB"/>
        </w:rPr>
        <w:t>deviations (i.e. full identity of data sets)</w:t>
      </w:r>
      <w:r>
        <w:rPr>
          <w:rFonts w:ascii="Arial" w:hAnsi="Arial" w:cs="Arial"/>
          <w:sz w:val="24"/>
          <w:szCs w:val="24"/>
          <w:lang w:val="en-GB"/>
        </w:rPr>
        <w:t xml:space="preserve"> can </w:t>
      </w:r>
      <w:r w:rsidR="00537931">
        <w:rPr>
          <w:rFonts w:ascii="Arial" w:hAnsi="Arial" w:cs="Arial"/>
          <w:sz w:val="24"/>
          <w:szCs w:val="24"/>
          <w:lang w:val="en-GB"/>
        </w:rPr>
        <w:t>most likely</w:t>
      </w:r>
      <w:r>
        <w:rPr>
          <w:rFonts w:ascii="Arial" w:hAnsi="Arial" w:cs="Arial"/>
          <w:sz w:val="24"/>
          <w:szCs w:val="24"/>
          <w:lang w:val="en-GB"/>
        </w:rPr>
        <w:t xml:space="preserve"> be achieved from fully integrated statistical production</w:t>
      </w:r>
      <w:r w:rsidR="00E17B6D">
        <w:rPr>
          <w:rFonts w:ascii="Arial" w:hAnsi="Arial" w:cs="Arial"/>
          <w:sz w:val="24"/>
          <w:szCs w:val="24"/>
          <w:lang w:val="en-GB"/>
        </w:rPr>
        <w:t xml:space="preserve"> systems</w:t>
      </w:r>
      <w:r>
        <w:rPr>
          <w:rFonts w:ascii="Arial" w:hAnsi="Arial" w:cs="Arial"/>
          <w:sz w:val="24"/>
          <w:szCs w:val="24"/>
          <w:lang w:val="en-GB"/>
        </w:rPr>
        <w:t xml:space="preserve">, while smaller discrepancies could </w:t>
      </w:r>
      <w:r w:rsidR="00B63509">
        <w:rPr>
          <w:rFonts w:ascii="Arial" w:hAnsi="Arial" w:cs="Arial"/>
          <w:sz w:val="24"/>
          <w:szCs w:val="24"/>
          <w:lang w:val="en-GB"/>
        </w:rPr>
        <w:t>occur</w:t>
      </w:r>
      <w:r>
        <w:rPr>
          <w:rFonts w:ascii="Arial" w:hAnsi="Arial" w:cs="Arial"/>
          <w:sz w:val="24"/>
          <w:szCs w:val="24"/>
          <w:lang w:val="en-GB"/>
        </w:rPr>
        <w:t xml:space="preserve"> from vintage or revision effects in the analysis. In the light of the heterogeneity of production systems in the EU</w:t>
      </w:r>
      <w:r w:rsidR="00B63509">
        <w:rPr>
          <w:rFonts w:ascii="Arial" w:hAnsi="Arial" w:cs="Arial"/>
          <w:sz w:val="24"/>
          <w:szCs w:val="24"/>
          <w:lang w:val="en-GB"/>
        </w:rPr>
        <w:t>-28</w:t>
      </w:r>
      <w:r>
        <w:rPr>
          <w:rFonts w:ascii="Arial" w:hAnsi="Arial" w:cs="Arial"/>
          <w:sz w:val="24"/>
          <w:szCs w:val="24"/>
          <w:lang w:val="en-GB"/>
        </w:rPr>
        <w:t xml:space="preserve"> </w:t>
      </w:r>
      <w:r w:rsidR="00B63509">
        <w:rPr>
          <w:rFonts w:ascii="Arial" w:hAnsi="Arial" w:cs="Arial"/>
          <w:sz w:val="24"/>
          <w:szCs w:val="24"/>
          <w:lang w:val="en-GB"/>
        </w:rPr>
        <w:t xml:space="preserve">Eurostat derived </w:t>
      </w:r>
      <w:r>
        <w:rPr>
          <w:rFonts w:ascii="Arial" w:hAnsi="Arial" w:cs="Arial"/>
          <w:sz w:val="24"/>
          <w:szCs w:val="24"/>
          <w:lang w:val="en-GB"/>
        </w:rPr>
        <w:t>indicative thresholds</w:t>
      </w:r>
      <w:r w:rsidR="00B63509">
        <w:rPr>
          <w:rFonts w:ascii="Arial" w:hAnsi="Arial" w:cs="Arial"/>
          <w:sz w:val="24"/>
          <w:szCs w:val="24"/>
          <w:lang w:val="en-GB"/>
        </w:rPr>
        <w:t xml:space="preserve"> </w:t>
      </w:r>
      <w:r w:rsidR="00500052">
        <w:rPr>
          <w:rFonts w:ascii="Arial" w:hAnsi="Arial" w:cs="Arial"/>
          <w:sz w:val="24"/>
          <w:szCs w:val="24"/>
          <w:lang w:val="en-GB"/>
        </w:rPr>
        <w:t xml:space="preserve">for cross-domain inconsistencies in NA </w:t>
      </w:r>
      <w:r w:rsidR="00B63509">
        <w:rPr>
          <w:rFonts w:ascii="Arial" w:hAnsi="Arial" w:cs="Arial"/>
          <w:sz w:val="24"/>
          <w:szCs w:val="24"/>
          <w:lang w:val="en-GB"/>
        </w:rPr>
        <w:t>as criterion for criticality</w:t>
      </w:r>
      <w:r>
        <w:rPr>
          <w:rFonts w:ascii="Arial" w:hAnsi="Arial" w:cs="Arial"/>
          <w:sz w:val="24"/>
          <w:szCs w:val="24"/>
          <w:lang w:val="en-GB"/>
        </w:rPr>
        <w:t xml:space="preserve"> from sensitivity analysis and data evidence.</w:t>
      </w:r>
      <w:r w:rsidR="0021541E">
        <w:rPr>
          <w:rFonts w:ascii="Arial" w:hAnsi="Arial" w:cs="Arial"/>
          <w:sz w:val="24"/>
          <w:szCs w:val="24"/>
          <w:lang w:val="en-GB"/>
        </w:rPr>
        <w:t xml:space="preserve"> </w:t>
      </w:r>
    </w:p>
    <w:p w:rsidR="00352EA6" w:rsidRDefault="0021541E" w:rsidP="00352EA6">
      <w:pPr>
        <w:spacing w:before="120" w:after="0" w:line="360" w:lineRule="auto"/>
        <w:jc w:val="both"/>
        <w:rPr>
          <w:rFonts w:ascii="Arial" w:hAnsi="Arial" w:cs="Arial"/>
          <w:sz w:val="24"/>
          <w:szCs w:val="24"/>
          <w:lang w:val="en-GB"/>
        </w:rPr>
      </w:pPr>
      <w:r w:rsidRPr="00762E6E">
        <w:rPr>
          <w:rFonts w:ascii="Arial" w:hAnsi="Arial" w:cs="Arial"/>
          <w:sz w:val="24"/>
          <w:szCs w:val="24"/>
          <w:u w:val="single"/>
          <w:lang w:val="en-GB"/>
        </w:rPr>
        <w:t>For GDP</w:t>
      </w:r>
      <w:r>
        <w:rPr>
          <w:rFonts w:ascii="Arial" w:hAnsi="Arial" w:cs="Arial"/>
          <w:sz w:val="24"/>
          <w:szCs w:val="24"/>
          <w:lang w:val="en-GB"/>
        </w:rPr>
        <w:t xml:space="preserve"> with </w:t>
      </w:r>
      <w:r w:rsidRPr="00E52504">
        <w:rPr>
          <w:rFonts w:ascii="Arial" w:hAnsi="Arial" w:cs="Arial"/>
          <w:sz w:val="24"/>
          <w:szCs w:val="24"/>
          <w:lang w:val="en-GB"/>
        </w:rPr>
        <w:t>fixed threshold</w:t>
      </w:r>
      <w:r>
        <w:rPr>
          <w:rFonts w:ascii="Arial" w:hAnsi="Arial" w:cs="Arial"/>
          <w:sz w:val="24"/>
          <w:szCs w:val="24"/>
          <w:lang w:val="en-GB"/>
        </w:rPr>
        <w:t>s</w:t>
      </w:r>
      <w:r w:rsidRPr="00E52504">
        <w:rPr>
          <w:rFonts w:ascii="Arial" w:hAnsi="Arial" w:cs="Arial"/>
          <w:sz w:val="24"/>
          <w:szCs w:val="24"/>
          <w:lang w:val="en-GB"/>
        </w:rPr>
        <w:t xml:space="preserve"> of 0.1%</w:t>
      </w:r>
      <w:r w:rsidRPr="007A44B2">
        <w:rPr>
          <w:rFonts w:ascii="Arial" w:hAnsi="Arial" w:cs="Arial"/>
          <w:sz w:val="24"/>
          <w:szCs w:val="24"/>
          <w:lang w:val="en-GB"/>
        </w:rPr>
        <w:t xml:space="preserve"> </w:t>
      </w:r>
      <w:r>
        <w:rPr>
          <w:rFonts w:ascii="Arial" w:hAnsi="Arial" w:cs="Arial"/>
          <w:sz w:val="24"/>
          <w:szCs w:val="24"/>
          <w:lang w:val="en-GB"/>
        </w:rPr>
        <w:t>(blue line) t</w:t>
      </w:r>
      <w:r w:rsidRPr="00BB175F">
        <w:rPr>
          <w:rFonts w:ascii="Arial" w:hAnsi="Arial" w:cs="Arial"/>
          <w:sz w:val="24"/>
          <w:szCs w:val="24"/>
          <w:lang w:val="en-GB"/>
        </w:rPr>
        <w:t xml:space="preserve">he number of </w:t>
      </w:r>
      <w:r>
        <w:rPr>
          <w:rFonts w:ascii="Arial" w:hAnsi="Arial" w:cs="Arial"/>
          <w:sz w:val="24"/>
          <w:szCs w:val="24"/>
          <w:lang w:val="en-GB"/>
        </w:rPr>
        <w:t>Member States</w:t>
      </w:r>
      <w:r w:rsidRPr="00BB175F">
        <w:rPr>
          <w:rFonts w:ascii="Arial" w:hAnsi="Arial" w:cs="Arial"/>
          <w:sz w:val="24"/>
          <w:szCs w:val="24"/>
          <w:lang w:val="en-GB"/>
        </w:rPr>
        <w:t xml:space="preserve"> with </w:t>
      </w:r>
      <w:r>
        <w:rPr>
          <w:rFonts w:ascii="Arial" w:hAnsi="Arial" w:cs="Arial"/>
          <w:sz w:val="24"/>
          <w:szCs w:val="24"/>
          <w:lang w:val="en-GB"/>
        </w:rPr>
        <w:t xml:space="preserve">discrepancies in </w:t>
      </w:r>
      <w:r w:rsidRPr="00BB175F">
        <w:rPr>
          <w:rFonts w:ascii="Arial" w:hAnsi="Arial" w:cs="Arial"/>
          <w:sz w:val="24"/>
          <w:szCs w:val="24"/>
          <w:lang w:val="en-GB"/>
        </w:rPr>
        <w:t xml:space="preserve">at least </w:t>
      </w:r>
      <w:r>
        <w:rPr>
          <w:rFonts w:ascii="Arial" w:hAnsi="Arial" w:cs="Arial"/>
          <w:sz w:val="24"/>
          <w:szCs w:val="24"/>
          <w:lang w:val="en-GB"/>
        </w:rPr>
        <w:t>one</w:t>
      </w:r>
      <w:r w:rsidRPr="00BB175F">
        <w:rPr>
          <w:rFonts w:ascii="Arial" w:hAnsi="Arial" w:cs="Arial"/>
          <w:sz w:val="24"/>
          <w:szCs w:val="24"/>
          <w:lang w:val="en-GB"/>
        </w:rPr>
        <w:t xml:space="preserve"> quarter</w:t>
      </w:r>
      <w:r>
        <w:rPr>
          <w:rFonts w:ascii="Arial" w:hAnsi="Arial" w:cs="Arial"/>
          <w:sz w:val="24"/>
          <w:szCs w:val="24"/>
          <w:lang w:val="en-GB"/>
        </w:rPr>
        <w:t xml:space="preserve"> </w:t>
      </w:r>
      <w:r w:rsidRPr="00BB175F">
        <w:rPr>
          <w:rFonts w:ascii="Arial" w:hAnsi="Arial" w:cs="Arial"/>
          <w:sz w:val="24"/>
          <w:szCs w:val="24"/>
          <w:lang w:val="en-GB"/>
        </w:rPr>
        <w:t xml:space="preserve">ranges from 5 in July 2015 to </w:t>
      </w:r>
      <w:r>
        <w:rPr>
          <w:rFonts w:ascii="Arial" w:hAnsi="Arial" w:cs="Arial"/>
          <w:sz w:val="24"/>
          <w:szCs w:val="24"/>
          <w:lang w:val="en-GB"/>
        </w:rPr>
        <w:t>9</w:t>
      </w:r>
      <w:r w:rsidRPr="00BB175F">
        <w:rPr>
          <w:rFonts w:ascii="Arial" w:hAnsi="Arial" w:cs="Arial"/>
          <w:sz w:val="24"/>
          <w:szCs w:val="24"/>
          <w:lang w:val="en-GB"/>
        </w:rPr>
        <w:t xml:space="preserve"> in January 2018</w:t>
      </w:r>
      <w:r>
        <w:rPr>
          <w:rFonts w:ascii="Arial" w:hAnsi="Arial" w:cs="Arial"/>
          <w:sz w:val="24"/>
          <w:szCs w:val="24"/>
          <w:lang w:val="en-GB"/>
        </w:rPr>
        <w:t xml:space="preserve">, while a fixed threshold of 1% (green line) would reduce these numbers to 2 and 3 Member States for the same periods. Similarly </w:t>
      </w:r>
      <w:r w:rsidRPr="00762E6E">
        <w:rPr>
          <w:rFonts w:ascii="Arial" w:hAnsi="Arial" w:cs="Arial"/>
          <w:sz w:val="24"/>
          <w:szCs w:val="24"/>
          <w:u w:val="single"/>
          <w:lang w:val="en-GB"/>
        </w:rPr>
        <w:t>for B9</w:t>
      </w:r>
      <w:r>
        <w:rPr>
          <w:rFonts w:ascii="Arial" w:hAnsi="Arial" w:cs="Arial"/>
          <w:sz w:val="24"/>
          <w:szCs w:val="24"/>
          <w:lang w:val="en-GB"/>
        </w:rPr>
        <w:t xml:space="preserve"> t</w:t>
      </w:r>
      <w:r w:rsidRPr="007A44B2">
        <w:rPr>
          <w:rFonts w:ascii="Arial" w:hAnsi="Arial" w:cs="Arial"/>
          <w:sz w:val="24"/>
          <w:szCs w:val="24"/>
          <w:lang w:val="en-GB"/>
        </w:rPr>
        <w:t xml:space="preserve">he number of </w:t>
      </w:r>
      <w:r>
        <w:rPr>
          <w:rFonts w:ascii="Arial" w:hAnsi="Arial" w:cs="Arial"/>
          <w:sz w:val="24"/>
          <w:szCs w:val="24"/>
          <w:lang w:val="en-GB"/>
        </w:rPr>
        <w:t>Member States</w:t>
      </w:r>
      <w:r w:rsidRPr="007A44B2">
        <w:rPr>
          <w:rFonts w:ascii="Arial" w:hAnsi="Arial" w:cs="Arial"/>
          <w:sz w:val="24"/>
          <w:szCs w:val="24"/>
          <w:lang w:val="en-GB"/>
        </w:rPr>
        <w:t xml:space="preserve"> </w:t>
      </w:r>
      <w:r>
        <w:rPr>
          <w:rFonts w:ascii="Arial" w:hAnsi="Arial" w:cs="Arial"/>
          <w:sz w:val="24"/>
          <w:szCs w:val="24"/>
          <w:lang w:val="en-GB"/>
        </w:rPr>
        <w:t>with discrepancies in at</w:t>
      </w:r>
      <w:r w:rsidRPr="007A44B2">
        <w:rPr>
          <w:rFonts w:ascii="Arial" w:hAnsi="Arial" w:cs="Arial"/>
          <w:sz w:val="24"/>
          <w:szCs w:val="24"/>
          <w:lang w:val="en-GB"/>
        </w:rPr>
        <w:t xml:space="preserve"> least </w:t>
      </w:r>
      <w:r>
        <w:rPr>
          <w:rFonts w:ascii="Arial" w:hAnsi="Arial" w:cs="Arial"/>
          <w:sz w:val="24"/>
          <w:szCs w:val="24"/>
          <w:lang w:val="en-GB"/>
        </w:rPr>
        <w:t>one</w:t>
      </w:r>
      <w:r w:rsidRPr="007A44B2">
        <w:rPr>
          <w:rFonts w:ascii="Arial" w:hAnsi="Arial" w:cs="Arial"/>
          <w:sz w:val="24"/>
          <w:szCs w:val="24"/>
          <w:lang w:val="en-GB"/>
        </w:rPr>
        <w:t xml:space="preserve"> quarter </w:t>
      </w:r>
      <w:r>
        <w:rPr>
          <w:rFonts w:ascii="Arial" w:hAnsi="Arial" w:cs="Arial"/>
          <w:sz w:val="24"/>
          <w:szCs w:val="24"/>
          <w:lang w:val="en-GB"/>
        </w:rPr>
        <w:t>in April 2017 reached a maximum of 21 with a threshold of 0.1%, and 12 with 1% of GDP.</w:t>
      </w:r>
      <w:r w:rsidRPr="0021541E">
        <w:rPr>
          <w:rFonts w:ascii="Arial" w:hAnsi="Arial" w:cs="Arial"/>
          <w:sz w:val="24"/>
          <w:szCs w:val="24"/>
          <w:lang w:val="en-GB"/>
        </w:rPr>
        <w:t xml:space="preserve"> </w:t>
      </w:r>
      <w:r w:rsidRPr="007A44B2">
        <w:rPr>
          <w:rFonts w:ascii="Arial" w:hAnsi="Arial" w:cs="Arial"/>
          <w:sz w:val="24"/>
          <w:szCs w:val="24"/>
          <w:lang w:val="en-GB"/>
        </w:rPr>
        <w:t xml:space="preserve">Sensitivity analysis </w:t>
      </w:r>
      <w:r>
        <w:rPr>
          <w:rFonts w:ascii="Arial" w:hAnsi="Arial" w:cs="Arial"/>
          <w:sz w:val="24"/>
          <w:szCs w:val="24"/>
          <w:lang w:val="en-GB"/>
        </w:rPr>
        <w:t>with</w:t>
      </w:r>
      <w:r w:rsidRPr="007A44B2">
        <w:rPr>
          <w:rFonts w:ascii="Arial" w:hAnsi="Arial" w:cs="Arial"/>
          <w:sz w:val="24"/>
          <w:szCs w:val="24"/>
          <w:lang w:val="en-GB"/>
        </w:rPr>
        <w:t xml:space="preserve"> </w:t>
      </w:r>
      <w:r>
        <w:rPr>
          <w:rFonts w:ascii="Arial" w:hAnsi="Arial" w:cs="Arial"/>
          <w:sz w:val="24"/>
          <w:szCs w:val="24"/>
          <w:lang w:val="en-GB"/>
        </w:rPr>
        <w:t>other</w:t>
      </w:r>
      <w:r w:rsidRPr="007A44B2">
        <w:rPr>
          <w:rFonts w:ascii="Arial" w:hAnsi="Arial" w:cs="Arial"/>
          <w:sz w:val="24"/>
          <w:szCs w:val="24"/>
          <w:lang w:val="en-GB"/>
        </w:rPr>
        <w:t xml:space="preserve"> threshold</w:t>
      </w:r>
      <w:r>
        <w:rPr>
          <w:rFonts w:ascii="Arial" w:hAnsi="Arial" w:cs="Arial"/>
          <w:sz w:val="24"/>
          <w:szCs w:val="24"/>
          <w:lang w:val="en-GB"/>
        </w:rPr>
        <w:t xml:space="preserve"> levels confirmed that for B9 </w:t>
      </w:r>
      <w:r w:rsidRPr="007A44B2">
        <w:rPr>
          <w:rFonts w:ascii="Arial" w:hAnsi="Arial" w:cs="Arial"/>
          <w:sz w:val="24"/>
          <w:szCs w:val="24"/>
          <w:lang w:val="en-GB"/>
        </w:rPr>
        <w:t>the number of publishable countries does not vary much when the threshold is moved from 0.1% to 0.15% or 0.2%, but increases</w:t>
      </w:r>
      <w:r>
        <w:rPr>
          <w:rFonts w:ascii="Arial" w:hAnsi="Arial" w:cs="Arial"/>
          <w:sz w:val="24"/>
          <w:szCs w:val="24"/>
          <w:lang w:val="en-GB"/>
        </w:rPr>
        <w:t xml:space="preserve"> considerably when</w:t>
      </w:r>
      <w:r w:rsidRPr="007A44B2">
        <w:rPr>
          <w:rFonts w:ascii="Arial" w:hAnsi="Arial" w:cs="Arial"/>
          <w:sz w:val="24"/>
          <w:szCs w:val="24"/>
          <w:lang w:val="en-GB"/>
        </w:rPr>
        <w:t xml:space="preserve"> moving to 0.3%</w:t>
      </w:r>
      <w:r>
        <w:rPr>
          <w:rFonts w:ascii="Arial" w:hAnsi="Arial" w:cs="Arial"/>
          <w:sz w:val="24"/>
          <w:szCs w:val="24"/>
          <w:lang w:val="en-GB"/>
        </w:rPr>
        <w:t>,</w:t>
      </w:r>
      <w:r w:rsidRPr="007A44B2">
        <w:rPr>
          <w:rFonts w:ascii="Arial" w:hAnsi="Arial" w:cs="Arial"/>
          <w:sz w:val="24"/>
          <w:szCs w:val="24"/>
          <w:lang w:val="en-GB"/>
        </w:rPr>
        <w:t xml:space="preserve"> </w:t>
      </w:r>
      <w:r>
        <w:rPr>
          <w:rFonts w:ascii="Arial" w:hAnsi="Arial" w:cs="Arial"/>
          <w:sz w:val="24"/>
          <w:szCs w:val="24"/>
          <w:lang w:val="en-GB"/>
        </w:rPr>
        <w:t>especially in more recent years.</w:t>
      </w:r>
    </w:p>
    <w:p w:rsidR="007E34EC" w:rsidRDefault="007E34EC" w:rsidP="00352EA6">
      <w:pPr>
        <w:spacing w:before="120" w:after="0" w:line="360" w:lineRule="auto"/>
        <w:jc w:val="both"/>
        <w:rPr>
          <w:rFonts w:ascii="Arial" w:hAnsi="Arial" w:cs="Arial"/>
          <w:sz w:val="24"/>
          <w:szCs w:val="24"/>
          <w:lang w:val="en-GB"/>
        </w:rPr>
      </w:pPr>
    </w:p>
    <w:p w:rsidR="00762E6E" w:rsidRDefault="00C64EE1" w:rsidP="00352EA6">
      <w:pPr>
        <w:spacing w:before="120" w:after="0" w:line="360" w:lineRule="auto"/>
        <w:jc w:val="both"/>
        <w:rPr>
          <w:rFonts w:ascii="Arial" w:hAnsi="Arial" w:cs="Arial"/>
          <w:b/>
          <w:iCs/>
          <w:sz w:val="20"/>
          <w:szCs w:val="20"/>
          <w:lang w:val="en-GB"/>
        </w:rPr>
      </w:pPr>
      <w:proofErr w:type="gramStart"/>
      <w:r w:rsidRPr="00C64EE1">
        <w:rPr>
          <w:rFonts w:ascii="Arial" w:hAnsi="Arial" w:cs="Arial"/>
          <w:b/>
          <w:iCs/>
          <w:sz w:val="20"/>
          <w:szCs w:val="20"/>
          <w:lang w:val="en-GB"/>
        </w:rPr>
        <w:lastRenderedPageBreak/>
        <w:t xml:space="preserve">Figure </w:t>
      </w:r>
      <w:r w:rsidR="00C24BD3">
        <w:rPr>
          <w:rFonts w:ascii="Arial" w:hAnsi="Arial" w:cs="Arial"/>
          <w:b/>
          <w:iCs/>
          <w:sz w:val="20"/>
          <w:szCs w:val="20"/>
          <w:lang w:val="en-GB"/>
        </w:rPr>
        <w:t>5</w:t>
      </w:r>
      <w:r>
        <w:rPr>
          <w:rFonts w:ascii="Arial" w:hAnsi="Arial" w:cs="Arial"/>
          <w:b/>
          <w:iCs/>
          <w:sz w:val="20"/>
          <w:szCs w:val="20"/>
          <w:lang w:val="en-GB"/>
        </w:rPr>
        <w:t>.</w:t>
      </w:r>
      <w:proofErr w:type="gramEnd"/>
      <w:r w:rsidRPr="00C64EE1">
        <w:rPr>
          <w:rFonts w:ascii="Arial" w:hAnsi="Arial" w:cs="Arial"/>
          <w:b/>
          <w:iCs/>
          <w:sz w:val="20"/>
          <w:szCs w:val="20"/>
          <w:lang w:val="en-GB"/>
        </w:rPr>
        <w:t xml:space="preserve"> Number of </w:t>
      </w:r>
      <w:r w:rsidR="0021541E">
        <w:rPr>
          <w:rFonts w:ascii="Arial" w:hAnsi="Arial" w:cs="Arial"/>
          <w:b/>
          <w:iCs/>
          <w:sz w:val="20"/>
          <w:szCs w:val="20"/>
          <w:lang w:val="en-GB"/>
        </w:rPr>
        <w:t>Member States</w:t>
      </w:r>
      <w:r w:rsidRPr="00C64EE1">
        <w:rPr>
          <w:rFonts w:ascii="Arial" w:hAnsi="Arial" w:cs="Arial"/>
          <w:b/>
          <w:iCs/>
          <w:sz w:val="20"/>
          <w:szCs w:val="20"/>
          <w:lang w:val="en-GB"/>
        </w:rPr>
        <w:t xml:space="preserve"> with discrepanc</w:t>
      </w:r>
      <w:r w:rsidR="00B147EF">
        <w:rPr>
          <w:rFonts w:ascii="Arial" w:hAnsi="Arial" w:cs="Arial"/>
          <w:b/>
          <w:iCs/>
          <w:sz w:val="20"/>
          <w:szCs w:val="20"/>
          <w:lang w:val="en-GB"/>
        </w:rPr>
        <w:t xml:space="preserve">ies </w:t>
      </w:r>
      <w:r w:rsidR="00762E6E">
        <w:rPr>
          <w:rFonts w:ascii="Arial" w:hAnsi="Arial" w:cs="Arial"/>
          <w:b/>
          <w:iCs/>
          <w:sz w:val="20"/>
          <w:szCs w:val="20"/>
          <w:lang w:val="en-GB"/>
        </w:rPr>
        <w:t>in quarterly time-</w:t>
      </w:r>
      <w:r w:rsidR="00B147EF">
        <w:rPr>
          <w:rFonts w:ascii="Arial" w:hAnsi="Arial" w:cs="Arial"/>
          <w:b/>
          <w:iCs/>
          <w:sz w:val="20"/>
          <w:szCs w:val="20"/>
          <w:lang w:val="en-GB"/>
        </w:rPr>
        <w:t>series</w:t>
      </w:r>
      <w:r w:rsidRPr="00C64EE1">
        <w:rPr>
          <w:rFonts w:ascii="Arial" w:hAnsi="Arial" w:cs="Arial"/>
          <w:b/>
          <w:iCs/>
          <w:sz w:val="20"/>
          <w:szCs w:val="20"/>
          <w:lang w:val="en-GB"/>
        </w:rPr>
        <w:t xml:space="preserve"> above threshold</w:t>
      </w:r>
      <w:r w:rsidR="00B147EF">
        <w:rPr>
          <w:rFonts w:ascii="Arial" w:hAnsi="Arial" w:cs="Arial"/>
          <w:b/>
          <w:iCs/>
          <w:sz w:val="20"/>
          <w:szCs w:val="20"/>
          <w:lang w:val="en-GB"/>
        </w:rPr>
        <w:t xml:space="preserve">, </w:t>
      </w:r>
      <w:r w:rsidRPr="00C64EE1">
        <w:rPr>
          <w:rFonts w:ascii="Arial" w:hAnsi="Arial" w:cs="Arial"/>
          <w:b/>
          <w:iCs/>
          <w:sz w:val="20"/>
          <w:szCs w:val="20"/>
          <w:lang w:val="en-GB"/>
        </w:rPr>
        <w:t xml:space="preserve">GDP and net lending/net borrowing </w:t>
      </w:r>
      <w:r>
        <w:rPr>
          <w:rFonts w:ascii="Arial" w:hAnsi="Arial" w:cs="Arial"/>
          <w:b/>
          <w:iCs/>
          <w:sz w:val="20"/>
          <w:szCs w:val="20"/>
          <w:lang w:val="en-GB"/>
        </w:rPr>
        <w:t xml:space="preserve">(B9) in </w:t>
      </w:r>
      <w:r w:rsidRPr="00C64EE1">
        <w:rPr>
          <w:rFonts w:ascii="Arial" w:hAnsi="Arial" w:cs="Arial"/>
          <w:b/>
          <w:iCs/>
          <w:sz w:val="20"/>
          <w:szCs w:val="20"/>
          <w:lang w:val="en-GB"/>
        </w:rPr>
        <w:t>comparison</w:t>
      </w:r>
    </w:p>
    <w:p w:rsidR="00C64EE1" w:rsidRPr="00762E6E" w:rsidRDefault="00966C7E" w:rsidP="00762E6E">
      <w:pPr>
        <w:spacing w:before="120" w:after="0" w:line="360" w:lineRule="auto"/>
        <w:jc w:val="both"/>
        <w:rPr>
          <w:rFonts w:ascii="Arial" w:hAnsi="Arial" w:cs="Arial"/>
          <w:sz w:val="24"/>
          <w:szCs w:val="24"/>
          <w:lang w:val="en-GB"/>
        </w:rPr>
      </w:pPr>
      <w:r>
        <w:rPr>
          <w:rFonts w:ascii="Arial" w:hAnsi="Arial" w:cs="Arial"/>
          <w:noProof/>
          <w:sz w:val="24"/>
          <w:szCs w:val="24"/>
          <w:lang w:val="en-GB" w:eastAsia="en-GB"/>
        </w:rPr>
        <w:drawing>
          <wp:inline distT="0" distB="0" distL="0" distR="0" wp14:anchorId="7C0F9B76" wp14:editId="7DCBF081">
            <wp:extent cx="5788549" cy="2568272"/>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2168" cy="2569878"/>
                    </a:xfrm>
                    <a:prstGeom prst="rect">
                      <a:avLst/>
                    </a:prstGeom>
                    <a:noFill/>
                  </pic:spPr>
                </pic:pic>
              </a:graphicData>
            </a:graphic>
          </wp:inline>
        </w:drawing>
      </w:r>
      <w:r w:rsidR="00C64EE1" w:rsidRPr="00F0585F">
        <w:rPr>
          <w:rFonts w:ascii="Arial" w:hAnsi="Arial" w:cs="Arial"/>
          <w:sz w:val="20"/>
          <w:szCs w:val="20"/>
          <w:lang w:val="en-GB"/>
        </w:rPr>
        <w:t>Source: Eurostat</w:t>
      </w:r>
      <w:r w:rsidR="00B147EF">
        <w:rPr>
          <w:rFonts w:ascii="Arial" w:hAnsi="Arial" w:cs="Arial"/>
          <w:sz w:val="20"/>
          <w:szCs w:val="20"/>
          <w:lang w:val="en-GB"/>
        </w:rPr>
        <w:t xml:space="preserve"> –</w:t>
      </w:r>
      <w:r>
        <w:rPr>
          <w:rFonts w:ascii="Arial" w:hAnsi="Arial" w:cs="Arial"/>
          <w:sz w:val="20"/>
          <w:szCs w:val="20"/>
          <w:lang w:val="en-GB"/>
        </w:rPr>
        <w:t xml:space="preserve"> </w:t>
      </w:r>
      <w:r w:rsidR="00B147EF">
        <w:rPr>
          <w:rFonts w:ascii="Arial" w:hAnsi="Arial" w:cs="Arial"/>
          <w:sz w:val="20"/>
          <w:szCs w:val="20"/>
          <w:lang w:val="en-GB"/>
        </w:rPr>
        <w:t xml:space="preserve">Thresholds refer to extent of measured discrepancies in % of GDP. </w:t>
      </w:r>
    </w:p>
    <w:p w:rsidR="002B0444" w:rsidRPr="00F0585F" w:rsidRDefault="002B0444" w:rsidP="002B0444">
      <w:pPr>
        <w:spacing w:before="360" w:after="0" w:line="360" w:lineRule="auto"/>
        <w:jc w:val="both"/>
        <w:rPr>
          <w:rFonts w:ascii="Arial" w:hAnsi="Arial" w:cs="Arial"/>
          <w:b/>
          <w:sz w:val="20"/>
          <w:szCs w:val="20"/>
          <w:lang w:val="en-GB"/>
        </w:rPr>
      </w:pPr>
      <w:r>
        <w:rPr>
          <w:rFonts w:ascii="Arial" w:hAnsi="Arial" w:cs="Arial"/>
          <w:sz w:val="24"/>
          <w:szCs w:val="24"/>
          <w:lang w:val="en-GB"/>
        </w:rPr>
        <w:t xml:space="preserve">For GDP instead, </w:t>
      </w:r>
      <w:r w:rsidRPr="007A44B2">
        <w:rPr>
          <w:rFonts w:ascii="Arial" w:hAnsi="Arial" w:cs="Arial"/>
          <w:sz w:val="24"/>
          <w:szCs w:val="24"/>
          <w:lang w:val="en-GB"/>
        </w:rPr>
        <w:t>the number of publishable countries varies most when the threshold is moved from 0 to 0.1</w:t>
      </w:r>
      <w:r>
        <w:rPr>
          <w:rFonts w:ascii="Arial" w:hAnsi="Arial" w:cs="Arial"/>
          <w:sz w:val="24"/>
          <w:szCs w:val="24"/>
          <w:lang w:val="en-GB"/>
        </w:rPr>
        <w:t>%</w:t>
      </w:r>
      <w:r w:rsidRPr="007A44B2">
        <w:rPr>
          <w:rFonts w:ascii="Arial" w:hAnsi="Arial" w:cs="Arial"/>
          <w:sz w:val="24"/>
          <w:szCs w:val="24"/>
          <w:lang w:val="en-GB"/>
        </w:rPr>
        <w:t>.</w:t>
      </w:r>
      <w:r>
        <w:rPr>
          <w:rFonts w:ascii="Arial" w:hAnsi="Arial" w:cs="Arial"/>
          <w:sz w:val="24"/>
          <w:szCs w:val="24"/>
          <w:lang w:val="en-GB"/>
        </w:rPr>
        <w:t xml:space="preserve"> Moving </w:t>
      </w:r>
      <w:r w:rsidRPr="007A44B2">
        <w:rPr>
          <w:rFonts w:ascii="Arial" w:hAnsi="Arial" w:cs="Arial"/>
          <w:sz w:val="24"/>
          <w:szCs w:val="24"/>
          <w:lang w:val="en-GB"/>
        </w:rPr>
        <w:t>the threshold above 0.5% does not increase the number of publishable countries</w:t>
      </w:r>
      <w:r w:rsidR="00500052">
        <w:rPr>
          <w:rFonts w:ascii="Arial" w:hAnsi="Arial" w:cs="Arial"/>
          <w:sz w:val="24"/>
          <w:szCs w:val="24"/>
          <w:lang w:val="en-GB"/>
        </w:rPr>
        <w:t xml:space="preserve"> significantly</w:t>
      </w:r>
      <w:r>
        <w:rPr>
          <w:rFonts w:ascii="Arial" w:hAnsi="Arial" w:cs="Arial"/>
          <w:sz w:val="24"/>
          <w:szCs w:val="24"/>
          <w:lang w:val="en-GB"/>
        </w:rPr>
        <w:t>. It has also been noticed that</w:t>
      </w:r>
      <w:r w:rsidRPr="007A44B2">
        <w:rPr>
          <w:rFonts w:ascii="Arial" w:hAnsi="Arial" w:cs="Arial"/>
          <w:sz w:val="24"/>
          <w:szCs w:val="24"/>
          <w:lang w:val="en-GB"/>
        </w:rPr>
        <w:t xml:space="preserve"> for any chosen threshold </w:t>
      </w:r>
      <w:r>
        <w:rPr>
          <w:rFonts w:ascii="Arial" w:hAnsi="Arial" w:cs="Arial"/>
          <w:sz w:val="24"/>
          <w:szCs w:val="24"/>
          <w:lang w:val="en-GB"/>
        </w:rPr>
        <w:t xml:space="preserve">critical </w:t>
      </w:r>
      <w:r w:rsidRPr="007A44B2">
        <w:rPr>
          <w:rFonts w:ascii="Arial" w:hAnsi="Arial" w:cs="Arial"/>
          <w:sz w:val="24"/>
          <w:szCs w:val="24"/>
          <w:lang w:val="en-GB"/>
        </w:rPr>
        <w:t>discrepancies affect only a few quarters (the most recent ones)</w:t>
      </w:r>
      <w:r w:rsidR="00C74EA6">
        <w:rPr>
          <w:rFonts w:ascii="Arial" w:hAnsi="Arial" w:cs="Arial"/>
          <w:sz w:val="24"/>
          <w:szCs w:val="24"/>
          <w:lang w:val="en-GB"/>
        </w:rPr>
        <w:t xml:space="preserve"> </w:t>
      </w:r>
      <w:r>
        <w:rPr>
          <w:rFonts w:ascii="Arial" w:hAnsi="Arial" w:cs="Arial"/>
          <w:sz w:val="24"/>
          <w:szCs w:val="24"/>
          <w:lang w:val="en-GB"/>
        </w:rPr>
        <w:t>both for GDP and B9</w:t>
      </w:r>
      <w:r w:rsidRPr="007A44B2">
        <w:rPr>
          <w:rFonts w:ascii="Arial" w:hAnsi="Arial" w:cs="Arial"/>
          <w:sz w:val="24"/>
          <w:szCs w:val="24"/>
          <w:lang w:val="en-GB"/>
        </w:rPr>
        <w:t>.</w:t>
      </w:r>
      <w:r>
        <w:rPr>
          <w:rFonts w:ascii="Arial" w:hAnsi="Arial" w:cs="Arial"/>
          <w:sz w:val="24"/>
          <w:szCs w:val="24"/>
          <w:lang w:val="en-GB"/>
        </w:rPr>
        <w:t xml:space="preserve"> Following this analysis, 0.3% of GDP </w:t>
      </w:r>
      <w:r w:rsidR="000C7D02">
        <w:rPr>
          <w:rFonts w:ascii="Arial" w:hAnsi="Arial" w:cs="Arial"/>
          <w:sz w:val="24"/>
          <w:szCs w:val="24"/>
          <w:lang w:val="en-GB"/>
        </w:rPr>
        <w:t>was concluded to be an</w:t>
      </w:r>
      <w:r w:rsidR="00C74EA6">
        <w:rPr>
          <w:rFonts w:ascii="Arial" w:hAnsi="Arial" w:cs="Arial"/>
          <w:sz w:val="24"/>
          <w:szCs w:val="24"/>
          <w:lang w:val="en-GB"/>
        </w:rPr>
        <w:t xml:space="preserve"> adequate </w:t>
      </w:r>
      <w:r>
        <w:rPr>
          <w:rFonts w:ascii="Arial" w:hAnsi="Arial" w:cs="Arial"/>
          <w:sz w:val="24"/>
          <w:szCs w:val="24"/>
          <w:lang w:val="en-GB"/>
        </w:rPr>
        <w:t>critical threshold for consistency</w:t>
      </w:r>
      <w:r w:rsidR="00C74EA6">
        <w:rPr>
          <w:rFonts w:ascii="Arial" w:hAnsi="Arial" w:cs="Arial"/>
          <w:sz w:val="24"/>
          <w:szCs w:val="24"/>
          <w:lang w:val="en-GB"/>
        </w:rPr>
        <w:t>, in order to combine quality requirements with</w:t>
      </w:r>
      <w:r w:rsidR="000C7D02">
        <w:rPr>
          <w:rFonts w:ascii="Arial" w:hAnsi="Arial" w:cs="Arial"/>
          <w:sz w:val="24"/>
          <w:szCs w:val="24"/>
          <w:lang w:val="en-GB"/>
        </w:rPr>
        <w:t xml:space="preserve"> the</w:t>
      </w:r>
      <w:r w:rsidR="00C74EA6">
        <w:rPr>
          <w:rFonts w:ascii="Arial" w:hAnsi="Arial" w:cs="Arial"/>
          <w:sz w:val="24"/>
          <w:szCs w:val="24"/>
          <w:lang w:val="en-GB"/>
        </w:rPr>
        <w:t xml:space="preserve"> practicalities of the production processes</w:t>
      </w:r>
      <w:r>
        <w:rPr>
          <w:rFonts w:ascii="Arial" w:hAnsi="Arial" w:cs="Arial"/>
          <w:sz w:val="24"/>
          <w:szCs w:val="24"/>
          <w:lang w:val="en-GB"/>
        </w:rPr>
        <w:t xml:space="preserve">. </w:t>
      </w:r>
    </w:p>
    <w:p w:rsidR="00E5411C" w:rsidRPr="00E5411C" w:rsidRDefault="00E32FA8" w:rsidP="00E5411C">
      <w:pPr>
        <w:spacing w:before="360" w:after="0" w:line="360" w:lineRule="auto"/>
        <w:jc w:val="both"/>
        <w:rPr>
          <w:rFonts w:ascii="Arial" w:hAnsi="Arial" w:cs="Arial"/>
          <w:b/>
          <w:bCs/>
          <w:sz w:val="24"/>
          <w:szCs w:val="24"/>
          <w:lang w:val="en-US"/>
        </w:rPr>
      </w:pPr>
      <w:r>
        <w:rPr>
          <w:rFonts w:ascii="Arial" w:hAnsi="Arial" w:cs="Arial"/>
          <w:b/>
          <w:bCs/>
          <w:sz w:val="24"/>
          <w:szCs w:val="24"/>
          <w:lang w:val="en-GB"/>
        </w:rPr>
        <w:t>7</w:t>
      </w:r>
      <w:r w:rsidR="00E5411C" w:rsidRPr="00E5411C">
        <w:rPr>
          <w:rFonts w:ascii="Arial" w:hAnsi="Arial" w:cs="Arial"/>
          <w:b/>
          <w:bCs/>
          <w:sz w:val="24"/>
          <w:szCs w:val="24"/>
          <w:lang w:val="en-GB"/>
        </w:rPr>
        <w:t xml:space="preserve">. </w:t>
      </w:r>
      <w:r w:rsidR="0000253A">
        <w:rPr>
          <w:rFonts w:ascii="Arial" w:hAnsi="Arial" w:cs="Arial"/>
          <w:b/>
          <w:bCs/>
          <w:sz w:val="24"/>
          <w:szCs w:val="24"/>
          <w:lang w:val="en-GB"/>
        </w:rPr>
        <w:t xml:space="preserve">Understanding </w:t>
      </w:r>
      <w:r w:rsidR="00472257">
        <w:rPr>
          <w:rFonts w:ascii="Arial" w:hAnsi="Arial" w:cs="Arial"/>
          <w:b/>
          <w:bCs/>
          <w:sz w:val="24"/>
          <w:szCs w:val="24"/>
          <w:lang w:val="en-GB"/>
        </w:rPr>
        <w:t>measured</w:t>
      </w:r>
      <w:r w:rsidR="0000253A">
        <w:rPr>
          <w:rFonts w:ascii="Arial" w:hAnsi="Arial" w:cs="Arial"/>
          <w:b/>
          <w:bCs/>
          <w:sz w:val="24"/>
          <w:szCs w:val="24"/>
          <w:lang w:val="en-GB"/>
        </w:rPr>
        <w:t xml:space="preserve"> inconsistencies</w:t>
      </w:r>
      <w:r w:rsidR="00E5411C" w:rsidRPr="00E5411C">
        <w:rPr>
          <w:rFonts w:ascii="Arial" w:hAnsi="Arial" w:cs="Arial"/>
          <w:b/>
          <w:bCs/>
          <w:sz w:val="24"/>
          <w:szCs w:val="24"/>
          <w:lang w:val="en-GB"/>
        </w:rPr>
        <w:t xml:space="preserve"> </w:t>
      </w:r>
      <w:r w:rsidR="0000253A">
        <w:rPr>
          <w:rFonts w:ascii="Arial" w:hAnsi="Arial" w:cs="Arial"/>
          <w:b/>
          <w:bCs/>
          <w:sz w:val="24"/>
          <w:szCs w:val="24"/>
          <w:lang w:val="en-GB"/>
        </w:rPr>
        <w:t>– a step forward</w:t>
      </w:r>
    </w:p>
    <w:p w:rsidR="000C0503" w:rsidRPr="000C0503" w:rsidRDefault="00E5411C" w:rsidP="002C6266">
      <w:pPr>
        <w:spacing w:before="360" w:after="0" w:line="360" w:lineRule="auto"/>
        <w:jc w:val="both"/>
        <w:rPr>
          <w:rFonts w:ascii="Arial" w:hAnsi="Arial" w:cs="Arial"/>
          <w:sz w:val="24"/>
          <w:szCs w:val="24"/>
          <w:lang w:val="en-GB"/>
        </w:rPr>
      </w:pPr>
      <w:r w:rsidRPr="00E5411C">
        <w:rPr>
          <w:rFonts w:ascii="Arial" w:hAnsi="Arial" w:cs="Arial"/>
          <w:sz w:val="24"/>
          <w:szCs w:val="24"/>
          <w:lang w:val="en-GB"/>
        </w:rPr>
        <w:t>Eurostat’s compiler survey</w:t>
      </w:r>
      <w:r w:rsidR="00517029">
        <w:rPr>
          <w:rFonts w:ascii="Arial" w:hAnsi="Arial" w:cs="Arial"/>
          <w:sz w:val="24"/>
          <w:szCs w:val="24"/>
          <w:lang w:val="en-GB"/>
        </w:rPr>
        <w:t>s</w:t>
      </w:r>
      <w:r w:rsidRPr="00E5411C">
        <w:rPr>
          <w:rFonts w:ascii="Arial" w:hAnsi="Arial" w:cs="Arial"/>
          <w:sz w:val="24"/>
          <w:szCs w:val="24"/>
          <w:lang w:val="en-GB"/>
        </w:rPr>
        <w:t xml:space="preserve"> about the causes for BOP-ROW inconsistencies </w:t>
      </w:r>
      <w:r w:rsidR="001E7B1B">
        <w:rPr>
          <w:rFonts w:ascii="Arial" w:hAnsi="Arial" w:cs="Arial"/>
          <w:sz w:val="24"/>
          <w:szCs w:val="24"/>
          <w:lang w:val="en-GB"/>
        </w:rPr>
        <w:t>helped to understand the</w:t>
      </w:r>
      <w:r w:rsidR="00517029">
        <w:rPr>
          <w:rFonts w:ascii="Arial" w:hAnsi="Arial" w:cs="Arial"/>
          <w:sz w:val="24"/>
          <w:szCs w:val="24"/>
          <w:lang w:val="en-GB"/>
        </w:rPr>
        <w:t xml:space="preserve">ir </w:t>
      </w:r>
      <w:r w:rsidR="001E7B1B">
        <w:rPr>
          <w:rFonts w:ascii="Arial" w:hAnsi="Arial" w:cs="Arial"/>
          <w:sz w:val="24"/>
          <w:szCs w:val="24"/>
          <w:lang w:val="en-GB"/>
        </w:rPr>
        <w:t>nature and identif</w:t>
      </w:r>
      <w:r w:rsidR="0021541E">
        <w:rPr>
          <w:rFonts w:ascii="Arial" w:hAnsi="Arial" w:cs="Arial"/>
          <w:sz w:val="24"/>
          <w:szCs w:val="24"/>
          <w:lang w:val="en-GB"/>
        </w:rPr>
        <w:t>ied</w:t>
      </w:r>
      <w:r w:rsidR="001E7B1B">
        <w:rPr>
          <w:rFonts w:ascii="Arial" w:hAnsi="Arial" w:cs="Arial"/>
          <w:sz w:val="24"/>
          <w:szCs w:val="24"/>
          <w:lang w:val="en-GB"/>
        </w:rPr>
        <w:t xml:space="preserve"> </w:t>
      </w:r>
      <w:r w:rsidR="00094B4D">
        <w:rPr>
          <w:rFonts w:ascii="Arial" w:hAnsi="Arial" w:cs="Arial"/>
          <w:sz w:val="24"/>
          <w:szCs w:val="24"/>
          <w:lang w:val="en-GB"/>
        </w:rPr>
        <w:t xml:space="preserve">a few </w:t>
      </w:r>
      <w:r w:rsidR="001E7B1B">
        <w:rPr>
          <w:rFonts w:ascii="Arial" w:hAnsi="Arial" w:cs="Arial"/>
          <w:sz w:val="24"/>
          <w:szCs w:val="24"/>
          <w:lang w:val="en-GB"/>
        </w:rPr>
        <w:t xml:space="preserve">methodological deviations of the statistical standards, </w:t>
      </w:r>
      <w:r w:rsidR="00517029">
        <w:rPr>
          <w:rFonts w:ascii="Arial" w:hAnsi="Arial" w:cs="Arial"/>
          <w:sz w:val="24"/>
          <w:szCs w:val="24"/>
          <w:lang w:val="en-GB"/>
        </w:rPr>
        <w:t>although</w:t>
      </w:r>
      <w:r w:rsidR="001E7B1B">
        <w:rPr>
          <w:rFonts w:ascii="Arial" w:hAnsi="Arial" w:cs="Arial"/>
          <w:sz w:val="24"/>
          <w:szCs w:val="24"/>
          <w:lang w:val="en-GB"/>
        </w:rPr>
        <w:t xml:space="preserve"> the main </w:t>
      </w:r>
      <w:r w:rsidR="00517029">
        <w:rPr>
          <w:rFonts w:ascii="Arial" w:hAnsi="Arial" w:cs="Arial"/>
          <w:sz w:val="24"/>
          <w:szCs w:val="24"/>
          <w:lang w:val="en-GB"/>
        </w:rPr>
        <w:t xml:space="preserve">causes </w:t>
      </w:r>
      <w:r w:rsidR="009448D4">
        <w:rPr>
          <w:rFonts w:ascii="Arial" w:hAnsi="Arial" w:cs="Arial"/>
          <w:sz w:val="24"/>
          <w:szCs w:val="24"/>
          <w:lang w:val="en-GB"/>
        </w:rPr>
        <w:t xml:space="preserve">relate to </w:t>
      </w:r>
      <w:r w:rsidR="001E7B1B">
        <w:rPr>
          <w:rFonts w:ascii="Arial" w:hAnsi="Arial" w:cs="Arial"/>
          <w:sz w:val="24"/>
          <w:szCs w:val="24"/>
          <w:lang w:val="en-GB"/>
        </w:rPr>
        <w:t>the organisational set</w:t>
      </w:r>
      <w:r w:rsidR="00517029">
        <w:rPr>
          <w:rFonts w:ascii="Arial" w:hAnsi="Arial" w:cs="Arial"/>
          <w:sz w:val="24"/>
          <w:szCs w:val="24"/>
          <w:lang w:val="en-GB"/>
        </w:rPr>
        <w:t>-</w:t>
      </w:r>
      <w:r w:rsidR="001E7B1B">
        <w:rPr>
          <w:rFonts w:ascii="Arial" w:hAnsi="Arial" w:cs="Arial"/>
          <w:sz w:val="24"/>
          <w:szCs w:val="24"/>
          <w:lang w:val="en-GB"/>
        </w:rPr>
        <w:t>up of the underlying compilation processes</w:t>
      </w:r>
      <w:r w:rsidR="004D6D31" w:rsidRPr="00E5411C">
        <w:rPr>
          <w:rFonts w:ascii="Arial" w:hAnsi="Arial" w:cs="Arial"/>
          <w:sz w:val="24"/>
          <w:szCs w:val="24"/>
          <w:vertAlign w:val="superscript"/>
          <w:lang w:val="en-GB"/>
        </w:rPr>
        <w:footnoteReference w:id="13"/>
      </w:r>
      <w:r w:rsidRPr="00E5411C">
        <w:rPr>
          <w:rFonts w:ascii="Arial" w:hAnsi="Arial" w:cs="Arial"/>
          <w:sz w:val="24"/>
          <w:szCs w:val="24"/>
          <w:lang w:val="en-GB"/>
        </w:rPr>
        <w:t>.</w:t>
      </w:r>
      <w:r w:rsidR="001E7B1B">
        <w:rPr>
          <w:rFonts w:ascii="Arial" w:hAnsi="Arial" w:cs="Arial"/>
          <w:sz w:val="24"/>
          <w:szCs w:val="24"/>
          <w:lang w:val="en-GB"/>
        </w:rPr>
        <w:t xml:space="preserve"> Countries with integrated production systems </w:t>
      </w:r>
      <w:r w:rsidR="00472257">
        <w:rPr>
          <w:rFonts w:ascii="Arial" w:hAnsi="Arial" w:cs="Arial"/>
          <w:sz w:val="24"/>
          <w:szCs w:val="24"/>
          <w:lang w:val="en-GB"/>
        </w:rPr>
        <w:t xml:space="preserve">and/or a high degree of coordinated business processes </w:t>
      </w:r>
      <w:r w:rsidR="001E7B1B">
        <w:rPr>
          <w:rFonts w:ascii="Arial" w:hAnsi="Arial" w:cs="Arial"/>
          <w:sz w:val="24"/>
          <w:szCs w:val="24"/>
          <w:lang w:val="en-GB"/>
        </w:rPr>
        <w:t xml:space="preserve">tend to be more insulated against the risk </w:t>
      </w:r>
      <w:r w:rsidR="00517029">
        <w:rPr>
          <w:rFonts w:ascii="Arial" w:hAnsi="Arial" w:cs="Arial"/>
          <w:sz w:val="24"/>
          <w:szCs w:val="24"/>
          <w:lang w:val="en-GB"/>
        </w:rPr>
        <w:t>for</w:t>
      </w:r>
      <w:r w:rsidR="001E7B1B">
        <w:rPr>
          <w:rFonts w:ascii="Arial" w:hAnsi="Arial" w:cs="Arial"/>
          <w:sz w:val="24"/>
          <w:szCs w:val="24"/>
          <w:lang w:val="en-GB"/>
        </w:rPr>
        <w:t xml:space="preserve"> inconsistencies</w:t>
      </w:r>
      <w:r w:rsidR="00A82351">
        <w:rPr>
          <w:rFonts w:ascii="Arial" w:hAnsi="Arial" w:cs="Arial"/>
          <w:sz w:val="24"/>
          <w:szCs w:val="24"/>
          <w:lang w:val="en-GB"/>
        </w:rPr>
        <w:t xml:space="preserve">, while the major outliers </w:t>
      </w:r>
      <w:r w:rsidR="009448D4">
        <w:rPr>
          <w:rFonts w:ascii="Arial" w:hAnsi="Arial" w:cs="Arial"/>
          <w:sz w:val="24"/>
          <w:szCs w:val="24"/>
          <w:lang w:val="en-GB"/>
        </w:rPr>
        <w:t xml:space="preserve">were detected in the statistics of </w:t>
      </w:r>
      <w:r w:rsidR="00A82351">
        <w:rPr>
          <w:rFonts w:ascii="Arial" w:hAnsi="Arial" w:cs="Arial"/>
          <w:sz w:val="24"/>
          <w:szCs w:val="24"/>
          <w:lang w:val="en-GB"/>
        </w:rPr>
        <w:t xml:space="preserve">countries with decentralised production </w:t>
      </w:r>
      <w:r w:rsidR="00517029">
        <w:rPr>
          <w:rFonts w:ascii="Arial" w:hAnsi="Arial" w:cs="Arial"/>
          <w:sz w:val="24"/>
          <w:szCs w:val="24"/>
          <w:lang w:val="en-GB"/>
        </w:rPr>
        <w:t xml:space="preserve">systems </w:t>
      </w:r>
      <w:r w:rsidR="00A82351">
        <w:rPr>
          <w:rFonts w:ascii="Arial" w:hAnsi="Arial" w:cs="Arial"/>
          <w:sz w:val="24"/>
          <w:szCs w:val="24"/>
          <w:lang w:val="en-GB"/>
        </w:rPr>
        <w:t xml:space="preserve">and coordination issues. </w:t>
      </w:r>
      <w:r w:rsidR="000C0503" w:rsidRPr="000C0503">
        <w:rPr>
          <w:rFonts w:ascii="Arial" w:hAnsi="Arial" w:cs="Arial"/>
          <w:sz w:val="24"/>
          <w:szCs w:val="24"/>
          <w:lang w:val="en-GB"/>
        </w:rPr>
        <w:t xml:space="preserve">In the consistency debate organisational and institutional aspects </w:t>
      </w:r>
      <w:r w:rsidR="001E7B1B">
        <w:rPr>
          <w:rFonts w:ascii="Arial" w:hAnsi="Arial" w:cs="Arial"/>
          <w:sz w:val="24"/>
          <w:szCs w:val="24"/>
          <w:lang w:val="en-GB"/>
        </w:rPr>
        <w:t xml:space="preserve">are so far </w:t>
      </w:r>
      <w:r w:rsidR="000C0503" w:rsidRPr="000C0503">
        <w:rPr>
          <w:rFonts w:ascii="Arial" w:hAnsi="Arial" w:cs="Arial"/>
          <w:sz w:val="24"/>
          <w:szCs w:val="24"/>
          <w:lang w:val="en-GB"/>
        </w:rPr>
        <w:t xml:space="preserve">regarded as parameters, at the same time the challenges of </w:t>
      </w:r>
      <w:r w:rsidR="00A82351">
        <w:rPr>
          <w:rFonts w:ascii="Arial" w:hAnsi="Arial" w:cs="Arial"/>
          <w:sz w:val="24"/>
          <w:szCs w:val="24"/>
          <w:lang w:val="en-GB"/>
        </w:rPr>
        <w:t xml:space="preserve">capturing </w:t>
      </w:r>
      <w:r w:rsidR="000C0503" w:rsidRPr="000C0503">
        <w:rPr>
          <w:rFonts w:ascii="Arial" w:hAnsi="Arial" w:cs="Arial"/>
          <w:sz w:val="24"/>
          <w:szCs w:val="24"/>
          <w:lang w:val="en-GB"/>
        </w:rPr>
        <w:t xml:space="preserve">economic transactions </w:t>
      </w:r>
      <w:r w:rsidR="000C0503" w:rsidRPr="000C0503">
        <w:rPr>
          <w:rFonts w:ascii="Arial" w:hAnsi="Arial" w:cs="Arial"/>
          <w:sz w:val="24"/>
          <w:szCs w:val="24"/>
          <w:lang w:val="en-GB"/>
        </w:rPr>
        <w:lastRenderedPageBreak/>
        <w:t xml:space="preserve">by residents in a globalised world can hardly be tackled without a critical view on the </w:t>
      </w:r>
      <w:r w:rsidR="00094B4D">
        <w:rPr>
          <w:rFonts w:ascii="Arial" w:hAnsi="Arial" w:cs="Arial"/>
          <w:sz w:val="24"/>
          <w:szCs w:val="24"/>
          <w:lang w:val="en-GB"/>
        </w:rPr>
        <w:t>organisation model</w:t>
      </w:r>
      <w:r w:rsidR="000C0503" w:rsidRPr="000C0503">
        <w:rPr>
          <w:rFonts w:ascii="Arial" w:hAnsi="Arial" w:cs="Arial"/>
          <w:sz w:val="24"/>
          <w:szCs w:val="24"/>
          <w:lang w:val="en-GB"/>
        </w:rPr>
        <w:t xml:space="preserve"> of compilation processes</w:t>
      </w:r>
      <w:r w:rsidR="000C0503" w:rsidRPr="000C0503">
        <w:rPr>
          <w:rFonts w:ascii="Arial" w:hAnsi="Arial" w:cs="Arial"/>
          <w:sz w:val="24"/>
          <w:szCs w:val="24"/>
          <w:vertAlign w:val="superscript"/>
          <w:lang w:val="en-GB"/>
        </w:rPr>
        <w:footnoteReference w:id="14"/>
      </w:r>
      <w:r w:rsidR="00517029">
        <w:rPr>
          <w:rFonts w:ascii="Arial" w:hAnsi="Arial" w:cs="Arial"/>
          <w:sz w:val="24"/>
          <w:szCs w:val="24"/>
          <w:lang w:val="en-GB"/>
        </w:rPr>
        <w:t xml:space="preserve">. </w:t>
      </w:r>
      <w:r w:rsidR="00A173D3">
        <w:rPr>
          <w:rFonts w:ascii="Arial" w:hAnsi="Arial" w:cs="Arial"/>
          <w:sz w:val="24"/>
          <w:szCs w:val="24"/>
          <w:lang w:val="en-GB"/>
        </w:rPr>
        <w:t>D</w:t>
      </w:r>
      <w:r w:rsidR="000C0503" w:rsidRPr="000C0503">
        <w:rPr>
          <w:rFonts w:ascii="Arial" w:hAnsi="Arial" w:cs="Arial"/>
          <w:sz w:val="24"/>
          <w:szCs w:val="24"/>
          <w:lang w:val="en-GB"/>
        </w:rPr>
        <w:t xml:space="preserve">ecentralised </w:t>
      </w:r>
      <w:r w:rsidR="00FD77F1">
        <w:rPr>
          <w:rFonts w:ascii="Arial" w:hAnsi="Arial" w:cs="Arial"/>
          <w:sz w:val="24"/>
          <w:szCs w:val="24"/>
          <w:lang w:val="en-GB"/>
        </w:rPr>
        <w:t xml:space="preserve">compilations </w:t>
      </w:r>
      <w:r w:rsidR="007D2475">
        <w:rPr>
          <w:rFonts w:ascii="Arial" w:hAnsi="Arial" w:cs="Arial"/>
          <w:sz w:val="24"/>
          <w:szCs w:val="24"/>
          <w:lang w:val="en-GB"/>
        </w:rPr>
        <w:t>do not necessarily have to be centralised, as long as the</w:t>
      </w:r>
      <w:r w:rsidR="00FD77F1">
        <w:rPr>
          <w:rFonts w:ascii="Arial" w:hAnsi="Arial" w:cs="Arial"/>
          <w:sz w:val="24"/>
          <w:szCs w:val="24"/>
          <w:lang w:val="en-GB"/>
        </w:rPr>
        <w:t>y</w:t>
      </w:r>
      <w:r w:rsidR="007D2475">
        <w:rPr>
          <w:rFonts w:ascii="Arial" w:hAnsi="Arial" w:cs="Arial"/>
          <w:sz w:val="24"/>
          <w:szCs w:val="24"/>
          <w:lang w:val="en-GB"/>
        </w:rPr>
        <w:t xml:space="preserve"> are</w:t>
      </w:r>
      <w:r w:rsidR="000C0503" w:rsidRPr="000C0503">
        <w:rPr>
          <w:rFonts w:ascii="Arial" w:hAnsi="Arial" w:cs="Arial"/>
          <w:sz w:val="24"/>
          <w:szCs w:val="24"/>
          <w:lang w:val="en-GB"/>
        </w:rPr>
        <w:t xml:space="preserve"> embedded in a cooperative institutional </w:t>
      </w:r>
      <w:r w:rsidR="00FD77F1">
        <w:rPr>
          <w:rFonts w:ascii="Arial" w:hAnsi="Arial" w:cs="Arial"/>
          <w:sz w:val="24"/>
          <w:szCs w:val="24"/>
          <w:lang w:val="en-GB"/>
        </w:rPr>
        <w:t>framework</w:t>
      </w:r>
      <w:r w:rsidR="000C0503" w:rsidRPr="000C0503">
        <w:rPr>
          <w:rFonts w:ascii="Arial" w:hAnsi="Arial" w:cs="Arial"/>
          <w:sz w:val="24"/>
          <w:szCs w:val="24"/>
          <w:lang w:val="en-GB"/>
        </w:rPr>
        <w:t xml:space="preserve"> </w:t>
      </w:r>
      <w:r w:rsidR="007D2475">
        <w:rPr>
          <w:rFonts w:ascii="Arial" w:hAnsi="Arial" w:cs="Arial"/>
          <w:sz w:val="24"/>
          <w:szCs w:val="24"/>
          <w:lang w:val="en-GB"/>
        </w:rPr>
        <w:t>with</w:t>
      </w:r>
      <w:r w:rsidR="000C0503" w:rsidRPr="000C0503">
        <w:rPr>
          <w:rFonts w:ascii="Arial" w:hAnsi="Arial" w:cs="Arial"/>
          <w:sz w:val="24"/>
          <w:szCs w:val="24"/>
          <w:lang w:val="en-GB"/>
        </w:rPr>
        <w:t xml:space="preserve"> high degree of coordination and task sharing</w:t>
      </w:r>
      <w:r w:rsidR="00517029">
        <w:rPr>
          <w:rFonts w:ascii="Arial" w:hAnsi="Arial" w:cs="Arial"/>
          <w:sz w:val="24"/>
          <w:szCs w:val="24"/>
          <w:lang w:val="en-GB"/>
        </w:rPr>
        <w:t>. C</w:t>
      </w:r>
      <w:r w:rsidR="007D2475">
        <w:rPr>
          <w:rFonts w:ascii="Arial" w:hAnsi="Arial" w:cs="Arial"/>
          <w:sz w:val="24"/>
          <w:szCs w:val="24"/>
          <w:lang w:val="en-GB"/>
        </w:rPr>
        <w:t>entralised solution</w:t>
      </w:r>
      <w:r w:rsidR="0000253A">
        <w:rPr>
          <w:rFonts w:ascii="Arial" w:hAnsi="Arial" w:cs="Arial"/>
          <w:sz w:val="24"/>
          <w:szCs w:val="24"/>
          <w:lang w:val="en-GB"/>
        </w:rPr>
        <w:t>s</w:t>
      </w:r>
      <w:r w:rsidR="007D2475">
        <w:rPr>
          <w:rFonts w:ascii="Arial" w:hAnsi="Arial" w:cs="Arial"/>
          <w:sz w:val="24"/>
          <w:szCs w:val="24"/>
          <w:lang w:val="en-GB"/>
        </w:rPr>
        <w:t xml:space="preserve"> may however </w:t>
      </w:r>
      <w:r w:rsidR="0000253A">
        <w:rPr>
          <w:rFonts w:ascii="Arial" w:hAnsi="Arial" w:cs="Arial"/>
          <w:sz w:val="24"/>
          <w:szCs w:val="24"/>
          <w:lang w:val="en-GB"/>
        </w:rPr>
        <w:t>prevail</w:t>
      </w:r>
      <w:r w:rsidR="007D2475">
        <w:rPr>
          <w:rFonts w:ascii="Arial" w:hAnsi="Arial" w:cs="Arial"/>
          <w:sz w:val="24"/>
          <w:szCs w:val="24"/>
          <w:lang w:val="en-GB"/>
        </w:rPr>
        <w:t xml:space="preserve"> to</w:t>
      </w:r>
      <w:r w:rsidR="000C0503" w:rsidRPr="000C0503">
        <w:rPr>
          <w:rFonts w:ascii="Arial" w:hAnsi="Arial" w:cs="Arial"/>
          <w:sz w:val="24"/>
          <w:szCs w:val="24"/>
          <w:lang w:val="en-GB"/>
        </w:rPr>
        <w:t xml:space="preserve"> harvest economies</w:t>
      </w:r>
      <w:r w:rsidR="007D284F">
        <w:rPr>
          <w:rFonts w:ascii="Arial" w:hAnsi="Arial" w:cs="Arial"/>
          <w:sz w:val="24"/>
          <w:szCs w:val="24"/>
          <w:lang w:val="en-GB"/>
        </w:rPr>
        <w:t xml:space="preserve"> </w:t>
      </w:r>
      <w:r w:rsidR="000C0503" w:rsidRPr="000C0503">
        <w:rPr>
          <w:rFonts w:ascii="Arial" w:hAnsi="Arial" w:cs="Arial"/>
          <w:sz w:val="24"/>
          <w:szCs w:val="24"/>
          <w:lang w:val="en-GB"/>
        </w:rPr>
        <w:t>of</w:t>
      </w:r>
      <w:r w:rsidR="007D284F">
        <w:rPr>
          <w:rFonts w:ascii="Arial" w:hAnsi="Arial" w:cs="Arial"/>
          <w:sz w:val="24"/>
          <w:szCs w:val="24"/>
          <w:lang w:val="en-GB"/>
        </w:rPr>
        <w:t xml:space="preserve"> </w:t>
      </w:r>
      <w:r w:rsidR="000C0503" w:rsidRPr="000C0503">
        <w:rPr>
          <w:rFonts w:ascii="Arial" w:hAnsi="Arial" w:cs="Arial"/>
          <w:sz w:val="24"/>
          <w:szCs w:val="24"/>
          <w:lang w:val="en-GB"/>
        </w:rPr>
        <w:t xml:space="preserve">scale </w:t>
      </w:r>
      <w:r w:rsidR="007D2475">
        <w:rPr>
          <w:rFonts w:ascii="Arial" w:hAnsi="Arial" w:cs="Arial"/>
          <w:sz w:val="24"/>
          <w:szCs w:val="24"/>
          <w:lang w:val="en-GB"/>
        </w:rPr>
        <w:t xml:space="preserve">in </w:t>
      </w:r>
      <w:r w:rsidR="000C0503" w:rsidRPr="000C0503">
        <w:rPr>
          <w:rFonts w:ascii="Arial" w:hAnsi="Arial" w:cs="Arial"/>
          <w:sz w:val="24"/>
          <w:szCs w:val="24"/>
          <w:lang w:val="en-GB"/>
        </w:rPr>
        <w:t>countr</w:t>
      </w:r>
      <w:r w:rsidR="007D2475">
        <w:rPr>
          <w:rFonts w:ascii="Arial" w:hAnsi="Arial" w:cs="Arial"/>
          <w:sz w:val="24"/>
          <w:szCs w:val="24"/>
          <w:lang w:val="en-GB"/>
        </w:rPr>
        <w:t>ie</w:t>
      </w:r>
      <w:r w:rsidR="000C0503" w:rsidRPr="000C0503">
        <w:rPr>
          <w:rFonts w:ascii="Arial" w:hAnsi="Arial" w:cs="Arial"/>
          <w:sz w:val="24"/>
          <w:szCs w:val="24"/>
          <w:lang w:val="en-GB"/>
        </w:rPr>
        <w:t>s</w:t>
      </w:r>
      <w:r w:rsidR="007D2475">
        <w:rPr>
          <w:rFonts w:ascii="Arial" w:hAnsi="Arial" w:cs="Arial"/>
          <w:sz w:val="24"/>
          <w:szCs w:val="24"/>
          <w:lang w:val="en-GB"/>
        </w:rPr>
        <w:t xml:space="preserve"> where extremely scar</w:t>
      </w:r>
      <w:r w:rsidR="0021541E">
        <w:rPr>
          <w:rFonts w:ascii="Arial" w:hAnsi="Arial" w:cs="Arial"/>
          <w:sz w:val="24"/>
          <w:szCs w:val="24"/>
          <w:lang w:val="en-GB"/>
        </w:rPr>
        <w:t>c</w:t>
      </w:r>
      <w:r w:rsidR="007D2475">
        <w:rPr>
          <w:rFonts w:ascii="Arial" w:hAnsi="Arial" w:cs="Arial"/>
          <w:sz w:val="24"/>
          <w:szCs w:val="24"/>
          <w:lang w:val="en-GB"/>
        </w:rPr>
        <w:t>e</w:t>
      </w:r>
      <w:r w:rsidR="000C0503" w:rsidRPr="000C0503">
        <w:rPr>
          <w:rFonts w:ascii="Arial" w:hAnsi="Arial" w:cs="Arial"/>
          <w:sz w:val="24"/>
          <w:szCs w:val="24"/>
          <w:lang w:val="en-GB"/>
        </w:rPr>
        <w:t xml:space="preserve"> administrative resources</w:t>
      </w:r>
      <w:r w:rsidR="007D2475">
        <w:rPr>
          <w:rFonts w:ascii="Arial" w:hAnsi="Arial" w:cs="Arial"/>
          <w:sz w:val="24"/>
          <w:szCs w:val="24"/>
          <w:lang w:val="en-GB"/>
        </w:rPr>
        <w:t xml:space="preserve"> </w:t>
      </w:r>
      <w:r w:rsidR="00517029">
        <w:rPr>
          <w:rFonts w:ascii="Arial" w:hAnsi="Arial" w:cs="Arial"/>
          <w:sz w:val="24"/>
          <w:szCs w:val="24"/>
          <w:lang w:val="en-GB"/>
        </w:rPr>
        <w:t>exist</w:t>
      </w:r>
      <w:r w:rsidR="00A173D3">
        <w:rPr>
          <w:rFonts w:ascii="Arial" w:hAnsi="Arial" w:cs="Arial"/>
          <w:sz w:val="24"/>
          <w:szCs w:val="24"/>
          <w:lang w:val="en-GB"/>
        </w:rPr>
        <w:t>. T</w:t>
      </w:r>
      <w:r w:rsidR="000C0503" w:rsidRPr="000C0503">
        <w:rPr>
          <w:rFonts w:ascii="Arial" w:hAnsi="Arial" w:cs="Arial"/>
          <w:sz w:val="24"/>
          <w:szCs w:val="24"/>
          <w:lang w:val="en-GB"/>
        </w:rPr>
        <w:t xml:space="preserve">he coordination of compilation processes is challenged by the </w:t>
      </w:r>
      <w:r w:rsidR="0000253A">
        <w:rPr>
          <w:rFonts w:ascii="Arial" w:hAnsi="Arial" w:cs="Arial"/>
          <w:sz w:val="24"/>
          <w:szCs w:val="24"/>
          <w:lang w:val="en-GB"/>
        </w:rPr>
        <w:t xml:space="preserve">conceptual </w:t>
      </w:r>
      <w:r w:rsidR="000C0503" w:rsidRPr="000C0503">
        <w:rPr>
          <w:rFonts w:ascii="Arial" w:hAnsi="Arial" w:cs="Arial"/>
          <w:sz w:val="24"/>
          <w:szCs w:val="24"/>
          <w:lang w:val="en-GB"/>
        </w:rPr>
        <w:t>close</w:t>
      </w:r>
      <w:r w:rsidR="0000253A">
        <w:rPr>
          <w:rFonts w:ascii="Arial" w:hAnsi="Arial" w:cs="Arial"/>
          <w:sz w:val="24"/>
          <w:szCs w:val="24"/>
          <w:lang w:val="en-GB"/>
        </w:rPr>
        <w:t>ness</w:t>
      </w:r>
      <w:r w:rsidR="000C0503" w:rsidRPr="000C0503">
        <w:rPr>
          <w:rFonts w:ascii="Arial" w:hAnsi="Arial" w:cs="Arial"/>
          <w:sz w:val="24"/>
          <w:szCs w:val="24"/>
          <w:lang w:val="en-GB"/>
        </w:rPr>
        <w:t xml:space="preserve"> of the underlying statistics with each other, </w:t>
      </w:r>
      <w:r w:rsidR="0000253A">
        <w:rPr>
          <w:rFonts w:ascii="Arial" w:hAnsi="Arial" w:cs="Arial"/>
          <w:sz w:val="24"/>
          <w:szCs w:val="24"/>
          <w:lang w:val="en-GB"/>
        </w:rPr>
        <w:t xml:space="preserve">where </w:t>
      </w:r>
      <w:r w:rsidR="000C0503" w:rsidRPr="000C0503">
        <w:rPr>
          <w:rFonts w:ascii="Arial" w:hAnsi="Arial" w:cs="Arial"/>
          <w:sz w:val="24"/>
          <w:szCs w:val="24"/>
          <w:lang w:val="en-GB"/>
        </w:rPr>
        <w:t xml:space="preserve">production processes are of </w:t>
      </w:r>
      <w:r w:rsidR="000C0503" w:rsidRPr="00A173D3">
        <w:rPr>
          <w:rFonts w:ascii="Arial" w:hAnsi="Arial" w:cs="Arial"/>
          <w:b/>
          <w:sz w:val="24"/>
          <w:szCs w:val="24"/>
          <w:lang w:val="en-GB"/>
        </w:rPr>
        <w:t>twinning</w:t>
      </w:r>
      <w:r w:rsidR="000C0503" w:rsidRPr="000C0503">
        <w:rPr>
          <w:rFonts w:ascii="Arial" w:hAnsi="Arial" w:cs="Arial"/>
          <w:sz w:val="24"/>
          <w:szCs w:val="24"/>
          <w:lang w:val="en-GB"/>
        </w:rPr>
        <w:t xml:space="preserve"> rather than </w:t>
      </w:r>
      <w:r w:rsidR="000C0503" w:rsidRPr="00A173D3">
        <w:rPr>
          <w:rFonts w:ascii="Arial" w:hAnsi="Arial" w:cs="Arial"/>
          <w:b/>
          <w:sz w:val="24"/>
          <w:szCs w:val="24"/>
          <w:lang w:val="en-GB"/>
        </w:rPr>
        <w:t>sequential</w:t>
      </w:r>
      <w:r w:rsidR="000C0503" w:rsidRPr="000C0503">
        <w:rPr>
          <w:rFonts w:ascii="Arial" w:hAnsi="Arial" w:cs="Arial"/>
          <w:sz w:val="24"/>
          <w:szCs w:val="24"/>
          <w:lang w:val="en-GB"/>
        </w:rPr>
        <w:t xml:space="preserve"> character</w:t>
      </w:r>
      <w:r w:rsidR="00A173D3">
        <w:rPr>
          <w:rStyle w:val="FootnoteReference"/>
          <w:rFonts w:ascii="Arial" w:hAnsi="Arial" w:cs="Arial"/>
          <w:sz w:val="24"/>
          <w:szCs w:val="24"/>
          <w:lang w:val="en-GB"/>
        </w:rPr>
        <w:footnoteReference w:id="15"/>
      </w:r>
      <w:r w:rsidR="002C6266">
        <w:rPr>
          <w:rFonts w:ascii="Arial" w:hAnsi="Arial" w:cs="Arial"/>
          <w:sz w:val="24"/>
          <w:szCs w:val="24"/>
          <w:lang w:val="en-GB"/>
        </w:rPr>
        <w:t>. As a consequence t</w:t>
      </w:r>
      <w:r w:rsidR="000C0503" w:rsidRPr="000C0503">
        <w:rPr>
          <w:rFonts w:ascii="Arial" w:hAnsi="Arial" w:cs="Arial"/>
          <w:sz w:val="24"/>
          <w:szCs w:val="24"/>
          <w:lang w:val="en-GB"/>
        </w:rPr>
        <w:t xml:space="preserve">winning processes require </w:t>
      </w:r>
      <w:r w:rsidR="00517029">
        <w:rPr>
          <w:rFonts w:ascii="Arial" w:hAnsi="Arial" w:cs="Arial"/>
          <w:sz w:val="24"/>
          <w:szCs w:val="24"/>
          <w:lang w:val="en-GB"/>
        </w:rPr>
        <w:t>additionally</w:t>
      </w:r>
      <w:r w:rsidR="000C0503" w:rsidRPr="000C0503">
        <w:rPr>
          <w:rFonts w:ascii="Arial" w:hAnsi="Arial" w:cs="Arial"/>
          <w:sz w:val="24"/>
          <w:szCs w:val="24"/>
          <w:lang w:val="en-GB"/>
        </w:rPr>
        <w:t xml:space="preserve"> also a high degree of data sharing, as production takes place in parallel</w:t>
      </w:r>
      <w:r w:rsidR="00552AFD">
        <w:rPr>
          <w:rFonts w:ascii="Arial" w:hAnsi="Arial" w:cs="Arial"/>
          <w:sz w:val="24"/>
          <w:szCs w:val="24"/>
          <w:lang w:val="en-GB"/>
        </w:rPr>
        <w:t>.</w:t>
      </w:r>
      <w:r w:rsidR="002C6266">
        <w:rPr>
          <w:rFonts w:ascii="Arial" w:hAnsi="Arial" w:cs="Arial"/>
          <w:sz w:val="24"/>
          <w:szCs w:val="24"/>
          <w:lang w:val="en-GB"/>
        </w:rPr>
        <w:t xml:space="preserve"> </w:t>
      </w:r>
      <w:r w:rsidR="000C0503" w:rsidRPr="000C0503">
        <w:rPr>
          <w:rFonts w:ascii="Arial" w:hAnsi="Arial" w:cs="Arial"/>
          <w:sz w:val="24"/>
          <w:szCs w:val="24"/>
          <w:lang w:val="en-GB"/>
        </w:rPr>
        <w:t>The organisational/institutional aspect is substantially a “structural issue”</w:t>
      </w:r>
      <w:r w:rsidR="00087BA6">
        <w:rPr>
          <w:rFonts w:ascii="Arial" w:hAnsi="Arial" w:cs="Arial"/>
          <w:sz w:val="24"/>
          <w:szCs w:val="24"/>
          <w:lang w:val="en-GB"/>
        </w:rPr>
        <w:t>, of which re</w:t>
      </w:r>
      <w:r w:rsidR="000C0503" w:rsidRPr="000C0503">
        <w:rPr>
          <w:rFonts w:ascii="Arial" w:hAnsi="Arial" w:cs="Arial"/>
          <w:sz w:val="24"/>
          <w:szCs w:val="24"/>
          <w:lang w:val="en-GB"/>
        </w:rPr>
        <w:t xml:space="preserve">vision work alone </w:t>
      </w:r>
      <w:r w:rsidR="00087BA6">
        <w:rPr>
          <w:rFonts w:ascii="Arial" w:hAnsi="Arial" w:cs="Arial"/>
          <w:sz w:val="24"/>
          <w:szCs w:val="24"/>
          <w:lang w:val="en-GB"/>
        </w:rPr>
        <w:t xml:space="preserve">has </w:t>
      </w:r>
      <w:r w:rsidR="000C0503" w:rsidRPr="000C0503">
        <w:rPr>
          <w:rFonts w:ascii="Arial" w:hAnsi="Arial" w:cs="Arial"/>
          <w:sz w:val="24"/>
          <w:szCs w:val="24"/>
          <w:lang w:val="en-GB"/>
        </w:rPr>
        <w:t>so far not proven sufficient to eliminate inconsistencies.</w:t>
      </w:r>
    </w:p>
    <w:p w:rsidR="00F30C27" w:rsidRPr="00EC5F5A" w:rsidRDefault="00E32FA8"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t>8</w:t>
      </w:r>
      <w:r w:rsidR="004740F1" w:rsidRPr="00EC5F5A">
        <w:rPr>
          <w:rFonts w:ascii="Arial" w:hAnsi="Arial" w:cs="Arial"/>
          <w:b/>
          <w:sz w:val="24"/>
          <w:szCs w:val="24"/>
          <w:lang w:val="en-GB"/>
        </w:rPr>
        <w:t xml:space="preserve">. </w:t>
      </w:r>
      <w:r w:rsidR="000C0503">
        <w:rPr>
          <w:rFonts w:ascii="Arial" w:hAnsi="Arial" w:cs="Arial"/>
          <w:b/>
          <w:sz w:val="24"/>
          <w:szCs w:val="24"/>
          <w:lang w:val="en-GB"/>
        </w:rPr>
        <w:t>Conclusions and outlook</w:t>
      </w:r>
    </w:p>
    <w:p w:rsidR="000C0503" w:rsidRPr="000C0503" w:rsidRDefault="00E66F8D" w:rsidP="00A14AA7">
      <w:pPr>
        <w:spacing w:before="360" w:after="0" w:line="360" w:lineRule="auto"/>
        <w:jc w:val="both"/>
        <w:rPr>
          <w:rFonts w:ascii="Arial" w:hAnsi="Arial" w:cs="Arial"/>
          <w:sz w:val="24"/>
          <w:szCs w:val="24"/>
          <w:lang w:val="en-GB"/>
        </w:rPr>
      </w:pPr>
      <w:r>
        <w:rPr>
          <w:rFonts w:ascii="Arial" w:hAnsi="Arial" w:cs="Arial"/>
          <w:sz w:val="24"/>
          <w:szCs w:val="24"/>
          <w:lang w:val="en-GB"/>
        </w:rPr>
        <w:t xml:space="preserve">Since the last revision of the standards in BOP and NA statistics, inconsistencies due to different methodologies can no longer be justified. However, data evidence has shown that inconsistencies in the EU-28 country statistics </w:t>
      </w:r>
      <w:r w:rsidR="001E3B1C">
        <w:rPr>
          <w:rFonts w:ascii="Arial" w:hAnsi="Arial" w:cs="Arial"/>
          <w:sz w:val="24"/>
          <w:szCs w:val="24"/>
          <w:lang w:val="en-GB"/>
        </w:rPr>
        <w:t xml:space="preserve">still </w:t>
      </w:r>
      <w:r>
        <w:rPr>
          <w:rFonts w:ascii="Arial" w:hAnsi="Arial" w:cs="Arial"/>
          <w:sz w:val="24"/>
          <w:szCs w:val="24"/>
          <w:lang w:val="en-GB"/>
        </w:rPr>
        <w:t xml:space="preserve">persist, although to a different degree and </w:t>
      </w:r>
      <w:r w:rsidR="001E3B1C">
        <w:rPr>
          <w:rFonts w:ascii="Arial" w:hAnsi="Arial" w:cs="Arial"/>
          <w:sz w:val="24"/>
          <w:szCs w:val="24"/>
          <w:lang w:val="en-GB"/>
        </w:rPr>
        <w:t xml:space="preserve">concentrated around </w:t>
      </w:r>
      <w:r w:rsidR="008F7DC4">
        <w:rPr>
          <w:rFonts w:ascii="Arial" w:hAnsi="Arial" w:cs="Arial"/>
          <w:sz w:val="24"/>
          <w:szCs w:val="24"/>
          <w:lang w:val="en-GB"/>
        </w:rPr>
        <w:t>a few</w:t>
      </w:r>
      <w:r>
        <w:rPr>
          <w:rFonts w:ascii="Arial" w:hAnsi="Arial" w:cs="Arial"/>
          <w:sz w:val="24"/>
          <w:szCs w:val="24"/>
          <w:lang w:val="en-GB"/>
        </w:rPr>
        <w:t xml:space="preserve"> countries</w:t>
      </w:r>
      <w:r w:rsidR="00FF46EA">
        <w:rPr>
          <w:rFonts w:ascii="Arial" w:hAnsi="Arial" w:cs="Arial"/>
          <w:sz w:val="24"/>
          <w:szCs w:val="24"/>
          <w:lang w:val="en-GB"/>
        </w:rPr>
        <w:t xml:space="preserve"> only</w:t>
      </w:r>
      <w:r>
        <w:rPr>
          <w:rFonts w:ascii="Arial" w:hAnsi="Arial" w:cs="Arial"/>
          <w:sz w:val="24"/>
          <w:szCs w:val="24"/>
          <w:lang w:val="en-GB"/>
        </w:rPr>
        <w:t xml:space="preserve">. </w:t>
      </w:r>
      <w:r w:rsidR="008F7DC4">
        <w:rPr>
          <w:rFonts w:ascii="Arial" w:hAnsi="Arial" w:cs="Arial"/>
          <w:sz w:val="24"/>
          <w:szCs w:val="24"/>
          <w:lang w:val="en-GB"/>
        </w:rPr>
        <w:t xml:space="preserve">Studies in the causes </w:t>
      </w:r>
      <w:r w:rsidR="00FF46EA">
        <w:rPr>
          <w:rFonts w:ascii="Arial" w:hAnsi="Arial" w:cs="Arial"/>
          <w:sz w:val="24"/>
          <w:szCs w:val="24"/>
          <w:lang w:val="en-GB"/>
        </w:rPr>
        <w:t>of</w:t>
      </w:r>
      <w:r w:rsidR="008F7DC4">
        <w:rPr>
          <w:rFonts w:ascii="Arial" w:hAnsi="Arial" w:cs="Arial"/>
          <w:sz w:val="24"/>
          <w:szCs w:val="24"/>
          <w:lang w:val="en-GB"/>
        </w:rPr>
        <w:t xml:space="preserve"> inconsistencies have </w:t>
      </w:r>
      <w:r w:rsidR="001E3B1C">
        <w:rPr>
          <w:rFonts w:ascii="Arial" w:hAnsi="Arial" w:cs="Arial"/>
          <w:sz w:val="24"/>
          <w:szCs w:val="24"/>
          <w:lang w:val="en-GB"/>
        </w:rPr>
        <w:t xml:space="preserve">further </w:t>
      </w:r>
      <w:r w:rsidR="008F7DC4">
        <w:rPr>
          <w:rFonts w:ascii="Arial" w:hAnsi="Arial" w:cs="Arial"/>
          <w:sz w:val="24"/>
          <w:szCs w:val="24"/>
          <w:lang w:val="en-GB"/>
        </w:rPr>
        <w:t xml:space="preserve">revealed that structural issues </w:t>
      </w:r>
      <w:r w:rsidR="00FF46EA">
        <w:rPr>
          <w:rFonts w:ascii="Arial" w:hAnsi="Arial" w:cs="Arial"/>
          <w:sz w:val="24"/>
          <w:szCs w:val="24"/>
          <w:lang w:val="en-GB"/>
        </w:rPr>
        <w:t xml:space="preserve">relate to </w:t>
      </w:r>
      <w:r w:rsidR="008F7DC4">
        <w:rPr>
          <w:rFonts w:ascii="Arial" w:hAnsi="Arial" w:cs="Arial"/>
          <w:sz w:val="24"/>
          <w:szCs w:val="24"/>
          <w:lang w:val="en-GB"/>
        </w:rPr>
        <w:t>the organisational set</w:t>
      </w:r>
      <w:r w:rsidR="00BD4A5A">
        <w:rPr>
          <w:rFonts w:ascii="Arial" w:hAnsi="Arial" w:cs="Arial"/>
          <w:sz w:val="24"/>
          <w:szCs w:val="24"/>
          <w:lang w:val="en-GB"/>
        </w:rPr>
        <w:t>-</w:t>
      </w:r>
      <w:r w:rsidR="008F7DC4">
        <w:rPr>
          <w:rFonts w:ascii="Arial" w:hAnsi="Arial" w:cs="Arial"/>
          <w:sz w:val="24"/>
          <w:szCs w:val="24"/>
          <w:lang w:val="en-GB"/>
        </w:rPr>
        <w:t>up and the nature of underlying statistical compilation processes</w:t>
      </w:r>
      <w:r w:rsidR="00FF46EA">
        <w:rPr>
          <w:rFonts w:ascii="Arial" w:hAnsi="Arial" w:cs="Arial"/>
          <w:sz w:val="24"/>
          <w:szCs w:val="24"/>
          <w:lang w:val="en-GB"/>
        </w:rPr>
        <w:t xml:space="preserve"> as twinning processes</w:t>
      </w:r>
      <w:r w:rsidR="008F7DC4">
        <w:rPr>
          <w:rFonts w:ascii="Arial" w:hAnsi="Arial" w:cs="Arial"/>
          <w:sz w:val="24"/>
          <w:szCs w:val="24"/>
          <w:lang w:val="en-GB"/>
        </w:rPr>
        <w:t xml:space="preserve">. </w:t>
      </w:r>
      <w:r w:rsidR="00FF46EA">
        <w:rPr>
          <w:rFonts w:ascii="Arial" w:hAnsi="Arial" w:cs="Arial"/>
          <w:sz w:val="24"/>
          <w:szCs w:val="24"/>
          <w:lang w:val="en-GB"/>
        </w:rPr>
        <w:t xml:space="preserve">This can only be done by </w:t>
      </w:r>
      <w:r w:rsidR="001E3B1C">
        <w:rPr>
          <w:rFonts w:ascii="Arial" w:hAnsi="Arial" w:cs="Arial"/>
          <w:sz w:val="24"/>
          <w:szCs w:val="24"/>
          <w:lang w:val="en-GB"/>
        </w:rPr>
        <w:t>the consequent sharing of tasks</w:t>
      </w:r>
      <w:r w:rsidR="0082084A">
        <w:rPr>
          <w:rFonts w:ascii="Arial" w:hAnsi="Arial" w:cs="Arial"/>
          <w:sz w:val="24"/>
          <w:szCs w:val="24"/>
          <w:lang w:val="en-GB"/>
        </w:rPr>
        <w:t xml:space="preserve"> and </w:t>
      </w:r>
      <w:r w:rsidR="00FF46EA">
        <w:rPr>
          <w:rFonts w:ascii="Arial" w:hAnsi="Arial" w:cs="Arial"/>
          <w:sz w:val="24"/>
          <w:szCs w:val="24"/>
          <w:lang w:val="en-GB"/>
        </w:rPr>
        <w:t xml:space="preserve">micro </w:t>
      </w:r>
      <w:r w:rsidR="001E3B1C">
        <w:rPr>
          <w:rFonts w:ascii="Arial" w:hAnsi="Arial" w:cs="Arial"/>
          <w:sz w:val="24"/>
          <w:szCs w:val="24"/>
          <w:lang w:val="en-GB"/>
        </w:rPr>
        <w:t>data</w:t>
      </w:r>
      <w:r w:rsidR="00FF46EA">
        <w:rPr>
          <w:rFonts w:ascii="Arial" w:hAnsi="Arial" w:cs="Arial"/>
          <w:sz w:val="24"/>
          <w:szCs w:val="24"/>
          <w:lang w:val="en-GB"/>
        </w:rPr>
        <w:t xml:space="preserve">, thus benefiting from </w:t>
      </w:r>
      <w:r w:rsidR="001E3B1C">
        <w:rPr>
          <w:rFonts w:ascii="Arial" w:hAnsi="Arial" w:cs="Arial"/>
          <w:sz w:val="24"/>
          <w:szCs w:val="24"/>
          <w:lang w:val="en-GB"/>
        </w:rPr>
        <w:t xml:space="preserve">economies-of-scales more effectively. </w:t>
      </w:r>
      <w:r w:rsidR="000C0503" w:rsidRPr="000C0503">
        <w:rPr>
          <w:rFonts w:ascii="Arial" w:hAnsi="Arial" w:cs="Arial"/>
          <w:sz w:val="24"/>
          <w:szCs w:val="24"/>
          <w:lang w:val="en-GB"/>
        </w:rPr>
        <w:t>The case of the Irish National Accounts</w:t>
      </w:r>
      <w:r w:rsidR="000C0503" w:rsidRPr="000C0503">
        <w:rPr>
          <w:rFonts w:ascii="Arial" w:hAnsi="Arial" w:cs="Arial"/>
          <w:sz w:val="24"/>
          <w:szCs w:val="24"/>
          <w:vertAlign w:val="superscript"/>
          <w:lang w:val="en-GB"/>
        </w:rPr>
        <w:footnoteReference w:id="16"/>
      </w:r>
      <w:r w:rsidR="000C0503" w:rsidRPr="000C0503">
        <w:rPr>
          <w:rFonts w:ascii="Arial" w:hAnsi="Arial" w:cs="Arial"/>
          <w:sz w:val="24"/>
          <w:szCs w:val="24"/>
          <w:lang w:val="en-GB"/>
        </w:rPr>
        <w:t xml:space="preserve"> has illustrated that highly consistent BOP-ROW accounts alone cannot tackle the challenges of globalisation, but countries with consistent statistics have successfully gone through the process</w:t>
      </w:r>
      <w:r w:rsidR="00A14AA7">
        <w:rPr>
          <w:rFonts w:ascii="Arial" w:hAnsi="Arial" w:cs="Arial"/>
          <w:sz w:val="24"/>
          <w:szCs w:val="24"/>
          <w:lang w:val="en-GB"/>
        </w:rPr>
        <w:t>es</w:t>
      </w:r>
      <w:r w:rsidR="000C0503" w:rsidRPr="000C0503">
        <w:rPr>
          <w:rFonts w:ascii="Arial" w:hAnsi="Arial" w:cs="Arial"/>
          <w:sz w:val="24"/>
          <w:szCs w:val="24"/>
          <w:lang w:val="en-GB"/>
        </w:rPr>
        <w:t xml:space="preserve"> of national coordination and seem therefore better in position to adapt to a changing environment. </w:t>
      </w:r>
      <w:r w:rsidR="00A14AA7">
        <w:rPr>
          <w:rFonts w:ascii="Arial" w:hAnsi="Arial" w:cs="Arial"/>
          <w:sz w:val="24"/>
          <w:szCs w:val="24"/>
          <w:lang w:val="en-GB"/>
        </w:rPr>
        <w:t>The</w:t>
      </w:r>
      <w:r w:rsidR="000C0503" w:rsidRPr="000C0503">
        <w:rPr>
          <w:rFonts w:ascii="Arial" w:hAnsi="Arial" w:cs="Arial"/>
          <w:sz w:val="24"/>
          <w:szCs w:val="24"/>
          <w:lang w:val="en-GB"/>
        </w:rPr>
        <w:t xml:space="preserve"> successful examples of the past have </w:t>
      </w:r>
      <w:r w:rsidR="00921066">
        <w:rPr>
          <w:rFonts w:ascii="Arial" w:hAnsi="Arial" w:cs="Arial"/>
          <w:sz w:val="24"/>
          <w:szCs w:val="24"/>
          <w:lang w:val="en-GB"/>
        </w:rPr>
        <w:t xml:space="preserve">also </w:t>
      </w:r>
      <w:r w:rsidR="000C0503" w:rsidRPr="000C0503">
        <w:rPr>
          <w:rFonts w:ascii="Arial" w:hAnsi="Arial" w:cs="Arial"/>
          <w:sz w:val="24"/>
          <w:szCs w:val="24"/>
          <w:lang w:val="en-GB"/>
        </w:rPr>
        <w:t>shown that the provision of common access to reference databases from micro data (CSDB</w:t>
      </w:r>
      <w:r w:rsidR="000C0503" w:rsidRPr="000C0503">
        <w:rPr>
          <w:rFonts w:ascii="Arial" w:hAnsi="Arial" w:cs="Arial"/>
          <w:sz w:val="24"/>
          <w:szCs w:val="24"/>
          <w:vertAlign w:val="superscript"/>
          <w:lang w:val="en-GB"/>
        </w:rPr>
        <w:footnoteReference w:id="17"/>
      </w:r>
      <w:r w:rsidR="000C0503" w:rsidRPr="000C0503">
        <w:rPr>
          <w:rFonts w:ascii="Arial" w:hAnsi="Arial" w:cs="Arial"/>
          <w:sz w:val="24"/>
          <w:szCs w:val="24"/>
          <w:lang w:val="en-GB"/>
        </w:rPr>
        <w:t xml:space="preserve">) can </w:t>
      </w:r>
      <w:r w:rsidR="000C0503" w:rsidRPr="000C0503">
        <w:rPr>
          <w:rFonts w:ascii="Arial" w:hAnsi="Arial" w:cs="Arial"/>
          <w:sz w:val="24"/>
          <w:szCs w:val="24"/>
          <w:lang w:val="en-GB"/>
        </w:rPr>
        <w:lastRenderedPageBreak/>
        <w:t>contribute to more harmonised (financial) statistics. Initiatives in attaining a higher degree of international standardisation of enterprise identifiers and common access to business registers also appear promising</w:t>
      </w:r>
      <w:r w:rsidR="000C0503" w:rsidRPr="000C0503">
        <w:rPr>
          <w:rFonts w:ascii="Arial" w:hAnsi="Arial" w:cs="Arial"/>
          <w:sz w:val="24"/>
          <w:szCs w:val="24"/>
          <w:vertAlign w:val="superscript"/>
          <w:lang w:val="en-GB"/>
        </w:rPr>
        <w:footnoteReference w:id="18"/>
      </w:r>
      <w:r w:rsidR="000C0503" w:rsidRPr="000C0503">
        <w:rPr>
          <w:rFonts w:ascii="Arial" w:hAnsi="Arial" w:cs="Arial"/>
          <w:sz w:val="24"/>
          <w:szCs w:val="24"/>
          <w:lang w:val="en-GB"/>
        </w:rPr>
        <w:t>, although comprehensive coverage is still an obstacle for a breakthrough. International quality initiatives such as the establishment of an FDI Network</w:t>
      </w:r>
      <w:r w:rsidR="000C0503" w:rsidRPr="000C0503">
        <w:rPr>
          <w:rFonts w:ascii="Arial" w:hAnsi="Arial" w:cs="Arial"/>
          <w:sz w:val="24"/>
          <w:szCs w:val="24"/>
          <w:vertAlign w:val="superscript"/>
          <w:lang w:val="en-GB"/>
        </w:rPr>
        <w:footnoteReference w:id="19"/>
      </w:r>
      <w:r w:rsidR="000C0503" w:rsidRPr="000C0503">
        <w:rPr>
          <w:rFonts w:ascii="Arial" w:hAnsi="Arial" w:cs="Arial"/>
          <w:sz w:val="24"/>
          <w:szCs w:val="24"/>
          <w:lang w:val="en-GB"/>
        </w:rPr>
        <w:t xml:space="preserve"> have emphasised the prominence of international coordination for the sake of more symmetric statistics on international transactions. In the light of the above the following obstacles </w:t>
      </w:r>
      <w:r w:rsidR="00A14AA7">
        <w:rPr>
          <w:rFonts w:ascii="Arial" w:hAnsi="Arial" w:cs="Arial"/>
          <w:sz w:val="24"/>
          <w:szCs w:val="24"/>
          <w:lang w:val="en-GB"/>
        </w:rPr>
        <w:t xml:space="preserve">have </w:t>
      </w:r>
      <w:r w:rsidR="000C0503" w:rsidRPr="000C0503">
        <w:rPr>
          <w:rFonts w:ascii="Arial" w:hAnsi="Arial" w:cs="Arial"/>
          <w:sz w:val="24"/>
          <w:szCs w:val="24"/>
          <w:lang w:val="en-GB"/>
        </w:rPr>
        <w:t>hamper</w:t>
      </w:r>
      <w:r w:rsidR="00A14AA7">
        <w:rPr>
          <w:rFonts w:ascii="Arial" w:hAnsi="Arial" w:cs="Arial"/>
          <w:sz w:val="24"/>
          <w:szCs w:val="24"/>
          <w:lang w:val="en-GB"/>
        </w:rPr>
        <w:t>ed</w:t>
      </w:r>
      <w:r w:rsidR="000C0503" w:rsidRPr="000C0503">
        <w:rPr>
          <w:rFonts w:ascii="Arial" w:hAnsi="Arial" w:cs="Arial"/>
          <w:sz w:val="24"/>
          <w:szCs w:val="24"/>
          <w:lang w:val="en-GB"/>
        </w:rPr>
        <w:t xml:space="preserve"> progress and will prominently remain on statisticians’ agenda during the oncoming years</w:t>
      </w:r>
      <w:r w:rsidR="00BD4A5A">
        <w:rPr>
          <w:rFonts w:ascii="Arial" w:hAnsi="Arial" w:cs="Arial"/>
          <w:sz w:val="24"/>
          <w:szCs w:val="24"/>
          <w:lang w:val="en-GB"/>
        </w:rPr>
        <w:t xml:space="preserve"> – i</w:t>
      </w:r>
      <w:r w:rsidR="000C0503" w:rsidRPr="000C0503">
        <w:rPr>
          <w:rFonts w:ascii="Arial" w:hAnsi="Arial" w:cs="Arial"/>
          <w:sz w:val="24"/>
          <w:szCs w:val="24"/>
          <w:lang w:val="en-GB"/>
        </w:rPr>
        <w:t>nstitutional autonomies and strategic rationales</w:t>
      </w:r>
      <w:r w:rsidR="00A14AA7">
        <w:rPr>
          <w:rFonts w:ascii="Arial" w:hAnsi="Arial" w:cs="Arial"/>
          <w:sz w:val="24"/>
          <w:szCs w:val="24"/>
          <w:lang w:val="en-GB"/>
        </w:rPr>
        <w:t>, r</w:t>
      </w:r>
      <w:r w:rsidR="00BD4A5A">
        <w:rPr>
          <w:rFonts w:ascii="Arial" w:hAnsi="Arial" w:cs="Arial"/>
          <w:sz w:val="24"/>
          <w:szCs w:val="24"/>
          <w:lang w:val="en-GB"/>
        </w:rPr>
        <w:t>esource restrictions on human/</w:t>
      </w:r>
      <w:r w:rsidR="000C0503" w:rsidRPr="000C0503">
        <w:rPr>
          <w:rFonts w:ascii="Arial" w:hAnsi="Arial" w:cs="Arial"/>
          <w:sz w:val="24"/>
          <w:szCs w:val="24"/>
          <w:lang w:val="en-GB"/>
        </w:rPr>
        <w:t>IT capacities</w:t>
      </w:r>
      <w:r w:rsidR="00A14AA7">
        <w:rPr>
          <w:rFonts w:ascii="Arial" w:hAnsi="Arial" w:cs="Arial"/>
          <w:sz w:val="24"/>
          <w:szCs w:val="24"/>
          <w:lang w:val="en-GB"/>
        </w:rPr>
        <w:t>, the n</w:t>
      </w:r>
      <w:r w:rsidR="000C0503" w:rsidRPr="000C0503">
        <w:rPr>
          <w:rFonts w:ascii="Arial" w:hAnsi="Arial" w:cs="Arial"/>
          <w:sz w:val="24"/>
          <w:szCs w:val="24"/>
          <w:lang w:val="en-GB"/>
        </w:rPr>
        <w:t>eed for flexibility in adjustment practices among compilers</w:t>
      </w:r>
      <w:r w:rsidR="00A14AA7">
        <w:rPr>
          <w:rFonts w:ascii="Arial" w:hAnsi="Arial" w:cs="Arial"/>
          <w:sz w:val="24"/>
          <w:szCs w:val="24"/>
          <w:lang w:val="en-GB"/>
        </w:rPr>
        <w:t>, and s</w:t>
      </w:r>
      <w:r w:rsidR="000C0503" w:rsidRPr="000C0503">
        <w:rPr>
          <w:rFonts w:ascii="Arial" w:hAnsi="Arial" w:cs="Arial"/>
          <w:sz w:val="24"/>
          <w:szCs w:val="24"/>
          <w:lang w:val="en-GB"/>
        </w:rPr>
        <w:t>trict confidentiality regimes</w:t>
      </w:r>
      <w:r w:rsidR="00A14AA7">
        <w:rPr>
          <w:rFonts w:ascii="Arial" w:hAnsi="Arial" w:cs="Arial"/>
          <w:sz w:val="24"/>
          <w:szCs w:val="24"/>
          <w:lang w:val="en-GB"/>
        </w:rPr>
        <w:t xml:space="preserve"> </w:t>
      </w:r>
      <w:r w:rsidR="00BD4A5A">
        <w:rPr>
          <w:rFonts w:ascii="Arial" w:hAnsi="Arial" w:cs="Arial"/>
          <w:sz w:val="24"/>
          <w:szCs w:val="24"/>
          <w:lang w:val="en-GB"/>
        </w:rPr>
        <w:t>present</w:t>
      </w:r>
      <w:r w:rsidR="00A14AA7">
        <w:rPr>
          <w:rFonts w:ascii="Arial" w:hAnsi="Arial" w:cs="Arial"/>
          <w:sz w:val="24"/>
          <w:szCs w:val="24"/>
          <w:lang w:val="en-GB"/>
        </w:rPr>
        <w:t xml:space="preserve"> in some jurisdictions.</w:t>
      </w:r>
      <w:r w:rsidR="000C0503" w:rsidRPr="000C0503">
        <w:rPr>
          <w:rFonts w:ascii="Arial" w:hAnsi="Arial" w:cs="Arial"/>
          <w:sz w:val="24"/>
          <w:szCs w:val="24"/>
          <w:lang w:val="en-GB"/>
        </w:rPr>
        <w:t xml:space="preserve"> </w:t>
      </w:r>
    </w:p>
    <w:p w:rsidR="00A14AA7" w:rsidRDefault="00F30C27" w:rsidP="00A14AA7">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References</w:t>
      </w:r>
    </w:p>
    <w:p w:rsidR="001034F6" w:rsidRPr="00A14AA7" w:rsidRDefault="001034F6" w:rsidP="001D1CEF">
      <w:pPr>
        <w:spacing w:after="0" w:line="240" w:lineRule="auto"/>
        <w:jc w:val="both"/>
        <w:rPr>
          <w:rFonts w:ascii="Arial" w:hAnsi="Arial" w:cs="Arial"/>
          <w:b/>
          <w:sz w:val="24"/>
          <w:szCs w:val="24"/>
          <w:lang w:val="en-GB"/>
        </w:rPr>
      </w:pPr>
      <w:r w:rsidRPr="001D1CEF">
        <w:rPr>
          <w:rFonts w:ascii="Arial" w:hAnsi="Arial" w:cs="Arial"/>
          <w:i/>
          <w:sz w:val="24"/>
          <w:szCs w:val="24"/>
          <w:lang w:val="en-GB"/>
        </w:rPr>
        <w:t>Central Statistics Office (2016)</w:t>
      </w:r>
      <w:r w:rsidRPr="0082084A">
        <w:rPr>
          <w:rFonts w:ascii="Arial" w:hAnsi="Arial" w:cs="Arial"/>
          <w:sz w:val="24"/>
          <w:szCs w:val="24"/>
          <w:lang w:val="en-GB"/>
        </w:rPr>
        <w:t xml:space="preserve"> – Ireland’s Economic Growth Figures 2015, Press Release 12</w:t>
      </w:r>
      <w:r w:rsidRPr="00A14AA7">
        <w:rPr>
          <w:rFonts w:ascii="Arial" w:hAnsi="Arial" w:cs="Arial"/>
          <w:sz w:val="24"/>
          <w:szCs w:val="24"/>
          <w:lang w:val="en-GB"/>
        </w:rPr>
        <w:t>th</w:t>
      </w:r>
      <w:r w:rsidRPr="0082084A">
        <w:rPr>
          <w:rFonts w:ascii="Arial" w:hAnsi="Arial" w:cs="Arial"/>
          <w:sz w:val="24"/>
          <w:szCs w:val="24"/>
          <w:lang w:val="en-GB"/>
        </w:rPr>
        <w:t xml:space="preserve"> July 2016, Cork, Ireland</w:t>
      </w:r>
    </w:p>
    <w:p w:rsidR="001034F6" w:rsidRDefault="001034F6" w:rsidP="001D1CEF">
      <w:pPr>
        <w:spacing w:after="0" w:line="240" w:lineRule="auto"/>
        <w:jc w:val="both"/>
        <w:rPr>
          <w:rFonts w:ascii="Arial" w:hAnsi="Arial" w:cs="Arial"/>
          <w:sz w:val="24"/>
          <w:szCs w:val="24"/>
          <w:lang w:val="en-GB"/>
        </w:rPr>
      </w:pPr>
      <w:r w:rsidRPr="001D1CEF">
        <w:rPr>
          <w:rFonts w:ascii="Arial" w:hAnsi="Arial" w:cs="Arial"/>
          <w:i/>
          <w:sz w:val="24"/>
          <w:szCs w:val="24"/>
          <w:lang w:val="en-GB"/>
        </w:rPr>
        <w:t>Eurostat (2016)</w:t>
      </w:r>
      <w:r w:rsidRPr="001034F6">
        <w:rPr>
          <w:rFonts w:ascii="Arial" w:hAnsi="Arial" w:cs="Arial"/>
          <w:sz w:val="24"/>
          <w:szCs w:val="24"/>
          <w:lang w:val="en-GB"/>
        </w:rPr>
        <w:t xml:space="preserve"> – Consistency between national accounts and balance of payments, Working Papers, Luxembourg 2016</w:t>
      </w:r>
    </w:p>
    <w:p w:rsidR="001034F6" w:rsidRPr="0082084A" w:rsidRDefault="001034F6" w:rsidP="001D1CEF">
      <w:pPr>
        <w:spacing w:after="0" w:line="240" w:lineRule="auto"/>
        <w:jc w:val="both"/>
        <w:rPr>
          <w:rFonts w:ascii="Arial" w:hAnsi="Arial" w:cs="Arial"/>
          <w:sz w:val="24"/>
          <w:szCs w:val="24"/>
          <w:lang w:val="en-GB"/>
        </w:rPr>
      </w:pPr>
      <w:r w:rsidRPr="001D1CEF">
        <w:rPr>
          <w:rFonts w:ascii="Arial" w:hAnsi="Arial" w:cs="Arial"/>
          <w:i/>
          <w:sz w:val="24"/>
          <w:szCs w:val="24"/>
          <w:lang w:val="en-GB"/>
        </w:rPr>
        <w:t>Obrzut R. (2017)</w:t>
      </w:r>
      <w:r w:rsidRPr="001034F6">
        <w:rPr>
          <w:rFonts w:ascii="Arial" w:hAnsi="Arial" w:cs="Arial"/>
          <w:sz w:val="24"/>
          <w:szCs w:val="24"/>
          <w:lang w:val="en-GB"/>
        </w:rPr>
        <w:t xml:space="preserve"> – Consistency between national accounts and balance of payments – an updated view on the non-financial accounts, Statistical Papers, Luxembourg 2017</w:t>
      </w:r>
    </w:p>
    <w:p w:rsidR="001034F6" w:rsidRPr="0082084A" w:rsidRDefault="001034F6" w:rsidP="001D1CEF">
      <w:pPr>
        <w:spacing w:after="0" w:line="240" w:lineRule="auto"/>
        <w:jc w:val="both"/>
        <w:rPr>
          <w:rFonts w:ascii="Arial" w:hAnsi="Arial" w:cs="Arial"/>
          <w:sz w:val="24"/>
          <w:szCs w:val="24"/>
          <w:lang w:val="en-GB"/>
        </w:rPr>
      </w:pPr>
      <w:r w:rsidRPr="00353A50">
        <w:rPr>
          <w:rFonts w:ascii="Arial" w:hAnsi="Arial" w:cs="Arial"/>
          <w:i/>
          <w:sz w:val="24"/>
          <w:szCs w:val="24"/>
          <w:lang w:val="en-GB"/>
        </w:rPr>
        <w:t>Obrzut R. (2016)</w:t>
      </w:r>
      <w:r w:rsidRPr="001034F6">
        <w:rPr>
          <w:rFonts w:ascii="Arial" w:hAnsi="Arial" w:cs="Arial"/>
          <w:sz w:val="24"/>
          <w:szCs w:val="24"/>
          <w:lang w:val="en-GB"/>
        </w:rPr>
        <w:t xml:space="preserve"> – Consistency between national accounts and balance of payments statistics, in: EURONA, Luxembourg 2016</w:t>
      </w:r>
    </w:p>
    <w:p w:rsidR="001034F6" w:rsidRPr="0082084A" w:rsidRDefault="001034F6" w:rsidP="001D1CEF">
      <w:pPr>
        <w:spacing w:after="0" w:line="240" w:lineRule="auto"/>
        <w:jc w:val="both"/>
        <w:rPr>
          <w:rFonts w:ascii="Arial" w:hAnsi="Arial" w:cs="Arial"/>
          <w:sz w:val="24"/>
          <w:szCs w:val="24"/>
          <w:lang w:val="en-GB"/>
        </w:rPr>
      </w:pPr>
      <w:r w:rsidRPr="00353A50">
        <w:rPr>
          <w:rFonts w:ascii="Arial" w:hAnsi="Arial" w:cs="Arial"/>
          <w:i/>
          <w:sz w:val="24"/>
          <w:szCs w:val="24"/>
          <w:lang w:val="en-GB"/>
        </w:rPr>
        <w:t>Pérez Cornejo A.</w:t>
      </w:r>
      <w:r w:rsidR="00A14AA7" w:rsidRPr="00353A50">
        <w:rPr>
          <w:rFonts w:ascii="Arial" w:hAnsi="Arial" w:cs="Arial"/>
          <w:i/>
          <w:sz w:val="24"/>
          <w:szCs w:val="24"/>
          <w:lang w:val="en-GB"/>
        </w:rPr>
        <w:t xml:space="preserve"> and</w:t>
      </w:r>
      <w:r w:rsidRPr="00353A50">
        <w:rPr>
          <w:rFonts w:ascii="Arial" w:hAnsi="Arial" w:cs="Arial"/>
          <w:i/>
          <w:sz w:val="24"/>
          <w:szCs w:val="24"/>
          <w:lang w:val="en-GB"/>
        </w:rPr>
        <w:t xml:space="preserve"> </w:t>
      </w:r>
      <w:proofErr w:type="spellStart"/>
      <w:r w:rsidRPr="00353A50">
        <w:rPr>
          <w:rFonts w:ascii="Arial" w:hAnsi="Arial" w:cs="Arial"/>
          <w:i/>
          <w:sz w:val="24"/>
          <w:szCs w:val="24"/>
          <w:lang w:val="en-GB"/>
        </w:rPr>
        <w:t>Huerga</w:t>
      </w:r>
      <w:proofErr w:type="spellEnd"/>
      <w:r w:rsidRPr="00353A50">
        <w:rPr>
          <w:rFonts w:ascii="Arial" w:hAnsi="Arial" w:cs="Arial"/>
          <w:i/>
          <w:sz w:val="24"/>
          <w:szCs w:val="24"/>
          <w:lang w:val="en-GB"/>
        </w:rPr>
        <w:t xml:space="preserve"> J. (2015)</w:t>
      </w:r>
      <w:r w:rsidRPr="001034F6">
        <w:rPr>
          <w:rFonts w:ascii="Arial" w:hAnsi="Arial" w:cs="Arial"/>
          <w:sz w:val="24"/>
          <w:szCs w:val="24"/>
          <w:lang w:val="en-GB"/>
        </w:rPr>
        <w:t xml:space="preserve"> – The Centralised Securities Database (CSDB): Standardised micro data for financial stability purposes, BIS Working Papers, Basle 2015</w:t>
      </w:r>
    </w:p>
    <w:p w:rsidR="001034F6" w:rsidRPr="0082084A" w:rsidRDefault="001034F6" w:rsidP="001D1CEF">
      <w:pPr>
        <w:spacing w:after="0" w:line="240" w:lineRule="auto"/>
        <w:jc w:val="both"/>
        <w:rPr>
          <w:rFonts w:ascii="Arial" w:hAnsi="Arial" w:cs="Arial"/>
          <w:sz w:val="24"/>
          <w:szCs w:val="24"/>
          <w:lang w:val="en-GB"/>
        </w:rPr>
      </w:pPr>
      <w:proofErr w:type="spellStart"/>
      <w:r w:rsidRPr="00353A50">
        <w:rPr>
          <w:rFonts w:ascii="Arial" w:hAnsi="Arial" w:cs="Arial"/>
          <w:i/>
          <w:sz w:val="24"/>
          <w:szCs w:val="24"/>
          <w:lang w:val="en-GB"/>
        </w:rPr>
        <w:t>Stapel-Weber</w:t>
      </w:r>
      <w:proofErr w:type="spellEnd"/>
      <w:r w:rsidRPr="00353A50">
        <w:rPr>
          <w:rFonts w:ascii="Arial" w:hAnsi="Arial" w:cs="Arial"/>
          <w:i/>
          <w:sz w:val="24"/>
          <w:szCs w:val="24"/>
          <w:lang w:val="en-GB"/>
        </w:rPr>
        <w:t xml:space="preserve"> S.</w:t>
      </w:r>
      <w:r w:rsidR="00A14AA7" w:rsidRPr="00353A50">
        <w:rPr>
          <w:rFonts w:ascii="Arial" w:hAnsi="Arial" w:cs="Arial"/>
          <w:i/>
          <w:sz w:val="24"/>
          <w:szCs w:val="24"/>
          <w:lang w:val="en-GB"/>
        </w:rPr>
        <w:t xml:space="preserve"> and</w:t>
      </w:r>
      <w:r w:rsidRPr="00353A50">
        <w:rPr>
          <w:rFonts w:ascii="Arial" w:hAnsi="Arial" w:cs="Arial"/>
          <w:i/>
          <w:sz w:val="24"/>
          <w:szCs w:val="24"/>
          <w:lang w:val="en-GB"/>
        </w:rPr>
        <w:t xml:space="preserve"> </w:t>
      </w:r>
      <w:proofErr w:type="spellStart"/>
      <w:r w:rsidRPr="00353A50">
        <w:rPr>
          <w:rFonts w:ascii="Arial" w:hAnsi="Arial" w:cs="Arial"/>
          <w:i/>
          <w:sz w:val="24"/>
          <w:szCs w:val="24"/>
          <w:lang w:val="en-GB"/>
        </w:rPr>
        <w:t>Verrinder</w:t>
      </w:r>
      <w:proofErr w:type="spellEnd"/>
      <w:r w:rsidRPr="00353A50">
        <w:rPr>
          <w:rFonts w:ascii="Arial" w:hAnsi="Arial" w:cs="Arial"/>
          <w:i/>
          <w:sz w:val="24"/>
          <w:szCs w:val="24"/>
          <w:lang w:val="en-GB"/>
        </w:rPr>
        <w:t xml:space="preserve"> J. (2016)</w:t>
      </w:r>
      <w:r w:rsidRPr="001034F6">
        <w:rPr>
          <w:rFonts w:ascii="Arial" w:hAnsi="Arial" w:cs="Arial"/>
          <w:sz w:val="24"/>
          <w:szCs w:val="24"/>
          <w:lang w:val="en-GB"/>
        </w:rPr>
        <w:t xml:space="preserve"> – Globalisation at work in statistics: Questions arising from the ‘Irish case’, in: EURONA, Luxembourg 2016</w:t>
      </w:r>
    </w:p>
    <w:p w:rsidR="001034F6" w:rsidRPr="0082084A" w:rsidRDefault="001034F6" w:rsidP="001D1CEF">
      <w:pPr>
        <w:spacing w:after="0" w:line="240" w:lineRule="auto"/>
        <w:jc w:val="both"/>
        <w:rPr>
          <w:rFonts w:ascii="Arial" w:hAnsi="Arial" w:cs="Arial"/>
          <w:sz w:val="24"/>
          <w:szCs w:val="24"/>
          <w:lang w:val="en-GB"/>
        </w:rPr>
      </w:pPr>
      <w:r w:rsidRPr="00353A50">
        <w:rPr>
          <w:rFonts w:ascii="Arial" w:hAnsi="Arial" w:cs="Arial"/>
          <w:i/>
          <w:sz w:val="24"/>
          <w:szCs w:val="24"/>
          <w:lang w:val="en-GB"/>
        </w:rPr>
        <w:t>BPM6</w:t>
      </w:r>
      <w:r w:rsidRPr="001034F6">
        <w:rPr>
          <w:rFonts w:ascii="Arial" w:hAnsi="Arial" w:cs="Arial"/>
          <w:sz w:val="24"/>
          <w:szCs w:val="24"/>
          <w:lang w:val="en-GB"/>
        </w:rPr>
        <w:t xml:space="preserve"> – Balance of Payments and International Investment Position Manual, Sixth edition, IMF, Washington DC 2009</w:t>
      </w:r>
    </w:p>
    <w:p w:rsidR="001034F6" w:rsidRDefault="001034F6" w:rsidP="001D1CEF">
      <w:pPr>
        <w:spacing w:after="0" w:line="240" w:lineRule="auto"/>
        <w:jc w:val="both"/>
        <w:rPr>
          <w:rFonts w:ascii="Arial" w:hAnsi="Arial" w:cs="Arial"/>
          <w:sz w:val="24"/>
          <w:szCs w:val="24"/>
          <w:lang w:val="en-GB"/>
        </w:rPr>
      </w:pPr>
      <w:r w:rsidRPr="00353A50">
        <w:rPr>
          <w:rFonts w:ascii="Arial" w:hAnsi="Arial" w:cs="Arial"/>
          <w:i/>
          <w:sz w:val="24"/>
          <w:szCs w:val="24"/>
          <w:lang w:val="en-GB"/>
        </w:rPr>
        <w:t>ESA2010</w:t>
      </w:r>
      <w:r w:rsidRPr="001034F6">
        <w:rPr>
          <w:rFonts w:ascii="Arial" w:hAnsi="Arial" w:cs="Arial"/>
          <w:sz w:val="24"/>
          <w:szCs w:val="24"/>
          <w:lang w:val="en-GB"/>
        </w:rPr>
        <w:t xml:space="preserve"> – European System of Accounts, Eurostat, Luxembourg 2013 </w:t>
      </w:r>
    </w:p>
    <w:p w:rsidR="001034F6" w:rsidRPr="0082084A" w:rsidRDefault="001034F6" w:rsidP="001D1CEF">
      <w:pPr>
        <w:spacing w:after="0" w:line="240" w:lineRule="auto"/>
        <w:jc w:val="both"/>
        <w:rPr>
          <w:rFonts w:ascii="Arial" w:hAnsi="Arial" w:cs="Arial"/>
          <w:sz w:val="24"/>
          <w:szCs w:val="24"/>
          <w:lang w:val="en-GB"/>
        </w:rPr>
      </w:pPr>
      <w:r w:rsidRPr="00353A50">
        <w:rPr>
          <w:rFonts w:ascii="Arial" w:hAnsi="Arial" w:cs="Arial"/>
          <w:i/>
          <w:sz w:val="24"/>
          <w:szCs w:val="24"/>
          <w:lang w:val="en-GB"/>
        </w:rPr>
        <w:t>Eurostat (2011)</w:t>
      </w:r>
      <w:r w:rsidRPr="001034F6">
        <w:rPr>
          <w:rFonts w:ascii="Arial" w:hAnsi="Arial" w:cs="Arial"/>
          <w:sz w:val="24"/>
          <w:szCs w:val="24"/>
          <w:lang w:val="en-GB"/>
        </w:rPr>
        <w:t xml:space="preserve"> – Quality Assurance Framework of the European Statistical System, Version 1.2, Luxembourg 2011</w:t>
      </w:r>
    </w:p>
    <w:p w:rsidR="00D3292C" w:rsidRDefault="00D3292C">
      <w:pPr>
        <w:rPr>
          <w:rFonts w:ascii="Arial" w:hAnsi="Arial" w:cs="Arial"/>
          <w:b/>
          <w:sz w:val="24"/>
          <w:szCs w:val="24"/>
          <w:lang w:val="en-GB"/>
        </w:rPr>
      </w:pPr>
    </w:p>
    <w:sectPr w:rsidR="00D3292C" w:rsidSect="0023623C">
      <w:headerReference w:type="even" r:id="rId17"/>
      <w:headerReference w:type="default" r:id="rId18"/>
      <w:footerReference w:type="default" r:id="rId19"/>
      <w:headerReference w:type="first" r:id="rId20"/>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A6" w:rsidRDefault="00087BA6" w:rsidP="00E82B25">
      <w:pPr>
        <w:spacing w:after="0" w:line="240" w:lineRule="auto"/>
      </w:pPr>
      <w:r>
        <w:separator/>
      </w:r>
    </w:p>
  </w:endnote>
  <w:endnote w:type="continuationSeparator" w:id="0">
    <w:p w:rsidR="00087BA6" w:rsidRDefault="00087BA6"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087BA6" w:rsidRPr="009378F5" w:rsidRDefault="00087BA6"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CF00C8">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A6" w:rsidRDefault="00087BA6" w:rsidP="00E82B25">
      <w:pPr>
        <w:spacing w:after="0" w:line="240" w:lineRule="auto"/>
      </w:pPr>
      <w:r>
        <w:separator/>
      </w:r>
    </w:p>
  </w:footnote>
  <w:footnote w:type="continuationSeparator" w:id="0">
    <w:p w:rsidR="00087BA6" w:rsidRDefault="00087BA6" w:rsidP="00E82B25">
      <w:pPr>
        <w:spacing w:after="0" w:line="240" w:lineRule="auto"/>
      </w:pPr>
      <w:r>
        <w:continuationSeparator/>
      </w:r>
    </w:p>
  </w:footnote>
  <w:footnote w:id="1">
    <w:p w:rsidR="00087BA6" w:rsidRPr="00070318" w:rsidRDefault="00087BA6" w:rsidP="00181DF3">
      <w:pPr>
        <w:pStyle w:val="FootnoteText"/>
        <w:rPr>
          <w:lang w:val="en-GB"/>
        </w:rPr>
      </w:pPr>
      <w:r>
        <w:rPr>
          <w:rStyle w:val="FootnoteReference"/>
        </w:rPr>
        <w:footnoteRef/>
      </w:r>
      <w:r w:rsidRPr="00070318">
        <w:rPr>
          <w:lang w:val="en-GB"/>
        </w:rPr>
        <w:t xml:space="preserve"> Eurostat (2015), Quality Assurance Framework of the ESS, version 2.1</w:t>
      </w:r>
    </w:p>
  </w:footnote>
  <w:footnote w:id="2">
    <w:p w:rsidR="00087BA6" w:rsidRPr="00E46BA4" w:rsidRDefault="00087BA6" w:rsidP="00181DF3">
      <w:pPr>
        <w:pStyle w:val="FootnoteText"/>
        <w:rPr>
          <w:lang w:val="en-GB"/>
        </w:rPr>
      </w:pPr>
      <w:r>
        <w:rPr>
          <w:rStyle w:val="FootnoteReference"/>
        </w:rPr>
        <w:footnoteRef/>
      </w:r>
      <w:r w:rsidRPr="00E46BA4">
        <w:rPr>
          <w:lang w:val="en-GB"/>
        </w:rPr>
        <w:t xml:space="preserve"> BPM6 Appendix 7, ESA2010 Chapter 18</w:t>
      </w:r>
    </w:p>
  </w:footnote>
  <w:footnote w:id="3">
    <w:p w:rsidR="00087BA6" w:rsidRPr="00D564C9" w:rsidRDefault="00087BA6" w:rsidP="004B5CD4">
      <w:pPr>
        <w:pStyle w:val="FootnoteText"/>
        <w:rPr>
          <w:lang w:val="en-GB"/>
        </w:rPr>
      </w:pPr>
      <w:r>
        <w:rPr>
          <w:rStyle w:val="FootnoteReference"/>
        </w:rPr>
        <w:footnoteRef/>
      </w:r>
      <w:r w:rsidRPr="00D564C9">
        <w:rPr>
          <w:lang w:val="en-GB"/>
        </w:rPr>
        <w:t xml:space="preserve"> In Europe</w:t>
      </w:r>
      <w:r w:rsidR="00ED5F6B">
        <w:rPr>
          <w:lang w:val="en-GB"/>
        </w:rPr>
        <w:t>an statistics</w:t>
      </w:r>
      <w:r w:rsidR="00D42383">
        <w:rPr>
          <w:lang w:val="en-GB"/>
        </w:rPr>
        <w:t xml:space="preserve"> the ESA2010</w:t>
      </w:r>
    </w:p>
  </w:footnote>
  <w:footnote w:id="4">
    <w:p w:rsidR="00ED5F6B" w:rsidRPr="00A95AD9" w:rsidRDefault="00ED5F6B" w:rsidP="00ED5F6B">
      <w:pPr>
        <w:pStyle w:val="FootnoteText"/>
        <w:rPr>
          <w:lang w:val="en-GB"/>
        </w:rPr>
      </w:pPr>
      <w:r>
        <w:rPr>
          <w:rStyle w:val="FootnoteReference"/>
        </w:rPr>
        <w:footnoteRef/>
      </w:r>
      <w:r w:rsidRPr="00A95AD9">
        <w:rPr>
          <w:lang w:val="en-GB"/>
        </w:rPr>
        <w:t xml:space="preserve"> </w:t>
      </w:r>
      <w:r>
        <w:rPr>
          <w:lang w:val="en-GB"/>
        </w:rPr>
        <w:t>Transactions of the ROW sector are directly comparable with the external transactions of BOP statistics in both non-financial and financial accounts. For detailed explanations, see Obrzut (2016).</w:t>
      </w:r>
    </w:p>
  </w:footnote>
  <w:footnote w:id="5">
    <w:p w:rsidR="00087BA6" w:rsidRPr="00A95AD9" w:rsidRDefault="00087BA6" w:rsidP="00923AB0">
      <w:pPr>
        <w:pStyle w:val="FootnoteText"/>
        <w:rPr>
          <w:lang w:val="en-GB"/>
        </w:rPr>
      </w:pPr>
      <w:r>
        <w:rPr>
          <w:rStyle w:val="FootnoteReference"/>
        </w:rPr>
        <w:footnoteRef/>
      </w:r>
      <w:r w:rsidRPr="00A95AD9">
        <w:rPr>
          <w:lang w:val="en-GB"/>
        </w:rPr>
        <w:t xml:space="preserve"> </w:t>
      </w:r>
      <w:r>
        <w:rPr>
          <w:lang w:val="en-GB"/>
        </w:rPr>
        <w:t xml:space="preserve">We apply the underlying concept of “primary” consistency in our analysis, where </w:t>
      </w:r>
      <w:r w:rsidR="00ED5F6B">
        <w:rPr>
          <w:lang w:val="en-GB"/>
        </w:rPr>
        <w:t xml:space="preserve">it is assumed that </w:t>
      </w:r>
      <w:r>
        <w:rPr>
          <w:lang w:val="en-GB"/>
        </w:rPr>
        <w:t xml:space="preserve">inconsistent components can be detected in the balancing items or aggregates. In contrast </w:t>
      </w:r>
      <w:r w:rsidR="00ED5F6B">
        <w:rPr>
          <w:lang w:val="en-GB"/>
        </w:rPr>
        <w:t>i</w:t>
      </w:r>
      <w:r>
        <w:rPr>
          <w:lang w:val="en-GB"/>
        </w:rPr>
        <w:t xml:space="preserve">nconsistent components could </w:t>
      </w:r>
      <w:r w:rsidR="00ED5F6B">
        <w:rPr>
          <w:lang w:val="en-GB"/>
        </w:rPr>
        <w:t xml:space="preserve">also </w:t>
      </w:r>
      <w:r>
        <w:rPr>
          <w:lang w:val="en-GB"/>
        </w:rPr>
        <w:t>cancel each other out and cannot be detected in the balancing items/aggregates</w:t>
      </w:r>
      <w:r w:rsidR="00ED5F6B">
        <w:rPr>
          <w:lang w:val="en-GB"/>
        </w:rPr>
        <w:t xml:space="preserve"> (“secondary consistency”)</w:t>
      </w:r>
      <w:r>
        <w:rPr>
          <w:lang w:val="en-GB"/>
        </w:rPr>
        <w:t>.</w:t>
      </w:r>
      <w:r w:rsidR="00800966" w:rsidRPr="00800966">
        <w:rPr>
          <w:lang w:val="en-GB"/>
        </w:rPr>
        <w:t xml:space="preserve"> </w:t>
      </w:r>
      <w:r w:rsidR="00800966">
        <w:rPr>
          <w:lang w:val="en-GB"/>
        </w:rPr>
        <w:t>Nevertheless</w:t>
      </w:r>
      <w:r w:rsidR="00800966" w:rsidRPr="00800966">
        <w:rPr>
          <w:lang w:val="en-GB"/>
        </w:rPr>
        <w:t>, secondary inconsistency should not be neglected</w:t>
      </w:r>
      <w:r w:rsidR="00C6796E">
        <w:rPr>
          <w:lang w:val="en-GB"/>
        </w:rPr>
        <w:t>:</w:t>
      </w:r>
      <w:r w:rsidR="00800966" w:rsidRPr="00800966">
        <w:rPr>
          <w:lang w:val="en-GB"/>
        </w:rPr>
        <w:t xml:space="preserve"> users expect to find the same values across all tables for any given transaction code, whose content and estimation method is uniquely defined in ESA2010.</w:t>
      </w:r>
      <w:r w:rsidR="00800966">
        <w:rPr>
          <w:lang w:val="en-GB"/>
        </w:rPr>
        <w:t xml:space="preserve"> </w:t>
      </w:r>
      <w:r w:rsidR="007512FD">
        <w:rPr>
          <w:lang w:val="en-GB"/>
        </w:rPr>
        <w:t>However, s</w:t>
      </w:r>
      <w:r w:rsidR="00800966" w:rsidRPr="00800966">
        <w:rPr>
          <w:lang w:val="en-GB"/>
        </w:rPr>
        <w:t>econdary consistency is harde</w:t>
      </w:r>
      <w:r w:rsidR="007512FD">
        <w:rPr>
          <w:lang w:val="en-GB"/>
        </w:rPr>
        <w:t>r</w:t>
      </w:r>
      <w:r w:rsidR="00800966" w:rsidRPr="00800966">
        <w:rPr>
          <w:lang w:val="en-GB"/>
        </w:rPr>
        <w:t xml:space="preserve"> to </w:t>
      </w:r>
      <w:r w:rsidR="007512FD">
        <w:rPr>
          <w:lang w:val="en-GB"/>
        </w:rPr>
        <w:t xml:space="preserve">be </w:t>
      </w:r>
      <w:r w:rsidR="00800966" w:rsidRPr="00800966">
        <w:rPr>
          <w:lang w:val="en-GB"/>
        </w:rPr>
        <w:t>achieve</w:t>
      </w:r>
      <w:r w:rsidR="007512FD">
        <w:rPr>
          <w:lang w:val="en-GB"/>
        </w:rPr>
        <w:t>d due to its more rigid consistency requirements of the sub items.</w:t>
      </w:r>
    </w:p>
  </w:footnote>
  <w:footnote w:id="6">
    <w:p w:rsidR="00087BA6" w:rsidRPr="00515DF5" w:rsidRDefault="00087BA6">
      <w:pPr>
        <w:pStyle w:val="FootnoteText"/>
        <w:rPr>
          <w:lang w:val="en-GB"/>
        </w:rPr>
      </w:pPr>
      <w:r>
        <w:rPr>
          <w:rStyle w:val="FootnoteReference"/>
        </w:rPr>
        <w:footnoteRef/>
      </w:r>
      <w:r w:rsidRPr="00515DF5">
        <w:rPr>
          <w:lang w:val="en-GB"/>
        </w:rPr>
        <w:t xml:space="preserve"> </w:t>
      </w:r>
      <w:r>
        <w:rPr>
          <w:lang w:val="en-GB"/>
        </w:rPr>
        <w:t xml:space="preserve">While the sector accounts foresee complete </w:t>
      </w:r>
      <w:r w:rsidR="00971907">
        <w:rPr>
          <w:lang w:val="en-GB"/>
        </w:rPr>
        <w:t>revisions</w:t>
      </w:r>
      <w:r>
        <w:rPr>
          <w:lang w:val="en-GB"/>
        </w:rPr>
        <w:t xml:space="preserve"> of the entire time-series, the BOP revision calendars usually are limited to the more recent years, roughly covering the observations of the past 3 years.</w:t>
      </w:r>
    </w:p>
  </w:footnote>
  <w:footnote w:id="7">
    <w:p w:rsidR="00087BA6" w:rsidRPr="00D564C9" w:rsidRDefault="00087BA6" w:rsidP="00D564C9">
      <w:pPr>
        <w:pStyle w:val="FootnoteText"/>
        <w:rPr>
          <w:lang w:val="en-GB"/>
        </w:rPr>
      </w:pPr>
      <w:r>
        <w:rPr>
          <w:rStyle w:val="FootnoteReference"/>
        </w:rPr>
        <w:footnoteRef/>
      </w:r>
      <w:r w:rsidRPr="00D564C9">
        <w:rPr>
          <w:lang w:val="en-GB"/>
        </w:rPr>
        <w:t xml:space="preserve"> For a broader discussion see Obrzut R. (2016), Chapter 6.3 – Studying measures of comparability, p. 125 </w:t>
      </w:r>
    </w:p>
  </w:footnote>
  <w:footnote w:id="8">
    <w:p w:rsidR="00087BA6" w:rsidRPr="0015482A" w:rsidRDefault="00087BA6">
      <w:pPr>
        <w:pStyle w:val="FootnoteText"/>
        <w:rPr>
          <w:lang w:val="en-GB"/>
        </w:rPr>
      </w:pPr>
      <w:r>
        <w:rPr>
          <w:rStyle w:val="FootnoteReference"/>
        </w:rPr>
        <w:footnoteRef/>
      </w:r>
      <w:r w:rsidRPr="0015482A">
        <w:rPr>
          <w:lang w:val="en-GB"/>
        </w:rPr>
        <w:t xml:space="preserve"> </w:t>
      </w:r>
      <w:r>
        <w:rPr>
          <w:lang w:val="en-GB"/>
        </w:rPr>
        <w:t xml:space="preserve">For an updated view refer to the Eurostat website “Statistics Explained” </w:t>
      </w:r>
      <w:hyperlink r:id="rId1" w:history="1">
        <w:r w:rsidRPr="00072584">
          <w:rPr>
            <w:rStyle w:val="Hyperlink"/>
            <w:lang w:val="en-GB"/>
          </w:rPr>
          <w:t>http://ec.europa.eu/eurostat/statistics-explained/index.php/Consistency_between_national_accounts_and_balance_of_payments_statistics</w:t>
        </w:r>
      </w:hyperlink>
      <w:r>
        <w:rPr>
          <w:lang w:val="en-GB"/>
        </w:rPr>
        <w:t xml:space="preserve"> </w:t>
      </w:r>
    </w:p>
  </w:footnote>
  <w:footnote w:id="9">
    <w:p w:rsidR="00E242CC" w:rsidRPr="00E242CC" w:rsidRDefault="00E242CC">
      <w:pPr>
        <w:pStyle w:val="FootnoteText"/>
        <w:rPr>
          <w:lang w:val="en-GB"/>
        </w:rPr>
      </w:pPr>
      <w:r>
        <w:rPr>
          <w:rStyle w:val="FootnoteReference"/>
        </w:rPr>
        <w:footnoteRef/>
      </w:r>
      <w:r w:rsidRPr="00E242CC">
        <w:rPr>
          <w:lang w:val="en-GB"/>
        </w:rPr>
        <w:t xml:space="preserve"> </w:t>
      </w:r>
      <w:r>
        <w:rPr>
          <w:lang w:val="en-GB"/>
        </w:rPr>
        <w:t xml:space="preserve">The recent 2016-vintage shows directional inconsistencies in the non-financial balances for France (services), Poland (secondary income) and Germany (capital account), and in the financial balances for Finland and Sweden. </w:t>
      </w:r>
    </w:p>
  </w:footnote>
  <w:footnote w:id="10">
    <w:p w:rsidR="009448D4" w:rsidRPr="009448D4" w:rsidRDefault="009448D4">
      <w:pPr>
        <w:pStyle w:val="FootnoteText"/>
        <w:rPr>
          <w:lang w:val="en-GB"/>
        </w:rPr>
      </w:pPr>
      <w:r>
        <w:rPr>
          <w:rStyle w:val="FootnoteReference"/>
        </w:rPr>
        <w:footnoteRef/>
      </w:r>
      <w:r w:rsidRPr="009448D4">
        <w:rPr>
          <w:lang w:val="en-GB"/>
        </w:rPr>
        <w:t xml:space="preserve"> </w:t>
      </w:r>
      <w:r>
        <w:rPr>
          <w:lang w:val="en-GB"/>
        </w:rPr>
        <w:t xml:space="preserve">Published in Eurostat’s publication database </w:t>
      </w:r>
      <w:proofErr w:type="spellStart"/>
      <w:r>
        <w:rPr>
          <w:lang w:val="en-GB"/>
        </w:rPr>
        <w:t>eurobase</w:t>
      </w:r>
      <w:proofErr w:type="spellEnd"/>
      <w:r>
        <w:rPr>
          <w:lang w:val="en-GB"/>
        </w:rPr>
        <w:t xml:space="preserve"> </w:t>
      </w:r>
      <w:r w:rsidR="00CF00C8">
        <w:fldChar w:fldCharType="begin"/>
      </w:r>
      <w:r w:rsidR="00CF00C8" w:rsidRPr="00CF00C8">
        <w:rPr>
          <w:lang w:val="en-GB"/>
        </w:rPr>
        <w:instrText xml:space="preserve"> HYPERLINK "http://ec.europa.eu/eurostat/data/database" </w:instrText>
      </w:r>
      <w:r w:rsidR="00CF00C8">
        <w:fldChar w:fldCharType="separate"/>
      </w:r>
      <w:r w:rsidRPr="00E62D0A">
        <w:rPr>
          <w:rStyle w:val="Hyperlink"/>
          <w:lang w:val="en-GB"/>
        </w:rPr>
        <w:t>http://ec.europa.eu/eurostat/data/database</w:t>
      </w:r>
      <w:r w:rsidR="00CF00C8">
        <w:rPr>
          <w:rStyle w:val="Hyperlink"/>
          <w:lang w:val="en-GB"/>
        </w:rPr>
        <w:fldChar w:fldCharType="end"/>
      </w:r>
    </w:p>
  </w:footnote>
  <w:footnote w:id="11">
    <w:p w:rsidR="000021E2" w:rsidRPr="00E657DF" w:rsidRDefault="000021E2" w:rsidP="000021E2">
      <w:pPr>
        <w:pStyle w:val="FootnoteText"/>
        <w:rPr>
          <w:lang w:val="en-GB"/>
        </w:rPr>
      </w:pPr>
      <w:r>
        <w:rPr>
          <w:rStyle w:val="FootnoteReference"/>
        </w:rPr>
        <w:footnoteRef/>
      </w:r>
      <w:r w:rsidRPr="00E657DF">
        <w:rPr>
          <w:lang w:val="en-GB"/>
        </w:rPr>
        <w:t xml:space="preserve"> </w:t>
      </w:r>
      <w:r>
        <w:rPr>
          <w:lang w:val="en-GB"/>
        </w:rPr>
        <w:t xml:space="preserve">Based on the annual statistics of the 2017 production cycle (t+9 months), when vintage effects were </w:t>
      </w:r>
      <w:r w:rsidR="00144B58">
        <w:rPr>
          <w:lang w:val="en-GB"/>
        </w:rPr>
        <w:t xml:space="preserve">considered </w:t>
      </w:r>
      <w:r>
        <w:rPr>
          <w:lang w:val="en-GB"/>
        </w:rPr>
        <w:t xml:space="preserve">minimal in all mentioned NA domains; quarterly measures would distort the picture with vintage effects and would not lead to any </w:t>
      </w:r>
      <w:r w:rsidR="00144B58">
        <w:rPr>
          <w:lang w:val="en-GB"/>
        </w:rPr>
        <w:t>new</w:t>
      </w:r>
      <w:r>
        <w:rPr>
          <w:lang w:val="en-GB"/>
        </w:rPr>
        <w:t xml:space="preserve"> conclusions. </w:t>
      </w:r>
    </w:p>
  </w:footnote>
  <w:footnote w:id="12">
    <w:p w:rsidR="007445DC" w:rsidRPr="007445DC" w:rsidRDefault="007445DC">
      <w:pPr>
        <w:pStyle w:val="FootnoteText"/>
        <w:rPr>
          <w:lang w:val="en-GB"/>
        </w:rPr>
      </w:pPr>
      <w:r>
        <w:rPr>
          <w:rStyle w:val="FootnoteReference"/>
        </w:rPr>
        <w:footnoteRef/>
      </w:r>
      <w:r w:rsidRPr="007445DC">
        <w:rPr>
          <w:lang w:val="en-GB"/>
        </w:rPr>
        <w:t xml:space="preserve"> </w:t>
      </w:r>
      <w:r>
        <w:rPr>
          <w:lang w:val="en-GB"/>
        </w:rPr>
        <w:t>Full consistency was detected only in 11 of those 27 Member States sending both quarterly and annual tables.</w:t>
      </w:r>
    </w:p>
  </w:footnote>
  <w:footnote w:id="13">
    <w:p w:rsidR="00087BA6" w:rsidRPr="000C0503" w:rsidRDefault="00087BA6" w:rsidP="004D6D31">
      <w:pPr>
        <w:pStyle w:val="FootnoteText"/>
        <w:rPr>
          <w:lang w:val="en-GB"/>
        </w:rPr>
      </w:pPr>
      <w:r>
        <w:rPr>
          <w:rStyle w:val="FootnoteReference"/>
        </w:rPr>
        <w:footnoteRef/>
      </w:r>
      <w:r w:rsidRPr="000C0503">
        <w:rPr>
          <w:lang w:val="en-GB"/>
        </w:rPr>
        <w:t xml:space="preserve"> </w:t>
      </w:r>
      <w:r>
        <w:rPr>
          <w:lang w:val="en-GB"/>
        </w:rPr>
        <w:t xml:space="preserve">For a more detailed description of the survey and its results, see </w:t>
      </w:r>
      <w:r w:rsidR="00517029">
        <w:rPr>
          <w:lang w:val="en-GB"/>
        </w:rPr>
        <w:t xml:space="preserve">Eurostat (2016) and </w:t>
      </w:r>
      <w:r>
        <w:rPr>
          <w:lang w:val="en-GB"/>
        </w:rPr>
        <w:t>Obrzut</w:t>
      </w:r>
      <w:r w:rsidRPr="000C0503">
        <w:rPr>
          <w:lang w:val="en-GB"/>
        </w:rPr>
        <w:t xml:space="preserve"> (2017)</w:t>
      </w:r>
    </w:p>
  </w:footnote>
  <w:footnote w:id="14">
    <w:p w:rsidR="00087BA6" w:rsidRPr="000C0503" w:rsidRDefault="00087BA6" w:rsidP="000C0503">
      <w:pPr>
        <w:pStyle w:val="FootnoteText"/>
        <w:rPr>
          <w:lang w:val="en-GB"/>
        </w:rPr>
      </w:pPr>
      <w:r>
        <w:rPr>
          <w:rStyle w:val="FootnoteReference"/>
        </w:rPr>
        <w:footnoteRef/>
      </w:r>
      <w:r w:rsidRPr="000C0503">
        <w:rPr>
          <w:lang w:val="en-GB"/>
        </w:rPr>
        <w:t xml:space="preserve"> </w:t>
      </w:r>
      <w:proofErr w:type="spellStart"/>
      <w:r w:rsidRPr="000C0503">
        <w:rPr>
          <w:lang w:val="en-GB"/>
        </w:rPr>
        <w:t>Stapel-Weber</w:t>
      </w:r>
      <w:proofErr w:type="spellEnd"/>
      <w:r w:rsidRPr="000C0503">
        <w:rPr>
          <w:lang w:val="en-GB"/>
        </w:rPr>
        <w:t>/</w:t>
      </w:r>
      <w:proofErr w:type="spellStart"/>
      <w:r w:rsidRPr="000C0503">
        <w:rPr>
          <w:lang w:val="en-GB"/>
        </w:rPr>
        <w:t>Verrinder</w:t>
      </w:r>
      <w:proofErr w:type="spellEnd"/>
      <w:r w:rsidR="0082084A">
        <w:rPr>
          <w:lang w:val="en-GB"/>
        </w:rPr>
        <w:t xml:space="preserve"> (2016)</w:t>
      </w:r>
    </w:p>
  </w:footnote>
  <w:footnote w:id="15">
    <w:p w:rsidR="00A173D3" w:rsidRPr="00A173D3" w:rsidRDefault="00A173D3">
      <w:pPr>
        <w:pStyle w:val="FootnoteText"/>
        <w:rPr>
          <w:lang w:val="en-GB"/>
        </w:rPr>
      </w:pPr>
      <w:r>
        <w:rPr>
          <w:rStyle w:val="FootnoteReference"/>
        </w:rPr>
        <w:footnoteRef/>
      </w:r>
      <w:r w:rsidRPr="00A173D3">
        <w:rPr>
          <w:lang w:val="en-GB"/>
        </w:rPr>
        <w:t xml:space="preserve"> </w:t>
      </w:r>
      <w:r>
        <w:rPr>
          <w:lang w:val="en-GB"/>
        </w:rPr>
        <w:t>In sequential processes the final product of one process can be used as input to the other processes. Twinning processes require production activities in parallel, because the final product of one process is not timely available to the others</w:t>
      </w:r>
      <w:r w:rsidR="002C6266">
        <w:rPr>
          <w:lang w:val="en-GB"/>
        </w:rPr>
        <w:t xml:space="preserve"> (parallel processing)</w:t>
      </w:r>
      <w:r>
        <w:rPr>
          <w:lang w:val="en-GB"/>
        </w:rPr>
        <w:t xml:space="preserve">. </w:t>
      </w:r>
    </w:p>
  </w:footnote>
  <w:footnote w:id="16">
    <w:p w:rsidR="00087BA6" w:rsidRPr="000C0503" w:rsidRDefault="00087BA6" w:rsidP="000C0503">
      <w:pPr>
        <w:pStyle w:val="FootnoteText"/>
        <w:rPr>
          <w:lang w:val="en-GB"/>
        </w:rPr>
      </w:pPr>
      <w:r>
        <w:rPr>
          <w:rStyle w:val="FootnoteReference"/>
        </w:rPr>
        <w:footnoteRef/>
      </w:r>
      <w:r w:rsidRPr="000C0503">
        <w:rPr>
          <w:lang w:val="en-GB"/>
        </w:rPr>
        <w:t xml:space="preserve"> Central Statistics Office, Ireland (2016): </w:t>
      </w:r>
      <w:hyperlink r:id="rId2" w:history="1">
        <w:r w:rsidRPr="000C0503">
          <w:rPr>
            <w:rStyle w:val="Hyperlink"/>
            <w:lang w:val="en-GB"/>
          </w:rPr>
          <w:t>http://www.cso.ie/en/media/csoie/newsevents/documents/IrelandEconomicGrowthFigures.pdf</w:t>
        </w:r>
      </w:hyperlink>
      <w:r w:rsidRPr="000C0503">
        <w:rPr>
          <w:lang w:val="en-GB"/>
        </w:rPr>
        <w:t xml:space="preserve"> </w:t>
      </w:r>
    </w:p>
  </w:footnote>
  <w:footnote w:id="17">
    <w:p w:rsidR="00087BA6" w:rsidRPr="000C0503" w:rsidRDefault="00087BA6" w:rsidP="000C0503">
      <w:pPr>
        <w:pStyle w:val="FootnoteText"/>
        <w:rPr>
          <w:lang w:val="en-GB"/>
        </w:rPr>
      </w:pPr>
      <w:r>
        <w:rPr>
          <w:rStyle w:val="FootnoteReference"/>
        </w:rPr>
        <w:footnoteRef/>
      </w:r>
      <w:r w:rsidRPr="000C0503">
        <w:rPr>
          <w:lang w:val="en-GB"/>
        </w:rPr>
        <w:t xml:space="preserve"> Centralised Securities Database, Pérez/</w:t>
      </w:r>
      <w:proofErr w:type="spellStart"/>
      <w:r w:rsidRPr="000C0503">
        <w:rPr>
          <w:lang w:val="en-GB"/>
        </w:rPr>
        <w:t>Huerga</w:t>
      </w:r>
      <w:proofErr w:type="spellEnd"/>
      <w:r w:rsidRPr="000C0503">
        <w:rPr>
          <w:lang w:val="en-GB"/>
        </w:rPr>
        <w:t xml:space="preserve"> (2015)</w:t>
      </w:r>
    </w:p>
  </w:footnote>
  <w:footnote w:id="18">
    <w:p w:rsidR="00087BA6" w:rsidRPr="000C0503" w:rsidRDefault="00087BA6" w:rsidP="000C0503">
      <w:pPr>
        <w:pStyle w:val="FootnoteText"/>
        <w:rPr>
          <w:lang w:val="en-GB"/>
        </w:rPr>
      </w:pPr>
      <w:r>
        <w:rPr>
          <w:rStyle w:val="FootnoteReference"/>
        </w:rPr>
        <w:footnoteRef/>
      </w:r>
      <w:r w:rsidRPr="000C0503">
        <w:rPr>
          <w:lang w:val="en-GB"/>
        </w:rPr>
        <w:t xml:space="preserve"> Legal Entity Identifier (LEI): </w:t>
      </w:r>
      <w:r w:rsidR="00CF00C8">
        <w:fldChar w:fldCharType="begin"/>
      </w:r>
      <w:r w:rsidR="00CF00C8" w:rsidRPr="00CF00C8">
        <w:rPr>
          <w:lang w:val="en-GB"/>
        </w:rPr>
        <w:instrText xml:space="preserve"> HYPERLINK "https://www.gleif.org/en" </w:instrText>
      </w:r>
      <w:r w:rsidR="00CF00C8">
        <w:fldChar w:fldCharType="separate"/>
      </w:r>
      <w:r w:rsidRPr="000C0503">
        <w:rPr>
          <w:rStyle w:val="Hyperlink"/>
          <w:lang w:val="en-GB"/>
        </w:rPr>
        <w:t>https://www.gleif.org/en</w:t>
      </w:r>
      <w:r w:rsidR="00CF00C8">
        <w:rPr>
          <w:rStyle w:val="Hyperlink"/>
          <w:lang w:val="en-GB"/>
        </w:rPr>
        <w:fldChar w:fldCharType="end"/>
      </w:r>
      <w:r w:rsidRPr="000C0503">
        <w:rPr>
          <w:lang w:val="en-GB"/>
        </w:rPr>
        <w:t xml:space="preserve"> </w:t>
      </w:r>
    </w:p>
  </w:footnote>
  <w:footnote w:id="19">
    <w:p w:rsidR="00087BA6" w:rsidRPr="000C0503" w:rsidRDefault="00087BA6" w:rsidP="000C0503">
      <w:pPr>
        <w:pStyle w:val="FootnoteText"/>
        <w:rPr>
          <w:lang w:val="en-GB"/>
        </w:rPr>
      </w:pPr>
      <w:r>
        <w:rPr>
          <w:rStyle w:val="FootnoteReference"/>
        </w:rPr>
        <w:footnoteRef/>
      </w:r>
      <w:r w:rsidRPr="000C0503">
        <w:rPr>
          <w:lang w:val="en-GB"/>
        </w:rPr>
        <w:t xml:space="preserve"> </w:t>
      </w:r>
      <w:hyperlink r:id="rId3" w:history="1">
        <w:r w:rsidRPr="000C0503">
          <w:rPr>
            <w:rStyle w:val="Hyperlink"/>
            <w:lang w:val="en-GB"/>
          </w:rPr>
          <w:t>https://www.imf.org/external/pubs/ft/bop/2014/pdf/14-20.pdf</w:t>
        </w:r>
      </w:hyperlink>
      <w:r w:rsidRPr="000C0503">
        <w:rPr>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A6" w:rsidRDefault="00CF00C8">
    <w:pPr>
      <w:pStyle w:val="Header"/>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A6" w:rsidRDefault="00CF00C8">
    <w:pPr>
      <w:pStyle w:val="Header"/>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A6" w:rsidRDefault="00CF00C8">
    <w:pPr>
      <w:pStyle w:val="Header"/>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4B1"/>
    <w:multiLevelType w:val="hybridMultilevel"/>
    <w:tmpl w:val="FA5A0CD6"/>
    <w:lvl w:ilvl="0" w:tplc="08090001">
      <w:start w:val="1"/>
      <w:numFmt w:val="bullet"/>
      <w:lvlText w:val=""/>
      <w:lvlJc w:val="left"/>
      <w:pPr>
        <w:ind w:left="720" w:hanging="360"/>
      </w:pPr>
      <w:rPr>
        <w:rFonts w:ascii="Symbol" w:hAnsi="Symbol" w:hint="default"/>
      </w:rPr>
    </w:lvl>
    <w:lvl w:ilvl="1" w:tplc="B6345DC6">
      <w:numFmt w:val="bullet"/>
      <w:lvlText w:val="-"/>
      <w:lvlJc w:val="left"/>
      <w:pPr>
        <w:ind w:left="1440" w:hanging="360"/>
      </w:pPr>
      <w:rPr>
        <w:rFonts w:ascii="Times New Roman" w:eastAsiaTheme="minorEastAsia"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812DF"/>
    <w:multiLevelType w:val="hybridMultilevel"/>
    <w:tmpl w:val="36B29E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0B2714"/>
    <w:multiLevelType w:val="hybridMultilevel"/>
    <w:tmpl w:val="BFA82E0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nsid w:val="29956AA4"/>
    <w:multiLevelType w:val="hybridMultilevel"/>
    <w:tmpl w:val="AECEBF90"/>
    <w:lvl w:ilvl="0" w:tplc="08090001">
      <w:start w:val="1"/>
      <w:numFmt w:val="bullet"/>
      <w:lvlText w:val=""/>
      <w:lvlJc w:val="left"/>
      <w:pPr>
        <w:ind w:left="714" w:hanging="360"/>
      </w:pPr>
      <w:rPr>
        <w:rFonts w:ascii="Symbol" w:hAnsi="Symbol" w:hint="default"/>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4">
    <w:nsid w:val="2E8B47B8"/>
    <w:multiLevelType w:val="hybridMultilevel"/>
    <w:tmpl w:val="449A3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9F4D15"/>
    <w:multiLevelType w:val="hybridMultilevel"/>
    <w:tmpl w:val="7FA4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BC4887"/>
    <w:multiLevelType w:val="hybridMultilevel"/>
    <w:tmpl w:val="3B36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021E2"/>
    <w:rsid w:val="0000253A"/>
    <w:rsid w:val="00021B2D"/>
    <w:rsid w:val="00026CD3"/>
    <w:rsid w:val="00047C24"/>
    <w:rsid w:val="00070925"/>
    <w:rsid w:val="0007704A"/>
    <w:rsid w:val="000813C8"/>
    <w:rsid w:val="00087BA6"/>
    <w:rsid w:val="00094B4D"/>
    <w:rsid w:val="000957CC"/>
    <w:rsid w:val="000B618D"/>
    <w:rsid w:val="000C0503"/>
    <w:rsid w:val="000C6472"/>
    <w:rsid w:val="000C7D02"/>
    <w:rsid w:val="000D705A"/>
    <w:rsid w:val="000F337F"/>
    <w:rsid w:val="001034F6"/>
    <w:rsid w:val="001256BB"/>
    <w:rsid w:val="00133E07"/>
    <w:rsid w:val="00142A8D"/>
    <w:rsid w:val="00144B58"/>
    <w:rsid w:val="0015482A"/>
    <w:rsid w:val="00157DAD"/>
    <w:rsid w:val="00160406"/>
    <w:rsid w:val="0016743D"/>
    <w:rsid w:val="00181DF3"/>
    <w:rsid w:val="00182357"/>
    <w:rsid w:val="001D1CEF"/>
    <w:rsid w:val="001E3B1C"/>
    <w:rsid w:val="001E43DC"/>
    <w:rsid w:val="001E7B1B"/>
    <w:rsid w:val="00201AE2"/>
    <w:rsid w:val="0021541E"/>
    <w:rsid w:val="00221F17"/>
    <w:rsid w:val="00234927"/>
    <w:rsid w:val="0023623C"/>
    <w:rsid w:val="00242620"/>
    <w:rsid w:val="00274553"/>
    <w:rsid w:val="0028150C"/>
    <w:rsid w:val="00282B53"/>
    <w:rsid w:val="002920E4"/>
    <w:rsid w:val="00293580"/>
    <w:rsid w:val="002B0444"/>
    <w:rsid w:val="002B3BA4"/>
    <w:rsid w:val="002B6D33"/>
    <w:rsid w:val="002C6266"/>
    <w:rsid w:val="00324856"/>
    <w:rsid w:val="00331551"/>
    <w:rsid w:val="00336E21"/>
    <w:rsid w:val="00352EA6"/>
    <w:rsid w:val="00353A50"/>
    <w:rsid w:val="0035694D"/>
    <w:rsid w:val="0036162E"/>
    <w:rsid w:val="00362815"/>
    <w:rsid w:val="00371553"/>
    <w:rsid w:val="00373F70"/>
    <w:rsid w:val="00375F09"/>
    <w:rsid w:val="003A1D16"/>
    <w:rsid w:val="003B1244"/>
    <w:rsid w:val="003B282C"/>
    <w:rsid w:val="003B2888"/>
    <w:rsid w:val="003E6683"/>
    <w:rsid w:val="004150F5"/>
    <w:rsid w:val="004567AE"/>
    <w:rsid w:val="00472257"/>
    <w:rsid w:val="004740F1"/>
    <w:rsid w:val="00493026"/>
    <w:rsid w:val="004961DB"/>
    <w:rsid w:val="004A12A7"/>
    <w:rsid w:val="004A1A99"/>
    <w:rsid w:val="004B39C1"/>
    <w:rsid w:val="004B5CD4"/>
    <w:rsid w:val="004B6729"/>
    <w:rsid w:val="004C5048"/>
    <w:rsid w:val="004D1063"/>
    <w:rsid w:val="004D6D31"/>
    <w:rsid w:val="004E6CC6"/>
    <w:rsid w:val="004F04B4"/>
    <w:rsid w:val="00500052"/>
    <w:rsid w:val="00514D54"/>
    <w:rsid w:val="00515DF5"/>
    <w:rsid w:val="00517029"/>
    <w:rsid w:val="005215E8"/>
    <w:rsid w:val="00530FD6"/>
    <w:rsid w:val="00537931"/>
    <w:rsid w:val="00552AFD"/>
    <w:rsid w:val="005812C5"/>
    <w:rsid w:val="005A1F57"/>
    <w:rsid w:val="005B674D"/>
    <w:rsid w:val="005B6971"/>
    <w:rsid w:val="005C2481"/>
    <w:rsid w:val="005D3C30"/>
    <w:rsid w:val="006052BF"/>
    <w:rsid w:val="00606392"/>
    <w:rsid w:val="00653D6C"/>
    <w:rsid w:val="00667788"/>
    <w:rsid w:val="00680C74"/>
    <w:rsid w:val="0069009D"/>
    <w:rsid w:val="006921AA"/>
    <w:rsid w:val="00697934"/>
    <w:rsid w:val="00697CC4"/>
    <w:rsid w:val="006B5A4A"/>
    <w:rsid w:val="006C5879"/>
    <w:rsid w:val="006E274B"/>
    <w:rsid w:val="0073482C"/>
    <w:rsid w:val="007445DC"/>
    <w:rsid w:val="007512FD"/>
    <w:rsid w:val="00762E6E"/>
    <w:rsid w:val="007730C4"/>
    <w:rsid w:val="00776C97"/>
    <w:rsid w:val="007A44B2"/>
    <w:rsid w:val="007C4064"/>
    <w:rsid w:val="007D2475"/>
    <w:rsid w:val="007D284F"/>
    <w:rsid w:val="007E34EC"/>
    <w:rsid w:val="007E3E5D"/>
    <w:rsid w:val="007E6D8C"/>
    <w:rsid w:val="00800966"/>
    <w:rsid w:val="0082084A"/>
    <w:rsid w:val="0082373C"/>
    <w:rsid w:val="0083054A"/>
    <w:rsid w:val="00867B2C"/>
    <w:rsid w:val="00873330"/>
    <w:rsid w:val="00883326"/>
    <w:rsid w:val="008A71D2"/>
    <w:rsid w:val="008B0935"/>
    <w:rsid w:val="008C5A4E"/>
    <w:rsid w:val="008C7623"/>
    <w:rsid w:val="008D56E1"/>
    <w:rsid w:val="008D6094"/>
    <w:rsid w:val="008F7DC4"/>
    <w:rsid w:val="00902A7F"/>
    <w:rsid w:val="00913753"/>
    <w:rsid w:val="00917992"/>
    <w:rsid w:val="00917D66"/>
    <w:rsid w:val="00921066"/>
    <w:rsid w:val="00923301"/>
    <w:rsid w:val="00923AB0"/>
    <w:rsid w:val="0092595A"/>
    <w:rsid w:val="009378F5"/>
    <w:rsid w:val="009448D4"/>
    <w:rsid w:val="00946D0E"/>
    <w:rsid w:val="00955A84"/>
    <w:rsid w:val="00966C7E"/>
    <w:rsid w:val="00971907"/>
    <w:rsid w:val="00973B8D"/>
    <w:rsid w:val="00A14AA7"/>
    <w:rsid w:val="00A173D3"/>
    <w:rsid w:val="00A23816"/>
    <w:rsid w:val="00A454B6"/>
    <w:rsid w:val="00A531F2"/>
    <w:rsid w:val="00A6013E"/>
    <w:rsid w:val="00A82351"/>
    <w:rsid w:val="00A93B10"/>
    <w:rsid w:val="00A95AD9"/>
    <w:rsid w:val="00AA1708"/>
    <w:rsid w:val="00AD1423"/>
    <w:rsid w:val="00AD4AEE"/>
    <w:rsid w:val="00AE2550"/>
    <w:rsid w:val="00AF530D"/>
    <w:rsid w:val="00B147EF"/>
    <w:rsid w:val="00B35965"/>
    <w:rsid w:val="00B47197"/>
    <w:rsid w:val="00B63509"/>
    <w:rsid w:val="00B72169"/>
    <w:rsid w:val="00B74218"/>
    <w:rsid w:val="00B77A7F"/>
    <w:rsid w:val="00B86FC7"/>
    <w:rsid w:val="00B912C3"/>
    <w:rsid w:val="00BB175F"/>
    <w:rsid w:val="00BB19AC"/>
    <w:rsid w:val="00BC26CE"/>
    <w:rsid w:val="00BD4A5A"/>
    <w:rsid w:val="00BE5CB0"/>
    <w:rsid w:val="00BF6DBC"/>
    <w:rsid w:val="00C16E8E"/>
    <w:rsid w:val="00C24BD3"/>
    <w:rsid w:val="00C261EA"/>
    <w:rsid w:val="00C40213"/>
    <w:rsid w:val="00C444A7"/>
    <w:rsid w:val="00C55909"/>
    <w:rsid w:val="00C64EE1"/>
    <w:rsid w:val="00C6796E"/>
    <w:rsid w:val="00C726EA"/>
    <w:rsid w:val="00C74A1D"/>
    <w:rsid w:val="00C74EA6"/>
    <w:rsid w:val="00C82BFE"/>
    <w:rsid w:val="00CA5066"/>
    <w:rsid w:val="00CB2B44"/>
    <w:rsid w:val="00CB4074"/>
    <w:rsid w:val="00CC1C1D"/>
    <w:rsid w:val="00CF00C8"/>
    <w:rsid w:val="00CF33AD"/>
    <w:rsid w:val="00CF656A"/>
    <w:rsid w:val="00D0258C"/>
    <w:rsid w:val="00D0270E"/>
    <w:rsid w:val="00D20550"/>
    <w:rsid w:val="00D3292C"/>
    <w:rsid w:val="00D3638C"/>
    <w:rsid w:val="00D42383"/>
    <w:rsid w:val="00D52194"/>
    <w:rsid w:val="00D564C9"/>
    <w:rsid w:val="00D65C24"/>
    <w:rsid w:val="00D70518"/>
    <w:rsid w:val="00D75501"/>
    <w:rsid w:val="00DA74F6"/>
    <w:rsid w:val="00DC07A9"/>
    <w:rsid w:val="00DD0103"/>
    <w:rsid w:val="00DD4526"/>
    <w:rsid w:val="00DD4977"/>
    <w:rsid w:val="00DD5664"/>
    <w:rsid w:val="00DE01B4"/>
    <w:rsid w:val="00DF27A8"/>
    <w:rsid w:val="00E17B6D"/>
    <w:rsid w:val="00E242CC"/>
    <w:rsid w:val="00E261EB"/>
    <w:rsid w:val="00E32FA8"/>
    <w:rsid w:val="00E37391"/>
    <w:rsid w:val="00E45CD8"/>
    <w:rsid w:val="00E46BA4"/>
    <w:rsid w:val="00E52504"/>
    <w:rsid w:val="00E5411C"/>
    <w:rsid w:val="00E62D0A"/>
    <w:rsid w:val="00E657DF"/>
    <w:rsid w:val="00E66108"/>
    <w:rsid w:val="00E66F8D"/>
    <w:rsid w:val="00E7228E"/>
    <w:rsid w:val="00E81A62"/>
    <w:rsid w:val="00E82B25"/>
    <w:rsid w:val="00E8741B"/>
    <w:rsid w:val="00E90181"/>
    <w:rsid w:val="00E91392"/>
    <w:rsid w:val="00E92831"/>
    <w:rsid w:val="00E9313B"/>
    <w:rsid w:val="00EB7A63"/>
    <w:rsid w:val="00EC5F5A"/>
    <w:rsid w:val="00EC64F1"/>
    <w:rsid w:val="00ED5F6B"/>
    <w:rsid w:val="00EE4A70"/>
    <w:rsid w:val="00EF352F"/>
    <w:rsid w:val="00F0585F"/>
    <w:rsid w:val="00F30C27"/>
    <w:rsid w:val="00F33ACB"/>
    <w:rsid w:val="00F51570"/>
    <w:rsid w:val="00F67321"/>
    <w:rsid w:val="00F74EA2"/>
    <w:rsid w:val="00FD77F1"/>
    <w:rsid w:val="00FE369C"/>
    <w:rsid w:val="00FF46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aliases w:val="Footnote Reference Number"/>
    <w:basedOn w:val="DefaultParagraphFont"/>
    <w:uiPriority w:val="99"/>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73482C"/>
    <w:pPr>
      <w:ind w:left="720"/>
      <w:contextualSpacing/>
    </w:pPr>
  </w:style>
  <w:style w:type="table" w:customStyle="1" w:styleId="TableGrid1">
    <w:name w:val="Table Grid1"/>
    <w:basedOn w:val="TableNormal"/>
    <w:next w:val="TableGrid"/>
    <w:uiPriority w:val="59"/>
    <w:rsid w:val="0073482C"/>
    <w:pPr>
      <w:spacing w:after="0" w:line="240" w:lineRule="auto"/>
    </w:pPr>
    <w:rPr>
      <w:rFonts w:eastAsia="PMingLiU"/>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aliases w:val="Footnote Reference Number"/>
    <w:basedOn w:val="DefaultParagraphFont"/>
    <w:uiPriority w:val="99"/>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paragraph" w:styleId="ListParagraph">
    <w:name w:val="List Paragraph"/>
    <w:basedOn w:val="Normal"/>
    <w:uiPriority w:val="34"/>
    <w:qFormat/>
    <w:rsid w:val="0073482C"/>
    <w:pPr>
      <w:ind w:left="720"/>
      <w:contextualSpacing/>
    </w:pPr>
  </w:style>
  <w:style w:type="table" w:customStyle="1" w:styleId="TableGrid1">
    <w:name w:val="Table Grid1"/>
    <w:basedOn w:val="TableNormal"/>
    <w:next w:val="TableGrid"/>
    <w:uiPriority w:val="59"/>
    <w:rsid w:val="0073482C"/>
    <w:pPr>
      <w:spacing w:after="0" w:line="240" w:lineRule="auto"/>
    </w:pPr>
    <w:rPr>
      <w:rFonts w:eastAsia="PMingLiU"/>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francesca.tartamella@ec.europa.e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obert.obrzut@ec.europa.eu" TargetMode="External"/><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mf.org/external/pubs/ft/bop/2014/pdf/14-20.pdf" TargetMode="External"/><Relationship Id="rId2" Type="http://schemas.openxmlformats.org/officeDocument/2006/relationships/hyperlink" Target="http://www.cso.ie/en/media/csoie/newsevents/documents/IrelandEconomicGrowthFigures.pdf" TargetMode="External"/><Relationship Id="rId1" Type="http://schemas.openxmlformats.org/officeDocument/2006/relationships/hyperlink" Target="http://ec.europa.eu/eurostat/statistics-explained/index.php/Consistency_between_national_accounts_and_balance_of_payments_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2C893-1077-4FCE-8A97-A774FB31B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2834</Words>
  <Characters>16154</Characters>
  <Application>Microsoft Office Word</Application>
  <DocSecurity>0</DocSecurity>
  <Lines>134</Lines>
  <Paragraphs>37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18951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OBRZUT Robert (ESTAT)</cp:lastModifiedBy>
  <cp:revision>3</cp:revision>
  <cp:lastPrinted>2018-05-15T13:04:00Z</cp:lastPrinted>
  <dcterms:created xsi:type="dcterms:W3CDTF">2018-05-15T13:25:00Z</dcterms:created>
  <dcterms:modified xsi:type="dcterms:W3CDTF">2018-05-15T14:27:00Z</dcterms:modified>
</cp:coreProperties>
</file>