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A99" w:rsidRPr="00EC5F5A" w:rsidRDefault="00B95ADF" w:rsidP="00D0270E">
      <w:pPr>
        <w:spacing w:before="480" w:after="480" w:line="360" w:lineRule="auto"/>
        <w:jc w:val="center"/>
        <w:rPr>
          <w:rFonts w:ascii="Arial" w:hAnsi="Arial" w:cs="Arial"/>
          <w:b/>
          <w:sz w:val="48"/>
          <w:szCs w:val="48"/>
          <w:lang w:val="en-GB"/>
        </w:rPr>
      </w:pPr>
      <w:r w:rsidRPr="00B95ADF">
        <w:rPr>
          <w:rFonts w:ascii="Arial" w:hAnsi="Arial" w:cs="Arial"/>
          <w:b/>
          <w:sz w:val="48"/>
          <w:szCs w:val="48"/>
          <w:lang w:val="en-GB"/>
        </w:rPr>
        <w:t>Assessing the quality of the geographical dimension in macro-economic statistics through mirror data</w:t>
      </w:r>
    </w:p>
    <w:p w:rsidR="00D0270E" w:rsidRPr="009B7F3D" w:rsidRDefault="00B95ADF" w:rsidP="00C726EA">
      <w:pPr>
        <w:spacing w:after="0" w:line="360" w:lineRule="auto"/>
        <w:jc w:val="both"/>
        <w:rPr>
          <w:rFonts w:ascii="Arial" w:hAnsi="Arial" w:cs="Arial"/>
          <w:sz w:val="24"/>
          <w:szCs w:val="24"/>
          <w:lang w:val="nl-NL"/>
        </w:rPr>
      </w:pPr>
      <w:r w:rsidRPr="009B7F3D">
        <w:rPr>
          <w:rFonts w:ascii="Arial" w:hAnsi="Arial" w:cs="Arial"/>
          <w:sz w:val="24"/>
          <w:szCs w:val="24"/>
          <w:lang w:val="nl-NL"/>
        </w:rPr>
        <w:t>Tjeerd Jellema</w:t>
      </w:r>
      <w:r w:rsidR="000D705A" w:rsidRPr="009B7F3D">
        <w:rPr>
          <w:rFonts w:ascii="Arial" w:hAnsi="Arial" w:cs="Arial"/>
          <w:sz w:val="24"/>
          <w:szCs w:val="24"/>
          <w:lang w:val="nl-NL"/>
        </w:rPr>
        <w:t xml:space="preserve">, </w:t>
      </w:r>
      <w:r w:rsidRPr="009B7F3D">
        <w:rPr>
          <w:rFonts w:ascii="Arial" w:hAnsi="Arial" w:cs="Arial"/>
          <w:lang w:val="nl-NL"/>
        </w:rPr>
        <w:t>European Central Bank</w:t>
      </w:r>
      <w:r w:rsidR="000D705A" w:rsidRPr="009B7F3D">
        <w:rPr>
          <w:rFonts w:ascii="Arial" w:hAnsi="Arial" w:cs="Arial"/>
          <w:lang w:val="nl-NL"/>
        </w:rPr>
        <w:t xml:space="preserve">, </w:t>
      </w:r>
      <w:r w:rsidRPr="009B7F3D">
        <w:rPr>
          <w:rFonts w:ascii="Arial" w:hAnsi="Arial" w:cs="Arial"/>
          <w:lang w:val="nl-NL"/>
        </w:rPr>
        <w:t>Tjeerd.Jellema@ecb.europa.eu</w:t>
      </w:r>
    </w:p>
    <w:p w:rsidR="00B95ADF" w:rsidRPr="00920E46" w:rsidRDefault="00B95ADF" w:rsidP="00C726EA">
      <w:pPr>
        <w:spacing w:after="0" w:line="360" w:lineRule="auto"/>
        <w:jc w:val="both"/>
        <w:rPr>
          <w:rFonts w:ascii="Arial" w:hAnsi="Arial" w:cs="Arial"/>
          <w:lang w:val="en-GB"/>
        </w:rPr>
      </w:pPr>
      <w:r>
        <w:rPr>
          <w:rFonts w:ascii="Arial" w:hAnsi="Arial" w:cs="Arial"/>
          <w:sz w:val="24"/>
          <w:szCs w:val="24"/>
          <w:lang w:val="en-GB"/>
        </w:rPr>
        <w:t xml:space="preserve">Fausto Pastoris, </w:t>
      </w:r>
      <w:r w:rsidRPr="00920E46">
        <w:rPr>
          <w:rFonts w:ascii="Arial" w:hAnsi="Arial" w:cs="Arial"/>
          <w:lang w:val="en-GB"/>
        </w:rPr>
        <w:t>European Central Bank, Fausto.Pastoris@ecb.europa.eu</w:t>
      </w:r>
    </w:p>
    <w:p w:rsidR="000D705A" w:rsidRPr="00EC5F5A" w:rsidRDefault="00BC64AC" w:rsidP="00C726EA">
      <w:pPr>
        <w:spacing w:after="0" w:line="360" w:lineRule="auto"/>
        <w:jc w:val="both"/>
        <w:rPr>
          <w:rFonts w:ascii="Arial" w:hAnsi="Arial" w:cs="Arial"/>
          <w:sz w:val="24"/>
          <w:szCs w:val="24"/>
          <w:lang w:val="en-GB"/>
        </w:rPr>
      </w:pPr>
      <w:r>
        <w:rPr>
          <w:rFonts w:ascii="Arial" w:hAnsi="Arial" w:cs="Arial"/>
          <w:sz w:val="24"/>
          <w:szCs w:val="24"/>
          <w:lang w:val="en-GB"/>
        </w:rPr>
        <w:t xml:space="preserve">Carmen Picón </w:t>
      </w:r>
      <w:r w:rsidR="00B95ADF" w:rsidRPr="00B95ADF">
        <w:rPr>
          <w:rFonts w:ascii="Arial" w:hAnsi="Arial" w:cs="Arial"/>
          <w:sz w:val="24"/>
          <w:szCs w:val="24"/>
          <w:lang w:val="en-GB"/>
        </w:rPr>
        <w:t>Aguilar</w:t>
      </w:r>
      <w:r w:rsidR="000D705A" w:rsidRPr="00EC5F5A">
        <w:rPr>
          <w:rFonts w:ascii="Arial" w:hAnsi="Arial" w:cs="Arial"/>
          <w:sz w:val="24"/>
          <w:szCs w:val="24"/>
          <w:lang w:val="en-GB"/>
        </w:rPr>
        <w:t xml:space="preserve">, </w:t>
      </w:r>
      <w:r w:rsidR="00B95ADF" w:rsidRPr="00920E46">
        <w:rPr>
          <w:rFonts w:ascii="Arial" w:hAnsi="Arial" w:cs="Arial"/>
          <w:lang w:val="en-GB"/>
        </w:rPr>
        <w:t>European Central Bank, Carmen.Picon_Aguilar@ecb.europa.eu</w:t>
      </w:r>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0D705A" w:rsidRPr="00EC5F5A" w:rsidRDefault="00B95ADF" w:rsidP="00C726EA">
      <w:pPr>
        <w:spacing w:after="0" w:line="240" w:lineRule="auto"/>
        <w:jc w:val="both"/>
        <w:rPr>
          <w:rFonts w:ascii="Arial" w:hAnsi="Arial" w:cs="Arial"/>
          <w:i/>
          <w:sz w:val="20"/>
          <w:szCs w:val="20"/>
          <w:lang w:val="en-GB"/>
        </w:rPr>
      </w:pPr>
      <w:r>
        <w:rPr>
          <w:rFonts w:ascii="Arial" w:hAnsi="Arial" w:cs="Arial"/>
          <w:i/>
          <w:sz w:val="20"/>
          <w:szCs w:val="20"/>
          <w:lang w:val="en-GB"/>
        </w:rPr>
        <w:t>T</w:t>
      </w:r>
      <w:r w:rsidRPr="00B95ADF">
        <w:rPr>
          <w:rFonts w:ascii="Arial" w:hAnsi="Arial" w:cs="Arial"/>
          <w:i/>
          <w:sz w:val="20"/>
          <w:szCs w:val="20"/>
          <w:lang w:val="en-GB"/>
        </w:rPr>
        <w:t xml:space="preserve">he quality of the geographical breakdown in the balance of payments and related statistics such as international trade in goods, trade in services and FDI statistics can best be assessed by means of comparisons with mirror data, to assess bilateral asymmetries. </w:t>
      </w:r>
      <w:r w:rsidRPr="00F85D54">
        <w:rPr>
          <w:rFonts w:ascii="Arial" w:hAnsi="Arial" w:cs="Arial"/>
          <w:i/>
          <w:sz w:val="20"/>
          <w:szCs w:val="20"/>
          <w:lang w:val="en-GB"/>
        </w:rPr>
        <w:t>Such checks form a natural complement to the validation of consistency between balance of payments and the national accounts external account.</w:t>
      </w:r>
      <w:r w:rsidRPr="00B95ADF">
        <w:rPr>
          <w:rFonts w:ascii="Arial" w:hAnsi="Arial" w:cs="Arial"/>
          <w:i/>
          <w:sz w:val="20"/>
          <w:szCs w:val="20"/>
          <w:lang w:val="en-GB"/>
        </w:rPr>
        <w:t xml:space="preserve"> Although such comparisons are performed regularly, they tend to focus on pairs of countries, and do not provide sufficient guidance to assess which of the countries involved has relatively better data, nor do they provide an indication of the level of quality achieved in specifying the geographical </w:t>
      </w:r>
      <w:r w:rsidR="00C26A49" w:rsidRPr="00B95ADF">
        <w:rPr>
          <w:rFonts w:ascii="Arial" w:hAnsi="Arial" w:cs="Arial"/>
          <w:i/>
          <w:sz w:val="20"/>
          <w:szCs w:val="20"/>
          <w:lang w:val="en-GB"/>
        </w:rPr>
        <w:t>dimension. This</w:t>
      </w:r>
      <w:r w:rsidRPr="00B95ADF">
        <w:rPr>
          <w:rFonts w:ascii="Arial" w:hAnsi="Arial" w:cs="Arial"/>
          <w:i/>
          <w:sz w:val="20"/>
          <w:szCs w:val="20"/>
          <w:lang w:val="en-GB"/>
        </w:rPr>
        <w:t xml:space="preserve"> paper describes three synthetic indicators developed to provide for a group of countries, and specifically in the context of an economic union external account, an assessment of the quality of the geographical breakdowns by country and the relevance of a country to the aggregate asymmetry of that group of countries. The indicators are applied in the context of euro area and the EU foreign direct investment statistics.</w:t>
      </w:r>
    </w:p>
    <w:p w:rsidR="00C726EA" w:rsidRPr="00EC5F5A" w:rsidRDefault="00C726EA" w:rsidP="00C726EA">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B95ADF">
        <w:rPr>
          <w:rFonts w:ascii="Arial" w:hAnsi="Arial" w:cs="Arial"/>
          <w:sz w:val="20"/>
          <w:szCs w:val="20"/>
          <w:lang w:val="en-GB"/>
        </w:rPr>
        <w:t>A</w:t>
      </w:r>
      <w:r w:rsidR="00B95ADF" w:rsidRPr="00B95ADF">
        <w:rPr>
          <w:rFonts w:ascii="Arial" w:hAnsi="Arial" w:cs="Arial"/>
          <w:sz w:val="20"/>
          <w:szCs w:val="20"/>
          <w:lang w:val="en-GB"/>
        </w:rPr>
        <w:t>symmetries, mirror data, balance of payments, foreign direct investment</w:t>
      </w:r>
    </w:p>
    <w:p w:rsidR="00493026" w:rsidRPr="00EC5F5A" w:rsidRDefault="00493026"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sidR="0034712B">
        <w:rPr>
          <w:rFonts w:ascii="Arial" w:hAnsi="Arial" w:cs="Arial"/>
          <w:b/>
          <w:sz w:val="24"/>
          <w:szCs w:val="24"/>
          <w:lang w:val="en-GB"/>
        </w:rPr>
        <w:t>Introduction</w:t>
      </w:r>
    </w:p>
    <w:p w:rsidR="000A6B34" w:rsidRDefault="00F518FE" w:rsidP="00F518FE">
      <w:pPr>
        <w:spacing w:before="120" w:after="0" w:line="360" w:lineRule="auto"/>
        <w:jc w:val="both"/>
        <w:rPr>
          <w:rFonts w:ascii="Arial" w:hAnsi="Arial" w:cs="Arial"/>
          <w:sz w:val="24"/>
          <w:szCs w:val="24"/>
          <w:lang w:val="en-GB"/>
        </w:rPr>
      </w:pPr>
      <w:r w:rsidRPr="00F518FE">
        <w:rPr>
          <w:rFonts w:ascii="Arial" w:hAnsi="Arial" w:cs="Arial"/>
          <w:sz w:val="24"/>
          <w:szCs w:val="24"/>
          <w:lang w:val="en-GB"/>
        </w:rPr>
        <w:t xml:space="preserve">The main principles and elements guiding the production of </w:t>
      </w:r>
      <w:r w:rsidR="00C07681">
        <w:rPr>
          <w:rFonts w:ascii="Arial" w:hAnsi="Arial" w:cs="Arial"/>
          <w:sz w:val="24"/>
          <w:szCs w:val="24"/>
          <w:lang w:val="en-GB"/>
        </w:rPr>
        <w:t>euro area</w:t>
      </w:r>
      <w:r w:rsidRPr="00F518FE">
        <w:rPr>
          <w:rFonts w:ascii="Arial" w:hAnsi="Arial" w:cs="Arial"/>
          <w:sz w:val="24"/>
          <w:szCs w:val="24"/>
          <w:lang w:val="en-GB"/>
        </w:rPr>
        <w:t xml:space="preserve"> statistics </w:t>
      </w:r>
      <w:r w:rsidR="000A6B34">
        <w:rPr>
          <w:rFonts w:ascii="Arial" w:hAnsi="Arial" w:cs="Arial"/>
          <w:sz w:val="24"/>
          <w:szCs w:val="24"/>
          <w:lang w:val="en-GB"/>
        </w:rPr>
        <w:t>compiled</w:t>
      </w:r>
      <w:r w:rsidR="00C07681">
        <w:rPr>
          <w:rFonts w:ascii="Arial" w:hAnsi="Arial" w:cs="Arial"/>
          <w:sz w:val="24"/>
          <w:szCs w:val="24"/>
          <w:lang w:val="en-GB"/>
        </w:rPr>
        <w:t xml:space="preserve"> by the ECB </w:t>
      </w:r>
      <w:r w:rsidRPr="00F518FE">
        <w:rPr>
          <w:rFonts w:ascii="Arial" w:hAnsi="Arial" w:cs="Arial"/>
          <w:sz w:val="24"/>
          <w:szCs w:val="24"/>
          <w:lang w:val="en-GB"/>
        </w:rPr>
        <w:t>are contained in the Sta</w:t>
      </w:r>
      <w:r>
        <w:rPr>
          <w:rFonts w:ascii="Arial" w:hAnsi="Arial" w:cs="Arial"/>
          <w:sz w:val="24"/>
          <w:szCs w:val="24"/>
          <w:lang w:val="en-GB"/>
        </w:rPr>
        <w:t>tistics Quality Framework (SQF)</w:t>
      </w:r>
      <w:r w:rsidRPr="00F518FE">
        <w:rPr>
          <w:rFonts w:ascii="Arial" w:hAnsi="Arial" w:cs="Arial"/>
          <w:sz w:val="24"/>
          <w:szCs w:val="24"/>
          <w:lang w:val="en-GB"/>
        </w:rPr>
        <w:t xml:space="preserve"> and quality assurance procedures, published on the ECB’s website</w:t>
      </w:r>
      <w:r w:rsidR="001934EA">
        <w:rPr>
          <w:rStyle w:val="FootnoteReference"/>
          <w:rFonts w:ascii="Arial" w:hAnsi="Arial" w:cs="Arial"/>
          <w:sz w:val="24"/>
          <w:szCs w:val="24"/>
          <w:lang w:val="en-GB"/>
        </w:rPr>
        <w:footnoteReference w:id="1"/>
      </w:r>
      <w:r w:rsidRPr="00F518FE">
        <w:rPr>
          <w:rFonts w:ascii="Arial" w:hAnsi="Arial" w:cs="Arial"/>
          <w:sz w:val="24"/>
          <w:szCs w:val="24"/>
          <w:lang w:val="en-GB"/>
        </w:rPr>
        <w:t>. On that account, quality analysis of the statistical output</w:t>
      </w:r>
      <w:r w:rsidR="00D77CE1">
        <w:rPr>
          <w:rFonts w:ascii="Arial" w:hAnsi="Arial" w:cs="Arial"/>
          <w:sz w:val="24"/>
          <w:szCs w:val="24"/>
          <w:lang w:val="en-GB"/>
        </w:rPr>
        <w:t xml:space="preserve"> is </w:t>
      </w:r>
      <w:r w:rsidR="00B264C7">
        <w:rPr>
          <w:rFonts w:ascii="Arial" w:hAnsi="Arial" w:cs="Arial"/>
          <w:sz w:val="24"/>
          <w:szCs w:val="24"/>
          <w:lang w:val="en-GB"/>
        </w:rPr>
        <w:t xml:space="preserve">regularly </w:t>
      </w:r>
      <w:r w:rsidR="00D77CE1">
        <w:rPr>
          <w:rFonts w:ascii="Arial" w:hAnsi="Arial" w:cs="Arial"/>
          <w:sz w:val="24"/>
          <w:szCs w:val="24"/>
          <w:lang w:val="en-GB"/>
        </w:rPr>
        <w:t>carried out</w:t>
      </w:r>
      <w:r w:rsidRPr="00F518FE">
        <w:rPr>
          <w:rFonts w:ascii="Arial" w:hAnsi="Arial" w:cs="Arial"/>
          <w:sz w:val="24"/>
          <w:szCs w:val="24"/>
          <w:lang w:val="en-GB"/>
        </w:rPr>
        <w:t>, covering the elements of: methodological soundness, compliance with timeliness, reliability and stability, internal consistency and external consistency/coherence with other</w:t>
      </w:r>
      <w:r w:rsidR="00D77CE1">
        <w:rPr>
          <w:rFonts w:ascii="Arial" w:hAnsi="Arial" w:cs="Arial"/>
          <w:sz w:val="24"/>
          <w:szCs w:val="24"/>
          <w:lang w:val="en-GB"/>
        </w:rPr>
        <w:t xml:space="preserve"> comparable statistical domains.</w:t>
      </w:r>
      <w:r w:rsidRPr="00F518FE">
        <w:rPr>
          <w:rFonts w:ascii="Arial" w:hAnsi="Arial" w:cs="Arial"/>
          <w:sz w:val="24"/>
          <w:szCs w:val="24"/>
          <w:lang w:val="en-GB"/>
        </w:rPr>
        <w:t xml:space="preserve"> </w:t>
      </w:r>
      <w:r w:rsidR="00972AA3">
        <w:rPr>
          <w:rFonts w:ascii="Arial" w:hAnsi="Arial" w:cs="Arial"/>
          <w:sz w:val="24"/>
          <w:szCs w:val="24"/>
          <w:lang w:val="en-GB"/>
        </w:rPr>
        <w:t>In particular, t</w:t>
      </w:r>
      <w:r w:rsidR="0061226A">
        <w:rPr>
          <w:rFonts w:ascii="Arial" w:hAnsi="Arial" w:cs="Arial"/>
          <w:sz w:val="24"/>
          <w:szCs w:val="24"/>
          <w:lang w:val="en-GB"/>
        </w:rPr>
        <w:t xml:space="preserve">he quality of the geographical breakdown </w:t>
      </w:r>
      <w:r w:rsidR="0091142C">
        <w:rPr>
          <w:rFonts w:ascii="Arial" w:hAnsi="Arial" w:cs="Arial"/>
          <w:sz w:val="24"/>
          <w:szCs w:val="24"/>
          <w:lang w:val="en-GB"/>
        </w:rPr>
        <w:t xml:space="preserve">is fundamental to produce reliable </w:t>
      </w:r>
      <w:r w:rsidR="0061226A">
        <w:rPr>
          <w:rFonts w:ascii="Arial" w:hAnsi="Arial" w:cs="Arial"/>
          <w:sz w:val="24"/>
          <w:szCs w:val="24"/>
          <w:lang w:val="en-GB"/>
        </w:rPr>
        <w:t xml:space="preserve">balance of payments (b.o.p.) and international investment position (i.i.p.) </w:t>
      </w:r>
      <w:r w:rsidR="00822BB4">
        <w:rPr>
          <w:rFonts w:ascii="Arial" w:hAnsi="Arial" w:cs="Arial"/>
          <w:sz w:val="24"/>
          <w:szCs w:val="24"/>
          <w:lang w:val="en-GB"/>
        </w:rPr>
        <w:t xml:space="preserve">statistics </w:t>
      </w:r>
      <w:r w:rsidR="0091142C">
        <w:rPr>
          <w:rFonts w:ascii="Arial" w:hAnsi="Arial" w:cs="Arial"/>
          <w:sz w:val="24"/>
          <w:szCs w:val="24"/>
          <w:lang w:val="en-GB"/>
        </w:rPr>
        <w:t xml:space="preserve">and </w:t>
      </w:r>
      <w:r w:rsidR="0061226A">
        <w:rPr>
          <w:rFonts w:ascii="Arial" w:hAnsi="Arial" w:cs="Arial"/>
          <w:sz w:val="24"/>
          <w:szCs w:val="24"/>
          <w:lang w:val="en-GB"/>
        </w:rPr>
        <w:t xml:space="preserve">can be </w:t>
      </w:r>
      <w:r w:rsidR="004867AA" w:rsidRPr="00D77CE1">
        <w:rPr>
          <w:rFonts w:ascii="Arial" w:hAnsi="Arial" w:cs="Arial"/>
          <w:i/>
          <w:sz w:val="24"/>
          <w:szCs w:val="24"/>
          <w:lang w:val="en-GB"/>
        </w:rPr>
        <w:t>inter alia</w:t>
      </w:r>
      <w:r w:rsidR="004867AA">
        <w:rPr>
          <w:rFonts w:ascii="Arial" w:hAnsi="Arial" w:cs="Arial"/>
          <w:sz w:val="24"/>
          <w:szCs w:val="24"/>
          <w:lang w:val="en-GB"/>
        </w:rPr>
        <w:t xml:space="preserve"> </w:t>
      </w:r>
      <w:r w:rsidR="0061226A">
        <w:rPr>
          <w:rFonts w:ascii="Arial" w:hAnsi="Arial" w:cs="Arial"/>
          <w:sz w:val="24"/>
          <w:szCs w:val="24"/>
          <w:lang w:val="en-GB"/>
        </w:rPr>
        <w:t xml:space="preserve">assessed by means of </w:t>
      </w:r>
      <w:r w:rsidR="0061226A">
        <w:rPr>
          <w:rFonts w:ascii="Arial" w:hAnsi="Arial" w:cs="Arial"/>
          <w:sz w:val="24"/>
          <w:szCs w:val="24"/>
          <w:lang w:val="en-GB"/>
        </w:rPr>
        <w:lastRenderedPageBreak/>
        <w:t xml:space="preserve">comparisons with mirror data. </w:t>
      </w:r>
      <w:r w:rsidR="009B7F3D">
        <w:rPr>
          <w:rFonts w:ascii="Arial" w:hAnsi="Arial" w:cs="Arial"/>
          <w:sz w:val="24"/>
          <w:szCs w:val="24"/>
          <w:lang w:val="en-GB"/>
        </w:rPr>
        <w:t>A</w:t>
      </w:r>
      <w:r w:rsidR="0061226A">
        <w:rPr>
          <w:rFonts w:ascii="Arial" w:hAnsi="Arial" w:cs="Arial"/>
          <w:sz w:val="24"/>
          <w:szCs w:val="24"/>
          <w:lang w:val="en-GB"/>
        </w:rPr>
        <w:t xml:space="preserve"> </w:t>
      </w:r>
      <w:r w:rsidR="0061226A" w:rsidRPr="0061226A">
        <w:rPr>
          <w:rFonts w:ascii="Arial" w:hAnsi="Arial" w:cs="Arial"/>
          <w:sz w:val="24"/>
          <w:szCs w:val="24"/>
          <w:lang w:val="en-GB"/>
        </w:rPr>
        <w:t xml:space="preserve">typical feature of </w:t>
      </w:r>
      <w:r w:rsidR="009B7F3D">
        <w:rPr>
          <w:rFonts w:ascii="Arial" w:hAnsi="Arial" w:cs="Arial"/>
          <w:sz w:val="24"/>
          <w:szCs w:val="24"/>
          <w:lang w:val="en-GB"/>
        </w:rPr>
        <w:t xml:space="preserve">statistics </w:t>
      </w:r>
      <w:r w:rsidR="00B264C7">
        <w:rPr>
          <w:rFonts w:ascii="Arial" w:hAnsi="Arial" w:cs="Arial"/>
          <w:sz w:val="24"/>
          <w:szCs w:val="24"/>
          <w:lang w:val="en-GB"/>
        </w:rPr>
        <w:t xml:space="preserve">where the </w:t>
      </w:r>
      <w:r w:rsidR="00314B6E">
        <w:rPr>
          <w:rFonts w:ascii="Arial" w:hAnsi="Arial" w:cs="Arial"/>
          <w:sz w:val="24"/>
          <w:szCs w:val="24"/>
          <w:lang w:val="en-GB"/>
        </w:rPr>
        <w:t xml:space="preserve">geography of the </w:t>
      </w:r>
      <w:r w:rsidR="00B264C7">
        <w:rPr>
          <w:rFonts w:ascii="Arial" w:hAnsi="Arial" w:cs="Arial"/>
          <w:sz w:val="24"/>
          <w:szCs w:val="24"/>
          <w:lang w:val="en-GB"/>
        </w:rPr>
        <w:t xml:space="preserve">counterparty is </w:t>
      </w:r>
      <w:r w:rsidR="009B7F3D">
        <w:rPr>
          <w:rFonts w:ascii="Arial" w:hAnsi="Arial" w:cs="Arial"/>
          <w:sz w:val="24"/>
          <w:szCs w:val="24"/>
          <w:lang w:val="en-GB"/>
        </w:rPr>
        <w:t xml:space="preserve">captured </w:t>
      </w:r>
      <w:r w:rsidR="00B264C7">
        <w:rPr>
          <w:rFonts w:ascii="Arial" w:hAnsi="Arial" w:cs="Arial"/>
          <w:sz w:val="24"/>
          <w:szCs w:val="24"/>
          <w:lang w:val="en-GB"/>
        </w:rPr>
        <w:t xml:space="preserve">(e.g. b.o.p./i.i.p., trade in goods, trade in services, FDI statistics) </w:t>
      </w:r>
      <w:r w:rsidR="0061226A" w:rsidRPr="0061226A">
        <w:rPr>
          <w:rFonts w:ascii="Arial" w:hAnsi="Arial" w:cs="Arial"/>
          <w:sz w:val="24"/>
          <w:szCs w:val="24"/>
          <w:lang w:val="en-GB"/>
        </w:rPr>
        <w:t xml:space="preserve">is that </w:t>
      </w:r>
      <w:r w:rsidR="009B7F3D">
        <w:rPr>
          <w:rFonts w:ascii="Arial" w:hAnsi="Arial" w:cs="Arial"/>
          <w:sz w:val="24"/>
          <w:szCs w:val="24"/>
          <w:lang w:val="en-GB"/>
        </w:rPr>
        <w:t xml:space="preserve">they in principle provide for </w:t>
      </w:r>
      <w:r w:rsidR="0061226A" w:rsidRPr="0061226A">
        <w:rPr>
          <w:rFonts w:ascii="Arial" w:hAnsi="Arial" w:cs="Arial"/>
          <w:sz w:val="24"/>
          <w:szCs w:val="24"/>
          <w:lang w:val="en-GB"/>
        </w:rPr>
        <w:t xml:space="preserve">two </w:t>
      </w:r>
      <w:r w:rsidR="009B7F3D">
        <w:rPr>
          <w:rFonts w:ascii="Arial" w:hAnsi="Arial" w:cs="Arial"/>
          <w:sz w:val="24"/>
          <w:szCs w:val="24"/>
          <w:lang w:val="en-GB"/>
        </w:rPr>
        <w:t xml:space="preserve">independent observations of </w:t>
      </w:r>
      <w:r w:rsidR="005F1761" w:rsidRPr="0061226A">
        <w:rPr>
          <w:rFonts w:ascii="Arial" w:hAnsi="Arial" w:cs="Arial"/>
          <w:sz w:val="24"/>
          <w:szCs w:val="24"/>
          <w:lang w:val="en-GB"/>
        </w:rPr>
        <w:t>the sa</w:t>
      </w:r>
      <w:r w:rsidR="005F1761">
        <w:rPr>
          <w:rFonts w:ascii="Arial" w:hAnsi="Arial" w:cs="Arial"/>
          <w:sz w:val="24"/>
          <w:szCs w:val="24"/>
          <w:lang w:val="en-GB"/>
        </w:rPr>
        <w:t>me phenomenon under observation</w:t>
      </w:r>
      <w:r w:rsidR="004867AA">
        <w:rPr>
          <w:rFonts w:ascii="Arial" w:hAnsi="Arial" w:cs="Arial"/>
          <w:sz w:val="24"/>
          <w:szCs w:val="24"/>
          <w:lang w:val="en-GB"/>
        </w:rPr>
        <w:t xml:space="preserve">. When </w:t>
      </w:r>
      <w:r w:rsidR="000A6B34">
        <w:rPr>
          <w:rFonts w:ascii="Arial" w:hAnsi="Arial" w:cs="Arial"/>
          <w:sz w:val="24"/>
          <w:szCs w:val="24"/>
          <w:lang w:val="en-GB"/>
        </w:rPr>
        <w:t>the information is not the same an</w:t>
      </w:r>
      <w:r w:rsidR="004867AA">
        <w:rPr>
          <w:rFonts w:ascii="Arial" w:hAnsi="Arial" w:cs="Arial"/>
          <w:sz w:val="24"/>
          <w:szCs w:val="24"/>
          <w:lang w:val="en-GB"/>
        </w:rPr>
        <w:t xml:space="preserve"> </w:t>
      </w:r>
      <w:r w:rsidR="000A6B34">
        <w:rPr>
          <w:rFonts w:ascii="Arial" w:hAnsi="Arial" w:cs="Arial"/>
          <w:sz w:val="24"/>
          <w:szCs w:val="24"/>
          <w:lang w:val="en-GB"/>
        </w:rPr>
        <w:t>asymmetry</w:t>
      </w:r>
      <w:r w:rsidR="004867AA">
        <w:rPr>
          <w:rFonts w:ascii="Arial" w:hAnsi="Arial" w:cs="Arial"/>
          <w:sz w:val="24"/>
          <w:szCs w:val="24"/>
          <w:lang w:val="en-GB"/>
        </w:rPr>
        <w:t xml:space="preserve"> </w:t>
      </w:r>
      <w:r w:rsidR="00E0767B">
        <w:rPr>
          <w:rFonts w:ascii="Arial" w:hAnsi="Arial" w:cs="Arial"/>
          <w:sz w:val="24"/>
          <w:szCs w:val="24"/>
          <w:lang w:val="en-GB"/>
        </w:rPr>
        <w:t>arise</w:t>
      </w:r>
      <w:r w:rsidR="009B7F3D">
        <w:rPr>
          <w:rFonts w:ascii="Arial" w:hAnsi="Arial" w:cs="Arial"/>
          <w:sz w:val="24"/>
          <w:szCs w:val="24"/>
          <w:lang w:val="en-GB"/>
        </w:rPr>
        <w:t>s</w:t>
      </w:r>
      <w:r w:rsidR="00B264C7">
        <w:rPr>
          <w:rFonts w:ascii="Arial" w:hAnsi="Arial" w:cs="Arial"/>
          <w:sz w:val="24"/>
          <w:szCs w:val="24"/>
          <w:lang w:val="en-GB"/>
        </w:rPr>
        <w:t xml:space="preserve">. </w:t>
      </w:r>
    </w:p>
    <w:p w:rsidR="00637CE1" w:rsidRDefault="009B7F3D" w:rsidP="00F518FE">
      <w:pPr>
        <w:spacing w:before="120" w:after="0" w:line="360" w:lineRule="auto"/>
        <w:jc w:val="both"/>
        <w:rPr>
          <w:rFonts w:ascii="Arial" w:hAnsi="Arial" w:cs="Arial"/>
          <w:sz w:val="24"/>
          <w:szCs w:val="24"/>
          <w:lang w:val="en-GB"/>
        </w:rPr>
      </w:pPr>
      <w:r>
        <w:rPr>
          <w:rFonts w:ascii="Arial" w:hAnsi="Arial" w:cs="Arial"/>
          <w:sz w:val="24"/>
          <w:szCs w:val="24"/>
          <w:lang w:val="en-GB"/>
        </w:rPr>
        <w:t>Significant b</w:t>
      </w:r>
      <w:r w:rsidR="00FA3473">
        <w:rPr>
          <w:rFonts w:ascii="Arial" w:hAnsi="Arial" w:cs="Arial"/>
          <w:sz w:val="24"/>
          <w:szCs w:val="24"/>
          <w:lang w:val="en-GB"/>
        </w:rPr>
        <w:t xml:space="preserve">ilateral asymmetries </w:t>
      </w:r>
      <w:r>
        <w:rPr>
          <w:rFonts w:ascii="Arial" w:hAnsi="Arial" w:cs="Arial"/>
          <w:sz w:val="24"/>
          <w:szCs w:val="24"/>
          <w:lang w:val="en-GB"/>
        </w:rPr>
        <w:t xml:space="preserve">adversely affect </w:t>
      </w:r>
      <w:r w:rsidR="00FA3473">
        <w:rPr>
          <w:rFonts w:ascii="Arial" w:hAnsi="Arial" w:cs="Arial"/>
          <w:sz w:val="24"/>
          <w:szCs w:val="24"/>
          <w:lang w:val="en-GB"/>
        </w:rPr>
        <w:t xml:space="preserve">the </w:t>
      </w:r>
      <w:r>
        <w:rPr>
          <w:rFonts w:ascii="Arial" w:hAnsi="Arial" w:cs="Arial"/>
          <w:sz w:val="24"/>
          <w:szCs w:val="24"/>
          <w:lang w:val="en-GB"/>
        </w:rPr>
        <w:t xml:space="preserve">quality </w:t>
      </w:r>
      <w:r w:rsidR="00FA3473">
        <w:rPr>
          <w:rFonts w:ascii="Arial" w:hAnsi="Arial" w:cs="Arial"/>
          <w:sz w:val="24"/>
          <w:szCs w:val="24"/>
          <w:lang w:val="en-GB"/>
        </w:rPr>
        <w:t xml:space="preserve">of official statistics and </w:t>
      </w:r>
      <w:r w:rsidR="000A6B34">
        <w:rPr>
          <w:rFonts w:ascii="Arial" w:hAnsi="Arial" w:cs="Arial"/>
          <w:sz w:val="24"/>
          <w:szCs w:val="24"/>
          <w:lang w:val="en-GB"/>
        </w:rPr>
        <w:t>their</w:t>
      </w:r>
      <w:r w:rsidR="00FA3473">
        <w:rPr>
          <w:rFonts w:ascii="Arial" w:hAnsi="Arial" w:cs="Arial"/>
          <w:sz w:val="24"/>
          <w:szCs w:val="24"/>
          <w:lang w:val="en-GB"/>
        </w:rPr>
        <w:t xml:space="preserve"> usability as a basis for </w:t>
      </w:r>
      <w:r>
        <w:rPr>
          <w:rFonts w:ascii="Arial" w:hAnsi="Arial" w:cs="Arial"/>
          <w:sz w:val="24"/>
          <w:szCs w:val="24"/>
          <w:lang w:val="en-GB"/>
        </w:rPr>
        <w:t xml:space="preserve">sound </w:t>
      </w:r>
      <w:r w:rsidR="00FA3473">
        <w:rPr>
          <w:rFonts w:ascii="Arial" w:hAnsi="Arial" w:cs="Arial"/>
          <w:sz w:val="24"/>
          <w:szCs w:val="24"/>
          <w:lang w:val="en-GB"/>
        </w:rPr>
        <w:t>policy advice</w:t>
      </w:r>
      <w:r>
        <w:rPr>
          <w:rFonts w:ascii="Arial" w:hAnsi="Arial" w:cs="Arial"/>
          <w:sz w:val="24"/>
          <w:szCs w:val="24"/>
          <w:lang w:val="en-GB"/>
        </w:rPr>
        <w:t xml:space="preserve">. It has occurred that </w:t>
      </w:r>
      <w:r w:rsidR="00972AA3">
        <w:rPr>
          <w:rFonts w:ascii="Arial" w:hAnsi="Arial" w:cs="Arial"/>
          <w:sz w:val="24"/>
          <w:szCs w:val="24"/>
          <w:lang w:val="en-GB"/>
        </w:rPr>
        <w:t xml:space="preserve">the </w:t>
      </w:r>
      <w:r w:rsidR="00E00953">
        <w:rPr>
          <w:rFonts w:ascii="Arial" w:hAnsi="Arial" w:cs="Arial"/>
          <w:sz w:val="24"/>
          <w:szCs w:val="24"/>
          <w:lang w:val="en-GB"/>
        </w:rPr>
        <w:t xml:space="preserve">data </w:t>
      </w:r>
      <w:r>
        <w:rPr>
          <w:rFonts w:ascii="Arial" w:hAnsi="Arial" w:cs="Arial"/>
          <w:sz w:val="24"/>
          <w:szCs w:val="24"/>
          <w:lang w:val="en-GB"/>
        </w:rPr>
        <w:t xml:space="preserve">reported by partner </w:t>
      </w:r>
      <w:r w:rsidR="000A6B34">
        <w:rPr>
          <w:rFonts w:ascii="Arial" w:hAnsi="Arial" w:cs="Arial"/>
          <w:sz w:val="24"/>
          <w:szCs w:val="24"/>
          <w:lang w:val="en-GB"/>
        </w:rPr>
        <w:t>countries</w:t>
      </w:r>
      <w:r w:rsidR="00E00953">
        <w:rPr>
          <w:rFonts w:ascii="Arial" w:hAnsi="Arial" w:cs="Arial"/>
          <w:sz w:val="24"/>
          <w:szCs w:val="24"/>
          <w:lang w:val="en-GB"/>
        </w:rPr>
        <w:t xml:space="preserve"> describe</w:t>
      </w:r>
      <w:r>
        <w:rPr>
          <w:rFonts w:ascii="Arial" w:hAnsi="Arial" w:cs="Arial"/>
          <w:sz w:val="24"/>
          <w:szCs w:val="24"/>
          <w:lang w:val="en-GB"/>
        </w:rPr>
        <w:t>s</w:t>
      </w:r>
      <w:r w:rsidR="00E00953">
        <w:rPr>
          <w:rFonts w:ascii="Arial" w:hAnsi="Arial" w:cs="Arial"/>
          <w:sz w:val="24"/>
          <w:szCs w:val="24"/>
          <w:lang w:val="en-GB"/>
        </w:rPr>
        <w:t xml:space="preserve"> a </w:t>
      </w:r>
      <w:r>
        <w:rPr>
          <w:rFonts w:ascii="Arial" w:hAnsi="Arial" w:cs="Arial"/>
          <w:sz w:val="24"/>
          <w:szCs w:val="24"/>
          <w:lang w:val="en-GB"/>
        </w:rPr>
        <w:t xml:space="preserve">contradictory </w:t>
      </w:r>
      <w:r w:rsidR="00E00953">
        <w:rPr>
          <w:rFonts w:ascii="Arial" w:hAnsi="Arial" w:cs="Arial"/>
          <w:sz w:val="24"/>
          <w:szCs w:val="24"/>
          <w:lang w:val="en-GB"/>
        </w:rPr>
        <w:t>economic</w:t>
      </w:r>
      <w:r w:rsidR="00972AA3">
        <w:rPr>
          <w:rFonts w:ascii="Arial" w:hAnsi="Arial" w:cs="Arial"/>
          <w:sz w:val="24"/>
          <w:szCs w:val="24"/>
          <w:lang w:val="en-GB"/>
        </w:rPr>
        <w:t xml:space="preserve"> relation</w:t>
      </w:r>
      <w:r>
        <w:rPr>
          <w:rFonts w:ascii="Arial" w:hAnsi="Arial" w:cs="Arial"/>
          <w:sz w:val="24"/>
          <w:szCs w:val="24"/>
          <w:lang w:val="en-GB"/>
        </w:rPr>
        <w:t xml:space="preserve"> between them</w:t>
      </w:r>
      <w:r w:rsidR="00E00953">
        <w:rPr>
          <w:rFonts w:ascii="Arial" w:hAnsi="Arial" w:cs="Arial"/>
          <w:sz w:val="24"/>
          <w:szCs w:val="24"/>
          <w:lang w:val="en-GB"/>
        </w:rPr>
        <w:t xml:space="preserve">. </w:t>
      </w:r>
      <w:r w:rsidR="00B264C7">
        <w:rPr>
          <w:rFonts w:ascii="Arial" w:hAnsi="Arial" w:cs="Arial"/>
          <w:sz w:val="24"/>
          <w:szCs w:val="24"/>
          <w:lang w:val="en-GB"/>
        </w:rPr>
        <w:t>Traditionally</w:t>
      </w:r>
      <w:r w:rsidR="004867AA">
        <w:rPr>
          <w:rFonts w:ascii="Arial" w:hAnsi="Arial" w:cs="Arial"/>
          <w:sz w:val="24"/>
          <w:szCs w:val="24"/>
          <w:lang w:val="en-GB"/>
        </w:rPr>
        <w:t>,</w:t>
      </w:r>
      <w:r w:rsidR="00B264C7">
        <w:rPr>
          <w:rFonts w:ascii="Arial" w:hAnsi="Arial" w:cs="Arial"/>
          <w:sz w:val="24"/>
          <w:szCs w:val="24"/>
          <w:lang w:val="en-GB"/>
        </w:rPr>
        <w:t xml:space="preserve"> measures of asymmetries focus on pairs of countries, </w:t>
      </w:r>
      <w:r w:rsidR="0060187F">
        <w:rPr>
          <w:rFonts w:ascii="Arial" w:hAnsi="Arial" w:cs="Arial"/>
          <w:sz w:val="24"/>
          <w:szCs w:val="24"/>
          <w:lang w:val="en-GB"/>
        </w:rPr>
        <w:t>analysing</w:t>
      </w:r>
      <w:r w:rsidR="00B264C7">
        <w:rPr>
          <w:rFonts w:ascii="Arial" w:hAnsi="Arial" w:cs="Arial"/>
          <w:sz w:val="24"/>
          <w:szCs w:val="24"/>
          <w:lang w:val="en-GB"/>
        </w:rPr>
        <w:t xml:space="preserve"> the</w:t>
      </w:r>
      <w:r w:rsidR="004867AA">
        <w:rPr>
          <w:rFonts w:ascii="Arial" w:hAnsi="Arial" w:cs="Arial"/>
          <w:sz w:val="24"/>
          <w:szCs w:val="24"/>
          <w:lang w:val="en-GB"/>
        </w:rPr>
        <w:t xml:space="preserve"> magnitude and </w:t>
      </w:r>
      <w:r w:rsidR="00E0767B">
        <w:rPr>
          <w:rFonts w:ascii="Arial" w:hAnsi="Arial" w:cs="Arial"/>
          <w:sz w:val="24"/>
          <w:szCs w:val="24"/>
          <w:lang w:val="en-GB"/>
        </w:rPr>
        <w:t xml:space="preserve">the </w:t>
      </w:r>
      <w:r w:rsidR="004867AA">
        <w:rPr>
          <w:rFonts w:ascii="Arial" w:hAnsi="Arial" w:cs="Arial"/>
          <w:sz w:val="24"/>
          <w:szCs w:val="24"/>
          <w:lang w:val="en-GB"/>
        </w:rPr>
        <w:t xml:space="preserve">direction of the </w:t>
      </w:r>
      <w:r w:rsidR="00E0767B">
        <w:rPr>
          <w:rFonts w:ascii="Arial" w:hAnsi="Arial" w:cs="Arial"/>
          <w:sz w:val="24"/>
          <w:szCs w:val="24"/>
          <w:lang w:val="en-GB"/>
        </w:rPr>
        <w:t xml:space="preserve">bilateral </w:t>
      </w:r>
      <w:r w:rsidR="004867AA">
        <w:rPr>
          <w:rFonts w:ascii="Arial" w:hAnsi="Arial" w:cs="Arial"/>
          <w:sz w:val="24"/>
          <w:szCs w:val="24"/>
          <w:lang w:val="en-GB"/>
        </w:rPr>
        <w:t xml:space="preserve">differences </w:t>
      </w:r>
      <w:r w:rsidR="00E0767B">
        <w:rPr>
          <w:rFonts w:ascii="Arial" w:hAnsi="Arial" w:cs="Arial"/>
          <w:sz w:val="24"/>
          <w:szCs w:val="24"/>
          <w:lang w:val="en-GB"/>
        </w:rPr>
        <w:t>between</w:t>
      </w:r>
      <w:r w:rsidR="004867AA">
        <w:rPr>
          <w:rFonts w:ascii="Arial" w:hAnsi="Arial" w:cs="Arial"/>
          <w:sz w:val="24"/>
          <w:szCs w:val="24"/>
          <w:lang w:val="en-GB"/>
        </w:rPr>
        <w:t xml:space="preserve"> </w:t>
      </w:r>
      <w:r w:rsidR="00E0767B">
        <w:rPr>
          <w:rFonts w:ascii="Arial" w:hAnsi="Arial" w:cs="Arial"/>
          <w:sz w:val="24"/>
          <w:szCs w:val="24"/>
          <w:lang w:val="en-GB"/>
        </w:rPr>
        <w:t>geographical partners</w:t>
      </w:r>
      <w:r w:rsidR="00D24652">
        <w:rPr>
          <w:rFonts w:ascii="Arial" w:hAnsi="Arial" w:cs="Arial"/>
          <w:sz w:val="24"/>
          <w:szCs w:val="24"/>
          <w:lang w:val="en-GB"/>
        </w:rPr>
        <w:t>.</w:t>
      </w:r>
      <w:r w:rsidR="00B055FB">
        <w:rPr>
          <w:rFonts w:ascii="Arial" w:hAnsi="Arial" w:cs="Arial"/>
          <w:sz w:val="24"/>
          <w:szCs w:val="24"/>
          <w:lang w:val="en-GB"/>
        </w:rPr>
        <w:t xml:space="preserve"> </w:t>
      </w:r>
      <w:r w:rsidR="00BF01C6">
        <w:rPr>
          <w:rFonts w:ascii="Arial" w:hAnsi="Arial" w:cs="Arial"/>
          <w:sz w:val="24"/>
          <w:szCs w:val="24"/>
          <w:lang w:val="en-GB"/>
        </w:rPr>
        <w:t xml:space="preserve">Such bilateral comparisons </w:t>
      </w:r>
      <w:r w:rsidR="00EB42B4">
        <w:rPr>
          <w:rFonts w:ascii="Arial" w:hAnsi="Arial" w:cs="Arial"/>
          <w:sz w:val="24"/>
          <w:szCs w:val="24"/>
          <w:lang w:val="en-GB"/>
        </w:rPr>
        <w:t xml:space="preserve">often </w:t>
      </w:r>
      <w:r w:rsidR="00BF01C6">
        <w:rPr>
          <w:rFonts w:ascii="Arial" w:hAnsi="Arial" w:cs="Arial"/>
          <w:sz w:val="24"/>
          <w:szCs w:val="24"/>
          <w:lang w:val="en-GB"/>
        </w:rPr>
        <w:t xml:space="preserve">do </w:t>
      </w:r>
      <w:r w:rsidR="00EB42B4">
        <w:rPr>
          <w:rFonts w:ascii="Arial" w:hAnsi="Arial" w:cs="Arial"/>
          <w:sz w:val="24"/>
          <w:szCs w:val="24"/>
          <w:lang w:val="en-GB"/>
        </w:rPr>
        <w:t xml:space="preserve">not lead </w:t>
      </w:r>
      <w:r w:rsidR="00BF01C6">
        <w:rPr>
          <w:rFonts w:ascii="Arial" w:hAnsi="Arial" w:cs="Arial"/>
          <w:sz w:val="24"/>
          <w:szCs w:val="24"/>
          <w:lang w:val="en-GB"/>
        </w:rPr>
        <w:t>to a resolution of the problem, as they do not provide information</w:t>
      </w:r>
      <w:r w:rsidR="00920924">
        <w:rPr>
          <w:rFonts w:ascii="Arial" w:hAnsi="Arial" w:cs="Arial"/>
          <w:sz w:val="24"/>
          <w:szCs w:val="24"/>
          <w:lang w:val="en-GB"/>
        </w:rPr>
        <w:t xml:space="preserve"> on</w:t>
      </w:r>
      <w:r w:rsidR="00BF01C6">
        <w:rPr>
          <w:rFonts w:ascii="Arial" w:hAnsi="Arial" w:cs="Arial"/>
          <w:sz w:val="24"/>
          <w:szCs w:val="24"/>
          <w:lang w:val="en-GB"/>
        </w:rPr>
        <w:t xml:space="preserve"> which number is likely to be more reliable.</w:t>
      </w:r>
      <w:r w:rsidR="00184869">
        <w:rPr>
          <w:rFonts w:ascii="Arial" w:hAnsi="Arial" w:cs="Arial"/>
          <w:sz w:val="24"/>
          <w:szCs w:val="24"/>
          <w:lang w:val="en-GB"/>
        </w:rPr>
        <w:t xml:space="preserve"> </w:t>
      </w:r>
      <w:r w:rsidR="00BF01C6">
        <w:rPr>
          <w:rFonts w:ascii="Arial" w:hAnsi="Arial" w:cs="Arial"/>
          <w:sz w:val="24"/>
          <w:szCs w:val="24"/>
          <w:lang w:val="en-GB"/>
        </w:rPr>
        <w:t>The follow up to large b</w:t>
      </w:r>
      <w:r w:rsidR="0060187F">
        <w:rPr>
          <w:rFonts w:ascii="Arial" w:hAnsi="Arial" w:cs="Arial"/>
          <w:sz w:val="24"/>
          <w:szCs w:val="24"/>
          <w:lang w:val="en-GB"/>
        </w:rPr>
        <w:t xml:space="preserve">ilateral asymmetries </w:t>
      </w:r>
      <w:r w:rsidR="00BF01C6">
        <w:rPr>
          <w:rFonts w:ascii="Arial" w:hAnsi="Arial" w:cs="Arial"/>
          <w:sz w:val="24"/>
          <w:szCs w:val="24"/>
          <w:lang w:val="en-GB"/>
        </w:rPr>
        <w:t xml:space="preserve">typically </w:t>
      </w:r>
      <w:r w:rsidR="0060187F">
        <w:rPr>
          <w:rFonts w:ascii="Arial" w:hAnsi="Arial" w:cs="Arial"/>
          <w:sz w:val="24"/>
          <w:szCs w:val="24"/>
          <w:lang w:val="en-GB"/>
        </w:rPr>
        <w:t xml:space="preserve">involves sharing </w:t>
      </w:r>
      <w:r w:rsidR="00550BE5">
        <w:rPr>
          <w:rFonts w:ascii="Arial" w:hAnsi="Arial" w:cs="Arial"/>
          <w:sz w:val="24"/>
          <w:szCs w:val="24"/>
          <w:lang w:val="en-GB"/>
        </w:rPr>
        <w:t xml:space="preserve">micro-data </w:t>
      </w:r>
      <w:r w:rsidR="00E9772B">
        <w:rPr>
          <w:rFonts w:ascii="Arial" w:hAnsi="Arial" w:cs="Arial"/>
          <w:sz w:val="24"/>
          <w:szCs w:val="24"/>
          <w:lang w:val="en-GB"/>
        </w:rPr>
        <w:t xml:space="preserve">and metadata </w:t>
      </w:r>
      <w:r w:rsidR="0060187F">
        <w:rPr>
          <w:rFonts w:ascii="Arial" w:hAnsi="Arial" w:cs="Arial"/>
          <w:sz w:val="24"/>
          <w:szCs w:val="24"/>
          <w:lang w:val="en-GB"/>
        </w:rPr>
        <w:t>information</w:t>
      </w:r>
      <w:r w:rsidR="003F1E13">
        <w:rPr>
          <w:rFonts w:ascii="Arial" w:hAnsi="Arial" w:cs="Arial"/>
          <w:sz w:val="24"/>
          <w:szCs w:val="24"/>
          <w:lang w:val="en-GB"/>
        </w:rPr>
        <w:t xml:space="preserve"> on a case-by-</w:t>
      </w:r>
      <w:r w:rsidR="00E9772B">
        <w:rPr>
          <w:rFonts w:ascii="Arial" w:hAnsi="Arial" w:cs="Arial"/>
          <w:sz w:val="24"/>
          <w:szCs w:val="24"/>
          <w:lang w:val="en-GB"/>
        </w:rPr>
        <w:t xml:space="preserve">case basis, </w:t>
      </w:r>
      <w:r w:rsidR="009B63A8">
        <w:rPr>
          <w:rFonts w:ascii="Arial" w:hAnsi="Arial" w:cs="Arial"/>
          <w:sz w:val="24"/>
          <w:szCs w:val="24"/>
          <w:lang w:val="en-GB"/>
        </w:rPr>
        <w:t>between partners</w:t>
      </w:r>
      <w:r w:rsidR="0060187F">
        <w:rPr>
          <w:rFonts w:ascii="Arial" w:hAnsi="Arial" w:cs="Arial"/>
          <w:sz w:val="24"/>
          <w:szCs w:val="24"/>
          <w:lang w:val="en-GB"/>
        </w:rPr>
        <w:t xml:space="preserve"> to try to reconcile</w:t>
      </w:r>
      <w:r w:rsidR="00550BE5">
        <w:rPr>
          <w:rFonts w:ascii="Arial" w:hAnsi="Arial" w:cs="Arial"/>
          <w:sz w:val="24"/>
          <w:szCs w:val="24"/>
          <w:lang w:val="en-GB"/>
        </w:rPr>
        <w:t xml:space="preserve"> </w:t>
      </w:r>
      <w:r w:rsidR="009B63A8">
        <w:rPr>
          <w:rFonts w:ascii="Arial" w:hAnsi="Arial" w:cs="Arial"/>
          <w:sz w:val="24"/>
          <w:szCs w:val="24"/>
          <w:lang w:val="en-GB"/>
        </w:rPr>
        <w:t xml:space="preserve">the recording </w:t>
      </w:r>
      <w:r w:rsidR="00550BE5">
        <w:rPr>
          <w:rFonts w:ascii="Arial" w:hAnsi="Arial" w:cs="Arial"/>
          <w:sz w:val="24"/>
          <w:szCs w:val="24"/>
          <w:lang w:val="en-GB"/>
        </w:rPr>
        <w:t xml:space="preserve">of the most important cross-border transactions </w:t>
      </w:r>
      <w:r w:rsidR="009B63A8">
        <w:rPr>
          <w:rFonts w:ascii="Arial" w:hAnsi="Arial" w:cs="Arial"/>
          <w:sz w:val="24"/>
          <w:szCs w:val="24"/>
          <w:lang w:val="en-GB"/>
        </w:rPr>
        <w:t>and</w:t>
      </w:r>
      <w:r w:rsidR="00550BE5">
        <w:rPr>
          <w:rFonts w:ascii="Arial" w:hAnsi="Arial" w:cs="Arial"/>
          <w:sz w:val="24"/>
          <w:szCs w:val="24"/>
          <w:lang w:val="en-GB"/>
        </w:rPr>
        <w:t xml:space="preserve"> positions</w:t>
      </w:r>
      <w:r w:rsidR="009B63A8">
        <w:rPr>
          <w:rStyle w:val="FootnoteReference"/>
          <w:rFonts w:ascii="Arial" w:hAnsi="Arial" w:cs="Arial"/>
          <w:sz w:val="24"/>
          <w:szCs w:val="24"/>
          <w:lang w:val="en-GB"/>
        </w:rPr>
        <w:footnoteReference w:id="2"/>
      </w:r>
      <w:r w:rsidR="009B63A8">
        <w:rPr>
          <w:rFonts w:ascii="Arial" w:hAnsi="Arial" w:cs="Arial"/>
          <w:sz w:val="24"/>
          <w:szCs w:val="24"/>
          <w:lang w:val="en-GB"/>
        </w:rPr>
        <w:t xml:space="preserve">. </w:t>
      </w:r>
    </w:p>
    <w:p w:rsidR="00B264C7" w:rsidRPr="00F518FE" w:rsidRDefault="00925EAC" w:rsidP="00F518FE">
      <w:pPr>
        <w:spacing w:before="120" w:after="0" w:line="360" w:lineRule="auto"/>
        <w:jc w:val="both"/>
        <w:rPr>
          <w:rFonts w:ascii="Arial" w:hAnsi="Arial" w:cs="Arial"/>
          <w:sz w:val="24"/>
          <w:szCs w:val="24"/>
          <w:lang w:val="en-GB"/>
        </w:rPr>
      </w:pPr>
      <w:r>
        <w:rPr>
          <w:rFonts w:ascii="Arial" w:hAnsi="Arial" w:cs="Arial"/>
          <w:sz w:val="24"/>
          <w:szCs w:val="24"/>
          <w:lang w:val="en-GB"/>
        </w:rPr>
        <w:t>T</w:t>
      </w:r>
      <w:r w:rsidR="004867AA" w:rsidRPr="004867AA">
        <w:rPr>
          <w:rFonts w:ascii="Arial" w:hAnsi="Arial" w:cs="Arial"/>
          <w:sz w:val="24"/>
          <w:szCs w:val="24"/>
          <w:lang w:val="en-GB"/>
        </w:rPr>
        <w:t xml:space="preserve">he measures </w:t>
      </w:r>
      <w:r w:rsidR="009B63A8">
        <w:rPr>
          <w:rFonts w:ascii="Arial" w:hAnsi="Arial" w:cs="Arial"/>
          <w:sz w:val="24"/>
          <w:szCs w:val="24"/>
          <w:lang w:val="en-GB"/>
        </w:rPr>
        <w:t xml:space="preserve">proposed </w:t>
      </w:r>
      <w:r w:rsidR="00905EF4">
        <w:rPr>
          <w:rFonts w:ascii="Arial" w:hAnsi="Arial" w:cs="Arial"/>
          <w:sz w:val="24"/>
          <w:szCs w:val="24"/>
          <w:lang w:val="en-GB"/>
        </w:rPr>
        <w:t>in this paper</w:t>
      </w:r>
      <w:r w:rsidR="004867AA" w:rsidRPr="004867AA">
        <w:rPr>
          <w:rFonts w:ascii="Arial" w:hAnsi="Arial" w:cs="Arial"/>
          <w:sz w:val="24"/>
          <w:szCs w:val="24"/>
          <w:lang w:val="en-GB"/>
        </w:rPr>
        <w:t xml:space="preserve"> </w:t>
      </w:r>
      <w:r>
        <w:rPr>
          <w:rFonts w:ascii="Arial" w:hAnsi="Arial" w:cs="Arial"/>
          <w:sz w:val="24"/>
          <w:szCs w:val="24"/>
          <w:lang w:val="en-GB"/>
        </w:rPr>
        <w:t xml:space="preserve">go beyond conventional measures of bilateral asymmetries </w:t>
      </w:r>
      <w:r w:rsidR="00B055FB">
        <w:rPr>
          <w:rFonts w:ascii="Arial" w:hAnsi="Arial" w:cs="Arial"/>
          <w:sz w:val="24"/>
          <w:szCs w:val="24"/>
          <w:lang w:val="en-GB"/>
        </w:rPr>
        <w:t xml:space="preserve">as they </w:t>
      </w:r>
      <w:r w:rsidR="00BF01C6">
        <w:rPr>
          <w:rFonts w:ascii="Arial" w:hAnsi="Arial" w:cs="Arial"/>
          <w:sz w:val="24"/>
          <w:szCs w:val="24"/>
          <w:lang w:val="en-GB"/>
        </w:rPr>
        <w:t xml:space="preserve">assess </w:t>
      </w:r>
      <w:r w:rsidR="00B055FB">
        <w:rPr>
          <w:rFonts w:ascii="Arial" w:hAnsi="Arial" w:cs="Arial"/>
          <w:sz w:val="24"/>
          <w:szCs w:val="24"/>
          <w:lang w:val="en-GB"/>
        </w:rPr>
        <w:t xml:space="preserve">the </w:t>
      </w:r>
      <w:r>
        <w:rPr>
          <w:rFonts w:ascii="Arial" w:hAnsi="Arial" w:cs="Arial"/>
          <w:sz w:val="24"/>
          <w:szCs w:val="24"/>
          <w:lang w:val="en-GB"/>
        </w:rPr>
        <w:t xml:space="preserve">recurrent or structural </w:t>
      </w:r>
      <w:r w:rsidR="00B055FB">
        <w:rPr>
          <w:rFonts w:ascii="Arial" w:hAnsi="Arial" w:cs="Arial"/>
          <w:sz w:val="24"/>
          <w:szCs w:val="24"/>
          <w:lang w:val="en-GB"/>
        </w:rPr>
        <w:t xml:space="preserve">dimension of </w:t>
      </w:r>
      <w:r>
        <w:rPr>
          <w:rFonts w:ascii="Arial" w:hAnsi="Arial" w:cs="Arial"/>
          <w:sz w:val="24"/>
          <w:szCs w:val="24"/>
          <w:lang w:val="en-GB"/>
        </w:rPr>
        <w:t>asymmetries</w:t>
      </w:r>
      <w:r w:rsidR="00BC5FD9">
        <w:rPr>
          <w:rFonts w:ascii="Arial" w:hAnsi="Arial" w:cs="Arial"/>
          <w:sz w:val="24"/>
          <w:szCs w:val="24"/>
          <w:lang w:val="en-GB"/>
        </w:rPr>
        <w:t xml:space="preserve"> </w:t>
      </w:r>
      <w:r w:rsidR="00B055FB">
        <w:rPr>
          <w:rFonts w:ascii="Arial" w:hAnsi="Arial" w:cs="Arial"/>
          <w:sz w:val="24"/>
          <w:szCs w:val="24"/>
          <w:lang w:val="en-GB"/>
        </w:rPr>
        <w:t xml:space="preserve">between a country and </w:t>
      </w:r>
      <w:r w:rsidR="00BF01C6">
        <w:rPr>
          <w:rFonts w:ascii="Arial" w:hAnsi="Arial" w:cs="Arial"/>
          <w:sz w:val="24"/>
          <w:szCs w:val="24"/>
          <w:lang w:val="en-GB"/>
        </w:rPr>
        <w:t xml:space="preserve">its </w:t>
      </w:r>
      <w:r w:rsidR="00B055FB">
        <w:rPr>
          <w:rFonts w:ascii="Arial" w:hAnsi="Arial" w:cs="Arial"/>
          <w:sz w:val="24"/>
          <w:szCs w:val="24"/>
          <w:lang w:val="en-GB"/>
        </w:rPr>
        <w:t>counterparties.</w:t>
      </w:r>
      <w:r w:rsidR="00BC5FD9">
        <w:rPr>
          <w:rFonts w:ascii="Arial" w:hAnsi="Arial" w:cs="Arial"/>
          <w:sz w:val="24"/>
          <w:szCs w:val="24"/>
          <w:lang w:val="en-GB"/>
        </w:rPr>
        <w:t xml:space="preserve"> T</w:t>
      </w:r>
      <w:r>
        <w:rPr>
          <w:rFonts w:ascii="Arial" w:hAnsi="Arial" w:cs="Arial"/>
          <w:sz w:val="24"/>
          <w:szCs w:val="24"/>
          <w:lang w:val="en-GB"/>
        </w:rPr>
        <w:t>hey</w:t>
      </w:r>
      <w:r w:rsidR="004867AA" w:rsidRPr="004867AA">
        <w:rPr>
          <w:rFonts w:ascii="Arial" w:hAnsi="Arial" w:cs="Arial"/>
          <w:sz w:val="24"/>
          <w:szCs w:val="24"/>
          <w:lang w:val="en-GB"/>
        </w:rPr>
        <w:t xml:space="preserve"> provide a</w:t>
      </w:r>
      <w:r w:rsidR="003F1E13">
        <w:rPr>
          <w:rFonts w:ascii="Arial" w:hAnsi="Arial" w:cs="Arial"/>
          <w:sz w:val="24"/>
          <w:szCs w:val="24"/>
          <w:lang w:val="en-GB"/>
        </w:rPr>
        <w:t xml:space="preserve"> synthetic</w:t>
      </w:r>
      <w:r w:rsidR="004867AA" w:rsidRPr="004867AA">
        <w:rPr>
          <w:rFonts w:ascii="Arial" w:hAnsi="Arial" w:cs="Arial"/>
          <w:sz w:val="24"/>
          <w:szCs w:val="24"/>
          <w:lang w:val="en-GB"/>
        </w:rPr>
        <w:t xml:space="preserve"> overview of how well </w:t>
      </w:r>
      <w:r w:rsidR="00BF01C6">
        <w:rPr>
          <w:rFonts w:ascii="Arial" w:hAnsi="Arial" w:cs="Arial"/>
          <w:sz w:val="24"/>
          <w:szCs w:val="24"/>
          <w:lang w:val="en-GB"/>
        </w:rPr>
        <w:t xml:space="preserve">the </w:t>
      </w:r>
      <w:r w:rsidR="004867AA" w:rsidRPr="004867AA">
        <w:rPr>
          <w:rFonts w:ascii="Arial" w:hAnsi="Arial" w:cs="Arial"/>
          <w:sz w:val="24"/>
          <w:szCs w:val="24"/>
          <w:lang w:val="en-GB"/>
        </w:rPr>
        <w:t xml:space="preserve">geographical breakdown provided by </w:t>
      </w:r>
      <w:r w:rsidR="00BF01C6">
        <w:rPr>
          <w:rFonts w:ascii="Arial" w:hAnsi="Arial" w:cs="Arial"/>
          <w:sz w:val="24"/>
          <w:szCs w:val="24"/>
          <w:lang w:val="en-GB"/>
        </w:rPr>
        <w:t xml:space="preserve">that </w:t>
      </w:r>
      <w:r w:rsidR="004867AA" w:rsidRPr="004867AA">
        <w:rPr>
          <w:rFonts w:ascii="Arial" w:hAnsi="Arial" w:cs="Arial"/>
          <w:sz w:val="24"/>
          <w:szCs w:val="24"/>
          <w:lang w:val="en-GB"/>
        </w:rPr>
        <w:t xml:space="preserve">country is matched by the </w:t>
      </w:r>
      <w:r w:rsidR="009B63A8">
        <w:rPr>
          <w:rFonts w:ascii="Arial" w:hAnsi="Arial" w:cs="Arial"/>
          <w:sz w:val="24"/>
          <w:szCs w:val="24"/>
          <w:lang w:val="en-GB"/>
        </w:rPr>
        <w:t xml:space="preserve">overall </w:t>
      </w:r>
      <w:r w:rsidR="004867AA" w:rsidRPr="004867AA">
        <w:rPr>
          <w:rFonts w:ascii="Arial" w:hAnsi="Arial" w:cs="Arial"/>
          <w:sz w:val="24"/>
          <w:szCs w:val="24"/>
          <w:lang w:val="en-GB"/>
        </w:rPr>
        <w:t xml:space="preserve">available mirror information. </w:t>
      </w:r>
      <w:r w:rsidR="00BF01C6">
        <w:rPr>
          <w:rFonts w:ascii="Arial" w:hAnsi="Arial" w:cs="Arial"/>
          <w:sz w:val="24"/>
          <w:szCs w:val="24"/>
          <w:lang w:val="en-GB"/>
        </w:rPr>
        <w:t xml:space="preserve">These </w:t>
      </w:r>
      <w:r w:rsidR="004867AA" w:rsidRPr="004867AA">
        <w:rPr>
          <w:rFonts w:ascii="Arial" w:hAnsi="Arial" w:cs="Arial"/>
          <w:sz w:val="24"/>
          <w:szCs w:val="24"/>
          <w:lang w:val="en-GB"/>
        </w:rPr>
        <w:t xml:space="preserve">measures can be applied to any </w:t>
      </w:r>
      <w:r w:rsidR="003F1E13">
        <w:rPr>
          <w:rFonts w:ascii="Arial" w:hAnsi="Arial" w:cs="Arial"/>
          <w:sz w:val="24"/>
          <w:szCs w:val="24"/>
          <w:lang w:val="en-GB"/>
        </w:rPr>
        <w:t xml:space="preserve">dataset where mirror data is available and to any </w:t>
      </w:r>
      <w:r w:rsidR="004867AA" w:rsidRPr="004867AA">
        <w:rPr>
          <w:rFonts w:ascii="Arial" w:hAnsi="Arial" w:cs="Arial"/>
          <w:sz w:val="24"/>
          <w:szCs w:val="24"/>
          <w:lang w:val="en-GB"/>
        </w:rPr>
        <w:t>grouping of countries (e.g. intra euro area, intra EU, regional groupings or global selections</w:t>
      </w:r>
      <w:r w:rsidR="009B63A8">
        <w:rPr>
          <w:rFonts w:ascii="Arial" w:hAnsi="Arial" w:cs="Arial"/>
          <w:sz w:val="24"/>
          <w:szCs w:val="24"/>
          <w:lang w:val="en-GB"/>
        </w:rPr>
        <w:t>,</w:t>
      </w:r>
      <w:r w:rsidR="004867AA" w:rsidRPr="004867AA">
        <w:rPr>
          <w:rFonts w:ascii="Arial" w:hAnsi="Arial" w:cs="Arial"/>
          <w:sz w:val="24"/>
          <w:szCs w:val="24"/>
          <w:lang w:val="en-GB"/>
        </w:rPr>
        <w:t xml:space="preserve"> such as G20)</w:t>
      </w:r>
      <w:r w:rsidR="00BF01C6">
        <w:rPr>
          <w:rFonts w:ascii="Arial" w:hAnsi="Arial" w:cs="Arial"/>
          <w:sz w:val="24"/>
          <w:szCs w:val="24"/>
          <w:lang w:val="en-GB"/>
        </w:rPr>
        <w:t>. This</w:t>
      </w:r>
      <w:r w:rsidR="00B31065">
        <w:rPr>
          <w:rFonts w:ascii="Arial" w:hAnsi="Arial" w:cs="Arial"/>
          <w:sz w:val="24"/>
          <w:szCs w:val="24"/>
          <w:lang w:val="en-GB"/>
        </w:rPr>
        <w:t xml:space="preserve"> paper </w:t>
      </w:r>
      <w:r w:rsidR="00920924">
        <w:rPr>
          <w:rFonts w:ascii="Arial" w:hAnsi="Arial" w:cs="Arial"/>
          <w:sz w:val="24"/>
          <w:szCs w:val="24"/>
          <w:lang w:val="en-GB"/>
        </w:rPr>
        <w:t xml:space="preserve">describes the application of </w:t>
      </w:r>
      <w:r w:rsidR="00BF01C6">
        <w:rPr>
          <w:rFonts w:ascii="Arial" w:hAnsi="Arial" w:cs="Arial"/>
          <w:sz w:val="24"/>
          <w:szCs w:val="24"/>
          <w:lang w:val="en-GB"/>
        </w:rPr>
        <w:t xml:space="preserve">these measures </w:t>
      </w:r>
      <w:r w:rsidR="00B31065">
        <w:rPr>
          <w:rFonts w:ascii="Arial" w:hAnsi="Arial" w:cs="Arial"/>
          <w:sz w:val="24"/>
          <w:szCs w:val="24"/>
          <w:lang w:val="en-GB"/>
        </w:rPr>
        <w:t>to the euro area foreign direct investment transactions</w:t>
      </w:r>
      <w:r w:rsidR="00637CE1">
        <w:rPr>
          <w:rFonts w:ascii="Arial" w:hAnsi="Arial" w:cs="Arial"/>
          <w:sz w:val="24"/>
          <w:szCs w:val="24"/>
          <w:lang w:val="en-GB"/>
        </w:rPr>
        <w:t xml:space="preserve"> due to their </w:t>
      </w:r>
      <w:r w:rsidR="00BF01C6">
        <w:rPr>
          <w:rFonts w:ascii="Arial" w:hAnsi="Arial" w:cs="Arial"/>
          <w:sz w:val="24"/>
          <w:szCs w:val="24"/>
          <w:lang w:val="en-GB"/>
        </w:rPr>
        <w:t xml:space="preserve">relevance </w:t>
      </w:r>
      <w:r w:rsidR="00637CE1">
        <w:rPr>
          <w:rFonts w:ascii="Arial" w:hAnsi="Arial" w:cs="Arial"/>
          <w:sz w:val="24"/>
          <w:szCs w:val="24"/>
          <w:lang w:val="en-GB"/>
        </w:rPr>
        <w:t xml:space="preserve">for </w:t>
      </w:r>
      <w:r w:rsidR="00BF01C6">
        <w:rPr>
          <w:rFonts w:ascii="Arial" w:hAnsi="Arial" w:cs="Arial"/>
          <w:sz w:val="24"/>
          <w:szCs w:val="24"/>
          <w:lang w:val="en-GB"/>
        </w:rPr>
        <w:t xml:space="preserve">FDI </w:t>
      </w:r>
      <w:r w:rsidR="00B31065">
        <w:rPr>
          <w:rFonts w:ascii="Arial" w:hAnsi="Arial" w:cs="Arial"/>
          <w:sz w:val="24"/>
          <w:szCs w:val="24"/>
          <w:lang w:val="en-GB"/>
        </w:rPr>
        <w:t xml:space="preserve">asymmetries </w:t>
      </w:r>
      <w:r w:rsidR="00BF01C6">
        <w:rPr>
          <w:rFonts w:ascii="Arial" w:hAnsi="Arial" w:cs="Arial"/>
          <w:sz w:val="24"/>
          <w:szCs w:val="24"/>
          <w:lang w:val="en-GB"/>
        </w:rPr>
        <w:t xml:space="preserve">to </w:t>
      </w:r>
      <w:r w:rsidR="00B31065">
        <w:rPr>
          <w:rFonts w:ascii="Arial" w:hAnsi="Arial" w:cs="Arial"/>
          <w:sz w:val="24"/>
          <w:szCs w:val="24"/>
          <w:lang w:val="en-GB"/>
        </w:rPr>
        <w:t>the euro area balance of payments</w:t>
      </w:r>
      <w:r w:rsidR="00FF2B3A">
        <w:rPr>
          <w:rFonts w:ascii="Arial" w:hAnsi="Arial" w:cs="Arial"/>
          <w:sz w:val="24"/>
          <w:szCs w:val="24"/>
          <w:lang w:val="en-GB"/>
        </w:rPr>
        <w:t xml:space="preserve"> as well as bilateral data availability</w:t>
      </w:r>
      <w:r w:rsidR="00637CE1">
        <w:rPr>
          <w:rFonts w:ascii="Arial" w:hAnsi="Arial" w:cs="Arial"/>
          <w:sz w:val="24"/>
          <w:szCs w:val="24"/>
          <w:lang w:val="en-GB"/>
        </w:rPr>
        <w:t xml:space="preserve"> considerations</w:t>
      </w:r>
      <w:r w:rsidR="00FF2B3A">
        <w:rPr>
          <w:rFonts w:ascii="Arial" w:hAnsi="Arial" w:cs="Arial"/>
          <w:sz w:val="24"/>
          <w:szCs w:val="24"/>
          <w:lang w:val="en-GB"/>
        </w:rPr>
        <w:t>.</w:t>
      </w:r>
      <w:r w:rsidR="00B31065">
        <w:rPr>
          <w:rFonts w:ascii="Arial" w:hAnsi="Arial" w:cs="Arial"/>
          <w:sz w:val="24"/>
          <w:szCs w:val="24"/>
          <w:lang w:val="en-GB"/>
        </w:rPr>
        <w:t xml:space="preserve"> </w:t>
      </w:r>
    </w:p>
    <w:p w:rsidR="00D0258C" w:rsidRDefault="0034712B" w:rsidP="00637CE1">
      <w:pPr>
        <w:keepNext/>
        <w:spacing w:before="360" w:after="0" w:line="360" w:lineRule="auto"/>
        <w:jc w:val="both"/>
        <w:rPr>
          <w:rFonts w:ascii="Arial" w:hAnsi="Arial" w:cs="Arial"/>
          <w:b/>
          <w:sz w:val="24"/>
          <w:szCs w:val="24"/>
          <w:lang w:val="en-GB"/>
        </w:rPr>
      </w:pPr>
      <w:r>
        <w:rPr>
          <w:rFonts w:ascii="Arial" w:hAnsi="Arial" w:cs="Arial"/>
          <w:b/>
          <w:sz w:val="24"/>
          <w:szCs w:val="24"/>
          <w:lang w:val="en-GB"/>
        </w:rPr>
        <w:t xml:space="preserve">2. </w:t>
      </w:r>
      <w:r w:rsidRPr="0034712B">
        <w:rPr>
          <w:rFonts w:ascii="Arial" w:hAnsi="Arial" w:cs="Arial"/>
          <w:b/>
          <w:sz w:val="24"/>
          <w:szCs w:val="24"/>
          <w:lang w:val="en-GB"/>
        </w:rPr>
        <w:t>Proposed quality measures for geographical breakdowns</w:t>
      </w:r>
    </w:p>
    <w:p w:rsidR="00D02B1E" w:rsidRPr="00EC5F5A" w:rsidRDefault="00D02B1E" w:rsidP="00D02B1E">
      <w:pPr>
        <w:spacing w:before="360" w:after="0" w:line="360" w:lineRule="auto"/>
        <w:jc w:val="both"/>
        <w:rPr>
          <w:rFonts w:ascii="Arial" w:hAnsi="Arial" w:cs="Arial"/>
          <w:i/>
          <w:sz w:val="24"/>
          <w:szCs w:val="24"/>
          <w:lang w:val="en-GB"/>
        </w:rPr>
      </w:pPr>
      <w:r>
        <w:rPr>
          <w:rFonts w:ascii="Arial" w:hAnsi="Arial" w:cs="Arial"/>
          <w:i/>
          <w:sz w:val="24"/>
          <w:szCs w:val="24"/>
          <w:lang w:val="en-GB"/>
        </w:rPr>
        <w:t>2</w:t>
      </w:r>
      <w:r w:rsidRPr="00EC5F5A">
        <w:rPr>
          <w:rFonts w:ascii="Arial" w:hAnsi="Arial" w:cs="Arial"/>
          <w:i/>
          <w:sz w:val="24"/>
          <w:szCs w:val="24"/>
          <w:lang w:val="en-GB"/>
        </w:rPr>
        <w:t xml:space="preserve">.1. </w:t>
      </w:r>
      <w:r w:rsidR="008906DB">
        <w:rPr>
          <w:rFonts w:ascii="Arial" w:hAnsi="Arial" w:cs="Arial"/>
          <w:i/>
          <w:sz w:val="24"/>
          <w:szCs w:val="24"/>
          <w:lang w:val="en-GB"/>
        </w:rPr>
        <w:t>Synthetic indicators</w:t>
      </w:r>
    </w:p>
    <w:p w:rsidR="009F5C9C" w:rsidRDefault="004C4CD5" w:rsidP="004C4CD5">
      <w:pPr>
        <w:spacing w:before="120" w:after="0" w:line="360" w:lineRule="auto"/>
        <w:jc w:val="both"/>
        <w:rPr>
          <w:rFonts w:ascii="Arial" w:hAnsi="Arial" w:cs="Arial"/>
          <w:sz w:val="24"/>
          <w:szCs w:val="24"/>
          <w:lang w:val="en-GB"/>
        </w:rPr>
      </w:pPr>
      <w:r w:rsidRPr="004C4CD5">
        <w:rPr>
          <w:rFonts w:ascii="Arial" w:hAnsi="Arial" w:cs="Arial"/>
          <w:sz w:val="24"/>
          <w:szCs w:val="24"/>
          <w:lang w:val="en-GB"/>
        </w:rPr>
        <w:t xml:space="preserve">The </w:t>
      </w:r>
      <w:r w:rsidR="00765631">
        <w:rPr>
          <w:rFonts w:ascii="Arial" w:hAnsi="Arial" w:cs="Arial"/>
          <w:sz w:val="24"/>
          <w:szCs w:val="24"/>
          <w:lang w:val="en-GB"/>
        </w:rPr>
        <w:t xml:space="preserve">approach </w:t>
      </w:r>
      <w:r w:rsidRPr="004C4CD5">
        <w:rPr>
          <w:rFonts w:ascii="Arial" w:hAnsi="Arial" w:cs="Arial"/>
          <w:sz w:val="24"/>
          <w:szCs w:val="24"/>
          <w:lang w:val="en-GB"/>
        </w:rPr>
        <w:t xml:space="preserve">behind the proposed measures is </w:t>
      </w:r>
      <w:r w:rsidR="00765631">
        <w:rPr>
          <w:rFonts w:ascii="Arial" w:hAnsi="Arial" w:cs="Arial"/>
          <w:sz w:val="24"/>
          <w:szCs w:val="24"/>
          <w:lang w:val="en-GB"/>
        </w:rPr>
        <w:t>to overcome the</w:t>
      </w:r>
      <w:r w:rsidRPr="004C4CD5">
        <w:rPr>
          <w:rFonts w:ascii="Arial" w:hAnsi="Arial" w:cs="Arial"/>
          <w:sz w:val="24"/>
          <w:szCs w:val="24"/>
          <w:lang w:val="en-GB"/>
        </w:rPr>
        <w:t xml:space="preserve"> difficult</w:t>
      </w:r>
      <w:r w:rsidR="00765631">
        <w:rPr>
          <w:rFonts w:ascii="Arial" w:hAnsi="Arial" w:cs="Arial"/>
          <w:sz w:val="24"/>
          <w:szCs w:val="24"/>
          <w:lang w:val="en-GB"/>
        </w:rPr>
        <w:t>y</w:t>
      </w:r>
      <w:r w:rsidRPr="004C4CD5">
        <w:rPr>
          <w:rFonts w:ascii="Arial" w:hAnsi="Arial" w:cs="Arial"/>
          <w:sz w:val="24"/>
          <w:szCs w:val="24"/>
          <w:lang w:val="en-GB"/>
        </w:rPr>
        <w:t xml:space="preserve"> </w:t>
      </w:r>
      <w:r w:rsidR="007E5DDB">
        <w:rPr>
          <w:rFonts w:ascii="Arial" w:hAnsi="Arial" w:cs="Arial"/>
          <w:sz w:val="24"/>
          <w:szCs w:val="24"/>
          <w:lang w:val="en-GB"/>
        </w:rPr>
        <w:t xml:space="preserve">in </w:t>
      </w:r>
      <w:r w:rsidRPr="004C4CD5">
        <w:rPr>
          <w:rFonts w:ascii="Arial" w:hAnsi="Arial" w:cs="Arial"/>
          <w:sz w:val="24"/>
          <w:szCs w:val="24"/>
          <w:lang w:val="en-GB"/>
        </w:rPr>
        <w:t>assess</w:t>
      </w:r>
      <w:r w:rsidR="007E5DDB">
        <w:rPr>
          <w:rFonts w:ascii="Arial" w:hAnsi="Arial" w:cs="Arial"/>
          <w:sz w:val="24"/>
          <w:szCs w:val="24"/>
          <w:lang w:val="en-GB"/>
        </w:rPr>
        <w:t>ing</w:t>
      </w:r>
      <w:r w:rsidR="00657E17">
        <w:rPr>
          <w:rFonts w:ascii="Arial" w:hAnsi="Arial" w:cs="Arial"/>
          <w:sz w:val="24"/>
          <w:szCs w:val="24"/>
          <w:lang w:val="en-GB"/>
        </w:rPr>
        <w:t xml:space="preserve"> where the problem lies for any </w:t>
      </w:r>
      <w:r w:rsidRPr="004C4CD5">
        <w:rPr>
          <w:rFonts w:ascii="Arial" w:hAnsi="Arial" w:cs="Arial"/>
          <w:sz w:val="24"/>
          <w:szCs w:val="24"/>
          <w:lang w:val="en-GB"/>
        </w:rPr>
        <w:t>gi</w:t>
      </w:r>
      <w:r w:rsidR="00657E17">
        <w:rPr>
          <w:rFonts w:ascii="Arial" w:hAnsi="Arial" w:cs="Arial"/>
          <w:sz w:val="24"/>
          <w:szCs w:val="24"/>
          <w:lang w:val="en-GB"/>
        </w:rPr>
        <w:t>ven single bilateral asymmetry</w:t>
      </w:r>
      <w:r w:rsidR="00765631">
        <w:rPr>
          <w:rFonts w:ascii="Arial" w:hAnsi="Arial" w:cs="Arial"/>
          <w:sz w:val="24"/>
          <w:szCs w:val="24"/>
          <w:lang w:val="en-GB"/>
        </w:rPr>
        <w:t xml:space="preserve">. It </w:t>
      </w:r>
      <w:r w:rsidR="00765631">
        <w:rPr>
          <w:rFonts w:ascii="Arial" w:hAnsi="Arial" w:cs="Arial"/>
          <w:sz w:val="24"/>
          <w:szCs w:val="24"/>
          <w:lang w:val="en-GB"/>
        </w:rPr>
        <w:lastRenderedPageBreak/>
        <w:t>considers that</w:t>
      </w:r>
      <w:r w:rsidRPr="004C4CD5">
        <w:rPr>
          <w:rFonts w:ascii="Arial" w:hAnsi="Arial" w:cs="Arial"/>
          <w:sz w:val="24"/>
          <w:szCs w:val="24"/>
          <w:lang w:val="en-GB"/>
        </w:rPr>
        <w:t xml:space="preserve"> a comparison with the </w:t>
      </w:r>
      <w:r w:rsidR="00765631">
        <w:rPr>
          <w:rFonts w:ascii="Arial" w:hAnsi="Arial" w:cs="Arial"/>
          <w:sz w:val="24"/>
          <w:szCs w:val="24"/>
          <w:lang w:val="en-GB"/>
        </w:rPr>
        <w:t xml:space="preserve">full </w:t>
      </w:r>
      <w:r w:rsidR="003F1E13">
        <w:rPr>
          <w:rFonts w:ascii="Arial" w:hAnsi="Arial" w:cs="Arial"/>
          <w:sz w:val="24"/>
          <w:szCs w:val="24"/>
          <w:lang w:val="en-GB"/>
        </w:rPr>
        <w:t xml:space="preserve">set of </w:t>
      </w:r>
      <w:r w:rsidRPr="004C4CD5">
        <w:rPr>
          <w:rFonts w:ascii="Arial" w:hAnsi="Arial" w:cs="Arial"/>
          <w:sz w:val="24"/>
          <w:szCs w:val="24"/>
          <w:lang w:val="en-GB"/>
        </w:rPr>
        <w:t xml:space="preserve">mirror data from </w:t>
      </w:r>
      <w:r w:rsidR="003F1E13">
        <w:rPr>
          <w:rFonts w:ascii="Arial" w:hAnsi="Arial" w:cs="Arial"/>
          <w:sz w:val="24"/>
          <w:szCs w:val="24"/>
          <w:lang w:val="en-GB"/>
        </w:rPr>
        <w:t>the</w:t>
      </w:r>
      <w:r w:rsidRPr="004C4CD5">
        <w:rPr>
          <w:rFonts w:ascii="Arial" w:hAnsi="Arial" w:cs="Arial"/>
          <w:sz w:val="24"/>
          <w:szCs w:val="24"/>
          <w:lang w:val="en-GB"/>
        </w:rPr>
        <w:t xml:space="preserve"> </w:t>
      </w:r>
      <w:r w:rsidR="00E9772B">
        <w:rPr>
          <w:rFonts w:ascii="Arial" w:hAnsi="Arial" w:cs="Arial"/>
          <w:sz w:val="24"/>
          <w:szCs w:val="24"/>
          <w:lang w:val="en-GB"/>
        </w:rPr>
        <w:t>partner</w:t>
      </w:r>
      <w:r w:rsidRPr="004C4CD5">
        <w:rPr>
          <w:rFonts w:ascii="Arial" w:hAnsi="Arial" w:cs="Arial"/>
          <w:sz w:val="24"/>
          <w:szCs w:val="24"/>
          <w:lang w:val="en-GB"/>
        </w:rPr>
        <w:t xml:space="preserve"> countries would provide an indication whether either the reporting country or the countries providing the mirror data should investigate the </w:t>
      </w:r>
      <w:r w:rsidR="00657E17">
        <w:rPr>
          <w:rFonts w:ascii="Arial" w:hAnsi="Arial" w:cs="Arial"/>
          <w:sz w:val="24"/>
          <w:szCs w:val="24"/>
          <w:lang w:val="en-GB"/>
        </w:rPr>
        <w:t xml:space="preserve">quality of their </w:t>
      </w:r>
      <w:r w:rsidR="008906DB">
        <w:rPr>
          <w:rFonts w:ascii="Arial" w:hAnsi="Arial" w:cs="Arial"/>
          <w:sz w:val="24"/>
          <w:szCs w:val="24"/>
          <w:lang w:val="en-GB"/>
        </w:rPr>
        <w:t>(</w:t>
      </w:r>
      <w:r w:rsidR="00657E17">
        <w:rPr>
          <w:rFonts w:ascii="Arial" w:hAnsi="Arial" w:cs="Arial"/>
          <w:sz w:val="24"/>
          <w:szCs w:val="24"/>
          <w:lang w:val="en-GB"/>
        </w:rPr>
        <w:t>bilateral</w:t>
      </w:r>
      <w:r w:rsidR="008906DB">
        <w:rPr>
          <w:rFonts w:ascii="Arial" w:hAnsi="Arial" w:cs="Arial"/>
          <w:sz w:val="24"/>
          <w:szCs w:val="24"/>
          <w:lang w:val="en-GB"/>
        </w:rPr>
        <w:t>)</w:t>
      </w:r>
      <w:r w:rsidR="00657E17">
        <w:rPr>
          <w:rFonts w:ascii="Arial" w:hAnsi="Arial" w:cs="Arial"/>
          <w:sz w:val="24"/>
          <w:szCs w:val="24"/>
          <w:lang w:val="en-GB"/>
        </w:rPr>
        <w:t xml:space="preserve"> data</w:t>
      </w:r>
      <w:r w:rsidRPr="004C4CD5">
        <w:rPr>
          <w:rFonts w:ascii="Arial" w:hAnsi="Arial" w:cs="Arial"/>
          <w:sz w:val="24"/>
          <w:szCs w:val="24"/>
          <w:lang w:val="en-GB"/>
        </w:rPr>
        <w:t>.</w:t>
      </w:r>
      <w:r w:rsidR="00F15DCE">
        <w:rPr>
          <w:rFonts w:ascii="Arial" w:hAnsi="Arial" w:cs="Arial"/>
          <w:sz w:val="24"/>
          <w:szCs w:val="24"/>
          <w:lang w:val="en-GB"/>
        </w:rPr>
        <w:t xml:space="preserve"> </w:t>
      </w:r>
      <w:r w:rsidR="00F15DCE" w:rsidRPr="00765631">
        <w:rPr>
          <w:rFonts w:ascii="Arial" w:hAnsi="Arial" w:cs="Arial"/>
          <w:sz w:val="24"/>
          <w:szCs w:val="24"/>
          <w:lang w:val="en-GB"/>
        </w:rPr>
        <w:t>The</w:t>
      </w:r>
      <w:r w:rsidR="00F15DCE">
        <w:rPr>
          <w:rFonts w:ascii="Arial" w:hAnsi="Arial" w:cs="Arial"/>
          <w:sz w:val="24"/>
          <w:szCs w:val="24"/>
          <w:lang w:val="en-GB"/>
        </w:rPr>
        <w:t xml:space="preserve"> </w:t>
      </w:r>
      <w:r w:rsidR="003F1E13">
        <w:rPr>
          <w:rFonts w:ascii="Arial" w:hAnsi="Arial" w:cs="Arial"/>
          <w:sz w:val="24"/>
          <w:szCs w:val="24"/>
          <w:lang w:val="en-GB"/>
        </w:rPr>
        <w:t xml:space="preserve">rich information set </w:t>
      </w:r>
      <w:r w:rsidR="00765631">
        <w:rPr>
          <w:rFonts w:ascii="Arial" w:hAnsi="Arial" w:cs="Arial"/>
          <w:sz w:val="24"/>
          <w:szCs w:val="24"/>
          <w:lang w:val="en-GB"/>
        </w:rPr>
        <w:t xml:space="preserve">thus </w:t>
      </w:r>
      <w:r w:rsidR="003F1E13">
        <w:rPr>
          <w:rFonts w:ascii="Arial" w:hAnsi="Arial" w:cs="Arial"/>
          <w:sz w:val="24"/>
          <w:szCs w:val="24"/>
          <w:lang w:val="en-GB"/>
        </w:rPr>
        <w:t xml:space="preserve">obtained </w:t>
      </w:r>
      <w:r w:rsidR="00F15DCE">
        <w:rPr>
          <w:rFonts w:ascii="Arial" w:hAnsi="Arial" w:cs="Arial"/>
          <w:sz w:val="24"/>
          <w:szCs w:val="24"/>
          <w:lang w:val="en-GB"/>
        </w:rPr>
        <w:t>result</w:t>
      </w:r>
      <w:r w:rsidR="00765631">
        <w:rPr>
          <w:rFonts w:ascii="Arial" w:hAnsi="Arial" w:cs="Arial"/>
          <w:sz w:val="24"/>
          <w:szCs w:val="24"/>
          <w:lang w:val="en-GB"/>
        </w:rPr>
        <w:t>s</w:t>
      </w:r>
      <w:r w:rsidR="00F15DCE">
        <w:rPr>
          <w:rFonts w:ascii="Arial" w:hAnsi="Arial" w:cs="Arial"/>
          <w:sz w:val="24"/>
          <w:szCs w:val="24"/>
          <w:lang w:val="en-GB"/>
        </w:rPr>
        <w:t xml:space="preserve"> in indicator</w:t>
      </w:r>
      <w:r w:rsidR="00765631">
        <w:rPr>
          <w:rFonts w:ascii="Arial" w:hAnsi="Arial" w:cs="Arial"/>
          <w:sz w:val="24"/>
          <w:szCs w:val="24"/>
          <w:lang w:val="en-GB"/>
        </w:rPr>
        <w:t>s</w:t>
      </w:r>
      <w:r w:rsidR="00F15DCE">
        <w:rPr>
          <w:rFonts w:ascii="Arial" w:hAnsi="Arial" w:cs="Arial"/>
          <w:sz w:val="24"/>
          <w:szCs w:val="24"/>
          <w:lang w:val="en-GB"/>
        </w:rPr>
        <w:t xml:space="preserve"> </w:t>
      </w:r>
      <w:r w:rsidR="00765631">
        <w:rPr>
          <w:rFonts w:ascii="Arial" w:hAnsi="Arial" w:cs="Arial"/>
          <w:sz w:val="24"/>
          <w:szCs w:val="24"/>
          <w:lang w:val="en-GB"/>
        </w:rPr>
        <w:t xml:space="preserve">summarising the </w:t>
      </w:r>
      <w:r w:rsidR="00F15DCE">
        <w:rPr>
          <w:rFonts w:ascii="Arial" w:hAnsi="Arial" w:cs="Arial"/>
          <w:sz w:val="24"/>
          <w:szCs w:val="24"/>
          <w:lang w:val="en-GB"/>
        </w:rPr>
        <w:t>quality of the geographical breakdown</w:t>
      </w:r>
      <w:r w:rsidR="003F1E13">
        <w:rPr>
          <w:rFonts w:ascii="Arial" w:hAnsi="Arial" w:cs="Arial"/>
          <w:sz w:val="24"/>
          <w:szCs w:val="24"/>
          <w:lang w:val="en-GB"/>
        </w:rPr>
        <w:t xml:space="preserve"> of a particular country</w:t>
      </w:r>
      <w:r w:rsidR="00F15DCE">
        <w:rPr>
          <w:rFonts w:ascii="Arial" w:hAnsi="Arial" w:cs="Arial"/>
          <w:sz w:val="24"/>
          <w:szCs w:val="24"/>
          <w:lang w:val="en-GB"/>
        </w:rPr>
        <w:t>.</w:t>
      </w:r>
      <w:r w:rsidR="003F1E13">
        <w:rPr>
          <w:rFonts w:ascii="Arial" w:hAnsi="Arial" w:cs="Arial"/>
          <w:sz w:val="24"/>
          <w:szCs w:val="24"/>
          <w:lang w:val="en-GB"/>
        </w:rPr>
        <w:t xml:space="preserve"> </w:t>
      </w:r>
      <w:r w:rsidR="002D66CA">
        <w:rPr>
          <w:rFonts w:ascii="Arial" w:hAnsi="Arial" w:cs="Arial"/>
          <w:sz w:val="24"/>
          <w:szCs w:val="24"/>
          <w:lang w:val="en-GB"/>
        </w:rPr>
        <w:t>The indicator</w:t>
      </w:r>
      <w:r w:rsidR="007E5DDB">
        <w:rPr>
          <w:rFonts w:ascii="Arial" w:hAnsi="Arial" w:cs="Arial"/>
          <w:sz w:val="24"/>
          <w:szCs w:val="24"/>
          <w:lang w:val="en-GB"/>
        </w:rPr>
        <w:t>s</w:t>
      </w:r>
      <w:r w:rsidR="002D66CA">
        <w:rPr>
          <w:rFonts w:ascii="Arial" w:hAnsi="Arial" w:cs="Arial"/>
          <w:sz w:val="24"/>
          <w:szCs w:val="24"/>
          <w:lang w:val="en-GB"/>
        </w:rPr>
        <w:t xml:space="preserve"> provid</w:t>
      </w:r>
      <w:r w:rsidR="00FF2B3A">
        <w:rPr>
          <w:rFonts w:ascii="Arial" w:hAnsi="Arial" w:cs="Arial"/>
          <w:sz w:val="24"/>
          <w:szCs w:val="24"/>
          <w:lang w:val="en-GB"/>
        </w:rPr>
        <w:t>e</w:t>
      </w:r>
      <w:r w:rsidR="002D66CA">
        <w:rPr>
          <w:rFonts w:ascii="Arial" w:hAnsi="Arial" w:cs="Arial"/>
          <w:sz w:val="24"/>
          <w:szCs w:val="24"/>
          <w:lang w:val="en-GB"/>
        </w:rPr>
        <w:t xml:space="preserve"> synthetic value</w:t>
      </w:r>
      <w:r w:rsidR="007E5DDB">
        <w:rPr>
          <w:rFonts w:ascii="Arial" w:hAnsi="Arial" w:cs="Arial"/>
          <w:sz w:val="24"/>
          <w:szCs w:val="24"/>
          <w:lang w:val="en-GB"/>
        </w:rPr>
        <w:t>s</w:t>
      </w:r>
      <w:r w:rsidR="002D66CA">
        <w:rPr>
          <w:rFonts w:ascii="Arial" w:hAnsi="Arial" w:cs="Arial"/>
          <w:sz w:val="24"/>
          <w:szCs w:val="24"/>
          <w:lang w:val="en-GB"/>
        </w:rPr>
        <w:t xml:space="preserve"> for each country involved in the exercise and for each of the periods taken into consideration. </w:t>
      </w:r>
      <w:r w:rsidRPr="004C4CD5">
        <w:rPr>
          <w:rFonts w:ascii="Arial" w:hAnsi="Arial" w:cs="Arial"/>
          <w:sz w:val="24"/>
          <w:szCs w:val="24"/>
          <w:lang w:val="en-GB"/>
        </w:rPr>
        <w:t xml:space="preserve">The </w:t>
      </w:r>
      <w:r w:rsidR="003F1E13">
        <w:rPr>
          <w:rFonts w:ascii="Arial" w:hAnsi="Arial" w:cs="Arial"/>
          <w:sz w:val="24"/>
          <w:szCs w:val="24"/>
          <w:lang w:val="en-GB"/>
        </w:rPr>
        <w:t xml:space="preserve">resulting </w:t>
      </w:r>
      <w:r w:rsidRPr="004C4CD5">
        <w:rPr>
          <w:rFonts w:ascii="Arial" w:hAnsi="Arial" w:cs="Arial"/>
          <w:sz w:val="24"/>
          <w:szCs w:val="24"/>
          <w:lang w:val="en-GB"/>
        </w:rPr>
        <w:t>indicator</w:t>
      </w:r>
      <w:r w:rsidR="00CF022E">
        <w:rPr>
          <w:rFonts w:ascii="Arial" w:hAnsi="Arial" w:cs="Arial"/>
          <w:sz w:val="24"/>
          <w:szCs w:val="24"/>
          <w:lang w:val="en-GB"/>
        </w:rPr>
        <w:t>s</w:t>
      </w:r>
      <w:r w:rsidRPr="004C4CD5">
        <w:rPr>
          <w:rFonts w:ascii="Arial" w:hAnsi="Arial" w:cs="Arial"/>
          <w:sz w:val="24"/>
          <w:szCs w:val="24"/>
          <w:lang w:val="en-GB"/>
        </w:rPr>
        <w:t xml:space="preserve"> </w:t>
      </w:r>
      <w:r w:rsidR="007E5DDB">
        <w:rPr>
          <w:rFonts w:ascii="Arial" w:hAnsi="Arial" w:cs="Arial"/>
          <w:sz w:val="24"/>
          <w:szCs w:val="24"/>
          <w:lang w:val="en-GB"/>
        </w:rPr>
        <w:t xml:space="preserve">are </w:t>
      </w:r>
      <w:r w:rsidR="003F1E13">
        <w:rPr>
          <w:rFonts w:ascii="Arial" w:hAnsi="Arial" w:cs="Arial"/>
          <w:sz w:val="24"/>
          <w:szCs w:val="24"/>
          <w:lang w:val="en-GB"/>
        </w:rPr>
        <w:t>clearly</w:t>
      </w:r>
      <w:r w:rsidRPr="004C4CD5">
        <w:rPr>
          <w:rFonts w:ascii="Arial" w:hAnsi="Arial" w:cs="Arial"/>
          <w:sz w:val="24"/>
          <w:szCs w:val="24"/>
          <w:lang w:val="en-GB"/>
        </w:rPr>
        <w:t xml:space="preserve"> interpretable, </w:t>
      </w:r>
      <w:r w:rsidR="007E5DDB">
        <w:rPr>
          <w:rFonts w:ascii="Arial" w:hAnsi="Arial" w:cs="Arial"/>
          <w:sz w:val="24"/>
          <w:szCs w:val="24"/>
          <w:lang w:val="en-GB"/>
        </w:rPr>
        <w:t>and have</w:t>
      </w:r>
      <w:r w:rsidRPr="004C4CD5">
        <w:rPr>
          <w:rFonts w:ascii="Arial" w:hAnsi="Arial" w:cs="Arial"/>
          <w:sz w:val="24"/>
          <w:szCs w:val="24"/>
          <w:lang w:val="en-GB"/>
        </w:rPr>
        <w:t xml:space="preserve"> </w:t>
      </w:r>
      <w:r w:rsidR="007E5DDB">
        <w:rPr>
          <w:rFonts w:ascii="Arial" w:hAnsi="Arial" w:cs="Arial"/>
          <w:sz w:val="24"/>
          <w:szCs w:val="24"/>
          <w:lang w:val="en-GB"/>
        </w:rPr>
        <w:t xml:space="preserve">a </w:t>
      </w:r>
      <w:r w:rsidRPr="004C4CD5">
        <w:rPr>
          <w:rFonts w:ascii="Arial" w:hAnsi="Arial" w:cs="Arial"/>
          <w:sz w:val="24"/>
          <w:szCs w:val="24"/>
          <w:lang w:val="en-GB"/>
        </w:rPr>
        <w:t>defined minim</w:t>
      </w:r>
      <w:r w:rsidR="007E5DDB">
        <w:rPr>
          <w:rFonts w:ascii="Arial" w:hAnsi="Arial" w:cs="Arial"/>
          <w:sz w:val="24"/>
          <w:szCs w:val="24"/>
          <w:lang w:val="en-GB"/>
        </w:rPr>
        <w:t>um</w:t>
      </w:r>
      <w:r w:rsidR="003F1E13">
        <w:rPr>
          <w:rFonts w:ascii="Arial" w:hAnsi="Arial" w:cs="Arial"/>
          <w:sz w:val="24"/>
          <w:szCs w:val="24"/>
          <w:lang w:val="en-GB"/>
        </w:rPr>
        <w:t xml:space="preserve"> </w:t>
      </w:r>
      <w:r w:rsidRPr="004C4CD5">
        <w:rPr>
          <w:rFonts w:ascii="Arial" w:hAnsi="Arial" w:cs="Arial"/>
          <w:sz w:val="24"/>
          <w:szCs w:val="24"/>
          <w:lang w:val="en-GB"/>
        </w:rPr>
        <w:t xml:space="preserve">and </w:t>
      </w:r>
      <w:r w:rsidR="009F5C9C" w:rsidRPr="004C4CD5">
        <w:rPr>
          <w:rFonts w:ascii="Arial" w:hAnsi="Arial" w:cs="Arial"/>
          <w:sz w:val="24"/>
          <w:szCs w:val="24"/>
          <w:lang w:val="en-GB"/>
        </w:rPr>
        <w:t>maxim</w:t>
      </w:r>
      <w:r w:rsidR="007E5DDB">
        <w:rPr>
          <w:rFonts w:ascii="Arial" w:hAnsi="Arial" w:cs="Arial"/>
          <w:sz w:val="24"/>
          <w:szCs w:val="24"/>
          <w:lang w:val="en-GB"/>
        </w:rPr>
        <w:t>um</w:t>
      </w:r>
      <w:r w:rsidR="009F5C9C" w:rsidRPr="004C4CD5">
        <w:rPr>
          <w:rFonts w:ascii="Arial" w:hAnsi="Arial" w:cs="Arial"/>
          <w:sz w:val="24"/>
          <w:szCs w:val="24"/>
          <w:lang w:val="en-GB"/>
        </w:rPr>
        <w:t>.</w:t>
      </w:r>
      <w:r w:rsidR="009F5C9C">
        <w:rPr>
          <w:rFonts w:ascii="Arial" w:hAnsi="Arial" w:cs="Arial"/>
          <w:sz w:val="24"/>
          <w:szCs w:val="24"/>
          <w:lang w:val="en-GB"/>
        </w:rPr>
        <w:t xml:space="preserve"> </w:t>
      </w:r>
    </w:p>
    <w:p w:rsidR="004C4CD5" w:rsidRPr="004C4CD5" w:rsidRDefault="00765631" w:rsidP="004C4CD5">
      <w:pPr>
        <w:spacing w:before="120" w:after="0" w:line="360" w:lineRule="auto"/>
        <w:jc w:val="both"/>
        <w:rPr>
          <w:rFonts w:ascii="Arial" w:hAnsi="Arial" w:cs="Arial"/>
          <w:sz w:val="24"/>
          <w:szCs w:val="24"/>
          <w:lang w:val="en-GB"/>
        </w:rPr>
      </w:pPr>
      <w:r>
        <w:rPr>
          <w:rFonts w:ascii="Arial" w:hAnsi="Arial" w:cs="Arial"/>
          <w:sz w:val="24"/>
          <w:szCs w:val="24"/>
          <w:lang w:val="en-GB"/>
        </w:rPr>
        <w:t>We propose t</w:t>
      </w:r>
      <w:r w:rsidR="009F5C9C" w:rsidRPr="004C4CD5">
        <w:rPr>
          <w:rFonts w:ascii="Arial" w:hAnsi="Arial" w:cs="Arial"/>
          <w:sz w:val="24"/>
          <w:szCs w:val="24"/>
          <w:lang w:val="en-GB"/>
        </w:rPr>
        <w:t>hree</w:t>
      </w:r>
      <w:r w:rsidR="004C4CD5" w:rsidRPr="004C4CD5">
        <w:rPr>
          <w:rFonts w:ascii="Arial" w:hAnsi="Arial" w:cs="Arial"/>
          <w:sz w:val="24"/>
          <w:szCs w:val="24"/>
          <w:lang w:val="en-GB"/>
        </w:rPr>
        <w:t xml:space="preserve"> </w:t>
      </w:r>
      <w:r w:rsidR="009F5C9C">
        <w:rPr>
          <w:rFonts w:ascii="Arial" w:hAnsi="Arial" w:cs="Arial"/>
          <w:sz w:val="24"/>
          <w:szCs w:val="24"/>
          <w:lang w:val="en-GB"/>
        </w:rPr>
        <w:t xml:space="preserve">synthetic </w:t>
      </w:r>
      <w:r w:rsidR="004C4CD5" w:rsidRPr="004C4CD5">
        <w:rPr>
          <w:rFonts w:ascii="Arial" w:hAnsi="Arial" w:cs="Arial"/>
          <w:sz w:val="24"/>
          <w:szCs w:val="24"/>
          <w:lang w:val="en-GB"/>
        </w:rPr>
        <w:t>measures</w:t>
      </w:r>
      <w:r w:rsidR="008906DB">
        <w:rPr>
          <w:rFonts w:ascii="Arial" w:hAnsi="Arial" w:cs="Arial"/>
          <w:sz w:val="24"/>
          <w:szCs w:val="24"/>
          <w:lang w:val="en-GB"/>
        </w:rPr>
        <w:t xml:space="preserve"> </w:t>
      </w:r>
      <w:r w:rsidR="009F5C9C">
        <w:rPr>
          <w:rFonts w:ascii="Arial" w:hAnsi="Arial" w:cs="Arial"/>
          <w:sz w:val="24"/>
          <w:szCs w:val="24"/>
          <w:lang w:val="en-GB"/>
        </w:rPr>
        <w:t xml:space="preserve">based on this </w:t>
      </w:r>
      <w:r>
        <w:rPr>
          <w:rFonts w:ascii="Arial" w:hAnsi="Arial" w:cs="Arial"/>
          <w:sz w:val="24"/>
          <w:szCs w:val="24"/>
          <w:lang w:val="en-GB"/>
        </w:rPr>
        <w:t>approach</w:t>
      </w:r>
      <w:r w:rsidR="009F5C9C">
        <w:rPr>
          <w:rFonts w:ascii="Arial" w:hAnsi="Arial" w:cs="Arial"/>
          <w:sz w:val="24"/>
          <w:szCs w:val="24"/>
          <w:lang w:val="en-GB"/>
        </w:rPr>
        <w:t>,</w:t>
      </w:r>
      <w:r w:rsidR="004C4CD5" w:rsidRPr="004C4CD5">
        <w:rPr>
          <w:rFonts w:ascii="Arial" w:hAnsi="Arial" w:cs="Arial"/>
          <w:sz w:val="24"/>
          <w:szCs w:val="24"/>
          <w:lang w:val="en-GB"/>
        </w:rPr>
        <w:t xml:space="preserve"> each captur</w:t>
      </w:r>
      <w:r>
        <w:rPr>
          <w:rFonts w:ascii="Arial" w:hAnsi="Arial" w:cs="Arial"/>
          <w:sz w:val="24"/>
          <w:szCs w:val="24"/>
          <w:lang w:val="en-GB"/>
        </w:rPr>
        <w:t>es</w:t>
      </w:r>
      <w:r w:rsidR="004C4CD5" w:rsidRPr="004C4CD5">
        <w:rPr>
          <w:rFonts w:ascii="Arial" w:hAnsi="Arial" w:cs="Arial"/>
          <w:sz w:val="24"/>
          <w:szCs w:val="24"/>
          <w:lang w:val="en-GB"/>
        </w:rPr>
        <w:t xml:space="preserve"> </w:t>
      </w:r>
      <w:r w:rsidR="00CD7220">
        <w:rPr>
          <w:rFonts w:ascii="Arial" w:hAnsi="Arial" w:cs="Arial"/>
          <w:sz w:val="24"/>
          <w:szCs w:val="24"/>
          <w:lang w:val="en-GB"/>
        </w:rPr>
        <w:t xml:space="preserve">a </w:t>
      </w:r>
      <w:r w:rsidR="004C4CD5" w:rsidRPr="004C4CD5">
        <w:rPr>
          <w:rFonts w:ascii="Arial" w:hAnsi="Arial" w:cs="Arial"/>
          <w:sz w:val="24"/>
          <w:szCs w:val="24"/>
          <w:lang w:val="en-GB"/>
        </w:rPr>
        <w:t xml:space="preserve">different </w:t>
      </w:r>
      <w:r>
        <w:rPr>
          <w:rFonts w:ascii="Arial" w:hAnsi="Arial" w:cs="Arial"/>
          <w:sz w:val="24"/>
          <w:szCs w:val="24"/>
          <w:lang w:val="en-GB"/>
        </w:rPr>
        <w:t xml:space="preserve">aspect </w:t>
      </w:r>
      <w:r w:rsidR="008524A6">
        <w:rPr>
          <w:rFonts w:ascii="Arial" w:hAnsi="Arial" w:cs="Arial"/>
          <w:sz w:val="24"/>
          <w:szCs w:val="24"/>
          <w:lang w:val="en-GB"/>
        </w:rPr>
        <w:t xml:space="preserve">of </w:t>
      </w:r>
      <w:r w:rsidR="00CD7220">
        <w:rPr>
          <w:rFonts w:ascii="Arial" w:hAnsi="Arial" w:cs="Arial"/>
          <w:sz w:val="24"/>
          <w:szCs w:val="24"/>
          <w:lang w:val="en-GB"/>
        </w:rPr>
        <w:t>the</w:t>
      </w:r>
      <w:r w:rsidR="004C4CD5" w:rsidRPr="004C4CD5">
        <w:rPr>
          <w:rFonts w:ascii="Arial" w:hAnsi="Arial" w:cs="Arial"/>
          <w:sz w:val="24"/>
          <w:szCs w:val="24"/>
          <w:lang w:val="en-GB"/>
        </w:rPr>
        <w:t xml:space="preserve"> quality</w:t>
      </w:r>
      <w:r w:rsidR="00CD7220">
        <w:rPr>
          <w:rFonts w:ascii="Arial" w:hAnsi="Arial" w:cs="Arial"/>
          <w:sz w:val="24"/>
          <w:szCs w:val="24"/>
          <w:lang w:val="en-GB"/>
        </w:rPr>
        <w:t xml:space="preserve"> of the geographical breakdown</w:t>
      </w:r>
      <w:r w:rsidR="008524A6">
        <w:rPr>
          <w:rFonts w:ascii="Arial" w:hAnsi="Arial" w:cs="Arial"/>
          <w:sz w:val="24"/>
          <w:szCs w:val="24"/>
          <w:lang w:val="en-GB"/>
        </w:rPr>
        <w:t xml:space="preserve"> provided by countries</w:t>
      </w:r>
      <w:r w:rsidR="00CD7220">
        <w:rPr>
          <w:rFonts w:ascii="Arial" w:hAnsi="Arial" w:cs="Arial"/>
          <w:sz w:val="24"/>
          <w:szCs w:val="24"/>
          <w:lang w:val="en-GB"/>
        </w:rPr>
        <w:t>:</w:t>
      </w:r>
    </w:p>
    <w:p w:rsidR="004C4CD5" w:rsidRDefault="00FF2B3A" w:rsidP="004C4CD5">
      <w:pPr>
        <w:pStyle w:val="ListParagraph"/>
        <w:numPr>
          <w:ilvl w:val="0"/>
          <w:numId w:val="1"/>
        </w:numPr>
        <w:spacing w:before="120" w:after="0" w:line="360" w:lineRule="auto"/>
        <w:jc w:val="both"/>
        <w:rPr>
          <w:rFonts w:ascii="Arial" w:hAnsi="Arial" w:cs="Arial"/>
          <w:sz w:val="24"/>
          <w:szCs w:val="24"/>
          <w:lang w:val="en-GB"/>
        </w:rPr>
      </w:pPr>
      <w:r w:rsidRPr="008524A6">
        <w:rPr>
          <w:rFonts w:ascii="Arial" w:hAnsi="Arial" w:cs="Arial"/>
          <w:b/>
          <w:sz w:val="24"/>
          <w:szCs w:val="24"/>
          <w:lang w:val="en-GB"/>
        </w:rPr>
        <w:t>Internal Country Geographical Quality Indicator (ICGQ)</w:t>
      </w:r>
      <w:r>
        <w:rPr>
          <w:rFonts w:ascii="Arial" w:hAnsi="Arial" w:cs="Arial"/>
          <w:b/>
          <w:sz w:val="24"/>
          <w:szCs w:val="24"/>
          <w:lang w:val="en-GB"/>
        </w:rPr>
        <w:t xml:space="preserve">: </w:t>
      </w:r>
      <w:r>
        <w:rPr>
          <w:rFonts w:ascii="Arial" w:hAnsi="Arial" w:cs="Arial"/>
          <w:sz w:val="24"/>
          <w:szCs w:val="24"/>
          <w:lang w:val="en-GB"/>
        </w:rPr>
        <w:t>a</w:t>
      </w:r>
      <w:r w:rsidR="004C4CD5" w:rsidRPr="004C4CD5">
        <w:rPr>
          <w:rFonts w:ascii="Arial" w:hAnsi="Arial" w:cs="Arial"/>
          <w:sz w:val="24"/>
          <w:szCs w:val="24"/>
          <w:lang w:val="en-GB"/>
        </w:rPr>
        <w:t xml:space="preserve"> measure that provides information on the </w:t>
      </w:r>
      <w:r w:rsidR="00AB190C">
        <w:rPr>
          <w:rFonts w:ascii="Arial" w:hAnsi="Arial" w:cs="Arial"/>
          <w:sz w:val="24"/>
          <w:szCs w:val="24"/>
          <w:lang w:val="en-GB"/>
        </w:rPr>
        <w:t xml:space="preserve">accuracy of </w:t>
      </w:r>
      <w:r w:rsidR="00217E21">
        <w:rPr>
          <w:rFonts w:ascii="Arial" w:hAnsi="Arial" w:cs="Arial"/>
          <w:sz w:val="24"/>
          <w:szCs w:val="24"/>
          <w:lang w:val="en-GB"/>
        </w:rPr>
        <w:t xml:space="preserve">the </w:t>
      </w:r>
      <w:r w:rsidR="008524A6">
        <w:rPr>
          <w:rFonts w:ascii="Arial" w:hAnsi="Arial" w:cs="Arial"/>
          <w:sz w:val="24"/>
          <w:szCs w:val="24"/>
          <w:lang w:val="en-GB"/>
        </w:rPr>
        <w:t xml:space="preserve">bilateral </w:t>
      </w:r>
      <w:r w:rsidR="00217E21">
        <w:rPr>
          <w:rFonts w:ascii="Arial" w:hAnsi="Arial" w:cs="Arial"/>
          <w:sz w:val="24"/>
          <w:szCs w:val="24"/>
          <w:lang w:val="en-GB"/>
        </w:rPr>
        <w:t>geographical classification</w:t>
      </w:r>
      <w:r>
        <w:rPr>
          <w:rFonts w:ascii="Arial" w:hAnsi="Arial" w:cs="Arial"/>
          <w:sz w:val="24"/>
          <w:szCs w:val="24"/>
          <w:lang w:val="en-GB"/>
        </w:rPr>
        <w:t>.</w:t>
      </w:r>
      <w:r w:rsidR="008524A6">
        <w:rPr>
          <w:rFonts w:ascii="Arial" w:hAnsi="Arial" w:cs="Arial"/>
          <w:sz w:val="24"/>
          <w:szCs w:val="24"/>
          <w:lang w:val="en-GB"/>
        </w:rPr>
        <w:t xml:space="preserve"> </w:t>
      </w:r>
    </w:p>
    <w:p w:rsidR="004C4CD5" w:rsidRDefault="00FF2B3A" w:rsidP="004C4CD5">
      <w:pPr>
        <w:pStyle w:val="ListParagraph"/>
        <w:numPr>
          <w:ilvl w:val="0"/>
          <w:numId w:val="1"/>
        </w:numPr>
        <w:spacing w:before="120" w:after="0" w:line="360" w:lineRule="auto"/>
        <w:jc w:val="both"/>
        <w:rPr>
          <w:rFonts w:ascii="Arial" w:hAnsi="Arial" w:cs="Arial"/>
          <w:sz w:val="24"/>
          <w:szCs w:val="24"/>
          <w:lang w:val="en-GB"/>
        </w:rPr>
      </w:pPr>
      <w:r w:rsidRPr="008524A6">
        <w:rPr>
          <w:rFonts w:ascii="Arial" w:hAnsi="Arial" w:cs="Arial"/>
          <w:b/>
          <w:sz w:val="24"/>
          <w:szCs w:val="24"/>
          <w:lang w:val="en-GB"/>
        </w:rPr>
        <w:t>External Country Geographical Quality Indicator (XCGQ)</w:t>
      </w:r>
      <w:r>
        <w:rPr>
          <w:rFonts w:ascii="Arial" w:hAnsi="Arial" w:cs="Arial"/>
          <w:b/>
          <w:sz w:val="24"/>
          <w:szCs w:val="24"/>
          <w:lang w:val="en-GB"/>
        </w:rPr>
        <w:t>:</w:t>
      </w:r>
      <w:r>
        <w:rPr>
          <w:rFonts w:ascii="Arial" w:hAnsi="Arial" w:cs="Arial"/>
          <w:sz w:val="24"/>
          <w:szCs w:val="24"/>
          <w:lang w:val="en-GB"/>
        </w:rPr>
        <w:t xml:space="preserve"> a</w:t>
      </w:r>
      <w:r w:rsidR="004C4CD5" w:rsidRPr="004C4CD5">
        <w:rPr>
          <w:rFonts w:ascii="Arial" w:hAnsi="Arial" w:cs="Arial"/>
          <w:sz w:val="24"/>
          <w:szCs w:val="24"/>
          <w:lang w:val="en-GB"/>
        </w:rPr>
        <w:t xml:space="preserve"> measure that provides information on the</w:t>
      </w:r>
      <w:r w:rsidR="008524A6">
        <w:rPr>
          <w:rFonts w:ascii="Arial" w:hAnsi="Arial" w:cs="Arial"/>
          <w:sz w:val="24"/>
          <w:szCs w:val="24"/>
          <w:lang w:val="en-GB"/>
        </w:rPr>
        <w:t xml:space="preserve"> accuracy of the</w:t>
      </w:r>
      <w:r w:rsidR="004C4CD5" w:rsidRPr="004C4CD5">
        <w:rPr>
          <w:rFonts w:ascii="Arial" w:hAnsi="Arial" w:cs="Arial"/>
          <w:sz w:val="24"/>
          <w:szCs w:val="24"/>
          <w:lang w:val="en-GB"/>
        </w:rPr>
        <w:t xml:space="preserve"> </w:t>
      </w:r>
      <w:r w:rsidR="00826608">
        <w:rPr>
          <w:rFonts w:ascii="Arial" w:hAnsi="Arial" w:cs="Arial"/>
          <w:sz w:val="24"/>
          <w:szCs w:val="24"/>
          <w:lang w:val="en-GB"/>
        </w:rPr>
        <w:t xml:space="preserve">allocation between </w:t>
      </w:r>
      <w:r w:rsidR="008906DB">
        <w:rPr>
          <w:rFonts w:ascii="Arial" w:hAnsi="Arial" w:cs="Arial"/>
          <w:sz w:val="24"/>
          <w:szCs w:val="24"/>
          <w:lang w:val="en-GB"/>
        </w:rPr>
        <w:t xml:space="preserve">intra/extra </w:t>
      </w:r>
      <w:r>
        <w:rPr>
          <w:rFonts w:ascii="Arial" w:hAnsi="Arial" w:cs="Arial"/>
          <w:sz w:val="24"/>
          <w:szCs w:val="24"/>
          <w:lang w:val="en-GB"/>
        </w:rPr>
        <w:t xml:space="preserve">group </w:t>
      </w:r>
      <w:r w:rsidR="008906DB">
        <w:rPr>
          <w:rFonts w:ascii="Arial" w:hAnsi="Arial" w:cs="Arial"/>
          <w:sz w:val="24"/>
          <w:szCs w:val="24"/>
          <w:lang w:val="en-GB"/>
        </w:rPr>
        <w:t xml:space="preserve">by a </w:t>
      </w:r>
      <w:r w:rsidR="004C4CD5" w:rsidRPr="004C4CD5">
        <w:rPr>
          <w:rFonts w:ascii="Arial" w:hAnsi="Arial" w:cs="Arial"/>
          <w:sz w:val="24"/>
          <w:szCs w:val="24"/>
          <w:lang w:val="en-GB"/>
        </w:rPr>
        <w:t xml:space="preserve">country vis-à-vis the </w:t>
      </w:r>
      <w:r w:rsidR="00826608">
        <w:rPr>
          <w:rFonts w:ascii="Arial" w:hAnsi="Arial" w:cs="Arial"/>
          <w:sz w:val="24"/>
          <w:szCs w:val="24"/>
          <w:lang w:val="en-GB"/>
        </w:rPr>
        <w:t>same allocation obtained through</w:t>
      </w:r>
      <w:r w:rsidR="00826608" w:rsidRPr="004C4CD5">
        <w:rPr>
          <w:rFonts w:ascii="Arial" w:hAnsi="Arial" w:cs="Arial"/>
          <w:sz w:val="24"/>
          <w:szCs w:val="24"/>
          <w:lang w:val="en-GB"/>
        </w:rPr>
        <w:t xml:space="preserve"> </w:t>
      </w:r>
      <w:r w:rsidR="004C4CD5" w:rsidRPr="004C4CD5">
        <w:rPr>
          <w:rFonts w:ascii="Arial" w:hAnsi="Arial" w:cs="Arial"/>
          <w:sz w:val="24"/>
          <w:szCs w:val="24"/>
          <w:lang w:val="en-GB"/>
        </w:rPr>
        <w:t>mi</w:t>
      </w:r>
      <w:r w:rsidR="008524A6">
        <w:rPr>
          <w:rFonts w:ascii="Arial" w:hAnsi="Arial" w:cs="Arial"/>
          <w:sz w:val="24"/>
          <w:szCs w:val="24"/>
          <w:lang w:val="en-GB"/>
        </w:rPr>
        <w:t>rror data</w:t>
      </w:r>
      <w:r>
        <w:rPr>
          <w:rFonts w:ascii="Arial" w:hAnsi="Arial" w:cs="Arial"/>
          <w:sz w:val="24"/>
          <w:szCs w:val="24"/>
          <w:lang w:val="en-GB"/>
        </w:rPr>
        <w:t>.</w:t>
      </w:r>
      <w:r w:rsidR="008524A6">
        <w:rPr>
          <w:rFonts w:ascii="Arial" w:hAnsi="Arial" w:cs="Arial"/>
          <w:sz w:val="24"/>
          <w:szCs w:val="24"/>
          <w:lang w:val="en-GB"/>
        </w:rPr>
        <w:t xml:space="preserve"> </w:t>
      </w:r>
    </w:p>
    <w:p w:rsidR="004C4CD5" w:rsidRPr="004C4CD5" w:rsidRDefault="00FF2B3A" w:rsidP="004C4CD5">
      <w:pPr>
        <w:pStyle w:val="ListParagraph"/>
        <w:numPr>
          <w:ilvl w:val="0"/>
          <w:numId w:val="1"/>
        </w:numPr>
        <w:spacing w:before="120" w:after="0" w:line="360" w:lineRule="auto"/>
        <w:jc w:val="both"/>
        <w:rPr>
          <w:rFonts w:ascii="Arial" w:hAnsi="Arial" w:cs="Arial"/>
          <w:sz w:val="24"/>
          <w:szCs w:val="24"/>
          <w:lang w:val="en-GB"/>
        </w:rPr>
      </w:pPr>
      <w:r w:rsidRPr="008524A6">
        <w:rPr>
          <w:rFonts w:ascii="Arial" w:hAnsi="Arial" w:cs="Arial"/>
          <w:b/>
          <w:sz w:val="24"/>
          <w:szCs w:val="24"/>
          <w:lang w:val="en-GB"/>
        </w:rPr>
        <w:t>Relevance Indicator (RELV)</w:t>
      </w:r>
      <w:r>
        <w:rPr>
          <w:rFonts w:ascii="Arial" w:hAnsi="Arial" w:cs="Arial"/>
          <w:sz w:val="24"/>
          <w:szCs w:val="24"/>
          <w:lang w:val="en-GB"/>
        </w:rPr>
        <w:t>:</w:t>
      </w:r>
      <w:r w:rsidRPr="004C4CD5">
        <w:rPr>
          <w:rFonts w:ascii="Arial" w:hAnsi="Arial" w:cs="Arial"/>
          <w:sz w:val="24"/>
          <w:szCs w:val="24"/>
          <w:lang w:val="en-GB"/>
        </w:rPr>
        <w:t xml:space="preserve"> </w:t>
      </w:r>
      <w:r>
        <w:rPr>
          <w:rFonts w:ascii="Arial" w:hAnsi="Arial" w:cs="Arial"/>
          <w:sz w:val="24"/>
          <w:szCs w:val="24"/>
          <w:lang w:val="en-GB"/>
        </w:rPr>
        <w:t>a</w:t>
      </w:r>
      <w:r w:rsidR="004C4CD5" w:rsidRPr="004C4CD5">
        <w:rPr>
          <w:rFonts w:ascii="Arial" w:hAnsi="Arial" w:cs="Arial"/>
          <w:sz w:val="24"/>
          <w:szCs w:val="24"/>
          <w:lang w:val="en-GB"/>
        </w:rPr>
        <w:t xml:space="preserve"> measure that relates the total of bilateral asymmetries involving a country to the total asymmetry of the group of countries providing bilateral data</w:t>
      </w:r>
      <w:r>
        <w:rPr>
          <w:rFonts w:ascii="Arial" w:hAnsi="Arial" w:cs="Arial"/>
          <w:sz w:val="24"/>
          <w:szCs w:val="24"/>
          <w:lang w:val="en-GB"/>
        </w:rPr>
        <w:t>.</w:t>
      </w:r>
      <w:r w:rsidR="004C4CD5" w:rsidRPr="004C4CD5">
        <w:rPr>
          <w:rFonts w:ascii="Arial" w:hAnsi="Arial" w:cs="Arial"/>
          <w:sz w:val="24"/>
          <w:szCs w:val="24"/>
          <w:lang w:val="en-GB"/>
        </w:rPr>
        <w:t xml:space="preserve"> </w:t>
      </w:r>
    </w:p>
    <w:p w:rsidR="004C4CD5" w:rsidRPr="004C4CD5" w:rsidRDefault="004C4CD5" w:rsidP="004C4CD5">
      <w:pPr>
        <w:spacing w:before="120" w:after="0" w:line="360" w:lineRule="auto"/>
        <w:jc w:val="both"/>
        <w:rPr>
          <w:rFonts w:ascii="Arial" w:hAnsi="Arial" w:cs="Arial"/>
          <w:sz w:val="24"/>
          <w:szCs w:val="24"/>
          <w:lang w:val="en-GB"/>
        </w:rPr>
      </w:pPr>
      <w:r w:rsidRPr="004C4CD5">
        <w:rPr>
          <w:rFonts w:ascii="Arial" w:hAnsi="Arial" w:cs="Arial"/>
          <w:sz w:val="24"/>
          <w:szCs w:val="24"/>
          <w:lang w:val="en-GB"/>
        </w:rPr>
        <w:t>Given the following notation, the formulas for the three measures are listed below:</w:t>
      </w:r>
    </w:p>
    <w:p w:rsidR="004C4CD5" w:rsidRPr="004C4CD5" w:rsidRDefault="004C4CD5" w:rsidP="004C4CD5">
      <w:pPr>
        <w:spacing w:before="120" w:after="0" w:line="360" w:lineRule="auto"/>
        <w:jc w:val="both"/>
        <w:rPr>
          <w:rFonts w:ascii="Arial" w:hAnsi="Arial" w:cs="Arial"/>
          <w:sz w:val="24"/>
          <w:szCs w:val="24"/>
          <w:lang w:val="en-GB"/>
        </w:rPr>
      </w:pPr>
      <w:r w:rsidRPr="004448E9">
        <w:rPr>
          <w:rFonts w:ascii="Arial" w:hAnsi="Arial" w:cs="Arial"/>
          <w:i/>
          <w:sz w:val="24"/>
          <w:szCs w:val="24"/>
          <w:lang w:val="en-GB"/>
        </w:rPr>
        <w:t>i</w:t>
      </w:r>
      <w:r w:rsidRPr="004C4CD5">
        <w:rPr>
          <w:rFonts w:ascii="Arial" w:hAnsi="Arial" w:cs="Arial"/>
          <w:sz w:val="24"/>
          <w:szCs w:val="24"/>
          <w:lang w:val="en-GB"/>
        </w:rPr>
        <w:t xml:space="preserve"> is  the country to which the quality index applies, </w:t>
      </w:r>
      <w:r w:rsidRPr="004448E9">
        <w:rPr>
          <w:rFonts w:ascii="Arial" w:hAnsi="Arial" w:cs="Arial"/>
          <w:i/>
          <w:sz w:val="24"/>
          <w:szCs w:val="24"/>
          <w:lang w:val="en-GB"/>
        </w:rPr>
        <w:t>c</w:t>
      </w:r>
      <w:r w:rsidRPr="004C4CD5">
        <w:rPr>
          <w:rFonts w:ascii="Arial" w:hAnsi="Arial" w:cs="Arial"/>
          <w:sz w:val="24"/>
          <w:szCs w:val="24"/>
          <w:lang w:val="en-GB"/>
        </w:rPr>
        <w:t xml:space="preserve"> is the counterpart country</w:t>
      </w:r>
      <w:r w:rsidR="00913DF4">
        <w:rPr>
          <w:rFonts w:ascii="Arial" w:hAnsi="Arial" w:cs="Arial"/>
          <w:sz w:val="24"/>
          <w:szCs w:val="24"/>
          <w:lang w:val="en-GB"/>
        </w:rPr>
        <w:t xml:space="preserve"> </w:t>
      </w:r>
      <w:r w:rsidRPr="004C4CD5">
        <w:rPr>
          <w:rFonts w:ascii="Arial" w:hAnsi="Arial" w:cs="Arial"/>
          <w:sz w:val="24"/>
          <w:szCs w:val="24"/>
          <w:lang w:val="en-GB"/>
        </w:rPr>
        <w:t xml:space="preserve">, </w:t>
      </w:r>
      <w:r w:rsidRPr="004448E9">
        <w:rPr>
          <w:rFonts w:ascii="Arial" w:hAnsi="Arial" w:cs="Arial"/>
          <w:i/>
          <w:sz w:val="24"/>
          <w:szCs w:val="24"/>
          <w:lang w:val="en-GB"/>
        </w:rPr>
        <w:t>w</w:t>
      </w:r>
      <w:r w:rsidRPr="004C4CD5">
        <w:rPr>
          <w:rFonts w:ascii="Arial" w:hAnsi="Arial" w:cs="Arial"/>
          <w:sz w:val="24"/>
          <w:szCs w:val="24"/>
          <w:lang w:val="en-GB"/>
        </w:rPr>
        <w:t xml:space="preserve"> is a predefined weight that applies to all countries, that by default is equal to 0.5</w:t>
      </w:r>
      <w:r w:rsidR="00FC6BD8">
        <w:rPr>
          <w:rFonts w:ascii="Arial" w:hAnsi="Arial" w:cs="Arial"/>
          <w:sz w:val="24"/>
          <w:szCs w:val="24"/>
          <w:lang w:val="en-GB"/>
        </w:rPr>
        <w:t>, reflecting that our synthetic indicators give the same weights to asymmetries in the reported-assets and reported-liabilities side.</w:t>
      </w:r>
      <w:r w:rsidRPr="004C4CD5">
        <w:rPr>
          <w:rFonts w:ascii="Arial" w:hAnsi="Arial" w:cs="Arial"/>
          <w:sz w:val="24"/>
          <w:szCs w:val="24"/>
          <w:lang w:val="en-GB"/>
        </w:rPr>
        <w:t xml:space="preserve">  </w:t>
      </w:r>
      <m:oMath>
        <m:nary>
          <m:naryPr>
            <m:chr m:val="∑"/>
            <m:limLoc m:val="undOvr"/>
            <m:supHide m:val="1"/>
            <m:ctrlPr>
              <w:rPr>
                <w:rFonts w:ascii="Cambria Math" w:hAnsi="Cambria Math"/>
              </w:rPr>
            </m:ctrlPr>
          </m:naryPr>
          <m:sub>
            <m:r>
              <m:rPr>
                <m:sty m:val="p"/>
              </m:rPr>
              <w:rPr>
                <w:rFonts w:ascii="Cambria Math" w:hAnsi="Cambria Math"/>
              </w:rPr>
              <m:t>c</m:t>
            </m:r>
          </m:sub>
          <m:sup/>
          <m:e>
            <m:r>
              <m:rPr>
                <m:sty m:val="p"/>
              </m:rPr>
              <w:rPr>
                <w:rFonts w:ascii="Cambria Math" w:hAnsi="Cambria Math"/>
              </w:rPr>
              <m:t>|</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i,c</m:t>
                </m:r>
              </m:sub>
            </m:sSub>
            <m:r>
              <m:rPr>
                <m:sty m:val="p"/>
              </m:rPr>
              <w:rPr>
                <w:rFonts w:ascii="Cambria Math" w:hAnsi="Cambria Math"/>
              </w:rPr>
              <m:t>|</m:t>
            </m:r>
          </m:e>
        </m:nary>
        <m:r>
          <m:rPr>
            <m:sty m:val="p"/>
          </m:rPr>
          <w:rPr>
            <w:rFonts w:ascii="Cambria Math" w:hAnsi="Cambria Math"/>
          </w:rPr>
          <m:t xml:space="preserve"> </m:t>
        </m:r>
      </m:oMath>
      <w:r w:rsidR="007E771E" w:rsidRPr="00B6171F">
        <w:t xml:space="preserve"> </w:t>
      </w:r>
      <w:r w:rsidRPr="004C4CD5">
        <w:rPr>
          <w:rFonts w:ascii="Arial" w:hAnsi="Arial" w:cs="Arial"/>
          <w:sz w:val="24"/>
          <w:szCs w:val="24"/>
          <w:lang w:val="en-GB"/>
        </w:rPr>
        <w:t xml:space="preserve"> reflects the sum of absolute values of the assets reported by country </w:t>
      </w:r>
      <w:r w:rsidRPr="007E771E">
        <w:rPr>
          <w:rFonts w:ascii="Arial" w:hAnsi="Arial" w:cs="Arial"/>
          <w:i/>
          <w:sz w:val="24"/>
          <w:szCs w:val="24"/>
          <w:lang w:val="en-GB"/>
        </w:rPr>
        <w:t>i</w:t>
      </w:r>
      <w:r w:rsidRPr="004C4CD5">
        <w:rPr>
          <w:rFonts w:ascii="Arial" w:hAnsi="Arial" w:cs="Arial"/>
          <w:sz w:val="24"/>
          <w:szCs w:val="24"/>
          <w:lang w:val="en-GB"/>
        </w:rPr>
        <w:t xml:space="preserve">  </w:t>
      </w:r>
      <w:r w:rsidR="00B725CF">
        <w:rPr>
          <w:rFonts w:ascii="Arial" w:hAnsi="Arial" w:cs="Arial"/>
          <w:sz w:val="24"/>
          <w:szCs w:val="24"/>
          <w:lang w:val="en-GB"/>
        </w:rPr>
        <w:t>vis-a-vis</w:t>
      </w:r>
      <w:r w:rsidRPr="004C4CD5">
        <w:rPr>
          <w:rFonts w:ascii="Arial" w:hAnsi="Arial" w:cs="Arial"/>
          <w:sz w:val="24"/>
          <w:szCs w:val="24"/>
          <w:lang w:val="en-GB"/>
        </w:rPr>
        <w:t xml:space="preserve"> </w:t>
      </w:r>
      <w:r w:rsidR="00B725CF">
        <w:rPr>
          <w:rFonts w:ascii="Arial" w:hAnsi="Arial" w:cs="Arial"/>
          <w:sz w:val="24"/>
          <w:szCs w:val="24"/>
          <w:lang w:val="en-GB"/>
        </w:rPr>
        <w:t xml:space="preserve">all the </w:t>
      </w:r>
      <w:r w:rsidR="005E2903" w:rsidRPr="005E2903">
        <w:rPr>
          <w:rFonts w:ascii="Arial" w:hAnsi="Arial" w:cs="Arial"/>
          <w:i/>
          <w:sz w:val="24"/>
          <w:szCs w:val="24"/>
          <w:lang w:val="en-GB"/>
        </w:rPr>
        <w:t>c</w:t>
      </w:r>
      <w:r w:rsidR="005E2903">
        <w:rPr>
          <w:rFonts w:ascii="Arial" w:hAnsi="Arial" w:cs="Arial"/>
          <w:sz w:val="24"/>
          <w:szCs w:val="24"/>
          <w:lang w:val="en-GB"/>
        </w:rPr>
        <w:t xml:space="preserve"> </w:t>
      </w:r>
      <w:r w:rsidRPr="004C4CD5">
        <w:rPr>
          <w:rFonts w:ascii="Arial" w:hAnsi="Arial" w:cs="Arial"/>
          <w:sz w:val="24"/>
          <w:szCs w:val="24"/>
          <w:lang w:val="en-GB"/>
        </w:rPr>
        <w:t xml:space="preserve">countries </w:t>
      </w:r>
      <w:r w:rsidR="005E2903">
        <w:rPr>
          <w:rFonts w:ascii="Arial" w:hAnsi="Arial" w:cs="Arial"/>
          <w:sz w:val="24"/>
          <w:szCs w:val="24"/>
          <w:lang w:val="en-GB"/>
        </w:rPr>
        <w:t xml:space="preserve">present in the </w:t>
      </w:r>
      <w:r w:rsidR="00B725CF" w:rsidRPr="005E2903">
        <w:rPr>
          <w:rFonts w:ascii="Arial" w:hAnsi="Arial" w:cs="Arial"/>
          <w:sz w:val="24"/>
          <w:szCs w:val="24"/>
          <w:lang w:val="en-GB"/>
        </w:rPr>
        <w:t>group</w:t>
      </w:r>
      <w:r w:rsidR="005E2903" w:rsidRPr="005E2903">
        <w:rPr>
          <w:rFonts w:ascii="Arial" w:hAnsi="Arial" w:cs="Arial"/>
          <w:sz w:val="24"/>
          <w:szCs w:val="24"/>
          <w:lang w:val="en-GB"/>
        </w:rPr>
        <w:t xml:space="preserve"> analysed</w:t>
      </w:r>
      <w:r w:rsidRPr="004C4CD5">
        <w:rPr>
          <w:rFonts w:ascii="Arial" w:hAnsi="Arial" w:cs="Arial"/>
          <w:sz w:val="24"/>
          <w:szCs w:val="24"/>
          <w:lang w:val="en-GB"/>
        </w:rPr>
        <w:t>. Likewise</w:t>
      </w:r>
      <w:r w:rsidR="007E771E">
        <w:rPr>
          <w:rFonts w:ascii="Arial" w:hAnsi="Arial" w:cs="Arial"/>
          <w:sz w:val="24"/>
          <w:szCs w:val="24"/>
          <w:lang w:val="en-GB"/>
        </w:rPr>
        <w:t xml:space="preserve"> </w:t>
      </w:r>
      <w:r w:rsidRPr="004C4CD5">
        <w:rPr>
          <w:rFonts w:ascii="Arial" w:hAnsi="Arial" w:cs="Arial"/>
          <w:sz w:val="24"/>
          <w:szCs w:val="24"/>
          <w:lang w:val="en-GB"/>
        </w:rPr>
        <w:t xml:space="preserve"> </w:t>
      </w:r>
      <m:oMath>
        <m:nary>
          <m:naryPr>
            <m:chr m:val="∑"/>
            <m:limLoc m:val="undOvr"/>
            <m:supHide m:val="1"/>
            <m:ctrlPr>
              <w:rPr>
                <w:rFonts w:ascii="Cambria Math" w:hAnsi="Cambria Math"/>
              </w:rPr>
            </m:ctrlPr>
          </m:naryPr>
          <m:sub>
            <m:r>
              <m:rPr>
                <m:sty m:val="p"/>
              </m:rPr>
              <w:rPr>
                <w:rFonts w:ascii="Cambria Math" w:hAnsi="Cambria Math"/>
              </w:rPr>
              <m:t>c</m:t>
            </m:r>
          </m:sub>
          <m:sup/>
          <m:e>
            <m:r>
              <m:rPr>
                <m:sty m:val="p"/>
              </m:rPr>
              <w:rPr>
                <w:rFonts w:ascii="Cambria Math" w:hAnsi="Cambria Math"/>
              </w:rPr>
              <m:t>|</m:t>
            </m:r>
            <m:sSub>
              <m:sSubPr>
                <m:ctrlPr>
                  <w:rPr>
                    <w:rFonts w:ascii="Cambria Math" w:hAnsi="Cambria Math"/>
                  </w:rPr>
                </m:ctrlPr>
              </m:sSubPr>
              <m:e>
                <m:r>
                  <m:rPr>
                    <m:sty m:val="p"/>
                  </m:rPr>
                  <w:rPr>
                    <w:rFonts w:ascii="Cambria Math" w:hAnsi="Cambria Math"/>
                  </w:rPr>
                  <m:t>L</m:t>
                </m:r>
              </m:e>
              <m:sub>
                <m:r>
                  <m:rPr>
                    <m:sty m:val="p"/>
                  </m:rPr>
                  <w:rPr>
                    <w:rFonts w:ascii="Cambria Math" w:hAnsi="Cambria Math"/>
                  </w:rPr>
                  <m:t>i,c</m:t>
                </m:r>
              </m:sub>
            </m:sSub>
            <m:r>
              <m:rPr>
                <m:sty m:val="p"/>
              </m:rPr>
              <w:rPr>
                <w:rFonts w:ascii="Cambria Math" w:hAnsi="Cambria Math"/>
              </w:rPr>
              <m:t>|</m:t>
            </m:r>
          </m:e>
        </m:nary>
      </m:oMath>
      <w:r w:rsidRPr="004C4CD5">
        <w:rPr>
          <w:rFonts w:ascii="Arial" w:hAnsi="Arial" w:cs="Arial"/>
          <w:sz w:val="24"/>
          <w:szCs w:val="24"/>
          <w:lang w:val="en-GB"/>
        </w:rPr>
        <w:t xml:space="preserve"> reflects the sum of the absolute values of the liabilities reported by country </w:t>
      </w:r>
      <w:r w:rsidRPr="007E771E">
        <w:rPr>
          <w:rFonts w:ascii="Arial" w:hAnsi="Arial" w:cs="Arial"/>
          <w:i/>
          <w:sz w:val="24"/>
          <w:szCs w:val="24"/>
          <w:lang w:val="en-GB"/>
        </w:rPr>
        <w:t>i</w:t>
      </w:r>
      <w:r w:rsidR="005E2903" w:rsidRPr="005E2903">
        <w:rPr>
          <w:rFonts w:ascii="Arial" w:hAnsi="Arial" w:cs="Arial"/>
          <w:sz w:val="24"/>
          <w:szCs w:val="24"/>
          <w:lang w:val="en-GB"/>
        </w:rPr>
        <w:t xml:space="preserve"> </w:t>
      </w:r>
      <w:r w:rsidR="005E2903">
        <w:rPr>
          <w:rFonts w:ascii="Arial" w:hAnsi="Arial" w:cs="Arial"/>
          <w:sz w:val="24"/>
          <w:szCs w:val="24"/>
          <w:lang w:val="en-GB"/>
        </w:rPr>
        <w:t>vis-a-vis</w:t>
      </w:r>
      <w:r w:rsidR="005E2903" w:rsidRPr="004C4CD5">
        <w:rPr>
          <w:rFonts w:ascii="Arial" w:hAnsi="Arial" w:cs="Arial"/>
          <w:sz w:val="24"/>
          <w:szCs w:val="24"/>
          <w:lang w:val="en-GB"/>
        </w:rPr>
        <w:t xml:space="preserve"> </w:t>
      </w:r>
      <w:r w:rsidR="005E2903">
        <w:rPr>
          <w:rFonts w:ascii="Arial" w:hAnsi="Arial" w:cs="Arial"/>
          <w:sz w:val="24"/>
          <w:szCs w:val="24"/>
          <w:lang w:val="en-GB"/>
        </w:rPr>
        <w:t xml:space="preserve">all the </w:t>
      </w:r>
      <w:r w:rsidR="005E2903" w:rsidRPr="005E2903">
        <w:rPr>
          <w:rFonts w:ascii="Arial" w:hAnsi="Arial" w:cs="Arial"/>
          <w:i/>
          <w:sz w:val="24"/>
          <w:szCs w:val="24"/>
          <w:lang w:val="en-GB"/>
        </w:rPr>
        <w:t>c</w:t>
      </w:r>
      <w:r w:rsidR="005E2903">
        <w:rPr>
          <w:rFonts w:ascii="Arial" w:hAnsi="Arial" w:cs="Arial"/>
          <w:sz w:val="24"/>
          <w:szCs w:val="24"/>
          <w:lang w:val="en-GB"/>
        </w:rPr>
        <w:t xml:space="preserve"> </w:t>
      </w:r>
      <w:r w:rsidR="005E2903" w:rsidRPr="004C4CD5">
        <w:rPr>
          <w:rFonts w:ascii="Arial" w:hAnsi="Arial" w:cs="Arial"/>
          <w:sz w:val="24"/>
          <w:szCs w:val="24"/>
          <w:lang w:val="en-GB"/>
        </w:rPr>
        <w:t xml:space="preserve">countries </w:t>
      </w:r>
      <w:r w:rsidR="005E2903">
        <w:rPr>
          <w:rFonts w:ascii="Arial" w:hAnsi="Arial" w:cs="Arial"/>
          <w:sz w:val="24"/>
          <w:szCs w:val="24"/>
          <w:lang w:val="en-GB"/>
        </w:rPr>
        <w:t xml:space="preserve">present in the </w:t>
      </w:r>
      <w:r w:rsidR="005E2903" w:rsidRPr="005E2903">
        <w:rPr>
          <w:rFonts w:ascii="Arial" w:hAnsi="Arial" w:cs="Arial"/>
          <w:sz w:val="24"/>
          <w:szCs w:val="24"/>
          <w:lang w:val="en-GB"/>
        </w:rPr>
        <w:t>group analysed</w:t>
      </w:r>
      <w:r w:rsidRPr="004C4CD5">
        <w:rPr>
          <w:rFonts w:ascii="Arial" w:hAnsi="Arial" w:cs="Arial"/>
          <w:sz w:val="24"/>
          <w:szCs w:val="24"/>
          <w:lang w:val="en-GB"/>
        </w:rPr>
        <w:t xml:space="preserve">. </w:t>
      </w:r>
      <m:oMath>
        <m:nary>
          <m:naryPr>
            <m:chr m:val="∑"/>
            <m:limLoc m:val="undOvr"/>
            <m:supHide m:val="1"/>
            <m:ctrlPr>
              <w:rPr>
                <w:rFonts w:ascii="Cambria Math" w:hAnsi="Cambria Math"/>
              </w:rPr>
            </m:ctrlPr>
          </m:naryPr>
          <m:sub>
            <m:r>
              <m:rPr>
                <m:sty m:val="p"/>
              </m:rPr>
              <w:rPr>
                <w:rFonts w:ascii="Cambria Math" w:hAnsi="Cambria Math"/>
              </w:rPr>
              <m:t>c</m:t>
            </m:r>
          </m:sub>
          <m:sup/>
          <m:e>
            <m:r>
              <m:rPr>
                <m:sty m:val="p"/>
              </m:rPr>
              <w:rPr>
                <w:rFonts w:ascii="Cambria Math" w:hAnsi="Cambria Math"/>
              </w:rPr>
              <m:t>|</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L</m:t>
                </m:r>
              </m:e>
              <m:sub>
                <m:r>
                  <m:rPr>
                    <m:sty m:val="p"/>
                  </m:rPr>
                  <w:rPr>
                    <w:rFonts w:ascii="Cambria Math" w:hAnsi="Cambria Math"/>
                  </w:rPr>
                  <m:t>c,i</m:t>
                </m:r>
              </m:sub>
            </m:sSub>
            <m:r>
              <m:rPr>
                <m:sty m:val="p"/>
              </m:rPr>
              <w:rPr>
                <w:rFonts w:ascii="Cambria Math" w:hAnsi="Cambria Math"/>
              </w:rPr>
              <m:t>|</m:t>
            </m:r>
          </m:e>
        </m:nary>
      </m:oMath>
      <w:r w:rsidR="007E771E">
        <w:t xml:space="preserve"> </w:t>
      </w:r>
      <w:r w:rsidRPr="004C4CD5">
        <w:rPr>
          <w:rFonts w:ascii="Arial" w:hAnsi="Arial" w:cs="Arial"/>
          <w:sz w:val="24"/>
          <w:szCs w:val="24"/>
          <w:lang w:val="en-GB"/>
        </w:rPr>
        <w:t xml:space="preserve"> </w:t>
      </w:r>
      <w:r w:rsidR="007E771E">
        <w:rPr>
          <w:rFonts w:ascii="Arial" w:hAnsi="Arial" w:cs="Arial"/>
          <w:sz w:val="24"/>
          <w:szCs w:val="24"/>
          <w:lang w:val="en-GB"/>
        </w:rPr>
        <w:t xml:space="preserve"> </w:t>
      </w:r>
      <w:r w:rsidRPr="004C4CD5">
        <w:rPr>
          <w:rFonts w:ascii="Arial" w:hAnsi="Arial" w:cs="Arial"/>
          <w:sz w:val="24"/>
          <w:szCs w:val="24"/>
          <w:lang w:val="en-GB"/>
        </w:rPr>
        <w:t xml:space="preserve">measures the sum of absolute bilateral asymmetries of the assets of country </w:t>
      </w:r>
      <w:r w:rsidRPr="007E771E">
        <w:rPr>
          <w:rFonts w:ascii="Arial" w:hAnsi="Arial" w:cs="Arial"/>
          <w:i/>
          <w:sz w:val="24"/>
          <w:szCs w:val="24"/>
          <w:lang w:val="en-GB"/>
        </w:rPr>
        <w:t>i</w:t>
      </w:r>
      <w:r w:rsidRPr="004C4CD5">
        <w:rPr>
          <w:rFonts w:ascii="Arial" w:hAnsi="Arial" w:cs="Arial"/>
          <w:sz w:val="24"/>
          <w:szCs w:val="24"/>
          <w:lang w:val="en-GB"/>
        </w:rPr>
        <w:t xml:space="preserve"> vis-à-vis its counterparts, and </w:t>
      </w:r>
      <m:oMath>
        <m:nary>
          <m:naryPr>
            <m:chr m:val="∑"/>
            <m:limLoc m:val="undOvr"/>
            <m:supHide m:val="1"/>
            <m:ctrlPr>
              <w:rPr>
                <w:rFonts w:ascii="Cambria Math" w:hAnsi="Cambria Math"/>
              </w:rPr>
            </m:ctrlPr>
          </m:naryPr>
          <m:sub>
            <m:r>
              <m:rPr>
                <m:sty m:val="p"/>
              </m:rPr>
              <w:rPr>
                <w:rFonts w:ascii="Cambria Math" w:hAnsi="Cambria Math"/>
              </w:rPr>
              <m:t>c</m:t>
            </m:r>
          </m:sub>
          <m:sup/>
          <m:e>
            <m:r>
              <m:rPr>
                <m:sty m:val="p"/>
              </m:rPr>
              <w:rPr>
                <w:rFonts w:ascii="Cambria Math" w:hAnsi="Cambria Math"/>
              </w:rPr>
              <m:t>|</m:t>
            </m:r>
            <m:sSub>
              <m:sSubPr>
                <m:ctrlPr>
                  <w:rPr>
                    <w:rFonts w:ascii="Cambria Math" w:hAnsi="Cambria Math"/>
                  </w:rPr>
                </m:ctrlPr>
              </m:sSubPr>
              <m:e>
                <m:r>
                  <m:rPr>
                    <m:sty m:val="p"/>
                  </m:rPr>
                  <w:rPr>
                    <w:rFonts w:ascii="Cambria Math" w:hAnsi="Cambria Math"/>
                  </w:rPr>
                  <m:t>L</m:t>
                </m:r>
              </m:e>
              <m:sub>
                <m:r>
                  <m:rPr>
                    <m:sty m:val="p"/>
                  </m:rPr>
                  <w:rPr>
                    <w:rFonts w:ascii="Cambria Math" w:hAnsi="Cambria Math"/>
                  </w:rPr>
                  <m:t>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c,i</m:t>
                </m:r>
              </m:sub>
            </m:sSub>
            <m:r>
              <m:rPr>
                <m:sty m:val="p"/>
              </m:rPr>
              <w:rPr>
                <w:rFonts w:ascii="Cambria Math" w:hAnsi="Cambria Math"/>
              </w:rPr>
              <m:t>|</m:t>
            </m:r>
          </m:e>
        </m:nary>
      </m:oMath>
      <w:r w:rsidRPr="004C4CD5">
        <w:rPr>
          <w:rFonts w:ascii="Arial" w:hAnsi="Arial" w:cs="Arial"/>
          <w:sz w:val="24"/>
          <w:szCs w:val="24"/>
          <w:lang w:val="en-GB"/>
        </w:rPr>
        <w:t xml:space="preserve"> represents the sum of </w:t>
      </w:r>
      <w:r w:rsidRPr="004C4CD5">
        <w:rPr>
          <w:rFonts w:ascii="Arial" w:hAnsi="Arial" w:cs="Arial"/>
          <w:sz w:val="24"/>
          <w:szCs w:val="24"/>
          <w:lang w:val="en-GB"/>
        </w:rPr>
        <w:lastRenderedPageBreak/>
        <w:t xml:space="preserve">absolute bilateral asymmetries of the liabilities of the same country </w:t>
      </w:r>
      <w:r w:rsidRPr="007E771E">
        <w:rPr>
          <w:rFonts w:ascii="Arial" w:hAnsi="Arial" w:cs="Arial"/>
          <w:i/>
          <w:sz w:val="24"/>
          <w:szCs w:val="24"/>
          <w:lang w:val="en-GB"/>
        </w:rPr>
        <w:t>i</w:t>
      </w:r>
      <w:r w:rsidRPr="004C4CD5">
        <w:rPr>
          <w:rFonts w:ascii="Arial" w:hAnsi="Arial" w:cs="Arial"/>
          <w:sz w:val="24"/>
          <w:szCs w:val="24"/>
          <w:lang w:val="en-GB"/>
        </w:rPr>
        <w:t xml:space="preserve"> vis-à-vis its counterparts.</w:t>
      </w:r>
      <w:r w:rsidR="00EF2665">
        <w:rPr>
          <w:rStyle w:val="FootnoteReference"/>
          <w:rFonts w:ascii="Arial" w:hAnsi="Arial" w:cs="Arial"/>
          <w:sz w:val="24"/>
          <w:szCs w:val="24"/>
          <w:lang w:val="en-GB"/>
        </w:rPr>
        <w:footnoteReference w:id="3"/>
      </w:r>
      <w:r w:rsidR="00B725CF">
        <w:rPr>
          <w:rFonts w:ascii="Arial" w:hAnsi="Arial" w:cs="Arial"/>
          <w:sz w:val="24"/>
          <w:szCs w:val="24"/>
          <w:lang w:val="en-GB"/>
        </w:rPr>
        <w:t xml:space="preserve"> </w:t>
      </w:r>
    </w:p>
    <w:p w:rsidR="00AB190C" w:rsidRPr="00D171F8" w:rsidRDefault="00D171F8" w:rsidP="00D171F8">
      <w:pPr>
        <w:spacing w:before="120" w:after="0" w:line="360" w:lineRule="auto"/>
        <w:jc w:val="both"/>
        <w:rPr>
          <w:rFonts w:ascii="Arial" w:hAnsi="Arial" w:cs="Arial"/>
          <w:sz w:val="24"/>
          <w:szCs w:val="24"/>
          <w:lang w:val="en-GB"/>
        </w:rPr>
      </w:pPr>
      <w:r>
        <w:rPr>
          <w:rFonts w:ascii="Arial" w:hAnsi="Arial" w:cs="Arial"/>
          <w:sz w:val="24"/>
          <w:szCs w:val="24"/>
          <w:lang w:val="en-GB"/>
        </w:rPr>
        <w:t>The three measures are all</w:t>
      </w:r>
      <w:r w:rsidRPr="00D171F8">
        <w:rPr>
          <w:rFonts w:ascii="Arial" w:hAnsi="Arial" w:cs="Arial"/>
          <w:sz w:val="24"/>
          <w:szCs w:val="24"/>
          <w:lang w:val="en-GB"/>
        </w:rPr>
        <w:t xml:space="preserve"> constrained to be within the range [0, 1]</w:t>
      </w:r>
      <w:r w:rsidR="007E5DDB">
        <w:rPr>
          <w:rFonts w:ascii="Arial" w:hAnsi="Arial" w:cs="Arial"/>
          <w:sz w:val="24"/>
          <w:szCs w:val="24"/>
          <w:lang w:val="en-GB"/>
        </w:rPr>
        <w:t>.</w:t>
      </w:r>
    </w:p>
    <w:p w:rsidR="004C4CD5" w:rsidRDefault="004C4CD5" w:rsidP="004C4CD5">
      <w:pPr>
        <w:spacing w:before="120" w:after="120" w:line="360" w:lineRule="auto"/>
        <w:jc w:val="both"/>
        <w:rPr>
          <w:rFonts w:ascii="Arial" w:hAnsi="Arial" w:cs="Arial"/>
          <w:sz w:val="24"/>
          <w:szCs w:val="24"/>
          <w:lang w:val="en-GB"/>
        </w:rPr>
      </w:pPr>
      <w:r w:rsidRPr="004C4CD5">
        <w:rPr>
          <w:rFonts w:ascii="Arial" w:hAnsi="Arial" w:cs="Arial"/>
          <w:sz w:val="24"/>
          <w:szCs w:val="24"/>
          <w:lang w:val="en-GB"/>
        </w:rPr>
        <w:t xml:space="preserve">The </w:t>
      </w:r>
      <w:r w:rsidR="008524A6">
        <w:rPr>
          <w:rFonts w:ascii="Arial" w:hAnsi="Arial" w:cs="Arial"/>
          <w:b/>
          <w:sz w:val="24"/>
          <w:szCs w:val="24"/>
          <w:lang w:val="en-GB"/>
        </w:rPr>
        <w:t>ICGQ</w:t>
      </w:r>
      <w:r w:rsidRPr="004C4CD5">
        <w:rPr>
          <w:rFonts w:ascii="Arial" w:hAnsi="Arial" w:cs="Arial"/>
          <w:sz w:val="24"/>
          <w:szCs w:val="24"/>
          <w:lang w:val="en-GB"/>
        </w:rPr>
        <w:t xml:space="preserve"> is expressed as follows:</w:t>
      </w:r>
    </w:p>
    <w:p w:rsidR="004C4CD5" w:rsidRPr="002550BA" w:rsidRDefault="00D0107F" w:rsidP="004C4CD5">
      <w:pPr>
        <w:spacing w:before="120" w:after="120"/>
        <w:jc w:val="both"/>
      </w:pPr>
      <m:oMathPara>
        <m:oMath>
          <m:sSub>
            <m:sSubPr>
              <m:ctrlPr>
                <w:rPr>
                  <w:rFonts w:ascii="Cambria Math" w:hAnsi="Cambria Math"/>
                  <w:i/>
                </w:rPr>
              </m:ctrlPr>
            </m:sSubPr>
            <m:e>
              <m:r>
                <w:rPr>
                  <w:rFonts w:ascii="Cambria Math" w:hAnsi="Cambria Math"/>
                </w:rPr>
                <m:t>ICGQ</m:t>
              </m:r>
            </m:e>
            <m:sub>
              <m:r>
                <w:rPr>
                  <w:rFonts w:ascii="Cambria Math" w:hAnsi="Cambria Math"/>
                </w:rPr>
                <m:t>i</m:t>
              </m:r>
            </m:sub>
          </m:sSub>
          <m:r>
            <w:rPr>
              <w:rFonts w:ascii="Cambria Math" w:hAnsi="Cambria Math"/>
            </w:rPr>
            <m:t>=</m:t>
          </m:r>
          <m:d>
            <m:dPr>
              <m:begChr m:val="["/>
              <m:endChr m:val="]"/>
              <m:ctrlPr>
                <w:rPr>
                  <w:rFonts w:ascii="Cambria Math" w:hAnsi="Cambria Math"/>
                  <w:i/>
                </w:rPr>
              </m:ctrlPr>
            </m:dPr>
            <m:e>
              <m:r>
                <w:rPr>
                  <w:rFonts w:ascii="Cambria Math" w:hAnsi="Cambria Math"/>
                </w:rPr>
                <m:t>w.</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c</m:t>
                      </m:r>
                    </m:sub>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i,c</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c,i</m:t>
                              </m:r>
                            </m:sub>
                          </m:sSub>
                        </m:e>
                      </m:d>
                    </m:e>
                  </m:nary>
                </m:num>
                <m:den>
                  <m:nary>
                    <m:naryPr>
                      <m:chr m:val="∑"/>
                      <m:limLoc m:val="undOvr"/>
                      <m:supHide m:val="1"/>
                      <m:ctrlPr>
                        <w:rPr>
                          <w:rFonts w:ascii="Cambria Math" w:hAnsi="Cambria Math"/>
                          <w:i/>
                        </w:rPr>
                      </m:ctrlPr>
                    </m:naryPr>
                    <m:sub>
                      <m:r>
                        <w:rPr>
                          <w:rFonts w:ascii="Cambria Math" w:hAnsi="Cambria Math"/>
                        </w:rPr>
                        <m:t>c</m:t>
                      </m:r>
                    </m:sub>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i,c</m:t>
                              </m:r>
                            </m:sub>
                          </m:sSub>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c</m:t>
                          </m:r>
                        </m:sub>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c,i</m:t>
                                  </m:r>
                                </m:sub>
                              </m:sSub>
                            </m:e>
                          </m:d>
                        </m:e>
                      </m:nary>
                    </m:e>
                  </m:nary>
                </m:den>
              </m:f>
              <m:r>
                <m:rPr>
                  <m:sty m:val="p"/>
                </m:rPr>
                <w:rPr>
                  <w:rFonts w:ascii="Cambria Math" w:hAnsi="Cambria Math"/>
                </w:rPr>
                <m:t>+</m:t>
              </m:r>
              <m:r>
                <w:rPr>
                  <w:rFonts w:ascii="Cambria Math" w:hAnsi="Cambria Math"/>
                </w:rPr>
                <m:t xml:space="preserve"> </m:t>
              </m:r>
              <m:d>
                <m:dPr>
                  <m:ctrlPr>
                    <w:rPr>
                      <w:rFonts w:ascii="Cambria Math" w:hAnsi="Cambria Math"/>
                      <w:i/>
                    </w:rPr>
                  </m:ctrlPr>
                </m:dPr>
                <m:e>
                  <m:r>
                    <w:rPr>
                      <w:rFonts w:ascii="Cambria Math" w:hAnsi="Cambria Math"/>
                    </w:rPr>
                    <m:t>1-w</m:t>
                  </m:r>
                </m:e>
              </m:d>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c</m:t>
                      </m:r>
                    </m:sub>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i,c</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c,i</m:t>
                              </m:r>
                            </m:sub>
                          </m:sSub>
                        </m:e>
                      </m:d>
                    </m:e>
                  </m:nary>
                </m:num>
                <m:den>
                  <m:nary>
                    <m:naryPr>
                      <m:chr m:val="∑"/>
                      <m:limLoc m:val="undOvr"/>
                      <m:supHide m:val="1"/>
                      <m:ctrlPr>
                        <w:rPr>
                          <w:rFonts w:ascii="Cambria Math" w:hAnsi="Cambria Math"/>
                          <w:i/>
                        </w:rPr>
                      </m:ctrlPr>
                    </m:naryPr>
                    <m:sub>
                      <m:r>
                        <w:rPr>
                          <w:rFonts w:ascii="Cambria Math" w:hAnsi="Cambria Math"/>
                        </w:rPr>
                        <m:t>c</m:t>
                      </m:r>
                    </m:sub>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i,c</m:t>
                              </m:r>
                            </m:sub>
                          </m:sSub>
                        </m:e>
                      </m:d>
                      <m:r>
                        <w:rPr>
                          <w:rFonts w:ascii="Cambria Math" w:hAnsi="Cambria Math"/>
                        </w:rPr>
                        <m:t>+</m:t>
                      </m:r>
                      <m:nary>
                        <m:naryPr>
                          <m:chr m:val="∑"/>
                          <m:limLoc m:val="subSup"/>
                          <m:supHide m:val="1"/>
                          <m:ctrlPr>
                            <w:rPr>
                              <w:rFonts w:ascii="Cambria Math" w:hAnsi="Cambria Math"/>
                              <w:i/>
                            </w:rPr>
                          </m:ctrlPr>
                        </m:naryPr>
                        <m:sub>
                          <m:r>
                            <w:rPr>
                              <w:rFonts w:ascii="Cambria Math" w:hAnsi="Cambria Math"/>
                            </w:rPr>
                            <m:t>C</m:t>
                          </m:r>
                        </m:sub>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c,i</m:t>
                                  </m:r>
                                </m:sub>
                              </m:sSub>
                            </m:e>
                          </m:d>
                        </m:e>
                      </m:nary>
                    </m:e>
                  </m:nary>
                </m:den>
              </m:f>
            </m:e>
          </m:d>
        </m:oMath>
      </m:oMathPara>
    </w:p>
    <w:p w:rsidR="004C4CD5" w:rsidRPr="004C4CD5" w:rsidRDefault="004C4CD5" w:rsidP="004C4CD5">
      <w:pPr>
        <w:spacing w:before="120" w:after="120"/>
        <w:jc w:val="both"/>
      </w:pPr>
    </w:p>
    <w:p w:rsidR="004C4CD5" w:rsidRPr="004C4CD5" w:rsidRDefault="008524A6" w:rsidP="004C4CD5">
      <w:pPr>
        <w:spacing w:before="120" w:after="0" w:line="360" w:lineRule="auto"/>
        <w:jc w:val="both"/>
        <w:rPr>
          <w:rFonts w:ascii="Arial" w:hAnsi="Arial" w:cs="Arial"/>
          <w:sz w:val="24"/>
          <w:szCs w:val="24"/>
          <w:lang w:val="en-GB"/>
        </w:rPr>
      </w:pPr>
      <w:r>
        <w:rPr>
          <w:rFonts w:ascii="Arial" w:hAnsi="Arial" w:cs="Arial"/>
          <w:sz w:val="24"/>
          <w:szCs w:val="24"/>
          <w:lang w:val="en-GB"/>
        </w:rPr>
        <w:t>It</w:t>
      </w:r>
      <w:r w:rsidR="004C4CD5" w:rsidRPr="004C4CD5">
        <w:rPr>
          <w:rFonts w:ascii="Arial" w:hAnsi="Arial" w:cs="Arial"/>
          <w:sz w:val="24"/>
          <w:szCs w:val="24"/>
          <w:lang w:val="en-GB"/>
        </w:rPr>
        <w:t xml:space="preserve"> assesses the quality of the geographical breakdown </w:t>
      </w:r>
      <w:r w:rsidR="00076761">
        <w:rPr>
          <w:rFonts w:ascii="Arial" w:hAnsi="Arial" w:cs="Arial"/>
          <w:sz w:val="24"/>
          <w:szCs w:val="24"/>
          <w:lang w:val="en-GB"/>
        </w:rPr>
        <w:t xml:space="preserve">of country i </w:t>
      </w:r>
      <w:r w:rsidR="004C4CD5" w:rsidRPr="004C4CD5">
        <w:rPr>
          <w:rFonts w:ascii="Arial" w:hAnsi="Arial" w:cs="Arial"/>
          <w:sz w:val="24"/>
          <w:szCs w:val="24"/>
          <w:lang w:val="en-GB"/>
        </w:rPr>
        <w:t xml:space="preserve">vis-à-vis each of the </w:t>
      </w:r>
      <w:r w:rsidR="00076761">
        <w:rPr>
          <w:rFonts w:ascii="Arial" w:hAnsi="Arial" w:cs="Arial"/>
          <w:sz w:val="24"/>
          <w:szCs w:val="24"/>
          <w:lang w:val="en-GB"/>
        </w:rPr>
        <w:t xml:space="preserve">counterpart </w:t>
      </w:r>
      <w:r w:rsidR="004C4CD5" w:rsidRPr="004C4CD5">
        <w:rPr>
          <w:rFonts w:ascii="Arial" w:hAnsi="Arial" w:cs="Arial"/>
          <w:sz w:val="24"/>
          <w:szCs w:val="24"/>
          <w:lang w:val="en-GB"/>
        </w:rPr>
        <w:t>countries also providing geographical information</w:t>
      </w:r>
      <w:r w:rsidR="00076761">
        <w:rPr>
          <w:rFonts w:ascii="Arial" w:hAnsi="Arial" w:cs="Arial"/>
          <w:sz w:val="24"/>
          <w:szCs w:val="24"/>
          <w:lang w:val="en-GB"/>
        </w:rPr>
        <w:t>.</w:t>
      </w:r>
      <w:r w:rsidR="004C4CD5" w:rsidRPr="004C4CD5">
        <w:rPr>
          <w:rFonts w:ascii="Arial" w:hAnsi="Arial" w:cs="Arial"/>
          <w:sz w:val="24"/>
          <w:szCs w:val="24"/>
          <w:lang w:val="en-GB"/>
        </w:rPr>
        <w:t xml:space="preserve"> </w:t>
      </w:r>
      <w:r w:rsidR="00076761">
        <w:rPr>
          <w:rFonts w:ascii="Arial" w:hAnsi="Arial" w:cs="Arial"/>
          <w:sz w:val="24"/>
          <w:szCs w:val="24"/>
          <w:lang w:val="en-GB"/>
        </w:rPr>
        <w:t>I</w:t>
      </w:r>
      <w:r w:rsidR="004C4CD5" w:rsidRPr="004C4CD5">
        <w:rPr>
          <w:rFonts w:ascii="Arial" w:hAnsi="Arial" w:cs="Arial"/>
          <w:sz w:val="24"/>
          <w:szCs w:val="24"/>
          <w:lang w:val="en-GB"/>
        </w:rPr>
        <w:t xml:space="preserve">t </w:t>
      </w:r>
      <w:r>
        <w:rPr>
          <w:rFonts w:ascii="Arial" w:hAnsi="Arial" w:cs="Arial"/>
          <w:sz w:val="24"/>
          <w:szCs w:val="24"/>
          <w:lang w:val="en-GB"/>
        </w:rPr>
        <w:t>measure</w:t>
      </w:r>
      <w:r w:rsidR="00076761">
        <w:rPr>
          <w:rFonts w:ascii="Arial" w:hAnsi="Arial" w:cs="Arial"/>
          <w:sz w:val="24"/>
          <w:szCs w:val="24"/>
          <w:lang w:val="en-GB"/>
        </w:rPr>
        <w:t>s</w:t>
      </w:r>
      <w:r w:rsidR="004C4CD5" w:rsidRPr="004C4CD5">
        <w:rPr>
          <w:rFonts w:ascii="Arial" w:hAnsi="Arial" w:cs="Arial"/>
          <w:sz w:val="24"/>
          <w:szCs w:val="24"/>
          <w:lang w:val="en-GB"/>
        </w:rPr>
        <w:t xml:space="preserve"> the accuracy of the geographic classification within the sample of countries where bilateral data is provided by aggregating the absolute bilateral asymmetries. </w:t>
      </w:r>
      <w:r w:rsidR="004C4CD5" w:rsidRPr="005E2903">
        <w:rPr>
          <w:rFonts w:ascii="Arial" w:hAnsi="Arial" w:cs="Arial"/>
          <w:sz w:val="24"/>
          <w:szCs w:val="24"/>
          <w:lang w:val="en-GB"/>
        </w:rPr>
        <w:t xml:space="preserve">It </w:t>
      </w:r>
      <w:r w:rsidR="005E2903">
        <w:rPr>
          <w:rFonts w:ascii="Arial" w:hAnsi="Arial" w:cs="Arial"/>
          <w:sz w:val="24"/>
          <w:szCs w:val="24"/>
          <w:lang w:val="en-GB"/>
        </w:rPr>
        <w:t>shows</w:t>
      </w:r>
      <w:r w:rsidR="005E2903" w:rsidRPr="005E2903">
        <w:rPr>
          <w:rFonts w:ascii="Arial" w:hAnsi="Arial" w:cs="Arial"/>
          <w:sz w:val="24"/>
          <w:szCs w:val="24"/>
          <w:lang w:val="en-GB"/>
        </w:rPr>
        <w:t xml:space="preserve"> </w:t>
      </w:r>
      <w:r w:rsidR="004C4CD5" w:rsidRPr="005E2903">
        <w:rPr>
          <w:rFonts w:ascii="Arial" w:hAnsi="Arial" w:cs="Arial"/>
          <w:sz w:val="24"/>
          <w:szCs w:val="24"/>
          <w:lang w:val="en-GB"/>
        </w:rPr>
        <w:t xml:space="preserve">high values when a country </w:t>
      </w:r>
      <w:r w:rsidR="007E5DDB">
        <w:rPr>
          <w:rFonts w:ascii="Arial" w:hAnsi="Arial" w:cs="Arial"/>
          <w:sz w:val="24"/>
          <w:szCs w:val="24"/>
          <w:lang w:val="en-GB"/>
        </w:rPr>
        <w:t xml:space="preserve">has </w:t>
      </w:r>
      <w:r w:rsidR="005E2903">
        <w:rPr>
          <w:rFonts w:ascii="Arial" w:hAnsi="Arial" w:cs="Arial"/>
          <w:sz w:val="24"/>
          <w:szCs w:val="24"/>
          <w:lang w:val="en-GB"/>
        </w:rPr>
        <w:t xml:space="preserve">particular </w:t>
      </w:r>
      <w:r w:rsidR="007E5DDB">
        <w:rPr>
          <w:rFonts w:ascii="Arial" w:hAnsi="Arial" w:cs="Arial"/>
          <w:sz w:val="24"/>
          <w:szCs w:val="24"/>
          <w:lang w:val="en-GB"/>
        </w:rPr>
        <w:t xml:space="preserve">problems </w:t>
      </w:r>
      <w:r w:rsidR="004C4CD5" w:rsidRPr="005E2903">
        <w:rPr>
          <w:rFonts w:ascii="Arial" w:hAnsi="Arial" w:cs="Arial"/>
          <w:sz w:val="24"/>
          <w:szCs w:val="24"/>
          <w:lang w:val="en-GB"/>
        </w:rPr>
        <w:t xml:space="preserve">in </w:t>
      </w:r>
      <w:r w:rsidR="007E5DDB">
        <w:rPr>
          <w:rFonts w:ascii="Arial" w:hAnsi="Arial" w:cs="Arial"/>
          <w:sz w:val="24"/>
          <w:szCs w:val="24"/>
          <w:lang w:val="en-GB"/>
        </w:rPr>
        <w:t xml:space="preserve">matching the mirror data of most of its </w:t>
      </w:r>
      <w:r w:rsidR="004C4CD5" w:rsidRPr="005E2903">
        <w:rPr>
          <w:rFonts w:ascii="Arial" w:hAnsi="Arial" w:cs="Arial"/>
          <w:sz w:val="24"/>
          <w:szCs w:val="24"/>
          <w:lang w:val="en-GB"/>
        </w:rPr>
        <w:t>counterpart countries</w:t>
      </w:r>
      <w:r w:rsidR="007E5DDB">
        <w:rPr>
          <w:rFonts w:ascii="Arial" w:hAnsi="Arial" w:cs="Arial"/>
          <w:sz w:val="24"/>
          <w:szCs w:val="24"/>
          <w:lang w:val="en-GB"/>
        </w:rPr>
        <w:t>, either through bilateral misallocation or through under or overestimation</w:t>
      </w:r>
      <w:r w:rsidR="004C4CD5" w:rsidRPr="005E2903">
        <w:rPr>
          <w:rFonts w:ascii="Arial" w:hAnsi="Arial" w:cs="Arial"/>
          <w:sz w:val="24"/>
          <w:szCs w:val="24"/>
          <w:lang w:val="en-GB"/>
        </w:rPr>
        <w:t>.</w:t>
      </w:r>
    </w:p>
    <w:p w:rsidR="004C4CD5" w:rsidRDefault="004C4CD5" w:rsidP="004C4CD5">
      <w:pPr>
        <w:spacing w:before="120" w:after="0" w:line="360" w:lineRule="auto"/>
        <w:jc w:val="both"/>
        <w:rPr>
          <w:rFonts w:ascii="Arial" w:hAnsi="Arial" w:cs="Arial"/>
          <w:sz w:val="24"/>
          <w:szCs w:val="24"/>
          <w:lang w:val="en-GB"/>
        </w:rPr>
      </w:pPr>
      <w:r w:rsidRPr="004C4CD5">
        <w:rPr>
          <w:rFonts w:ascii="Arial" w:hAnsi="Arial" w:cs="Arial"/>
          <w:sz w:val="24"/>
          <w:szCs w:val="24"/>
          <w:lang w:val="en-GB"/>
        </w:rPr>
        <w:t xml:space="preserve">The </w:t>
      </w:r>
      <w:r w:rsidRPr="004C4CD5">
        <w:rPr>
          <w:rFonts w:ascii="Arial" w:hAnsi="Arial" w:cs="Arial"/>
          <w:b/>
          <w:sz w:val="24"/>
          <w:szCs w:val="24"/>
          <w:lang w:val="en-GB"/>
        </w:rPr>
        <w:t>XCGQ</w:t>
      </w:r>
      <w:r w:rsidRPr="004C4CD5">
        <w:rPr>
          <w:rFonts w:ascii="Arial" w:hAnsi="Arial" w:cs="Arial"/>
          <w:sz w:val="24"/>
          <w:szCs w:val="24"/>
          <w:lang w:val="en-GB"/>
        </w:rPr>
        <w:t xml:space="preserve"> is expressed as follows:</w:t>
      </w:r>
    </w:p>
    <w:p w:rsidR="002550BA" w:rsidRPr="002550BA" w:rsidRDefault="00D0107F" w:rsidP="002550BA">
      <w:pPr>
        <w:keepNext/>
        <w:spacing w:before="120" w:after="120"/>
        <w:jc w:val="both"/>
        <w:rPr>
          <w:rFonts w:ascii="Cambria Math" w:hAnsi="Cambria Math"/>
          <w:i/>
        </w:rPr>
      </w:pPr>
      <m:oMathPara>
        <m:oMath>
          <m:sSub>
            <m:sSubPr>
              <m:ctrlPr>
                <w:rPr>
                  <w:rFonts w:ascii="Cambria Math" w:hAnsi="Cambria Math"/>
                  <w:i/>
                </w:rPr>
              </m:ctrlPr>
            </m:sSubPr>
            <m:e>
              <m:r>
                <w:rPr>
                  <w:rFonts w:ascii="Cambria Math" w:hAnsi="Cambria Math"/>
                </w:rPr>
                <m:t>XCGQ</m:t>
              </m:r>
            </m:e>
            <m:sub>
              <m:r>
                <w:rPr>
                  <w:rFonts w:ascii="Cambria Math" w:hAnsi="Cambria Math"/>
                </w:rPr>
                <m:t>i</m:t>
              </m:r>
            </m:sub>
          </m:sSub>
          <m:r>
            <w:rPr>
              <w:rFonts w:ascii="Cambria Math" w:hAnsi="Cambria Math"/>
            </w:rPr>
            <m:t>=</m:t>
          </m:r>
          <m:d>
            <m:dPr>
              <m:begChr m:val="["/>
              <m:endChr m:val="]"/>
              <m:ctrlPr>
                <w:rPr>
                  <w:rFonts w:ascii="Cambria Math" w:hAnsi="Cambria Math"/>
                  <w:i/>
                </w:rPr>
              </m:ctrlPr>
            </m:dPr>
            <m:e>
              <m:r>
                <w:rPr>
                  <w:rFonts w:ascii="Cambria Math" w:hAnsi="Cambria Math"/>
                </w:rPr>
                <m:t>w.</m:t>
              </m:r>
              <m:f>
                <m:fPr>
                  <m:ctrlPr>
                    <w:rPr>
                      <w:rFonts w:ascii="Cambria Math" w:hAnsi="Cambria Math"/>
                      <w:i/>
                    </w:rPr>
                  </m:ctrlPr>
                </m:fPr>
                <m:num>
                  <m:d>
                    <m:dPr>
                      <m:begChr m:val="|"/>
                      <m:endChr m:val="|"/>
                      <m:ctrlPr>
                        <w:rPr>
                          <w:rFonts w:ascii="Cambria Math" w:hAnsi="Cambria Math"/>
                          <w:i/>
                        </w:rPr>
                      </m:ctrlPr>
                    </m:dPr>
                    <m:e>
                      <m:nary>
                        <m:naryPr>
                          <m:chr m:val="∑"/>
                          <m:limLoc m:val="undOvr"/>
                          <m:supHide m:val="1"/>
                          <m:ctrlPr>
                            <w:rPr>
                              <w:rFonts w:ascii="Cambria Math" w:hAnsi="Cambria Math"/>
                              <w:i/>
                            </w:rPr>
                          </m:ctrlPr>
                        </m:naryPr>
                        <m:sub>
                          <m:r>
                            <w:rPr>
                              <w:rFonts w:ascii="Cambria Math" w:hAnsi="Cambria Math"/>
                            </w:rPr>
                            <m:t>c</m:t>
                          </m:r>
                        </m:sub>
                        <m:sup/>
                        <m:e>
                          <m:sSub>
                            <m:sSubPr>
                              <m:ctrlPr>
                                <w:rPr>
                                  <w:rFonts w:ascii="Cambria Math" w:hAnsi="Cambria Math"/>
                                  <w:i/>
                                </w:rPr>
                              </m:ctrlPr>
                            </m:sSubPr>
                            <m:e>
                              <m:r>
                                <w:rPr>
                                  <w:rFonts w:ascii="Cambria Math" w:hAnsi="Cambria Math"/>
                                </w:rPr>
                                <m:t>A</m:t>
                              </m:r>
                            </m:e>
                            <m:sub>
                              <m:r>
                                <w:rPr>
                                  <w:rFonts w:ascii="Cambria Math" w:hAnsi="Cambria Math"/>
                                </w:rPr>
                                <m:t>i,c</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c</m:t>
                              </m:r>
                            </m:sub>
                            <m:sup/>
                            <m:e>
                              <m:sSub>
                                <m:sSubPr>
                                  <m:ctrlPr>
                                    <w:rPr>
                                      <w:rFonts w:ascii="Cambria Math" w:hAnsi="Cambria Math"/>
                                      <w:i/>
                                    </w:rPr>
                                  </m:ctrlPr>
                                </m:sSubPr>
                                <m:e>
                                  <m:r>
                                    <w:rPr>
                                      <w:rFonts w:ascii="Cambria Math" w:hAnsi="Cambria Math"/>
                                    </w:rPr>
                                    <m:t>L</m:t>
                                  </m:r>
                                </m:e>
                                <m:sub>
                                  <m:r>
                                    <w:rPr>
                                      <w:rFonts w:ascii="Cambria Math" w:hAnsi="Cambria Math"/>
                                    </w:rPr>
                                    <m:t>c,i</m:t>
                                  </m:r>
                                </m:sub>
                              </m:sSub>
                            </m:e>
                          </m:nary>
                        </m:e>
                      </m:nary>
                    </m:e>
                  </m:d>
                </m:num>
                <m:den>
                  <m:nary>
                    <m:naryPr>
                      <m:chr m:val="∑"/>
                      <m:limLoc m:val="undOvr"/>
                      <m:supHide m:val="1"/>
                      <m:ctrlPr>
                        <w:rPr>
                          <w:rFonts w:ascii="Cambria Math" w:hAnsi="Cambria Math"/>
                          <w:i/>
                        </w:rPr>
                      </m:ctrlPr>
                    </m:naryPr>
                    <m:sub>
                      <m:r>
                        <w:rPr>
                          <w:rFonts w:ascii="Cambria Math" w:hAnsi="Cambria Math"/>
                        </w:rPr>
                        <m:t>c</m:t>
                      </m:r>
                    </m:sub>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i,c</m:t>
                              </m:r>
                            </m:sub>
                          </m:sSub>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c</m:t>
                          </m:r>
                        </m:sub>
                        <m:sup/>
                        <m:e>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c,i</m:t>
                              </m:r>
                            </m:sub>
                          </m:sSub>
                          <m:r>
                            <w:rPr>
                              <w:rFonts w:ascii="Cambria Math" w:hAnsi="Cambria Math"/>
                            </w:rPr>
                            <m:t>|</m:t>
                          </m:r>
                        </m:e>
                      </m:nary>
                    </m:e>
                  </m:nary>
                </m:den>
              </m:f>
              <m:r>
                <w:rPr>
                  <w:rFonts w:ascii="Cambria Math" w:hAnsi="Cambria Math"/>
                </w:rPr>
                <m:t xml:space="preserve">+ </m:t>
              </m:r>
              <m:d>
                <m:dPr>
                  <m:ctrlPr>
                    <w:rPr>
                      <w:rFonts w:ascii="Cambria Math" w:hAnsi="Cambria Math"/>
                      <w:i/>
                    </w:rPr>
                  </m:ctrlPr>
                </m:dPr>
                <m:e>
                  <m:r>
                    <w:rPr>
                      <w:rFonts w:ascii="Cambria Math" w:hAnsi="Cambria Math"/>
                    </w:rPr>
                    <m:t>1-w</m:t>
                  </m:r>
                </m:e>
              </m:d>
              <m:r>
                <w:rPr>
                  <w:rFonts w:ascii="Cambria Math" w:hAnsi="Cambria Math"/>
                </w:rPr>
                <m:t>.</m:t>
              </m:r>
              <m:f>
                <m:fPr>
                  <m:ctrlPr>
                    <w:rPr>
                      <w:rFonts w:ascii="Cambria Math" w:hAnsi="Cambria Math"/>
                      <w:i/>
                    </w:rPr>
                  </m:ctrlPr>
                </m:fPr>
                <m:num>
                  <m:d>
                    <m:dPr>
                      <m:begChr m:val="|"/>
                      <m:endChr m:val="|"/>
                      <m:ctrlPr>
                        <w:rPr>
                          <w:rFonts w:ascii="Cambria Math" w:hAnsi="Cambria Math"/>
                          <w:i/>
                        </w:rPr>
                      </m:ctrlPr>
                    </m:dPr>
                    <m:e>
                      <m:nary>
                        <m:naryPr>
                          <m:chr m:val="∑"/>
                          <m:limLoc m:val="undOvr"/>
                          <m:supHide m:val="1"/>
                          <m:ctrlPr>
                            <w:rPr>
                              <w:rFonts w:ascii="Cambria Math" w:hAnsi="Cambria Math"/>
                              <w:i/>
                            </w:rPr>
                          </m:ctrlPr>
                        </m:naryPr>
                        <m:sub>
                          <m:r>
                            <w:rPr>
                              <w:rFonts w:ascii="Cambria Math" w:hAnsi="Cambria Math"/>
                            </w:rPr>
                            <m:t>c</m:t>
                          </m:r>
                        </m:sub>
                        <m:sup/>
                        <m:e>
                          <m:sSub>
                            <m:sSubPr>
                              <m:ctrlPr>
                                <w:rPr>
                                  <w:rFonts w:ascii="Cambria Math" w:hAnsi="Cambria Math"/>
                                  <w:i/>
                                </w:rPr>
                              </m:ctrlPr>
                            </m:sSubPr>
                            <m:e>
                              <m:r>
                                <w:rPr>
                                  <w:rFonts w:ascii="Cambria Math" w:hAnsi="Cambria Math"/>
                                </w:rPr>
                                <m:t>L</m:t>
                              </m:r>
                            </m:e>
                            <m:sub>
                              <m:r>
                                <w:rPr>
                                  <w:rFonts w:ascii="Cambria Math" w:hAnsi="Cambria Math"/>
                                </w:rPr>
                                <m:t>i,c</m:t>
                              </m:r>
                            </m:sub>
                          </m:sSub>
                          <m:r>
                            <w:rPr>
                              <w:rFonts w:ascii="Cambria Math" w:hAnsi="Cambria Math"/>
                            </w:rPr>
                            <m:t>-</m:t>
                          </m:r>
                          <m:nary>
                            <m:naryPr>
                              <m:chr m:val="∑"/>
                              <m:limLoc m:val="subSup"/>
                              <m:supHide m:val="1"/>
                              <m:ctrlPr>
                                <w:rPr>
                                  <w:rFonts w:ascii="Cambria Math" w:hAnsi="Cambria Math"/>
                                  <w:i/>
                                </w:rPr>
                              </m:ctrlPr>
                            </m:naryPr>
                            <m:sub>
                              <m:r>
                                <w:rPr>
                                  <w:rFonts w:ascii="Cambria Math" w:hAnsi="Cambria Math"/>
                                </w:rPr>
                                <m:t>C</m:t>
                              </m:r>
                            </m:sub>
                            <m:sup/>
                            <m:e>
                              <m:sSub>
                                <m:sSubPr>
                                  <m:ctrlPr>
                                    <w:rPr>
                                      <w:rFonts w:ascii="Cambria Math" w:hAnsi="Cambria Math"/>
                                      <w:i/>
                                    </w:rPr>
                                  </m:ctrlPr>
                                </m:sSubPr>
                                <m:e>
                                  <m:r>
                                    <w:rPr>
                                      <w:rFonts w:ascii="Cambria Math" w:hAnsi="Cambria Math"/>
                                    </w:rPr>
                                    <m:t>A</m:t>
                                  </m:r>
                                </m:e>
                                <m:sub>
                                  <m:r>
                                    <w:rPr>
                                      <w:rFonts w:ascii="Cambria Math" w:hAnsi="Cambria Math"/>
                                    </w:rPr>
                                    <m:t>c,i</m:t>
                                  </m:r>
                                </m:sub>
                              </m:sSub>
                            </m:e>
                          </m:nary>
                        </m:e>
                      </m:nary>
                    </m:e>
                  </m:d>
                </m:num>
                <m:den>
                  <m:nary>
                    <m:naryPr>
                      <m:chr m:val="∑"/>
                      <m:limLoc m:val="undOvr"/>
                      <m:supHide m:val="1"/>
                      <m:ctrlPr>
                        <w:rPr>
                          <w:rFonts w:ascii="Cambria Math" w:hAnsi="Cambria Math"/>
                          <w:i/>
                        </w:rPr>
                      </m:ctrlPr>
                    </m:naryPr>
                    <m:sub>
                      <m:r>
                        <w:rPr>
                          <w:rFonts w:ascii="Cambria Math" w:hAnsi="Cambria Math"/>
                        </w:rPr>
                        <m:t>c</m:t>
                      </m:r>
                    </m:sub>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i,c</m:t>
                              </m:r>
                            </m:sub>
                          </m:sSub>
                        </m:e>
                      </m:d>
                      <m:r>
                        <w:rPr>
                          <w:rFonts w:ascii="Cambria Math" w:hAnsi="Cambria Math"/>
                        </w:rPr>
                        <m:t>+</m:t>
                      </m:r>
                      <m:nary>
                        <m:naryPr>
                          <m:chr m:val="∑"/>
                          <m:limLoc m:val="subSup"/>
                          <m:supHide m:val="1"/>
                          <m:ctrlPr>
                            <w:rPr>
                              <w:rFonts w:ascii="Cambria Math" w:hAnsi="Cambria Math"/>
                              <w:i/>
                            </w:rPr>
                          </m:ctrlPr>
                        </m:naryPr>
                        <m:sub>
                          <m:r>
                            <w:rPr>
                              <w:rFonts w:ascii="Cambria Math" w:hAnsi="Cambria Math"/>
                            </w:rPr>
                            <m:t>C</m:t>
                          </m:r>
                        </m:sub>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c,i</m:t>
                                  </m:r>
                                </m:sub>
                              </m:sSub>
                            </m:e>
                          </m:d>
                        </m:e>
                      </m:nary>
                    </m:e>
                  </m:nary>
                </m:den>
              </m:f>
            </m:e>
          </m:d>
        </m:oMath>
      </m:oMathPara>
    </w:p>
    <w:p w:rsidR="002550BA" w:rsidRDefault="002550BA" w:rsidP="004C4CD5">
      <w:pPr>
        <w:spacing w:before="120" w:after="0" w:line="360" w:lineRule="auto"/>
        <w:jc w:val="both"/>
        <w:rPr>
          <w:rFonts w:ascii="Arial" w:hAnsi="Arial" w:cs="Arial"/>
          <w:sz w:val="24"/>
          <w:szCs w:val="24"/>
        </w:rPr>
      </w:pPr>
    </w:p>
    <w:p w:rsidR="004C4CD5" w:rsidRPr="004C4CD5" w:rsidRDefault="008524A6" w:rsidP="002550BA">
      <w:pPr>
        <w:spacing w:before="120" w:after="0" w:line="360" w:lineRule="auto"/>
        <w:jc w:val="both"/>
        <w:rPr>
          <w:rFonts w:ascii="Arial" w:hAnsi="Arial" w:cs="Arial"/>
          <w:sz w:val="24"/>
          <w:szCs w:val="24"/>
          <w:lang w:val="en-GB"/>
        </w:rPr>
      </w:pPr>
      <w:r>
        <w:rPr>
          <w:rFonts w:ascii="Arial" w:hAnsi="Arial" w:cs="Arial"/>
          <w:sz w:val="24"/>
          <w:szCs w:val="24"/>
          <w:lang w:val="en-GB"/>
        </w:rPr>
        <w:t>It</w:t>
      </w:r>
      <w:r w:rsidR="002550BA" w:rsidRPr="002550BA">
        <w:rPr>
          <w:rFonts w:ascii="Arial" w:hAnsi="Arial" w:cs="Arial"/>
          <w:sz w:val="24"/>
          <w:szCs w:val="24"/>
          <w:lang w:val="en-GB"/>
        </w:rPr>
        <w:t xml:space="preserve"> </w:t>
      </w:r>
      <w:r w:rsidR="00FC6BD8">
        <w:rPr>
          <w:rFonts w:ascii="Arial" w:hAnsi="Arial" w:cs="Arial"/>
          <w:sz w:val="24"/>
          <w:szCs w:val="24"/>
          <w:lang w:val="en-GB"/>
        </w:rPr>
        <w:t>measures the</w:t>
      </w:r>
      <w:r w:rsidR="002550BA" w:rsidRPr="002550BA">
        <w:rPr>
          <w:rFonts w:ascii="Arial" w:hAnsi="Arial" w:cs="Arial"/>
          <w:sz w:val="24"/>
          <w:szCs w:val="24"/>
          <w:lang w:val="en-GB"/>
        </w:rPr>
        <w:t xml:space="preserve"> absolute difference between the total sum of the intra-</w:t>
      </w:r>
      <w:r w:rsidR="00913DF4">
        <w:rPr>
          <w:rFonts w:ascii="Arial" w:hAnsi="Arial" w:cs="Arial"/>
          <w:sz w:val="24"/>
          <w:szCs w:val="24"/>
          <w:lang w:val="en-GB"/>
        </w:rPr>
        <w:t xml:space="preserve">country </w:t>
      </w:r>
      <w:r w:rsidR="002550BA" w:rsidRPr="002550BA">
        <w:rPr>
          <w:rFonts w:ascii="Arial" w:hAnsi="Arial" w:cs="Arial"/>
          <w:sz w:val="24"/>
          <w:szCs w:val="24"/>
          <w:lang w:val="en-GB"/>
        </w:rPr>
        <w:t>group values reported by the country</w:t>
      </w:r>
      <w:r w:rsidR="00913DF4">
        <w:rPr>
          <w:rFonts w:ascii="Arial" w:hAnsi="Arial" w:cs="Arial"/>
          <w:sz w:val="24"/>
          <w:szCs w:val="24"/>
          <w:lang w:val="en-GB"/>
        </w:rPr>
        <w:t xml:space="preserve"> </w:t>
      </w:r>
      <w:r w:rsidR="00913DF4" w:rsidRPr="00C54702">
        <w:rPr>
          <w:rFonts w:ascii="Arial" w:hAnsi="Arial" w:cs="Arial"/>
          <w:i/>
          <w:sz w:val="24"/>
          <w:szCs w:val="24"/>
          <w:lang w:val="en-GB"/>
        </w:rPr>
        <w:t>i</w:t>
      </w:r>
      <w:r w:rsidR="002550BA" w:rsidRPr="002550BA">
        <w:rPr>
          <w:rFonts w:ascii="Arial" w:hAnsi="Arial" w:cs="Arial"/>
          <w:sz w:val="24"/>
          <w:szCs w:val="24"/>
          <w:lang w:val="en-GB"/>
        </w:rPr>
        <w:t xml:space="preserve"> and the total su</w:t>
      </w:r>
      <w:r w:rsidR="00FC6BD8">
        <w:rPr>
          <w:rFonts w:ascii="Arial" w:hAnsi="Arial" w:cs="Arial"/>
          <w:sz w:val="24"/>
          <w:szCs w:val="24"/>
          <w:lang w:val="en-GB"/>
        </w:rPr>
        <w:t>m of the mirror data</w:t>
      </w:r>
      <w:r w:rsidR="00913DF4">
        <w:rPr>
          <w:rFonts w:ascii="Arial" w:hAnsi="Arial" w:cs="Arial"/>
          <w:sz w:val="24"/>
          <w:szCs w:val="24"/>
          <w:lang w:val="en-GB"/>
        </w:rPr>
        <w:t>.</w:t>
      </w:r>
      <w:r w:rsidR="00FC6BD8">
        <w:rPr>
          <w:rFonts w:ascii="Arial" w:hAnsi="Arial" w:cs="Arial"/>
          <w:sz w:val="24"/>
          <w:szCs w:val="24"/>
          <w:lang w:val="en-GB"/>
        </w:rPr>
        <w:t xml:space="preserve"> </w:t>
      </w:r>
      <w:r w:rsidR="00C54702">
        <w:rPr>
          <w:rFonts w:ascii="Arial" w:hAnsi="Arial" w:cs="Arial"/>
          <w:sz w:val="24"/>
          <w:szCs w:val="24"/>
          <w:lang w:val="en-GB"/>
        </w:rPr>
        <w:t>It</w:t>
      </w:r>
      <w:r w:rsidR="00F11D82">
        <w:rPr>
          <w:rFonts w:ascii="Arial" w:hAnsi="Arial" w:cs="Arial"/>
          <w:sz w:val="24"/>
          <w:szCs w:val="24"/>
          <w:lang w:val="en-GB"/>
        </w:rPr>
        <w:t xml:space="preserve"> provides </w:t>
      </w:r>
      <w:r w:rsidR="007E5DDB">
        <w:rPr>
          <w:rFonts w:ascii="Arial" w:hAnsi="Arial" w:cs="Arial"/>
          <w:sz w:val="24"/>
          <w:szCs w:val="24"/>
          <w:lang w:val="en-GB"/>
        </w:rPr>
        <w:t xml:space="preserve">an indication </w:t>
      </w:r>
      <w:r w:rsidR="002550BA" w:rsidRPr="002550BA">
        <w:rPr>
          <w:rFonts w:ascii="Arial" w:hAnsi="Arial" w:cs="Arial"/>
          <w:sz w:val="24"/>
          <w:szCs w:val="24"/>
          <w:lang w:val="en-GB"/>
        </w:rPr>
        <w:t>of over</w:t>
      </w:r>
      <w:r w:rsidR="00FC6BD8">
        <w:rPr>
          <w:rFonts w:ascii="Arial" w:hAnsi="Arial" w:cs="Arial"/>
          <w:sz w:val="24"/>
          <w:szCs w:val="24"/>
          <w:lang w:val="en-GB"/>
        </w:rPr>
        <w:t>/under</w:t>
      </w:r>
      <w:r w:rsidR="002550BA" w:rsidRPr="002550BA">
        <w:rPr>
          <w:rFonts w:ascii="Arial" w:hAnsi="Arial" w:cs="Arial"/>
          <w:sz w:val="24"/>
          <w:szCs w:val="24"/>
          <w:lang w:val="en-GB"/>
        </w:rPr>
        <w:t>-reporting by the country</w:t>
      </w:r>
      <w:r w:rsidR="00C54702">
        <w:rPr>
          <w:rFonts w:ascii="Arial" w:hAnsi="Arial" w:cs="Arial"/>
          <w:sz w:val="24"/>
          <w:szCs w:val="24"/>
          <w:lang w:val="en-GB"/>
        </w:rPr>
        <w:t xml:space="preserve"> under consideration</w:t>
      </w:r>
      <w:r w:rsidR="002550BA" w:rsidRPr="002550BA">
        <w:rPr>
          <w:rFonts w:ascii="Arial" w:hAnsi="Arial" w:cs="Arial"/>
          <w:sz w:val="24"/>
          <w:szCs w:val="24"/>
          <w:lang w:val="en-GB"/>
        </w:rPr>
        <w:t xml:space="preserve"> vis-à-vis the group of its </w:t>
      </w:r>
      <w:r w:rsidR="007E5DDB">
        <w:rPr>
          <w:rFonts w:ascii="Arial" w:hAnsi="Arial" w:cs="Arial"/>
          <w:sz w:val="24"/>
          <w:szCs w:val="24"/>
          <w:lang w:val="en-GB"/>
        </w:rPr>
        <w:t xml:space="preserve">counterparties </w:t>
      </w:r>
      <w:r w:rsidR="00F11D82">
        <w:rPr>
          <w:rFonts w:ascii="Arial" w:hAnsi="Arial" w:cs="Arial"/>
          <w:sz w:val="24"/>
          <w:szCs w:val="24"/>
          <w:lang w:val="en-GB"/>
        </w:rPr>
        <w:t xml:space="preserve">that </w:t>
      </w:r>
      <w:r w:rsidR="00E915FB">
        <w:rPr>
          <w:rFonts w:ascii="Arial" w:hAnsi="Arial" w:cs="Arial"/>
          <w:sz w:val="24"/>
          <w:szCs w:val="24"/>
          <w:lang w:val="en-GB"/>
        </w:rPr>
        <w:t xml:space="preserve">highlights </w:t>
      </w:r>
      <w:r w:rsidR="002550BA" w:rsidRPr="002550BA">
        <w:rPr>
          <w:rFonts w:ascii="Arial" w:hAnsi="Arial" w:cs="Arial"/>
          <w:sz w:val="24"/>
          <w:szCs w:val="24"/>
          <w:lang w:val="en-GB"/>
        </w:rPr>
        <w:t>problems with r</w:t>
      </w:r>
      <w:r w:rsidR="00FC6BD8">
        <w:rPr>
          <w:rFonts w:ascii="Arial" w:hAnsi="Arial" w:cs="Arial"/>
          <w:sz w:val="24"/>
          <w:szCs w:val="24"/>
          <w:lang w:val="en-GB"/>
        </w:rPr>
        <w:t xml:space="preserve">egards </w:t>
      </w:r>
      <w:r w:rsidR="00F11D82">
        <w:rPr>
          <w:rFonts w:ascii="Arial" w:hAnsi="Arial" w:cs="Arial"/>
          <w:sz w:val="24"/>
          <w:szCs w:val="24"/>
          <w:lang w:val="en-GB"/>
        </w:rPr>
        <w:t>the</w:t>
      </w:r>
      <w:r w:rsidR="00FC6BD8">
        <w:rPr>
          <w:rFonts w:ascii="Arial" w:hAnsi="Arial" w:cs="Arial"/>
          <w:sz w:val="24"/>
          <w:szCs w:val="24"/>
          <w:lang w:val="en-GB"/>
        </w:rPr>
        <w:t xml:space="preserve"> </w:t>
      </w:r>
      <w:r w:rsidR="00E915FB">
        <w:rPr>
          <w:rFonts w:ascii="Arial" w:hAnsi="Arial" w:cs="Arial"/>
          <w:sz w:val="24"/>
          <w:szCs w:val="24"/>
          <w:lang w:val="en-GB"/>
        </w:rPr>
        <w:t xml:space="preserve">overall </w:t>
      </w:r>
      <w:r w:rsidR="00FC6BD8">
        <w:rPr>
          <w:rFonts w:ascii="Arial" w:hAnsi="Arial" w:cs="Arial"/>
          <w:sz w:val="24"/>
          <w:szCs w:val="24"/>
          <w:lang w:val="en-GB"/>
        </w:rPr>
        <w:t>intra/</w:t>
      </w:r>
      <w:r w:rsidR="002550BA" w:rsidRPr="002550BA">
        <w:rPr>
          <w:rFonts w:ascii="Arial" w:hAnsi="Arial" w:cs="Arial"/>
          <w:sz w:val="24"/>
          <w:szCs w:val="24"/>
          <w:lang w:val="en-GB"/>
        </w:rPr>
        <w:t xml:space="preserve">extra </w:t>
      </w:r>
      <w:r w:rsidR="00F11D82">
        <w:rPr>
          <w:rFonts w:ascii="Arial" w:hAnsi="Arial" w:cs="Arial"/>
          <w:sz w:val="24"/>
          <w:szCs w:val="24"/>
          <w:lang w:val="en-GB"/>
        </w:rPr>
        <w:t xml:space="preserve">group </w:t>
      </w:r>
      <w:r w:rsidR="00FC6BD8">
        <w:rPr>
          <w:rFonts w:ascii="Arial" w:hAnsi="Arial" w:cs="Arial"/>
          <w:sz w:val="24"/>
          <w:szCs w:val="24"/>
          <w:lang w:val="en-GB"/>
        </w:rPr>
        <w:t xml:space="preserve">geographical </w:t>
      </w:r>
      <w:r w:rsidR="00F11D82">
        <w:rPr>
          <w:rFonts w:ascii="Arial" w:hAnsi="Arial" w:cs="Arial"/>
          <w:sz w:val="24"/>
          <w:szCs w:val="24"/>
          <w:lang w:val="en-GB"/>
        </w:rPr>
        <w:t>allocation, or a more general problem of coverage</w:t>
      </w:r>
      <w:r w:rsidR="002550BA" w:rsidRPr="002550BA">
        <w:rPr>
          <w:rFonts w:ascii="Arial" w:hAnsi="Arial" w:cs="Arial"/>
          <w:sz w:val="24"/>
          <w:szCs w:val="24"/>
          <w:lang w:val="en-GB"/>
        </w:rPr>
        <w:t xml:space="preserve">. </w:t>
      </w:r>
    </w:p>
    <w:p w:rsidR="004C4CD5" w:rsidRPr="004C4CD5" w:rsidRDefault="004C4CD5" w:rsidP="00FC6BD8">
      <w:pPr>
        <w:keepNext/>
        <w:spacing w:before="120" w:after="0" w:line="360" w:lineRule="auto"/>
        <w:jc w:val="both"/>
        <w:rPr>
          <w:rFonts w:ascii="Arial" w:hAnsi="Arial" w:cs="Arial"/>
          <w:sz w:val="24"/>
          <w:szCs w:val="24"/>
          <w:lang w:val="en-GB"/>
        </w:rPr>
      </w:pPr>
      <w:r w:rsidRPr="004C4CD5">
        <w:rPr>
          <w:rFonts w:ascii="Arial" w:hAnsi="Arial" w:cs="Arial"/>
          <w:sz w:val="24"/>
          <w:szCs w:val="24"/>
          <w:lang w:val="en-GB"/>
        </w:rPr>
        <w:t xml:space="preserve">The </w:t>
      </w:r>
      <w:r w:rsidR="00FC6BD8">
        <w:rPr>
          <w:rFonts w:ascii="Arial" w:hAnsi="Arial" w:cs="Arial"/>
          <w:b/>
          <w:sz w:val="24"/>
          <w:szCs w:val="24"/>
          <w:lang w:val="en-GB"/>
        </w:rPr>
        <w:t>RELV</w:t>
      </w:r>
      <w:r w:rsidRPr="004C4CD5">
        <w:rPr>
          <w:rFonts w:ascii="Arial" w:hAnsi="Arial" w:cs="Arial"/>
          <w:sz w:val="24"/>
          <w:szCs w:val="24"/>
          <w:lang w:val="en-GB"/>
        </w:rPr>
        <w:t xml:space="preserve"> is expressed as follows:</w:t>
      </w:r>
    </w:p>
    <w:p w:rsidR="002550BA" w:rsidRPr="002550BA" w:rsidRDefault="00D0107F" w:rsidP="00217E21">
      <w:pPr>
        <w:spacing w:before="120" w:after="120"/>
        <w:jc w:val="both"/>
      </w:pPr>
      <m:oMathPara>
        <m:oMath>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c</m:t>
                  </m:r>
                </m:sub>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i,c</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c,i</m:t>
                          </m:r>
                        </m:sub>
                      </m:sSub>
                    </m:e>
                  </m:d>
                  <m:r>
                    <w:rPr>
                      <w:rFonts w:ascii="Cambria Math" w:hAnsi="Cambria Math"/>
                    </w:rPr>
                    <m:t>+</m:t>
                  </m:r>
                </m:e>
              </m:nary>
              <m:nary>
                <m:naryPr>
                  <m:chr m:val="∑"/>
                  <m:limLoc m:val="undOvr"/>
                  <m:supHide m:val="1"/>
                  <m:ctrlPr>
                    <w:rPr>
                      <w:rFonts w:ascii="Cambria Math" w:hAnsi="Cambria Math"/>
                      <w:i/>
                    </w:rPr>
                  </m:ctrlPr>
                </m:naryPr>
                <m:sub>
                  <m:r>
                    <w:rPr>
                      <w:rFonts w:ascii="Cambria Math" w:hAnsi="Cambria Math"/>
                    </w:rPr>
                    <m:t>c</m:t>
                  </m:r>
                </m:sub>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i,c</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c,i</m:t>
                          </m:r>
                        </m:sub>
                      </m:sSub>
                    </m:e>
                  </m:d>
                </m:e>
              </m:nary>
            </m:num>
            <m:den>
              <m:nary>
                <m:naryPr>
                  <m:chr m:val="∑"/>
                  <m:limLoc m:val="undOvr"/>
                  <m:supHide m:val="1"/>
                  <m:ctrlPr>
                    <w:rPr>
                      <w:rFonts w:ascii="Cambria Math" w:hAnsi="Cambria Math"/>
                      <w:i/>
                    </w:rPr>
                  </m:ctrlPr>
                </m:naryPr>
                <m:sub>
                  <m:r>
                    <w:rPr>
                      <w:rFonts w:ascii="Cambria Math" w:hAnsi="Cambria Math"/>
                    </w:rPr>
                    <m:t>i</m:t>
                  </m:r>
                </m:sub>
                <m:sup/>
                <m:e>
                  <m:nary>
                    <m:naryPr>
                      <m:chr m:val="∑"/>
                      <m:limLoc m:val="undOvr"/>
                      <m:supHide m:val="1"/>
                      <m:ctrlPr>
                        <w:rPr>
                          <w:rFonts w:ascii="Cambria Math" w:hAnsi="Cambria Math"/>
                          <w:i/>
                        </w:rPr>
                      </m:ctrlPr>
                    </m:naryPr>
                    <m:sub>
                      <m:r>
                        <w:rPr>
                          <w:rFonts w:ascii="Cambria Math" w:hAnsi="Cambria Math"/>
                        </w:rPr>
                        <m:t>c</m:t>
                      </m:r>
                    </m:sub>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i,c</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c,i</m:t>
                              </m:r>
                            </m:sub>
                          </m:sSub>
                        </m:e>
                      </m:d>
                    </m:e>
                  </m:nary>
                </m:e>
              </m:nary>
            </m:den>
          </m:f>
        </m:oMath>
      </m:oMathPara>
    </w:p>
    <w:p w:rsidR="002550BA" w:rsidRPr="00550BE5" w:rsidRDefault="002550BA" w:rsidP="004C4CD5">
      <w:pPr>
        <w:spacing w:before="120" w:after="0" w:line="360" w:lineRule="auto"/>
        <w:jc w:val="both"/>
        <w:rPr>
          <w:rFonts w:ascii="Arial" w:hAnsi="Arial" w:cs="Arial"/>
          <w:sz w:val="24"/>
          <w:szCs w:val="24"/>
          <w:lang w:val="en-GB"/>
        </w:rPr>
      </w:pPr>
    </w:p>
    <w:p w:rsidR="00415B5C" w:rsidRDefault="00415B5C" w:rsidP="00D171F8">
      <w:pPr>
        <w:spacing w:before="120" w:after="0" w:line="360" w:lineRule="auto"/>
        <w:jc w:val="both"/>
        <w:rPr>
          <w:rFonts w:ascii="Arial" w:hAnsi="Arial" w:cs="Arial"/>
          <w:sz w:val="24"/>
          <w:szCs w:val="24"/>
          <w:lang w:val="en-GB"/>
        </w:rPr>
      </w:pPr>
      <w:r>
        <w:rPr>
          <w:rFonts w:ascii="Arial" w:hAnsi="Arial" w:cs="Arial"/>
          <w:sz w:val="24"/>
          <w:szCs w:val="24"/>
          <w:lang w:val="en-GB"/>
        </w:rPr>
        <w:t>T</w:t>
      </w:r>
      <w:r w:rsidRPr="004C4CD5">
        <w:rPr>
          <w:rFonts w:ascii="Arial" w:hAnsi="Arial" w:cs="Arial"/>
          <w:sz w:val="24"/>
          <w:szCs w:val="24"/>
          <w:lang w:val="en-GB"/>
        </w:rPr>
        <w:t xml:space="preserve">he relevance indicator </w:t>
      </w:r>
      <w:r w:rsidR="00E915FB">
        <w:rPr>
          <w:rFonts w:ascii="Arial" w:hAnsi="Arial" w:cs="Arial"/>
          <w:sz w:val="24"/>
          <w:szCs w:val="24"/>
          <w:lang w:val="en-GB"/>
        </w:rPr>
        <w:t xml:space="preserve">places </w:t>
      </w:r>
      <w:r w:rsidRPr="004C4CD5">
        <w:rPr>
          <w:rFonts w:ascii="Arial" w:hAnsi="Arial" w:cs="Arial"/>
          <w:sz w:val="24"/>
          <w:szCs w:val="24"/>
          <w:lang w:val="en-GB"/>
        </w:rPr>
        <w:t xml:space="preserve">the findings </w:t>
      </w:r>
      <w:r>
        <w:rPr>
          <w:rFonts w:ascii="Arial" w:hAnsi="Arial" w:cs="Arial"/>
          <w:sz w:val="24"/>
          <w:szCs w:val="24"/>
          <w:lang w:val="en-GB"/>
        </w:rPr>
        <w:t xml:space="preserve">of the </w:t>
      </w:r>
      <w:r w:rsidR="00E915FB">
        <w:rPr>
          <w:rFonts w:ascii="Arial" w:hAnsi="Arial" w:cs="Arial"/>
          <w:sz w:val="24"/>
          <w:szCs w:val="24"/>
          <w:lang w:val="en-GB"/>
        </w:rPr>
        <w:t xml:space="preserve">first </w:t>
      </w:r>
      <w:r>
        <w:rPr>
          <w:rFonts w:ascii="Arial" w:hAnsi="Arial" w:cs="Arial"/>
          <w:sz w:val="24"/>
          <w:szCs w:val="24"/>
          <w:lang w:val="en-GB"/>
        </w:rPr>
        <w:t xml:space="preserve">two indicators </w:t>
      </w:r>
      <w:r w:rsidRPr="004C4CD5">
        <w:rPr>
          <w:rFonts w:ascii="Arial" w:hAnsi="Arial" w:cs="Arial"/>
          <w:sz w:val="24"/>
          <w:szCs w:val="24"/>
          <w:lang w:val="en-GB"/>
        </w:rPr>
        <w:t xml:space="preserve">in context, as it measures each country’s </w:t>
      </w:r>
      <w:r w:rsidR="00445949">
        <w:rPr>
          <w:rFonts w:ascii="Arial" w:hAnsi="Arial" w:cs="Arial"/>
          <w:sz w:val="24"/>
          <w:szCs w:val="24"/>
          <w:lang w:val="en-GB"/>
        </w:rPr>
        <w:t>impact</w:t>
      </w:r>
      <w:r w:rsidR="00445949" w:rsidRPr="004C4CD5">
        <w:rPr>
          <w:rFonts w:ascii="Arial" w:hAnsi="Arial" w:cs="Arial"/>
          <w:sz w:val="24"/>
          <w:szCs w:val="24"/>
          <w:lang w:val="en-GB"/>
        </w:rPr>
        <w:t xml:space="preserve"> </w:t>
      </w:r>
      <w:r w:rsidR="00E915FB">
        <w:rPr>
          <w:rFonts w:ascii="Arial" w:hAnsi="Arial" w:cs="Arial"/>
          <w:sz w:val="24"/>
          <w:szCs w:val="24"/>
          <w:lang w:val="en-GB"/>
        </w:rPr>
        <w:t xml:space="preserve">to </w:t>
      </w:r>
      <w:r w:rsidRPr="004C4CD5">
        <w:rPr>
          <w:rFonts w:ascii="Arial" w:hAnsi="Arial" w:cs="Arial"/>
          <w:sz w:val="24"/>
          <w:szCs w:val="24"/>
          <w:lang w:val="en-GB"/>
        </w:rPr>
        <w:t xml:space="preserve">the overall </w:t>
      </w:r>
      <w:r w:rsidR="00E915FB">
        <w:rPr>
          <w:rFonts w:ascii="Arial" w:hAnsi="Arial" w:cs="Arial"/>
          <w:sz w:val="24"/>
          <w:szCs w:val="24"/>
          <w:lang w:val="en-GB"/>
        </w:rPr>
        <w:t xml:space="preserve">intra group </w:t>
      </w:r>
      <w:r w:rsidRPr="004C4CD5">
        <w:rPr>
          <w:rFonts w:ascii="Arial" w:hAnsi="Arial" w:cs="Arial"/>
          <w:sz w:val="24"/>
          <w:szCs w:val="24"/>
          <w:lang w:val="en-GB"/>
        </w:rPr>
        <w:t>asymmetry</w:t>
      </w:r>
      <w:r w:rsidR="006E00FF">
        <w:rPr>
          <w:rFonts w:ascii="Arial" w:hAnsi="Arial" w:cs="Arial"/>
          <w:sz w:val="24"/>
          <w:szCs w:val="24"/>
          <w:lang w:val="en-GB"/>
        </w:rPr>
        <w:t>.</w:t>
      </w:r>
      <w:r>
        <w:rPr>
          <w:rFonts w:ascii="Arial" w:hAnsi="Arial" w:cs="Arial"/>
          <w:sz w:val="24"/>
          <w:szCs w:val="24"/>
          <w:lang w:val="en-GB"/>
        </w:rPr>
        <w:t xml:space="preserve"> </w:t>
      </w:r>
      <w:r w:rsidR="006E00FF">
        <w:rPr>
          <w:rFonts w:ascii="Arial" w:hAnsi="Arial" w:cs="Arial"/>
          <w:sz w:val="24"/>
          <w:szCs w:val="24"/>
          <w:lang w:val="en-GB"/>
        </w:rPr>
        <w:t>I</w:t>
      </w:r>
      <w:r>
        <w:rPr>
          <w:rFonts w:ascii="Arial" w:hAnsi="Arial" w:cs="Arial"/>
          <w:sz w:val="24"/>
          <w:szCs w:val="24"/>
          <w:lang w:val="en-GB"/>
        </w:rPr>
        <w:t xml:space="preserve">t </w:t>
      </w:r>
      <w:r w:rsidR="00E915FB">
        <w:rPr>
          <w:rFonts w:ascii="Arial" w:hAnsi="Arial" w:cs="Arial"/>
          <w:sz w:val="24"/>
          <w:szCs w:val="24"/>
          <w:lang w:val="en-GB"/>
        </w:rPr>
        <w:t xml:space="preserve">is intended to </w:t>
      </w:r>
      <w:r>
        <w:rPr>
          <w:rFonts w:ascii="Arial" w:hAnsi="Arial" w:cs="Arial"/>
          <w:sz w:val="24"/>
          <w:szCs w:val="24"/>
          <w:lang w:val="en-GB"/>
        </w:rPr>
        <w:t>complement</w:t>
      </w:r>
      <w:r w:rsidR="00E915FB">
        <w:rPr>
          <w:rFonts w:ascii="Arial" w:hAnsi="Arial" w:cs="Arial"/>
          <w:sz w:val="24"/>
          <w:szCs w:val="24"/>
          <w:lang w:val="en-GB"/>
        </w:rPr>
        <w:t xml:space="preserve"> the first two measures and </w:t>
      </w:r>
      <w:r>
        <w:rPr>
          <w:rFonts w:ascii="Arial" w:hAnsi="Arial" w:cs="Arial"/>
          <w:sz w:val="24"/>
          <w:szCs w:val="24"/>
          <w:lang w:val="en-GB"/>
        </w:rPr>
        <w:t xml:space="preserve">to </w:t>
      </w:r>
      <w:r w:rsidR="00E915FB">
        <w:rPr>
          <w:rFonts w:ascii="Arial" w:hAnsi="Arial" w:cs="Arial"/>
          <w:sz w:val="24"/>
          <w:szCs w:val="24"/>
          <w:lang w:val="en-GB"/>
        </w:rPr>
        <w:t xml:space="preserve">summarize which </w:t>
      </w:r>
      <w:r>
        <w:rPr>
          <w:rFonts w:ascii="Arial" w:hAnsi="Arial" w:cs="Arial"/>
          <w:sz w:val="24"/>
          <w:szCs w:val="24"/>
          <w:lang w:val="en-GB"/>
        </w:rPr>
        <w:t>countries hav</w:t>
      </w:r>
      <w:r w:rsidR="00E915FB">
        <w:rPr>
          <w:rFonts w:ascii="Arial" w:hAnsi="Arial" w:cs="Arial"/>
          <w:sz w:val="24"/>
          <w:szCs w:val="24"/>
          <w:lang w:val="en-GB"/>
        </w:rPr>
        <w:t>e</w:t>
      </w:r>
      <w:r>
        <w:rPr>
          <w:rFonts w:ascii="Arial" w:hAnsi="Arial" w:cs="Arial"/>
          <w:sz w:val="24"/>
          <w:szCs w:val="24"/>
          <w:lang w:val="en-GB"/>
        </w:rPr>
        <w:t xml:space="preserve"> the </w:t>
      </w:r>
      <w:r>
        <w:rPr>
          <w:rFonts w:ascii="Arial" w:hAnsi="Arial" w:cs="Arial"/>
          <w:sz w:val="24"/>
          <w:szCs w:val="24"/>
          <w:lang w:val="en-GB"/>
        </w:rPr>
        <w:lastRenderedPageBreak/>
        <w:t xml:space="preserve">highest impact on the measured bilateral asymmetries. </w:t>
      </w:r>
      <w:r w:rsidR="006E00FF">
        <w:rPr>
          <w:rFonts w:ascii="Arial" w:hAnsi="Arial" w:cs="Arial"/>
          <w:sz w:val="24"/>
          <w:szCs w:val="24"/>
          <w:lang w:val="en-GB"/>
        </w:rPr>
        <w:t>For example, i</w:t>
      </w:r>
      <w:r w:rsidR="00445949">
        <w:rPr>
          <w:rFonts w:ascii="Arial" w:hAnsi="Arial" w:cs="Arial"/>
          <w:sz w:val="24"/>
          <w:szCs w:val="24"/>
          <w:lang w:val="en-GB"/>
        </w:rPr>
        <w:t>n the case of the</w:t>
      </w:r>
      <w:r w:rsidR="00D171F8" w:rsidRPr="00D171F8">
        <w:rPr>
          <w:rFonts w:ascii="Arial" w:hAnsi="Arial" w:cs="Arial"/>
          <w:sz w:val="24"/>
          <w:szCs w:val="24"/>
          <w:lang w:val="en-GB"/>
        </w:rPr>
        <w:t xml:space="preserve"> </w:t>
      </w:r>
      <w:r>
        <w:rPr>
          <w:rFonts w:ascii="Arial" w:hAnsi="Arial" w:cs="Arial"/>
          <w:sz w:val="24"/>
          <w:szCs w:val="24"/>
          <w:lang w:val="en-GB"/>
        </w:rPr>
        <w:t>euro area</w:t>
      </w:r>
      <w:r w:rsidR="00445949">
        <w:rPr>
          <w:rFonts w:ascii="Arial" w:hAnsi="Arial" w:cs="Arial"/>
          <w:sz w:val="24"/>
          <w:szCs w:val="24"/>
          <w:lang w:val="en-GB"/>
        </w:rPr>
        <w:t xml:space="preserve">, </w:t>
      </w:r>
      <w:r w:rsidR="00D171F8" w:rsidRPr="00D171F8">
        <w:rPr>
          <w:rFonts w:ascii="Arial" w:hAnsi="Arial" w:cs="Arial"/>
          <w:sz w:val="24"/>
          <w:szCs w:val="24"/>
          <w:lang w:val="en-GB"/>
        </w:rPr>
        <w:t xml:space="preserve">the relevance indicator would provide </w:t>
      </w:r>
      <w:r>
        <w:rPr>
          <w:rFonts w:ascii="Arial" w:hAnsi="Arial" w:cs="Arial"/>
          <w:sz w:val="24"/>
          <w:szCs w:val="24"/>
          <w:lang w:val="en-GB"/>
        </w:rPr>
        <w:t xml:space="preserve">an assessment of the </w:t>
      </w:r>
      <w:r w:rsidR="007E24DE">
        <w:rPr>
          <w:rFonts w:ascii="Arial" w:hAnsi="Arial" w:cs="Arial"/>
          <w:sz w:val="24"/>
          <w:szCs w:val="24"/>
          <w:lang w:val="en-GB"/>
        </w:rPr>
        <w:t>weight</w:t>
      </w:r>
      <w:r w:rsidR="005B5A92">
        <w:rPr>
          <w:rFonts w:ascii="Arial" w:hAnsi="Arial" w:cs="Arial"/>
          <w:sz w:val="24"/>
          <w:szCs w:val="24"/>
          <w:lang w:val="en-GB"/>
        </w:rPr>
        <w:t xml:space="preserve"> </w:t>
      </w:r>
      <w:r>
        <w:rPr>
          <w:rFonts w:ascii="Arial" w:hAnsi="Arial" w:cs="Arial"/>
          <w:sz w:val="24"/>
          <w:szCs w:val="24"/>
          <w:lang w:val="en-GB"/>
        </w:rPr>
        <w:t>of a country</w:t>
      </w:r>
      <w:r w:rsidR="00D171F8" w:rsidRPr="00D171F8">
        <w:rPr>
          <w:rFonts w:ascii="Arial" w:hAnsi="Arial" w:cs="Arial"/>
          <w:sz w:val="24"/>
          <w:szCs w:val="24"/>
          <w:lang w:val="en-GB"/>
        </w:rPr>
        <w:t xml:space="preserve"> </w:t>
      </w:r>
      <w:r w:rsidR="005B5A92">
        <w:rPr>
          <w:rFonts w:ascii="Arial" w:hAnsi="Arial" w:cs="Arial"/>
          <w:sz w:val="24"/>
          <w:szCs w:val="24"/>
          <w:lang w:val="en-GB"/>
        </w:rPr>
        <w:t xml:space="preserve">to </w:t>
      </w:r>
      <w:r>
        <w:rPr>
          <w:rFonts w:ascii="Arial" w:hAnsi="Arial" w:cs="Arial"/>
          <w:sz w:val="24"/>
          <w:szCs w:val="24"/>
          <w:lang w:val="en-GB"/>
        </w:rPr>
        <w:t xml:space="preserve">the </w:t>
      </w:r>
      <w:r w:rsidR="00445949">
        <w:rPr>
          <w:rFonts w:ascii="Arial" w:hAnsi="Arial" w:cs="Arial"/>
          <w:sz w:val="24"/>
          <w:szCs w:val="24"/>
          <w:lang w:val="en-GB"/>
        </w:rPr>
        <w:t>intra euro area</w:t>
      </w:r>
      <w:r w:rsidR="00445949" w:rsidRPr="00D171F8">
        <w:rPr>
          <w:rFonts w:ascii="Arial" w:hAnsi="Arial" w:cs="Arial"/>
          <w:sz w:val="24"/>
          <w:szCs w:val="24"/>
          <w:lang w:val="en-GB"/>
        </w:rPr>
        <w:t xml:space="preserve"> </w:t>
      </w:r>
      <w:r w:rsidR="00D171F8" w:rsidRPr="00D171F8">
        <w:rPr>
          <w:rFonts w:ascii="Arial" w:hAnsi="Arial" w:cs="Arial"/>
          <w:sz w:val="24"/>
          <w:szCs w:val="24"/>
          <w:lang w:val="en-GB"/>
        </w:rPr>
        <w:t>asymmetry</w:t>
      </w:r>
      <w:r w:rsidR="005B5A92">
        <w:rPr>
          <w:rFonts w:ascii="Arial" w:hAnsi="Arial" w:cs="Arial"/>
          <w:sz w:val="24"/>
          <w:szCs w:val="24"/>
          <w:lang w:val="en-GB"/>
        </w:rPr>
        <w:t>, and thus directly to the quality of the corresponding EA balance of payments item</w:t>
      </w:r>
      <w:r>
        <w:rPr>
          <w:rFonts w:ascii="Arial" w:hAnsi="Arial" w:cs="Arial"/>
          <w:sz w:val="24"/>
          <w:szCs w:val="24"/>
          <w:lang w:val="en-GB"/>
        </w:rPr>
        <w:t>.</w:t>
      </w:r>
    </w:p>
    <w:p w:rsidR="00D02B1E" w:rsidRDefault="00D02B1E" w:rsidP="00D02B1E">
      <w:pPr>
        <w:spacing w:before="360" w:after="0" w:line="360" w:lineRule="auto"/>
        <w:jc w:val="both"/>
        <w:rPr>
          <w:rFonts w:ascii="Arial" w:hAnsi="Arial" w:cs="Arial"/>
          <w:i/>
          <w:sz w:val="24"/>
          <w:szCs w:val="24"/>
          <w:lang w:val="en-GB"/>
        </w:rPr>
      </w:pPr>
      <w:r w:rsidRPr="00D02B1E">
        <w:rPr>
          <w:rFonts w:ascii="Arial" w:hAnsi="Arial" w:cs="Arial"/>
          <w:i/>
          <w:sz w:val="24"/>
          <w:szCs w:val="24"/>
          <w:lang w:val="en-GB"/>
        </w:rPr>
        <w:t>2.</w:t>
      </w:r>
      <w:r w:rsidR="004C4CD5">
        <w:rPr>
          <w:rFonts w:ascii="Arial" w:hAnsi="Arial" w:cs="Arial"/>
          <w:i/>
          <w:sz w:val="24"/>
          <w:szCs w:val="24"/>
          <w:lang w:val="en-GB"/>
        </w:rPr>
        <w:t>2</w:t>
      </w:r>
      <w:r w:rsidRPr="00D02B1E">
        <w:rPr>
          <w:rFonts w:ascii="Arial" w:hAnsi="Arial" w:cs="Arial"/>
          <w:i/>
          <w:sz w:val="24"/>
          <w:szCs w:val="24"/>
          <w:lang w:val="en-GB"/>
        </w:rPr>
        <w:t xml:space="preserve"> Numerical example</w:t>
      </w:r>
    </w:p>
    <w:p w:rsidR="003F2A50" w:rsidRDefault="007843CE" w:rsidP="00532242">
      <w:pPr>
        <w:spacing w:before="120" w:after="0" w:line="360" w:lineRule="auto"/>
        <w:jc w:val="both"/>
        <w:rPr>
          <w:rFonts w:ascii="Arial" w:hAnsi="Arial" w:cs="Arial"/>
          <w:sz w:val="24"/>
          <w:szCs w:val="24"/>
          <w:lang w:val="en-GB"/>
        </w:rPr>
      </w:pPr>
      <w:r>
        <w:rPr>
          <w:rFonts w:ascii="Arial" w:hAnsi="Arial" w:cs="Arial"/>
          <w:sz w:val="24"/>
          <w:szCs w:val="24"/>
          <w:lang w:val="en-GB"/>
        </w:rPr>
        <w:t>A s</w:t>
      </w:r>
      <w:r w:rsidR="00EE4F51">
        <w:rPr>
          <w:rFonts w:ascii="Arial" w:hAnsi="Arial" w:cs="Arial"/>
          <w:sz w:val="24"/>
          <w:szCs w:val="24"/>
          <w:lang w:val="en-GB"/>
        </w:rPr>
        <w:t>tylised n</w:t>
      </w:r>
      <w:r w:rsidR="007F486E">
        <w:rPr>
          <w:rFonts w:ascii="Arial" w:hAnsi="Arial" w:cs="Arial"/>
          <w:sz w:val="24"/>
          <w:szCs w:val="24"/>
          <w:lang w:val="en-GB"/>
        </w:rPr>
        <w:t xml:space="preserve">umerical example </w:t>
      </w:r>
      <w:r>
        <w:rPr>
          <w:rFonts w:ascii="Arial" w:hAnsi="Arial" w:cs="Arial"/>
          <w:sz w:val="24"/>
          <w:szCs w:val="24"/>
          <w:lang w:val="en-GB"/>
        </w:rPr>
        <w:t>is</w:t>
      </w:r>
      <w:r w:rsidR="007F486E">
        <w:rPr>
          <w:rFonts w:ascii="Arial" w:hAnsi="Arial" w:cs="Arial"/>
          <w:sz w:val="24"/>
          <w:szCs w:val="24"/>
          <w:lang w:val="en-GB"/>
        </w:rPr>
        <w:t xml:space="preserve"> presented here to illustrate </w:t>
      </w:r>
      <w:r w:rsidR="00E317AE">
        <w:rPr>
          <w:rFonts w:ascii="Arial" w:hAnsi="Arial" w:cs="Arial"/>
          <w:sz w:val="24"/>
          <w:szCs w:val="24"/>
          <w:lang w:val="en-GB"/>
        </w:rPr>
        <w:t xml:space="preserve">the </w:t>
      </w:r>
      <w:r w:rsidR="00915CA9">
        <w:rPr>
          <w:rFonts w:ascii="Arial" w:hAnsi="Arial" w:cs="Arial"/>
          <w:sz w:val="24"/>
          <w:szCs w:val="24"/>
          <w:lang w:val="en-GB"/>
        </w:rPr>
        <w:t xml:space="preserve">behaviour of the </w:t>
      </w:r>
      <w:r w:rsidR="00E317AE">
        <w:rPr>
          <w:rFonts w:ascii="Arial" w:hAnsi="Arial" w:cs="Arial"/>
          <w:sz w:val="24"/>
          <w:szCs w:val="24"/>
          <w:lang w:val="en-GB"/>
        </w:rPr>
        <w:t>three measures.</w:t>
      </w:r>
      <w:r w:rsidR="007F486E">
        <w:rPr>
          <w:rFonts w:ascii="Arial" w:hAnsi="Arial" w:cs="Arial"/>
          <w:sz w:val="24"/>
          <w:szCs w:val="24"/>
          <w:lang w:val="en-GB"/>
        </w:rPr>
        <w:t xml:space="preserve"> </w:t>
      </w:r>
      <w:r w:rsidR="00E317AE">
        <w:rPr>
          <w:rFonts w:ascii="Arial" w:hAnsi="Arial" w:cs="Arial"/>
          <w:sz w:val="24"/>
          <w:szCs w:val="24"/>
          <w:lang w:val="en-GB"/>
        </w:rPr>
        <w:t>We</w:t>
      </w:r>
      <w:r w:rsidR="00E915FB">
        <w:rPr>
          <w:rFonts w:ascii="Arial" w:hAnsi="Arial" w:cs="Arial"/>
          <w:sz w:val="24"/>
          <w:szCs w:val="24"/>
          <w:lang w:val="en-GB"/>
        </w:rPr>
        <w:t xml:space="preserve"> </w:t>
      </w:r>
      <w:r w:rsidR="00915CA9">
        <w:rPr>
          <w:rFonts w:ascii="Arial" w:hAnsi="Arial" w:cs="Arial"/>
          <w:sz w:val="24"/>
          <w:szCs w:val="24"/>
          <w:lang w:val="en-GB"/>
        </w:rPr>
        <w:t xml:space="preserve">consider </w:t>
      </w:r>
      <w:r w:rsidR="001128A2">
        <w:rPr>
          <w:rFonts w:ascii="Arial" w:hAnsi="Arial" w:cs="Arial"/>
          <w:sz w:val="24"/>
          <w:szCs w:val="24"/>
          <w:lang w:val="en-GB"/>
        </w:rPr>
        <w:t>5</w:t>
      </w:r>
      <w:r w:rsidR="00532242">
        <w:rPr>
          <w:rFonts w:ascii="Arial" w:hAnsi="Arial" w:cs="Arial"/>
          <w:sz w:val="24"/>
          <w:szCs w:val="24"/>
          <w:lang w:val="en-GB"/>
        </w:rPr>
        <w:t xml:space="preserve"> countries (C1, C2, C3</w:t>
      </w:r>
      <w:r w:rsidR="001128A2">
        <w:rPr>
          <w:rFonts w:ascii="Arial" w:hAnsi="Arial" w:cs="Arial"/>
          <w:sz w:val="24"/>
          <w:szCs w:val="24"/>
          <w:lang w:val="en-GB"/>
        </w:rPr>
        <w:t>,</w:t>
      </w:r>
      <w:r w:rsidR="006B4F7B">
        <w:rPr>
          <w:rFonts w:ascii="Arial" w:hAnsi="Arial" w:cs="Arial"/>
          <w:sz w:val="24"/>
          <w:szCs w:val="24"/>
          <w:lang w:val="en-GB"/>
        </w:rPr>
        <w:t xml:space="preserve"> C4</w:t>
      </w:r>
      <w:r w:rsidR="00915CA9">
        <w:rPr>
          <w:rFonts w:ascii="Arial" w:hAnsi="Arial" w:cs="Arial"/>
          <w:sz w:val="24"/>
          <w:szCs w:val="24"/>
          <w:lang w:val="en-GB"/>
        </w:rPr>
        <w:t>,</w:t>
      </w:r>
      <w:r w:rsidR="001128A2">
        <w:rPr>
          <w:rFonts w:ascii="Arial" w:hAnsi="Arial" w:cs="Arial"/>
          <w:sz w:val="24"/>
          <w:szCs w:val="24"/>
          <w:lang w:val="en-GB"/>
        </w:rPr>
        <w:t xml:space="preserve"> </w:t>
      </w:r>
      <w:r w:rsidR="00915CA9">
        <w:rPr>
          <w:rFonts w:ascii="Arial" w:hAnsi="Arial" w:cs="Arial"/>
          <w:sz w:val="24"/>
          <w:szCs w:val="24"/>
          <w:lang w:val="en-GB"/>
        </w:rPr>
        <w:t>and C5</w:t>
      </w:r>
      <w:r w:rsidR="00532242">
        <w:rPr>
          <w:rFonts w:ascii="Arial" w:hAnsi="Arial" w:cs="Arial"/>
          <w:sz w:val="24"/>
          <w:szCs w:val="24"/>
          <w:lang w:val="en-GB"/>
        </w:rPr>
        <w:t xml:space="preserve">) </w:t>
      </w:r>
      <w:r w:rsidR="00E915FB">
        <w:rPr>
          <w:rFonts w:ascii="Arial" w:hAnsi="Arial" w:cs="Arial"/>
          <w:sz w:val="24"/>
          <w:szCs w:val="24"/>
          <w:lang w:val="en-GB"/>
        </w:rPr>
        <w:t xml:space="preserve">which </w:t>
      </w:r>
      <w:r w:rsidR="00532242">
        <w:rPr>
          <w:rFonts w:ascii="Arial" w:hAnsi="Arial" w:cs="Arial"/>
          <w:sz w:val="24"/>
          <w:szCs w:val="24"/>
          <w:lang w:val="en-GB"/>
        </w:rPr>
        <w:t>are part of a specific regional grouping (G</w:t>
      </w:r>
      <w:r w:rsidR="001128A2">
        <w:rPr>
          <w:rFonts w:ascii="Arial" w:hAnsi="Arial" w:cs="Arial"/>
          <w:sz w:val="24"/>
          <w:szCs w:val="24"/>
          <w:lang w:val="en-GB"/>
        </w:rPr>
        <w:t>5</w:t>
      </w:r>
      <w:r w:rsidR="00532242">
        <w:rPr>
          <w:rFonts w:ascii="Arial" w:hAnsi="Arial" w:cs="Arial"/>
          <w:sz w:val="24"/>
          <w:szCs w:val="24"/>
          <w:lang w:val="en-GB"/>
        </w:rPr>
        <w:t>)</w:t>
      </w:r>
      <w:r w:rsidR="00DA6171">
        <w:rPr>
          <w:rFonts w:ascii="Arial" w:hAnsi="Arial" w:cs="Arial"/>
          <w:sz w:val="24"/>
          <w:szCs w:val="24"/>
          <w:lang w:val="en-GB"/>
        </w:rPr>
        <w:t>.</w:t>
      </w:r>
      <w:r w:rsidR="00532242">
        <w:rPr>
          <w:rFonts w:ascii="Arial" w:hAnsi="Arial" w:cs="Arial"/>
          <w:sz w:val="24"/>
          <w:szCs w:val="24"/>
          <w:lang w:val="en-GB"/>
        </w:rPr>
        <w:t xml:space="preserve"> </w:t>
      </w:r>
      <w:r w:rsidR="006E00FF">
        <w:rPr>
          <w:rFonts w:ascii="Arial" w:hAnsi="Arial" w:cs="Arial"/>
          <w:sz w:val="24"/>
          <w:szCs w:val="24"/>
          <w:lang w:val="en-GB"/>
        </w:rPr>
        <w:t xml:space="preserve">We </w:t>
      </w:r>
      <w:r w:rsidR="00E915FB">
        <w:rPr>
          <w:rFonts w:ascii="Arial" w:hAnsi="Arial" w:cs="Arial"/>
          <w:sz w:val="24"/>
          <w:szCs w:val="24"/>
          <w:lang w:val="en-GB"/>
        </w:rPr>
        <w:t xml:space="preserve">construct </w:t>
      </w:r>
      <w:r w:rsidR="006E00FF">
        <w:rPr>
          <w:rFonts w:ascii="Arial" w:hAnsi="Arial" w:cs="Arial"/>
          <w:sz w:val="24"/>
          <w:szCs w:val="24"/>
          <w:lang w:val="en-GB"/>
        </w:rPr>
        <w:t>a</w:t>
      </w:r>
      <w:r w:rsidR="00DA6171">
        <w:rPr>
          <w:rFonts w:ascii="Arial" w:hAnsi="Arial" w:cs="Arial"/>
          <w:sz w:val="24"/>
          <w:szCs w:val="24"/>
          <w:lang w:val="en-GB"/>
        </w:rPr>
        <w:t xml:space="preserve"> </w:t>
      </w:r>
      <w:r w:rsidR="006B4F7B">
        <w:rPr>
          <w:rFonts w:ascii="Arial" w:hAnsi="Arial" w:cs="Arial"/>
          <w:sz w:val="24"/>
          <w:szCs w:val="24"/>
          <w:lang w:val="en-GB"/>
        </w:rPr>
        <w:t xml:space="preserve">dataset </w:t>
      </w:r>
      <w:r w:rsidR="006E00FF">
        <w:rPr>
          <w:rFonts w:ascii="Arial" w:hAnsi="Arial" w:cs="Arial"/>
          <w:sz w:val="24"/>
          <w:szCs w:val="24"/>
          <w:lang w:val="en-GB"/>
        </w:rPr>
        <w:t xml:space="preserve">that </w:t>
      </w:r>
      <w:r w:rsidR="006B4F7B">
        <w:rPr>
          <w:rFonts w:ascii="Arial" w:hAnsi="Arial" w:cs="Arial"/>
          <w:sz w:val="24"/>
          <w:szCs w:val="24"/>
          <w:lang w:val="en-GB"/>
        </w:rPr>
        <w:t>include</w:t>
      </w:r>
      <w:r w:rsidR="006E00FF">
        <w:rPr>
          <w:rFonts w:ascii="Arial" w:hAnsi="Arial" w:cs="Arial"/>
          <w:sz w:val="24"/>
          <w:szCs w:val="24"/>
          <w:lang w:val="en-GB"/>
        </w:rPr>
        <w:t>s</w:t>
      </w:r>
      <w:r w:rsidR="006B4F7B">
        <w:rPr>
          <w:rFonts w:ascii="Arial" w:hAnsi="Arial" w:cs="Arial"/>
          <w:sz w:val="24"/>
          <w:szCs w:val="24"/>
          <w:lang w:val="en-GB"/>
        </w:rPr>
        <w:t xml:space="preserve"> bilateral </w:t>
      </w:r>
      <w:r w:rsidR="00393AFC">
        <w:rPr>
          <w:rFonts w:ascii="Arial" w:hAnsi="Arial" w:cs="Arial"/>
          <w:sz w:val="24"/>
          <w:szCs w:val="24"/>
          <w:lang w:val="en-GB"/>
        </w:rPr>
        <w:t>transactions</w:t>
      </w:r>
      <w:r w:rsidR="006E00FF">
        <w:rPr>
          <w:rFonts w:ascii="Arial" w:hAnsi="Arial" w:cs="Arial"/>
          <w:sz w:val="24"/>
          <w:szCs w:val="24"/>
          <w:lang w:val="en-GB"/>
        </w:rPr>
        <w:t xml:space="preserve"> in assets and liabilities </w:t>
      </w:r>
      <w:r w:rsidR="00E915FB">
        <w:rPr>
          <w:rFonts w:ascii="Arial" w:hAnsi="Arial" w:cs="Arial"/>
          <w:sz w:val="24"/>
          <w:szCs w:val="24"/>
          <w:lang w:val="en-GB"/>
        </w:rPr>
        <w:t xml:space="preserve">as </w:t>
      </w:r>
      <w:r w:rsidR="002F0BE5">
        <w:rPr>
          <w:rFonts w:ascii="Arial" w:hAnsi="Arial" w:cs="Arial"/>
          <w:sz w:val="24"/>
          <w:szCs w:val="24"/>
          <w:lang w:val="en-GB"/>
        </w:rPr>
        <w:t>reported by each of</w:t>
      </w:r>
      <w:r w:rsidR="006E00FF">
        <w:rPr>
          <w:rFonts w:ascii="Arial" w:hAnsi="Arial" w:cs="Arial"/>
          <w:sz w:val="24"/>
          <w:szCs w:val="24"/>
          <w:lang w:val="en-GB"/>
        </w:rPr>
        <w:t xml:space="preserve"> the 5 countries vis-à-vis </w:t>
      </w:r>
      <w:r w:rsidR="00E915FB">
        <w:rPr>
          <w:rFonts w:ascii="Arial" w:hAnsi="Arial" w:cs="Arial"/>
          <w:sz w:val="24"/>
          <w:szCs w:val="24"/>
          <w:lang w:val="en-GB"/>
        </w:rPr>
        <w:t xml:space="preserve">their </w:t>
      </w:r>
      <w:r w:rsidR="006E00FF">
        <w:rPr>
          <w:rFonts w:ascii="Arial" w:hAnsi="Arial" w:cs="Arial"/>
          <w:sz w:val="24"/>
          <w:szCs w:val="24"/>
          <w:lang w:val="en-GB"/>
        </w:rPr>
        <w:t xml:space="preserve">4 </w:t>
      </w:r>
      <w:r w:rsidR="00E915FB">
        <w:rPr>
          <w:rFonts w:ascii="Arial" w:hAnsi="Arial" w:cs="Arial"/>
          <w:sz w:val="24"/>
          <w:szCs w:val="24"/>
          <w:lang w:val="en-GB"/>
        </w:rPr>
        <w:t xml:space="preserve">respective </w:t>
      </w:r>
      <w:r w:rsidR="002F0BE5">
        <w:rPr>
          <w:rFonts w:ascii="Arial" w:hAnsi="Arial" w:cs="Arial"/>
          <w:sz w:val="24"/>
          <w:szCs w:val="24"/>
          <w:lang w:val="en-GB"/>
        </w:rPr>
        <w:t>counterparts.</w:t>
      </w:r>
      <w:r w:rsidR="00D80E98">
        <w:rPr>
          <w:rFonts w:ascii="Arial" w:hAnsi="Arial" w:cs="Arial"/>
          <w:sz w:val="24"/>
          <w:szCs w:val="24"/>
          <w:lang w:val="en-GB"/>
        </w:rPr>
        <w:t xml:space="preserve"> </w:t>
      </w:r>
    </w:p>
    <w:p w:rsidR="00203D66" w:rsidRDefault="003F2A50" w:rsidP="00532242">
      <w:pPr>
        <w:spacing w:before="120" w:after="0" w:line="360" w:lineRule="auto"/>
        <w:jc w:val="both"/>
        <w:rPr>
          <w:rFonts w:ascii="Arial" w:hAnsi="Arial" w:cs="Arial"/>
          <w:sz w:val="24"/>
          <w:szCs w:val="24"/>
          <w:lang w:val="en-GB"/>
        </w:rPr>
      </w:pPr>
      <w:r>
        <w:rPr>
          <w:rFonts w:ascii="Arial" w:hAnsi="Arial" w:cs="Arial"/>
          <w:sz w:val="24"/>
          <w:szCs w:val="24"/>
          <w:lang w:val="en-GB"/>
        </w:rPr>
        <w:t xml:space="preserve">We focus on the perspective of country C1 and we calculate the ICGQ, XCGQ and RELV for </w:t>
      </w:r>
      <w:r w:rsidR="000F2E66">
        <w:rPr>
          <w:rFonts w:ascii="Arial" w:hAnsi="Arial" w:cs="Arial"/>
          <w:sz w:val="24"/>
          <w:szCs w:val="24"/>
          <w:lang w:val="en-GB"/>
        </w:rPr>
        <w:t>this country, u</w:t>
      </w:r>
      <w:r>
        <w:rPr>
          <w:rFonts w:ascii="Arial" w:hAnsi="Arial" w:cs="Arial"/>
          <w:sz w:val="24"/>
          <w:szCs w:val="24"/>
          <w:lang w:val="en-GB"/>
        </w:rPr>
        <w:t xml:space="preserve">nder 3 different </w:t>
      </w:r>
      <w:r w:rsidR="00EB42B4">
        <w:rPr>
          <w:rFonts w:ascii="Arial" w:hAnsi="Arial" w:cs="Arial"/>
          <w:sz w:val="24"/>
          <w:szCs w:val="24"/>
          <w:lang w:val="en-GB"/>
        </w:rPr>
        <w:t>assumed cases</w:t>
      </w:r>
      <w:r>
        <w:rPr>
          <w:rFonts w:ascii="Arial" w:hAnsi="Arial" w:cs="Arial"/>
          <w:sz w:val="24"/>
          <w:szCs w:val="24"/>
          <w:lang w:val="en-GB"/>
        </w:rPr>
        <w:t xml:space="preserve">, in order to </w:t>
      </w:r>
      <w:r w:rsidR="00631647">
        <w:rPr>
          <w:rFonts w:ascii="Arial" w:hAnsi="Arial" w:cs="Arial"/>
          <w:sz w:val="24"/>
          <w:szCs w:val="24"/>
          <w:lang w:val="en-GB"/>
        </w:rPr>
        <w:t xml:space="preserve">highlight </w:t>
      </w:r>
      <w:r>
        <w:rPr>
          <w:rFonts w:ascii="Arial" w:hAnsi="Arial" w:cs="Arial"/>
          <w:sz w:val="24"/>
          <w:szCs w:val="24"/>
          <w:lang w:val="en-GB"/>
        </w:rPr>
        <w:t xml:space="preserve">the complementarity </w:t>
      </w:r>
      <w:r w:rsidR="00631647">
        <w:rPr>
          <w:rFonts w:ascii="Arial" w:hAnsi="Arial" w:cs="Arial"/>
          <w:sz w:val="24"/>
          <w:szCs w:val="24"/>
          <w:lang w:val="en-GB"/>
        </w:rPr>
        <w:t xml:space="preserve">nature </w:t>
      </w:r>
      <w:r>
        <w:rPr>
          <w:rFonts w:ascii="Arial" w:hAnsi="Arial" w:cs="Arial"/>
          <w:sz w:val="24"/>
          <w:szCs w:val="24"/>
          <w:lang w:val="en-GB"/>
        </w:rPr>
        <w:t xml:space="preserve">of these measures for analysing different quality issues of the geographic breakdown of macro-economic statistics. </w:t>
      </w:r>
    </w:p>
    <w:p w:rsidR="00532242" w:rsidRDefault="00532242" w:rsidP="00532242">
      <w:pPr>
        <w:spacing w:before="120" w:after="0" w:line="360" w:lineRule="auto"/>
        <w:jc w:val="both"/>
        <w:rPr>
          <w:rFonts w:ascii="Arial" w:hAnsi="Arial" w:cs="Arial"/>
          <w:sz w:val="24"/>
          <w:szCs w:val="24"/>
          <w:lang w:val="en-GB"/>
        </w:rPr>
      </w:pPr>
    </w:p>
    <w:p w:rsidR="00941667" w:rsidRPr="00EC5F5A" w:rsidRDefault="00941667" w:rsidP="00941667">
      <w:pPr>
        <w:pStyle w:val="Caption"/>
        <w:keepNext/>
        <w:rPr>
          <w:rFonts w:ascii="Arial" w:hAnsi="Arial" w:cs="Arial"/>
          <w:b/>
          <w:i w:val="0"/>
          <w:color w:val="auto"/>
          <w:sz w:val="20"/>
          <w:szCs w:val="20"/>
          <w:lang w:val="en-GB"/>
        </w:rPr>
      </w:pPr>
      <w:r w:rsidRPr="00EC5F5A">
        <w:rPr>
          <w:rFonts w:ascii="Arial" w:hAnsi="Arial" w:cs="Arial"/>
          <w:b/>
          <w:i w:val="0"/>
          <w:color w:val="auto"/>
          <w:sz w:val="20"/>
          <w:szCs w:val="20"/>
          <w:lang w:val="en-GB"/>
        </w:rPr>
        <w:t xml:space="preserve">Table </w:t>
      </w:r>
      <w:r w:rsidRPr="00BF6DBC">
        <w:rPr>
          <w:rFonts w:ascii="Arial" w:hAnsi="Arial" w:cs="Arial"/>
          <w:b/>
          <w:i w:val="0"/>
          <w:color w:val="auto"/>
          <w:sz w:val="20"/>
          <w:szCs w:val="20"/>
          <w:lang w:val="en-GB"/>
        </w:rPr>
        <w:fldChar w:fldCharType="begin"/>
      </w:r>
      <w:r w:rsidRPr="00EC5F5A">
        <w:rPr>
          <w:rFonts w:ascii="Arial" w:hAnsi="Arial" w:cs="Arial"/>
          <w:b/>
          <w:i w:val="0"/>
          <w:color w:val="auto"/>
          <w:sz w:val="20"/>
          <w:szCs w:val="20"/>
          <w:lang w:val="en-GB"/>
        </w:rPr>
        <w:instrText xml:space="preserve"> SEQ Table \* ARABIC </w:instrText>
      </w:r>
      <w:r w:rsidRPr="00BF6DBC">
        <w:rPr>
          <w:rFonts w:ascii="Arial" w:hAnsi="Arial" w:cs="Arial"/>
          <w:b/>
          <w:i w:val="0"/>
          <w:color w:val="auto"/>
          <w:sz w:val="20"/>
          <w:szCs w:val="20"/>
          <w:lang w:val="en-GB"/>
        </w:rPr>
        <w:fldChar w:fldCharType="separate"/>
      </w:r>
      <w:r w:rsidR="009F3698">
        <w:rPr>
          <w:rFonts w:ascii="Arial" w:hAnsi="Arial" w:cs="Arial"/>
          <w:b/>
          <w:i w:val="0"/>
          <w:noProof/>
          <w:color w:val="auto"/>
          <w:sz w:val="20"/>
          <w:szCs w:val="20"/>
          <w:lang w:val="en-GB"/>
        </w:rPr>
        <w:t>1</w:t>
      </w:r>
      <w:r w:rsidRPr="00BF6DBC">
        <w:rPr>
          <w:rFonts w:ascii="Arial" w:hAnsi="Arial" w:cs="Arial"/>
          <w:b/>
          <w:i w:val="0"/>
          <w:color w:val="auto"/>
          <w:sz w:val="20"/>
          <w:szCs w:val="20"/>
          <w:lang w:val="en-GB"/>
        </w:rPr>
        <w:fldChar w:fldCharType="end"/>
      </w:r>
      <w:r w:rsidRPr="00EC5F5A">
        <w:rPr>
          <w:rFonts w:ascii="Arial" w:hAnsi="Arial" w:cs="Arial"/>
          <w:b/>
          <w:i w:val="0"/>
          <w:color w:val="auto"/>
          <w:sz w:val="20"/>
          <w:szCs w:val="20"/>
          <w:lang w:val="en-GB"/>
        </w:rPr>
        <w:t xml:space="preserve">. </w:t>
      </w:r>
      <w:r w:rsidR="003F2A50">
        <w:rPr>
          <w:rFonts w:ascii="Arial" w:hAnsi="Arial" w:cs="Arial"/>
          <w:b/>
          <w:i w:val="0"/>
          <w:color w:val="auto"/>
          <w:sz w:val="20"/>
          <w:szCs w:val="20"/>
          <w:lang w:val="en-GB"/>
        </w:rPr>
        <w:t xml:space="preserve">3 Possible scenarios for country C1 </w:t>
      </w:r>
    </w:p>
    <w:tbl>
      <w:tblPr>
        <w:tblW w:w="9407" w:type="dxa"/>
        <w:tblInd w:w="93" w:type="dxa"/>
        <w:tblLook w:val="04A0" w:firstRow="1" w:lastRow="0" w:firstColumn="1" w:lastColumn="0" w:noHBand="0" w:noVBand="1"/>
      </w:tblPr>
      <w:tblGrid>
        <w:gridCol w:w="840"/>
        <w:gridCol w:w="1334"/>
        <w:gridCol w:w="663"/>
        <w:gridCol w:w="664"/>
        <w:gridCol w:w="886"/>
        <w:gridCol w:w="731"/>
        <w:gridCol w:w="851"/>
        <w:gridCol w:w="886"/>
        <w:gridCol w:w="786"/>
        <w:gridCol w:w="1021"/>
        <w:gridCol w:w="886"/>
      </w:tblGrid>
      <w:tr w:rsidR="00370382" w:rsidRPr="00370382" w:rsidTr="00732062">
        <w:trPr>
          <w:trHeight w:val="315"/>
        </w:trPr>
        <w:tc>
          <w:tcPr>
            <w:tcW w:w="840" w:type="dxa"/>
            <w:tcBorders>
              <w:top w:val="nil"/>
              <w:left w:val="nil"/>
              <w:bottom w:val="nil"/>
              <w:right w:val="nil"/>
            </w:tcBorders>
            <w:shd w:val="clear" w:color="auto" w:fill="auto"/>
            <w:noWrap/>
            <w:vAlign w:val="bottom"/>
            <w:hideMark/>
          </w:tcPr>
          <w:p w:rsidR="00370382" w:rsidRPr="00370382" w:rsidRDefault="00370382" w:rsidP="00D74BA5">
            <w:pPr>
              <w:spacing w:after="0" w:line="240" w:lineRule="auto"/>
              <w:rPr>
                <w:rFonts w:ascii="Calibri" w:eastAsia="Times New Roman" w:hAnsi="Calibri" w:cs="Times New Roman"/>
                <w:color w:val="000000"/>
                <w:lang w:val="en-GB" w:eastAsia="en-GB"/>
              </w:rPr>
            </w:pPr>
          </w:p>
        </w:tc>
        <w:tc>
          <w:tcPr>
            <w:tcW w:w="1334" w:type="dxa"/>
            <w:tcBorders>
              <w:top w:val="nil"/>
              <w:left w:val="nil"/>
              <w:bottom w:val="nil"/>
              <w:right w:val="single" w:sz="8" w:space="0" w:color="auto"/>
            </w:tcBorders>
            <w:shd w:val="clear" w:color="000000" w:fill="4472C4"/>
            <w:noWrap/>
            <w:vAlign w:val="center"/>
            <w:hideMark/>
          </w:tcPr>
          <w:p w:rsidR="00370382" w:rsidRPr="00370382" w:rsidRDefault="00370382" w:rsidP="00D74BA5">
            <w:pPr>
              <w:spacing w:after="0" w:line="240" w:lineRule="auto"/>
              <w:rPr>
                <w:rFonts w:ascii="Calibri" w:eastAsia="Times New Roman" w:hAnsi="Calibri" w:cs="Times New Roman"/>
                <w:b/>
                <w:bCs/>
                <w:color w:val="FFFFFF"/>
                <w:lang w:val="en-GB" w:eastAsia="en-GB"/>
              </w:rPr>
            </w:pPr>
            <w:r w:rsidRPr="00370382">
              <w:rPr>
                <w:rFonts w:ascii="Calibri" w:eastAsia="Times New Roman" w:hAnsi="Calibri" w:cs="Times New Roman"/>
                <w:b/>
                <w:bCs/>
                <w:color w:val="FFFFFF"/>
                <w:lang w:val="en-GB" w:eastAsia="en-GB"/>
              </w:rPr>
              <w:t>Counterpart</w:t>
            </w:r>
          </w:p>
        </w:tc>
        <w:tc>
          <w:tcPr>
            <w:tcW w:w="2213" w:type="dxa"/>
            <w:gridSpan w:val="3"/>
            <w:tcBorders>
              <w:top w:val="single" w:sz="8" w:space="0" w:color="auto"/>
              <w:left w:val="nil"/>
              <w:bottom w:val="single" w:sz="8" w:space="0" w:color="auto"/>
              <w:right w:val="single" w:sz="8" w:space="0" w:color="000000"/>
            </w:tcBorders>
            <w:shd w:val="clear" w:color="auto" w:fill="auto"/>
            <w:noWrap/>
            <w:vAlign w:val="center"/>
            <w:hideMark/>
          </w:tcPr>
          <w:p w:rsidR="00370382" w:rsidRPr="00370382" w:rsidRDefault="00370382" w:rsidP="00EB42B4">
            <w:pPr>
              <w:spacing w:after="0" w:line="240" w:lineRule="auto"/>
              <w:jc w:val="center"/>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C1-</w:t>
            </w:r>
            <w:r w:rsidR="00EB42B4">
              <w:rPr>
                <w:rFonts w:ascii="Calibri" w:eastAsia="Times New Roman" w:hAnsi="Calibri" w:cs="Times New Roman"/>
                <w:color w:val="000000"/>
                <w:lang w:val="en-GB" w:eastAsia="en-GB"/>
              </w:rPr>
              <w:t xml:space="preserve"> Case</w:t>
            </w:r>
            <w:r w:rsidR="00EB42B4" w:rsidRPr="00370382">
              <w:rPr>
                <w:rFonts w:ascii="Calibri" w:eastAsia="Times New Roman" w:hAnsi="Calibri" w:cs="Times New Roman"/>
                <w:color w:val="000000"/>
                <w:lang w:val="en-GB" w:eastAsia="en-GB"/>
              </w:rPr>
              <w:t xml:space="preserve"> </w:t>
            </w:r>
            <w:r w:rsidRPr="00370382">
              <w:rPr>
                <w:rFonts w:ascii="Calibri" w:eastAsia="Times New Roman" w:hAnsi="Calibri" w:cs="Times New Roman"/>
                <w:color w:val="000000"/>
                <w:lang w:val="en-GB" w:eastAsia="en-GB"/>
              </w:rPr>
              <w:t>1</w:t>
            </w:r>
          </w:p>
        </w:tc>
        <w:tc>
          <w:tcPr>
            <w:tcW w:w="2468" w:type="dxa"/>
            <w:gridSpan w:val="3"/>
            <w:tcBorders>
              <w:top w:val="single" w:sz="8" w:space="0" w:color="auto"/>
              <w:left w:val="nil"/>
              <w:bottom w:val="single" w:sz="8" w:space="0" w:color="auto"/>
              <w:right w:val="single" w:sz="8" w:space="0" w:color="000000"/>
            </w:tcBorders>
            <w:shd w:val="clear" w:color="auto" w:fill="auto"/>
            <w:noWrap/>
            <w:vAlign w:val="center"/>
            <w:hideMark/>
          </w:tcPr>
          <w:p w:rsidR="00370382" w:rsidRPr="00370382" w:rsidRDefault="00370382" w:rsidP="00EB42B4">
            <w:pPr>
              <w:spacing w:after="0" w:line="240" w:lineRule="auto"/>
              <w:jc w:val="center"/>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C1-</w:t>
            </w:r>
            <w:r w:rsidR="00EB42B4">
              <w:rPr>
                <w:rFonts w:ascii="Calibri" w:eastAsia="Times New Roman" w:hAnsi="Calibri" w:cs="Times New Roman"/>
                <w:color w:val="000000"/>
                <w:lang w:val="en-GB" w:eastAsia="en-GB"/>
              </w:rPr>
              <w:t>Case</w:t>
            </w:r>
            <w:r w:rsidR="00EB42B4" w:rsidRPr="00370382">
              <w:rPr>
                <w:rFonts w:ascii="Calibri" w:eastAsia="Times New Roman" w:hAnsi="Calibri" w:cs="Times New Roman"/>
                <w:color w:val="000000"/>
                <w:lang w:val="en-GB" w:eastAsia="en-GB"/>
              </w:rPr>
              <w:t xml:space="preserve"> </w:t>
            </w:r>
            <w:r w:rsidRPr="00370382">
              <w:rPr>
                <w:rFonts w:ascii="Calibri" w:eastAsia="Times New Roman" w:hAnsi="Calibri" w:cs="Times New Roman"/>
                <w:color w:val="000000"/>
                <w:lang w:val="en-GB" w:eastAsia="en-GB"/>
              </w:rPr>
              <w:t>2</w:t>
            </w:r>
          </w:p>
        </w:tc>
        <w:tc>
          <w:tcPr>
            <w:tcW w:w="2552" w:type="dxa"/>
            <w:gridSpan w:val="3"/>
            <w:tcBorders>
              <w:top w:val="single" w:sz="8" w:space="0" w:color="auto"/>
              <w:left w:val="nil"/>
              <w:bottom w:val="single" w:sz="8" w:space="0" w:color="auto"/>
              <w:right w:val="single" w:sz="8" w:space="0" w:color="000000"/>
            </w:tcBorders>
            <w:shd w:val="clear" w:color="auto" w:fill="auto"/>
            <w:noWrap/>
            <w:vAlign w:val="center"/>
            <w:hideMark/>
          </w:tcPr>
          <w:p w:rsidR="00370382" w:rsidRPr="00370382" w:rsidRDefault="00370382" w:rsidP="00EB42B4">
            <w:pPr>
              <w:spacing w:after="0" w:line="240" w:lineRule="auto"/>
              <w:jc w:val="center"/>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C1-</w:t>
            </w:r>
            <w:r w:rsidR="00EB42B4">
              <w:rPr>
                <w:rFonts w:ascii="Calibri" w:eastAsia="Times New Roman" w:hAnsi="Calibri" w:cs="Times New Roman"/>
                <w:color w:val="000000"/>
                <w:lang w:val="en-GB" w:eastAsia="en-GB"/>
              </w:rPr>
              <w:t>Case</w:t>
            </w:r>
            <w:r w:rsidR="00EB42B4" w:rsidRPr="00370382">
              <w:rPr>
                <w:rFonts w:ascii="Calibri" w:eastAsia="Times New Roman" w:hAnsi="Calibri" w:cs="Times New Roman"/>
                <w:color w:val="000000"/>
                <w:lang w:val="en-GB" w:eastAsia="en-GB"/>
              </w:rPr>
              <w:t xml:space="preserve"> </w:t>
            </w:r>
            <w:r w:rsidRPr="00370382">
              <w:rPr>
                <w:rFonts w:ascii="Calibri" w:eastAsia="Times New Roman" w:hAnsi="Calibri" w:cs="Times New Roman"/>
                <w:color w:val="000000"/>
                <w:lang w:val="en-GB" w:eastAsia="en-GB"/>
              </w:rPr>
              <w:t>3</w:t>
            </w:r>
          </w:p>
        </w:tc>
      </w:tr>
      <w:tr w:rsidR="00370382" w:rsidRPr="00370382" w:rsidTr="00732062">
        <w:trPr>
          <w:trHeight w:val="315"/>
        </w:trPr>
        <w:tc>
          <w:tcPr>
            <w:tcW w:w="840" w:type="dxa"/>
            <w:vMerge w:val="restart"/>
            <w:tcBorders>
              <w:top w:val="single" w:sz="8" w:space="0" w:color="auto"/>
              <w:left w:val="single" w:sz="8" w:space="0" w:color="auto"/>
              <w:bottom w:val="single" w:sz="8" w:space="0" w:color="000000"/>
              <w:right w:val="nil"/>
            </w:tcBorders>
            <w:shd w:val="clear" w:color="auto" w:fill="auto"/>
            <w:textDirection w:val="btLr"/>
            <w:vAlign w:val="center"/>
            <w:hideMark/>
          </w:tcPr>
          <w:p w:rsidR="00370382" w:rsidRPr="00370382" w:rsidRDefault="00370382" w:rsidP="00D74BA5">
            <w:pPr>
              <w:spacing w:after="0" w:line="240" w:lineRule="auto"/>
              <w:jc w:val="center"/>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Assets</w:t>
            </w:r>
          </w:p>
        </w:tc>
        <w:tc>
          <w:tcPr>
            <w:tcW w:w="1334" w:type="dxa"/>
            <w:tcBorders>
              <w:top w:val="single" w:sz="8" w:space="0" w:color="auto"/>
              <w:left w:val="nil"/>
              <w:bottom w:val="nil"/>
              <w:right w:val="single" w:sz="8" w:space="0" w:color="auto"/>
            </w:tcBorders>
            <w:shd w:val="clear" w:color="000000" w:fill="4F81BD"/>
            <w:noWrap/>
            <w:textDirection w:val="tbRl"/>
            <w:vAlign w:val="center"/>
            <w:hideMark/>
          </w:tcPr>
          <w:p w:rsidR="00370382" w:rsidRPr="00370382" w:rsidRDefault="00370382" w:rsidP="00D74BA5">
            <w:pPr>
              <w:spacing w:after="0" w:line="240" w:lineRule="auto"/>
              <w:rPr>
                <w:rFonts w:ascii="Calibri" w:eastAsia="Times New Roman" w:hAnsi="Calibri" w:cs="Times New Roman"/>
                <w:b/>
                <w:bCs/>
                <w:color w:val="FFFFFF"/>
                <w:lang w:val="en-GB" w:eastAsia="en-GB"/>
              </w:rPr>
            </w:pPr>
            <w:r w:rsidRPr="00370382">
              <w:rPr>
                <w:rFonts w:ascii="Calibri" w:eastAsia="Times New Roman" w:hAnsi="Calibri" w:cs="Times New Roman"/>
                <w:b/>
                <w:bCs/>
                <w:color w:val="FFFFFF"/>
                <w:lang w:val="en-GB" w:eastAsia="en-GB"/>
              </w:rPr>
              <w:t> </w:t>
            </w:r>
          </w:p>
        </w:tc>
        <w:tc>
          <w:tcPr>
            <w:tcW w:w="663" w:type="dxa"/>
            <w:tcBorders>
              <w:top w:val="nil"/>
              <w:left w:val="nil"/>
              <w:bottom w:val="nil"/>
              <w:right w:val="nil"/>
            </w:tcBorders>
            <w:shd w:val="clear" w:color="auto" w:fill="auto"/>
            <w:noWrap/>
            <w:vAlign w:val="center"/>
            <w:hideMark/>
          </w:tcPr>
          <w:p w:rsidR="00370382" w:rsidRPr="00370382" w:rsidRDefault="00370382" w:rsidP="00D74BA5">
            <w:pPr>
              <w:spacing w:after="0" w:line="240" w:lineRule="auto"/>
              <w:jc w:val="center"/>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Rep.</w:t>
            </w:r>
          </w:p>
        </w:tc>
        <w:tc>
          <w:tcPr>
            <w:tcW w:w="664" w:type="dxa"/>
            <w:tcBorders>
              <w:top w:val="nil"/>
              <w:left w:val="nil"/>
              <w:bottom w:val="nil"/>
              <w:right w:val="single" w:sz="8" w:space="0" w:color="auto"/>
            </w:tcBorders>
            <w:shd w:val="clear" w:color="auto" w:fill="auto"/>
            <w:noWrap/>
            <w:vAlign w:val="center"/>
            <w:hideMark/>
          </w:tcPr>
          <w:p w:rsidR="00370382" w:rsidRPr="00370382" w:rsidRDefault="00370382" w:rsidP="00D74BA5">
            <w:pPr>
              <w:spacing w:after="0" w:line="240" w:lineRule="auto"/>
              <w:jc w:val="center"/>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Mirr.</w:t>
            </w:r>
          </w:p>
        </w:tc>
        <w:tc>
          <w:tcPr>
            <w:tcW w:w="886" w:type="dxa"/>
            <w:tcBorders>
              <w:top w:val="nil"/>
              <w:left w:val="nil"/>
              <w:bottom w:val="nil"/>
              <w:right w:val="single" w:sz="8" w:space="0" w:color="auto"/>
            </w:tcBorders>
            <w:shd w:val="clear" w:color="auto" w:fill="auto"/>
            <w:noWrap/>
            <w:vAlign w:val="center"/>
            <w:hideMark/>
          </w:tcPr>
          <w:p w:rsidR="00370382" w:rsidRPr="00370382" w:rsidRDefault="00370382" w:rsidP="00D74BA5">
            <w:pPr>
              <w:spacing w:after="0" w:line="240" w:lineRule="auto"/>
              <w:jc w:val="center"/>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|asym|</w:t>
            </w:r>
          </w:p>
        </w:tc>
        <w:tc>
          <w:tcPr>
            <w:tcW w:w="731" w:type="dxa"/>
            <w:tcBorders>
              <w:top w:val="nil"/>
              <w:left w:val="nil"/>
              <w:bottom w:val="single" w:sz="8" w:space="0" w:color="auto"/>
              <w:right w:val="nil"/>
            </w:tcBorders>
            <w:shd w:val="clear" w:color="auto" w:fill="auto"/>
            <w:noWrap/>
            <w:vAlign w:val="center"/>
            <w:hideMark/>
          </w:tcPr>
          <w:p w:rsidR="00370382" w:rsidRPr="00370382" w:rsidRDefault="00370382" w:rsidP="00D74BA5">
            <w:pPr>
              <w:spacing w:after="0" w:line="240" w:lineRule="auto"/>
              <w:jc w:val="center"/>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Rep.</w:t>
            </w:r>
          </w:p>
        </w:tc>
        <w:tc>
          <w:tcPr>
            <w:tcW w:w="851" w:type="dxa"/>
            <w:tcBorders>
              <w:top w:val="nil"/>
              <w:left w:val="nil"/>
              <w:bottom w:val="single" w:sz="8" w:space="0" w:color="auto"/>
              <w:right w:val="nil"/>
            </w:tcBorders>
            <w:shd w:val="clear" w:color="auto" w:fill="auto"/>
            <w:noWrap/>
            <w:vAlign w:val="center"/>
            <w:hideMark/>
          </w:tcPr>
          <w:p w:rsidR="00370382" w:rsidRPr="00370382" w:rsidRDefault="00370382" w:rsidP="00D74BA5">
            <w:pPr>
              <w:spacing w:after="0" w:line="240" w:lineRule="auto"/>
              <w:jc w:val="center"/>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Mirr.</w:t>
            </w:r>
          </w:p>
        </w:tc>
        <w:tc>
          <w:tcPr>
            <w:tcW w:w="886" w:type="dxa"/>
            <w:tcBorders>
              <w:top w:val="nil"/>
              <w:left w:val="single" w:sz="8" w:space="0" w:color="auto"/>
              <w:bottom w:val="single" w:sz="8" w:space="0" w:color="auto"/>
              <w:right w:val="single" w:sz="8" w:space="0" w:color="auto"/>
            </w:tcBorders>
            <w:shd w:val="clear" w:color="auto" w:fill="auto"/>
            <w:noWrap/>
            <w:vAlign w:val="center"/>
            <w:hideMark/>
          </w:tcPr>
          <w:p w:rsidR="00370382" w:rsidRPr="00370382" w:rsidRDefault="00370382" w:rsidP="00D74BA5">
            <w:pPr>
              <w:spacing w:after="0" w:line="240" w:lineRule="auto"/>
              <w:jc w:val="center"/>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|asym|</w:t>
            </w:r>
          </w:p>
        </w:tc>
        <w:tc>
          <w:tcPr>
            <w:tcW w:w="786" w:type="dxa"/>
            <w:tcBorders>
              <w:top w:val="nil"/>
              <w:left w:val="nil"/>
              <w:bottom w:val="single" w:sz="8" w:space="0" w:color="auto"/>
              <w:right w:val="nil"/>
            </w:tcBorders>
            <w:shd w:val="clear" w:color="auto" w:fill="auto"/>
            <w:noWrap/>
            <w:vAlign w:val="center"/>
            <w:hideMark/>
          </w:tcPr>
          <w:p w:rsidR="00370382" w:rsidRPr="00370382" w:rsidRDefault="00370382" w:rsidP="00D74BA5">
            <w:pPr>
              <w:spacing w:after="0" w:line="240" w:lineRule="auto"/>
              <w:jc w:val="center"/>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Rep.</w:t>
            </w:r>
          </w:p>
        </w:tc>
        <w:tc>
          <w:tcPr>
            <w:tcW w:w="1021" w:type="dxa"/>
            <w:tcBorders>
              <w:top w:val="nil"/>
              <w:left w:val="nil"/>
              <w:bottom w:val="single" w:sz="8" w:space="0" w:color="auto"/>
              <w:right w:val="single" w:sz="8" w:space="0" w:color="auto"/>
            </w:tcBorders>
            <w:shd w:val="clear" w:color="auto" w:fill="auto"/>
            <w:noWrap/>
            <w:vAlign w:val="center"/>
            <w:hideMark/>
          </w:tcPr>
          <w:p w:rsidR="00370382" w:rsidRPr="00370382" w:rsidRDefault="00370382" w:rsidP="00D74BA5">
            <w:pPr>
              <w:spacing w:after="0" w:line="240" w:lineRule="auto"/>
              <w:jc w:val="center"/>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Mirr.</w:t>
            </w:r>
          </w:p>
        </w:tc>
        <w:tc>
          <w:tcPr>
            <w:tcW w:w="745" w:type="dxa"/>
            <w:tcBorders>
              <w:top w:val="nil"/>
              <w:left w:val="nil"/>
              <w:bottom w:val="single" w:sz="8" w:space="0" w:color="auto"/>
              <w:right w:val="single" w:sz="8" w:space="0" w:color="auto"/>
            </w:tcBorders>
            <w:shd w:val="clear" w:color="auto" w:fill="auto"/>
            <w:noWrap/>
            <w:vAlign w:val="center"/>
            <w:hideMark/>
          </w:tcPr>
          <w:p w:rsidR="00370382" w:rsidRPr="00370382" w:rsidRDefault="00370382" w:rsidP="00D74BA5">
            <w:pPr>
              <w:spacing w:after="0" w:line="240" w:lineRule="auto"/>
              <w:jc w:val="center"/>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|asym|</w:t>
            </w:r>
          </w:p>
        </w:tc>
      </w:tr>
      <w:tr w:rsidR="00370382" w:rsidRPr="00370382" w:rsidTr="00732062">
        <w:trPr>
          <w:trHeight w:val="315"/>
        </w:trPr>
        <w:tc>
          <w:tcPr>
            <w:tcW w:w="840" w:type="dxa"/>
            <w:vMerge/>
            <w:tcBorders>
              <w:top w:val="single" w:sz="8" w:space="0" w:color="auto"/>
              <w:left w:val="single" w:sz="8" w:space="0" w:color="auto"/>
              <w:bottom w:val="single" w:sz="8" w:space="0" w:color="000000"/>
              <w:right w:val="nil"/>
            </w:tcBorders>
            <w:vAlign w:val="center"/>
            <w:hideMark/>
          </w:tcPr>
          <w:p w:rsidR="00370382" w:rsidRPr="00370382" w:rsidRDefault="00370382" w:rsidP="00D74BA5">
            <w:pPr>
              <w:spacing w:after="0" w:line="240" w:lineRule="auto"/>
              <w:rPr>
                <w:rFonts w:ascii="Calibri" w:eastAsia="Times New Roman" w:hAnsi="Calibri" w:cs="Times New Roman"/>
                <w:color w:val="000000"/>
                <w:lang w:val="en-GB" w:eastAsia="en-GB"/>
              </w:rPr>
            </w:pPr>
          </w:p>
        </w:tc>
        <w:tc>
          <w:tcPr>
            <w:tcW w:w="1334" w:type="dxa"/>
            <w:tcBorders>
              <w:top w:val="single" w:sz="8" w:space="0" w:color="auto"/>
              <w:left w:val="single" w:sz="8" w:space="0" w:color="auto"/>
              <w:bottom w:val="nil"/>
              <w:right w:val="single" w:sz="8" w:space="0" w:color="auto"/>
            </w:tcBorders>
            <w:shd w:val="clear" w:color="000000" w:fill="4F81BD"/>
            <w:noWrap/>
            <w:vAlign w:val="center"/>
            <w:hideMark/>
          </w:tcPr>
          <w:p w:rsidR="00370382" w:rsidRPr="00370382" w:rsidRDefault="00370382" w:rsidP="00D74BA5">
            <w:pPr>
              <w:spacing w:after="0" w:line="240" w:lineRule="auto"/>
              <w:rPr>
                <w:rFonts w:ascii="Calibri" w:eastAsia="Times New Roman" w:hAnsi="Calibri" w:cs="Times New Roman"/>
                <w:b/>
                <w:bCs/>
                <w:color w:val="FFFFFF"/>
                <w:lang w:val="en-GB" w:eastAsia="en-GB"/>
              </w:rPr>
            </w:pPr>
            <w:r w:rsidRPr="00370382">
              <w:rPr>
                <w:rFonts w:ascii="Calibri" w:eastAsia="Times New Roman" w:hAnsi="Calibri" w:cs="Times New Roman"/>
                <w:b/>
                <w:bCs/>
                <w:color w:val="FFFFFF"/>
                <w:lang w:val="en-GB" w:eastAsia="en-GB"/>
              </w:rPr>
              <w:t>C2</w:t>
            </w:r>
          </w:p>
        </w:tc>
        <w:tc>
          <w:tcPr>
            <w:tcW w:w="663" w:type="dxa"/>
            <w:tcBorders>
              <w:top w:val="single" w:sz="8" w:space="0" w:color="auto"/>
              <w:left w:val="nil"/>
              <w:bottom w:val="nil"/>
              <w:right w:val="nil"/>
            </w:tcBorders>
            <w:shd w:val="clear" w:color="auto" w:fill="auto"/>
            <w:noWrap/>
            <w:vAlign w:val="center"/>
            <w:hideMark/>
          </w:tcPr>
          <w:p w:rsidR="00370382" w:rsidRPr="00370382" w:rsidRDefault="00370382" w:rsidP="00D74BA5">
            <w:pPr>
              <w:spacing w:after="0" w:line="240" w:lineRule="auto"/>
              <w:jc w:val="right"/>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200</w:t>
            </w:r>
          </w:p>
        </w:tc>
        <w:tc>
          <w:tcPr>
            <w:tcW w:w="664" w:type="dxa"/>
            <w:tcBorders>
              <w:top w:val="single" w:sz="8" w:space="0" w:color="auto"/>
              <w:left w:val="nil"/>
              <w:bottom w:val="nil"/>
              <w:right w:val="nil"/>
            </w:tcBorders>
            <w:shd w:val="clear" w:color="auto" w:fill="auto"/>
            <w:noWrap/>
            <w:vAlign w:val="center"/>
            <w:hideMark/>
          </w:tcPr>
          <w:p w:rsidR="00370382" w:rsidRPr="00370382" w:rsidRDefault="00370382" w:rsidP="00D74BA5">
            <w:pPr>
              <w:spacing w:after="0" w:line="240" w:lineRule="auto"/>
              <w:jc w:val="right"/>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300</w:t>
            </w:r>
          </w:p>
        </w:tc>
        <w:tc>
          <w:tcPr>
            <w:tcW w:w="886" w:type="dxa"/>
            <w:tcBorders>
              <w:top w:val="single" w:sz="8" w:space="0" w:color="auto"/>
              <w:left w:val="single" w:sz="8" w:space="0" w:color="auto"/>
              <w:bottom w:val="nil"/>
              <w:right w:val="single" w:sz="8" w:space="0" w:color="auto"/>
            </w:tcBorders>
            <w:shd w:val="clear" w:color="auto" w:fill="auto"/>
            <w:noWrap/>
            <w:vAlign w:val="center"/>
            <w:hideMark/>
          </w:tcPr>
          <w:p w:rsidR="00370382" w:rsidRPr="00370382" w:rsidRDefault="00370382" w:rsidP="00D74BA5">
            <w:pPr>
              <w:spacing w:after="0" w:line="240" w:lineRule="auto"/>
              <w:jc w:val="right"/>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100</w:t>
            </w:r>
          </w:p>
        </w:tc>
        <w:tc>
          <w:tcPr>
            <w:tcW w:w="731" w:type="dxa"/>
            <w:tcBorders>
              <w:top w:val="nil"/>
              <w:left w:val="nil"/>
              <w:bottom w:val="nil"/>
              <w:right w:val="nil"/>
            </w:tcBorders>
            <w:shd w:val="clear" w:color="auto" w:fill="auto"/>
            <w:noWrap/>
            <w:vAlign w:val="center"/>
            <w:hideMark/>
          </w:tcPr>
          <w:p w:rsidR="00370382" w:rsidRPr="00370382" w:rsidRDefault="00732062" w:rsidP="00D74BA5">
            <w:pPr>
              <w:spacing w:after="0" w:line="240" w:lineRule="auto"/>
              <w:jc w:val="righ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-300</w:t>
            </w:r>
          </w:p>
        </w:tc>
        <w:tc>
          <w:tcPr>
            <w:tcW w:w="851" w:type="dxa"/>
            <w:tcBorders>
              <w:top w:val="nil"/>
              <w:left w:val="nil"/>
              <w:bottom w:val="nil"/>
              <w:right w:val="single" w:sz="8" w:space="0" w:color="auto"/>
            </w:tcBorders>
            <w:shd w:val="clear" w:color="auto" w:fill="auto"/>
            <w:noWrap/>
            <w:vAlign w:val="center"/>
            <w:hideMark/>
          </w:tcPr>
          <w:p w:rsidR="00370382" w:rsidRPr="00370382" w:rsidRDefault="00732062" w:rsidP="00D74BA5">
            <w:pPr>
              <w:spacing w:after="0" w:line="240" w:lineRule="auto"/>
              <w:jc w:val="righ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300</w:t>
            </w:r>
          </w:p>
        </w:tc>
        <w:tc>
          <w:tcPr>
            <w:tcW w:w="886" w:type="dxa"/>
            <w:tcBorders>
              <w:top w:val="nil"/>
              <w:left w:val="nil"/>
              <w:bottom w:val="nil"/>
              <w:right w:val="single" w:sz="8" w:space="0" w:color="auto"/>
            </w:tcBorders>
            <w:shd w:val="clear" w:color="auto" w:fill="auto"/>
            <w:noWrap/>
            <w:vAlign w:val="center"/>
            <w:hideMark/>
          </w:tcPr>
          <w:p w:rsidR="00370382" w:rsidRPr="00370382" w:rsidRDefault="00732062" w:rsidP="00D74BA5">
            <w:pPr>
              <w:spacing w:after="0" w:line="240" w:lineRule="auto"/>
              <w:jc w:val="righ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6</w:t>
            </w:r>
            <w:r w:rsidR="00370382" w:rsidRPr="00370382">
              <w:rPr>
                <w:rFonts w:ascii="Calibri" w:eastAsia="Times New Roman" w:hAnsi="Calibri" w:cs="Times New Roman"/>
                <w:color w:val="000000"/>
                <w:lang w:val="en-GB" w:eastAsia="en-GB"/>
              </w:rPr>
              <w:t>00</w:t>
            </w:r>
          </w:p>
        </w:tc>
        <w:tc>
          <w:tcPr>
            <w:tcW w:w="786" w:type="dxa"/>
            <w:tcBorders>
              <w:top w:val="nil"/>
              <w:left w:val="nil"/>
              <w:bottom w:val="nil"/>
              <w:right w:val="nil"/>
            </w:tcBorders>
            <w:shd w:val="clear" w:color="auto" w:fill="auto"/>
            <w:noWrap/>
            <w:vAlign w:val="center"/>
            <w:hideMark/>
          </w:tcPr>
          <w:p w:rsidR="00370382" w:rsidRPr="00370382" w:rsidRDefault="008A1600" w:rsidP="00D74BA5">
            <w:pPr>
              <w:spacing w:after="0" w:line="240" w:lineRule="auto"/>
              <w:jc w:val="righ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-300</w:t>
            </w:r>
          </w:p>
        </w:tc>
        <w:tc>
          <w:tcPr>
            <w:tcW w:w="1021" w:type="dxa"/>
            <w:tcBorders>
              <w:top w:val="nil"/>
              <w:left w:val="nil"/>
              <w:bottom w:val="nil"/>
              <w:right w:val="single" w:sz="8" w:space="0" w:color="auto"/>
            </w:tcBorders>
            <w:shd w:val="clear" w:color="auto" w:fill="auto"/>
            <w:noWrap/>
            <w:vAlign w:val="center"/>
            <w:hideMark/>
          </w:tcPr>
          <w:p w:rsidR="00370382" w:rsidRPr="00370382" w:rsidRDefault="00732062" w:rsidP="00D74BA5">
            <w:pPr>
              <w:spacing w:after="0" w:line="240" w:lineRule="auto"/>
              <w:jc w:val="righ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300</w:t>
            </w:r>
          </w:p>
        </w:tc>
        <w:tc>
          <w:tcPr>
            <w:tcW w:w="745" w:type="dxa"/>
            <w:tcBorders>
              <w:top w:val="nil"/>
              <w:left w:val="nil"/>
              <w:bottom w:val="nil"/>
              <w:right w:val="single" w:sz="8" w:space="0" w:color="auto"/>
            </w:tcBorders>
            <w:shd w:val="clear" w:color="auto" w:fill="auto"/>
            <w:noWrap/>
            <w:vAlign w:val="center"/>
            <w:hideMark/>
          </w:tcPr>
          <w:p w:rsidR="00370382" w:rsidRPr="00370382" w:rsidRDefault="008A1600" w:rsidP="00D74BA5">
            <w:pPr>
              <w:spacing w:after="0" w:line="240" w:lineRule="auto"/>
              <w:jc w:val="righ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6</w:t>
            </w:r>
            <w:r w:rsidR="00370382" w:rsidRPr="00370382">
              <w:rPr>
                <w:rFonts w:ascii="Calibri" w:eastAsia="Times New Roman" w:hAnsi="Calibri" w:cs="Times New Roman"/>
                <w:color w:val="000000"/>
                <w:lang w:val="en-GB" w:eastAsia="en-GB"/>
              </w:rPr>
              <w:t>00</w:t>
            </w:r>
          </w:p>
        </w:tc>
      </w:tr>
      <w:tr w:rsidR="00370382" w:rsidRPr="00370382" w:rsidTr="00732062">
        <w:trPr>
          <w:trHeight w:val="315"/>
        </w:trPr>
        <w:tc>
          <w:tcPr>
            <w:tcW w:w="840" w:type="dxa"/>
            <w:vMerge/>
            <w:tcBorders>
              <w:top w:val="single" w:sz="8" w:space="0" w:color="auto"/>
              <w:left w:val="single" w:sz="8" w:space="0" w:color="auto"/>
              <w:bottom w:val="single" w:sz="8" w:space="0" w:color="000000"/>
              <w:right w:val="nil"/>
            </w:tcBorders>
            <w:vAlign w:val="center"/>
            <w:hideMark/>
          </w:tcPr>
          <w:p w:rsidR="00370382" w:rsidRPr="00370382" w:rsidRDefault="00370382" w:rsidP="00D74BA5">
            <w:pPr>
              <w:spacing w:after="0" w:line="240" w:lineRule="auto"/>
              <w:rPr>
                <w:rFonts w:ascii="Calibri" w:eastAsia="Times New Roman" w:hAnsi="Calibri" w:cs="Times New Roman"/>
                <w:color w:val="000000"/>
                <w:lang w:val="en-GB" w:eastAsia="en-GB"/>
              </w:rPr>
            </w:pPr>
          </w:p>
        </w:tc>
        <w:tc>
          <w:tcPr>
            <w:tcW w:w="1334" w:type="dxa"/>
            <w:tcBorders>
              <w:top w:val="single" w:sz="8" w:space="0" w:color="4F81BD"/>
              <w:left w:val="single" w:sz="8" w:space="0" w:color="auto"/>
              <w:bottom w:val="nil"/>
              <w:right w:val="single" w:sz="8" w:space="0" w:color="auto"/>
            </w:tcBorders>
            <w:shd w:val="clear" w:color="000000" w:fill="4F81BD"/>
            <w:noWrap/>
            <w:vAlign w:val="center"/>
            <w:hideMark/>
          </w:tcPr>
          <w:p w:rsidR="00370382" w:rsidRPr="00370382" w:rsidRDefault="00370382" w:rsidP="00D74BA5">
            <w:pPr>
              <w:spacing w:after="0" w:line="240" w:lineRule="auto"/>
              <w:rPr>
                <w:rFonts w:ascii="Calibri" w:eastAsia="Times New Roman" w:hAnsi="Calibri" w:cs="Times New Roman"/>
                <w:b/>
                <w:bCs/>
                <w:color w:val="FFFFFF"/>
                <w:lang w:val="en-GB" w:eastAsia="en-GB"/>
              </w:rPr>
            </w:pPr>
            <w:r w:rsidRPr="00370382">
              <w:rPr>
                <w:rFonts w:ascii="Calibri" w:eastAsia="Times New Roman" w:hAnsi="Calibri" w:cs="Times New Roman"/>
                <w:b/>
                <w:bCs/>
                <w:color w:val="FFFFFF"/>
                <w:lang w:val="en-GB" w:eastAsia="en-GB"/>
              </w:rPr>
              <w:t>C3</w:t>
            </w:r>
          </w:p>
        </w:tc>
        <w:tc>
          <w:tcPr>
            <w:tcW w:w="663" w:type="dxa"/>
            <w:tcBorders>
              <w:top w:val="nil"/>
              <w:left w:val="nil"/>
              <w:bottom w:val="nil"/>
              <w:right w:val="nil"/>
            </w:tcBorders>
            <w:shd w:val="clear" w:color="auto" w:fill="auto"/>
            <w:noWrap/>
            <w:vAlign w:val="center"/>
            <w:hideMark/>
          </w:tcPr>
          <w:p w:rsidR="00370382" w:rsidRPr="00370382" w:rsidRDefault="00370382" w:rsidP="00D74BA5">
            <w:pPr>
              <w:spacing w:after="0" w:line="240" w:lineRule="auto"/>
              <w:jc w:val="right"/>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-55</w:t>
            </w:r>
          </w:p>
        </w:tc>
        <w:tc>
          <w:tcPr>
            <w:tcW w:w="664" w:type="dxa"/>
            <w:tcBorders>
              <w:top w:val="nil"/>
              <w:left w:val="nil"/>
              <w:bottom w:val="nil"/>
              <w:right w:val="nil"/>
            </w:tcBorders>
            <w:shd w:val="clear" w:color="auto" w:fill="auto"/>
            <w:noWrap/>
            <w:vAlign w:val="center"/>
            <w:hideMark/>
          </w:tcPr>
          <w:p w:rsidR="00370382" w:rsidRPr="00370382" w:rsidRDefault="00370382" w:rsidP="00D74BA5">
            <w:pPr>
              <w:spacing w:after="0" w:line="240" w:lineRule="auto"/>
              <w:jc w:val="right"/>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-70</w:t>
            </w:r>
          </w:p>
        </w:tc>
        <w:tc>
          <w:tcPr>
            <w:tcW w:w="886" w:type="dxa"/>
            <w:tcBorders>
              <w:top w:val="nil"/>
              <w:left w:val="single" w:sz="8" w:space="0" w:color="auto"/>
              <w:bottom w:val="nil"/>
              <w:right w:val="single" w:sz="8" w:space="0" w:color="auto"/>
            </w:tcBorders>
            <w:shd w:val="clear" w:color="auto" w:fill="auto"/>
            <w:noWrap/>
            <w:vAlign w:val="center"/>
            <w:hideMark/>
          </w:tcPr>
          <w:p w:rsidR="00370382" w:rsidRPr="00370382" w:rsidRDefault="00370382" w:rsidP="00D74BA5">
            <w:pPr>
              <w:spacing w:after="0" w:line="240" w:lineRule="auto"/>
              <w:jc w:val="right"/>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15</w:t>
            </w:r>
          </w:p>
        </w:tc>
        <w:tc>
          <w:tcPr>
            <w:tcW w:w="731" w:type="dxa"/>
            <w:tcBorders>
              <w:top w:val="nil"/>
              <w:left w:val="nil"/>
              <w:bottom w:val="nil"/>
              <w:right w:val="nil"/>
            </w:tcBorders>
            <w:shd w:val="clear" w:color="auto" w:fill="auto"/>
            <w:noWrap/>
            <w:vAlign w:val="center"/>
            <w:hideMark/>
          </w:tcPr>
          <w:p w:rsidR="00370382" w:rsidRPr="00370382" w:rsidRDefault="00732062" w:rsidP="00D74BA5">
            <w:pPr>
              <w:spacing w:after="0" w:line="240" w:lineRule="auto"/>
              <w:jc w:val="righ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70</w:t>
            </w:r>
          </w:p>
        </w:tc>
        <w:tc>
          <w:tcPr>
            <w:tcW w:w="851" w:type="dxa"/>
            <w:tcBorders>
              <w:top w:val="nil"/>
              <w:left w:val="nil"/>
              <w:bottom w:val="nil"/>
              <w:right w:val="single" w:sz="8" w:space="0" w:color="auto"/>
            </w:tcBorders>
            <w:shd w:val="clear" w:color="auto" w:fill="auto"/>
            <w:noWrap/>
            <w:vAlign w:val="center"/>
            <w:hideMark/>
          </w:tcPr>
          <w:p w:rsidR="00370382" w:rsidRPr="00370382" w:rsidRDefault="00732062" w:rsidP="00D74BA5">
            <w:pPr>
              <w:spacing w:after="0" w:line="240" w:lineRule="auto"/>
              <w:jc w:val="righ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-70</w:t>
            </w:r>
          </w:p>
        </w:tc>
        <w:tc>
          <w:tcPr>
            <w:tcW w:w="886" w:type="dxa"/>
            <w:tcBorders>
              <w:top w:val="nil"/>
              <w:left w:val="nil"/>
              <w:bottom w:val="nil"/>
              <w:right w:val="single" w:sz="8" w:space="0" w:color="auto"/>
            </w:tcBorders>
            <w:shd w:val="clear" w:color="auto" w:fill="auto"/>
            <w:noWrap/>
            <w:vAlign w:val="center"/>
            <w:hideMark/>
          </w:tcPr>
          <w:p w:rsidR="00370382" w:rsidRPr="00370382" w:rsidRDefault="00370382" w:rsidP="00732062">
            <w:pPr>
              <w:spacing w:after="0" w:line="240" w:lineRule="auto"/>
              <w:jc w:val="right"/>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1</w:t>
            </w:r>
            <w:r w:rsidR="00732062">
              <w:rPr>
                <w:rFonts w:ascii="Calibri" w:eastAsia="Times New Roman" w:hAnsi="Calibri" w:cs="Times New Roman"/>
                <w:color w:val="000000"/>
                <w:lang w:val="en-GB" w:eastAsia="en-GB"/>
              </w:rPr>
              <w:t>4</w:t>
            </w:r>
            <w:r w:rsidRPr="00370382">
              <w:rPr>
                <w:rFonts w:ascii="Calibri" w:eastAsia="Times New Roman" w:hAnsi="Calibri" w:cs="Times New Roman"/>
                <w:color w:val="000000"/>
                <w:lang w:val="en-GB" w:eastAsia="en-GB"/>
              </w:rPr>
              <w:t>0</w:t>
            </w:r>
          </w:p>
        </w:tc>
        <w:tc>
          <w:tcPr>
            <w:tcW w:w="786" w:type="dxa"/>
            <w:tcBorders>
              <w:top w:val="nil"/>
              <w:left w:val="nil"/>
              <w:bottom w:val="nil"/>
              <w:right w:val="nil"/>
            </w:tcBorders>
            <w:shd w:val="clear" w:color="auto" w:fill="auto"/>
            <w:noWrap/>
            <w:vAlign w:val="center"/>
            <w:hideMark/>
          </w:tcPr>
          <w:p w:rsidR="00370382" w:rsidRPr="00370382" w:rsidRDefault="008A1600" w:rsidP="00D74BA5">
            <w:pPr>
              <w:spacing w:after="0" w:line="240" w:lineRule="auto"/>
              <w:jc w:val="righ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3700</w:t>
            </w:r>
          </w:p>
        </w:tc>
        <w:tc>
          <w:tcPr>
            <w:tcW w:w="1021" w:type="dxa"/>
            <w:tcBorders>
              <w:top w:val="nil"/>
              <w:left w:val="nil"/>
              <w:bottom w:val="nil"/>
              <w:right w:val="single" w:sz="8" w:space="0" w:color="auto"/>
            </w:tcBorders>
            <w:shd w:val="clear" w:color="auto" w:fill="auto"/>
            <w:noWrap/>
            <w:vAlign w:val="center"/>
            <w:hideMark/>
          </w:tcPr>
          <w:p w:rsidR="00370382" w:rsidRPr="00370382" w:rsidRDefault="00370382" w:rsidP="00D74BA5">
            <w:pPr>
              <w:spacing w:after="0" w:line="240" w:lineRule="auto"/>
              <w:jc w:val="right"/>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-70</w:t>
            </w:r>
          </w:p>
        </w:tc>
        <w:tc>
          <w:tcPr>
            <w:tcW w:w="745" w:type="dxa"/>
            <w:tcBorders>
              <w:top w:val="nil"/>
              <w:left w:val="nil"/>
              <w:bottom w:val="nil"/>
              <w:right w:val="single" w:sz="8" w:space="0" w:color="auto"/>
            </w:tcBorders>
            <w:shd w:val="clear" w:color="auto" w:fill="auto"/>
            <w:noWrap/>
            <w:vAlign w:val="center"/>
            <w:hideMark/>
          </w:tcPr>
          <w:p w:rsidR="00370382" w:rsidRPr="00370382" w:rsidRDefault="008A1600" w:rsidP="00D74BA5">
            <w:pPr>
              <w:spacing w:after="0" w:line="240" w:lineRule="auto"/>
              <w:jc w:val="righ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3770</w:t>
            </w:r>
          </w:p>
        </w:tc>
      </w:tr>
      <w:tr w:rsidR="00370382" w:rsidRPr="00370382" w:rsidTr="00732062">
        <w:trPr>
          <w:trHeight w:val="315"/>
        </w:trPr>
        <w:tc>
          <w:tcPr>
            <w:tcW w:w="840" w:type="dxa"/>
            <w:vMerge/>
            <w:tcBorders>
              <w:top w:val="single" w:sz="8" w:space="0" w:color="auto"/>
              <w:left w:val="single" w:sz="8" w:space="0" w:color="auto"/>
              <w:bottom w:val="single" w:sz="8" w:space="0" w:color="000000"/>
              <w:right w:val="nil"/>
            </w:tcBorders>
            <w:vAlign w:val="center"/>
            <w:hideMark/>
          </w:tcPr>
          <w:p w:rsidR="00370382" w:rsidRPr="00370382" w:rsidRDefault="00370382" w:rsidP="00D74BA5">
            <w:pPr>
              <w:spacing w:after="0" w:line="240" w:lineRule="auto"/>
              <w:rPr>
                <w:rFonts w:ascii="Calibri" w:eastAsia="Times New Roman" w:hAnsi="Calibri" w:cs="Times New Roman"/>
                <w:color w:val="000000"/>
                <w:lang w:val="en-GB" w:eastAsia="en-GB"/>
              </w:rPr>
            </w:pPr>
          </w:p>
        </w:tc>
        <w:tc>
          <w:tcPr>
            <w:tcW w:w="1334" w:type="dxa"/>
            <w:tcBorders>
              <w:top w:val="single" w:sz="8" w:space="0" w:color="4F81BD"/>
              <w:left w:val="single" w:sz="8" w:space="0" w:color="auto"/>
              <w:bottom w:val="nil"/>
              <w:right w:val="single" w:sz="8" w:space="0" w:color="auto"/>
            </w:tcBorders>
            <w:shd w:val="clear" w:color="000000" w:fill="4F81BD"/>
            <w:noWrap/>
            <w:vAlign w:val="center"/>
            <w:hideMark/>
          </w:tcPr>
          <w:p w:rsidR="00370382" w:rsidRPr="00370382" w:rsidRDefault="00370382" w:rsidP="00D74BA5">
            <w:pPr>
              <w:spacing w:after="0" w:line="240" w:lineRule="auto"/>
              <w:rPr>
                <w:rFonts w:ascii="Calibri" w:eastAsia="Times New Roman" w:hAnsi="Calibri" w:cs="Times New Roman"/>
                <w:b/>
                <w:bCs/>
                <w:color w:val="FFFFFF"/>
                <w:lang w:val="en-GB" w:eastAsia="en-GB"/>
              </w:rPr>
            </w:pPr>
            <w:r w:rsidRPr="00370382">
              <w:rPr>
                <w:rFonts w:ascii="Calibri" w:eastAsia="Times New Roman" w:hAnsi="Calibri" w:cs="Times New Roman"/>
                <w:b/>
                <w:bCs/>
                <w:color w:val="FFFFFF"/>
                <w:lang w:val="en-GB" w:eastAsia="en-GB"/>
              </w:rPr>
              <w:t>C4</w:t>
            </w:r>
          </w:p>
        </w:tc>
        <w:tc>
          <w:tcPr>
            <w:tcW w:w="663" w:type="dxa"/>
            <w:tcBorders>
              <w:top w:val="nil"/>
              <w:left w:val="nil"/>
              <w:bottom w:val="nil"/>
              <w:right w:val="nil"/>
            </w:tcBorders>
            <w:shd w:val="clear" w:color="auto" w:fill="auto"/>
            <w:noWrap/>
            <w:vAlign w:val="center"/>
            <w:hideMark/>
          </w:tcPr>
          <w:p w:rsidR="00370382" w:rsidRPr="00370382" w:rsidRDefault="00370382" w:rsidP="00D74BA5">
            <w:pPr>
              <w:spacing w:after="0" w:line="240" w:lineRule="auto"/>
              <w:jc w:val="right"/>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3400</w:t>
            </w:r>
          </w:p>
        </w:tc>
        <w:tc>
          <w:tcPr>
            <w:tcW w:w="664" w:type="dxa"/>
            <w:tcBorders>
              <w:top w:val="nil"/>
              <w:left w:val="nil"/>
              <w:bottom w:val="nil"/>
              <w:right w:val="nil"/>
            </w:tcBorders>
            <w:shd w:val="clear" w:color="auto" w:fill="auto"/>
            <w:noWrap/>
            <w:vAlign w:val="center"/>
            <w:hideMark/>
          </w:tcPr>
          <w:p w:rsidR="00370382" w:rsidRPr="00370382" w:rsidRDefault="00370382" w:rsidP="00D74BA5">
            <w:pPr>
              <w:spacing w:after="0" w:line="240" w:lineRule="auto"/>
              <w:jc w:val="right"/>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3700</w:t>
            </w:r>
          </w:p>
        </w:tc>
        <w:tc>
          <w:tcPr>
            <w:tcW w:w="886" w:type="dxa"/>
            <w:tcBorders>
              <w:top w:val="nil"/>
              <w:left w:val="single" w:sz="8" w:space="0" w:color="auto"/>
              <w:bottom w:val="nil"/>
              <w:right w:val="single" w:sz="8" w:space="0" w:color="auto"/>
            </w:tcBorders>
            <w:shd w:val="clear" w:color="auto" w:fill="auto"/>
            <w:noWrap/>
            <w:vAlign w:val="center"/>
            <w:hideMark/>
          </w:tcPr>
          <w:p w:rsidR="00370382" w:rsidRPr="00370382" w:rsidRDefault="00370382" w:rsidP="00D74BA5">
            <w:pPr>
              <w:spacing w:after="0" w:line="240" w:lineRule="auto"/>
              <w:jc w:val="right"/>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300</w:t>
            </w:r>
          </w:p>
        </w:tc>
        <w:tc>
          <w:tcPr>
            <w:tcW w:w="731" w:type="dxa"/>
            <w:tcBorders>
              <w:top w:val="nil"/>
              <w:left w:val="nil"/>
              <w:bottom w:val="nil"/>
              <w:right w:val="nil"/>
            </w:tcBorders>
            <w:shd w:val="clear" w:color="auto" w:fill="auto"/>
            <w:noWrap/>
            <w:vAlign w:val="center"/>
            <w:hideMark/>
          </w:tcPr>
          <w:p w:rsidR="00370382" w:rsidRPr="00370382" w:rsidRDefault="00732062" w:rsidP="00732062">
            <w:pPr>
              <w:spacing w:after="0" w:line="240" w:lineRule="auto"/>
              <w:jc w:val="righ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w:t>
            </w:r>
            <w:r w:rsidR="00370382" w:rsidRPr="00370382">
              <w:rPr>
                <w:rFonts w:ascii="Calibri" w:eastAsia="Times New Roman" w:hAnsi="Calibri" w:cs="Times New Roman"/>
                <w:color w:val="000000"/>
                <w:lang w:val="en-GB" w:eastAsia="en-GB"/>
              </w:rPr>
              <w:t>3</w:t>
            </w:r>
            <w:r>
              <w:rPr>
                <w:rFonts w:ascii="Calibri" w:eastAsia="Times New Roman" w:hAnsi="Calibri" w:cs="Times New Roman"/>
                <w:color w:val="000000"/>
                <w:lang w:val="en-GB" w:eastAsia="en-GB"/>
              </w:rPr>
              <w:t>7</w:t>
            </w:r>
            <w:r w:rsidR="00370382" w:rsidRPr="00370382">
              <w:rPr>
                <w:rFonts w:ascii="Calibri" w:eastAsia="Times New Roman" w:hAnsi="Calibri" w:cs="Times New Roman"/>
                <w:color w:val="000000"/>
                <w:lang w:val="en-GB" w:eastAsia="en-GB"/>
              </w:rPr>
              <w:t>00</w:t>
            </w:r>
          </w:p>
        </w:tc>
        <w:tc>
          <w:tcPr>
            <w:tcW w:w="851" w:type="dxa"/>
            <w:tcBorders>
              <w:top w:val="nil"/>
              <w:left w:val="nil"/>
              <w:bottom w:val="nil"/>
              <w:right w:val="single" w:sz="8" w:space="0" w:color="auto"/>
            </w:tcBorders>
            <w:shd w:val="clear" w:color="auto" w:fill="auto"/>
            <w:noWrap/>
            <w:vAlign w:val="center"/>
            <w:hideMark/>
          </w:tcPr>
          <w:p w:rsidR="00370382" w:rsidRPr="00370382" w:rsidRDefault="00732062" w:rsidP="00D74BA5">
            <w:pPr>
              <w:spacing w:after="0" w:line="240" w:lineRule="auto"/>
              <w:jc w:val="righ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3700</w:t>
            </w:r>
          </w:p>
        </w:tc>
        <w:tc>
          <w:tcPr>
            <w:tcW w:w="886" w:type="dxa"/>
            <w:tcBorders>
              <w:top w:val="nil"/>
              <w:left w:val="nil"/>
              <w:bottom w:val="nil"/>
              <w:right w:val="single" w:sz="8" w:space="0" w:color="auto"/>
            </w:tcBorders>
            <w:shd w:val="clear" w:color="auto" w:fill="auto"/>
            <w:noWrap/>
            <w:vAlign w:val="center"/>
            <w:hideMark/>
          </w:tcPr>
          <w:p w:rsidR="00370382" w:rsidRPr="00370382" w:rsidRDefault="00732062" w:rsidP="00D74BA5">
            <w:pPr>
              <w:spacing w:after="0" w:line="240" w:lineRule="auto"/>
              <w:jc w:val="righ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7400</w:t>
            </w:r>
          </w:p>
        </w:tc>
        <w:tc>
          <w:tcPr>
            <w:tcW w:w="786" w:type="dxa"/>
            <w:tcBorders>
              <w:top w:val="nil"/>
              <w:left w:val="nil"/>
              <w:bottom w:val="nil"/>
              <w:right w:val="nil"/>
            </w:tcBorders>
            <w:shd w:val="clear" w:color="auto" w:fill="auto"/>
            <w:noWrap/>
            <w:vAlign w:val="center"/>
            <w:hideMark/>
          </w:tcPr>
          <w:p w:rsidR="00370382" w:rsidRPr="00370382" w:rsidRDefault="00732062" w:rsidP="008A1600">
            <w:pPr>
              <w:spacing w:after="0" w:line="240" w:lineRule="auto"/>
              <w:jc w:val="righ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w:t>
            </w:r>
            <w:r w:rsidR="00370382" w:rsidRPr="00370382">
              <w:rPr>
                <w:rFonts w:ascii="Calibri" w:eastAsia="Times New Roman" w:hAnsi="Calibri" w:cs="Times New Roman"/>
                <w:color w:val="000000"/>
                <w:lang w:val="en-GB" w:eastAsia="en-GB"/>
              </w:rPr>
              <w:t>3</w:t>
            </w:r>
            <w:r w:rsidR="008A1600">
              <w:rPr>
                <w:rFonts w:ascii="Calibri" w:eastAsia="Times New Roman" w:hAnsi="Calibri" w:cs="Times New Roman"/>
                <w:color w:val="000000"/>
                <w:lang w:val="en-GB" w:eastAsia="en-GB"/>
              </w:rPr>
              <w:t>0</w:t>
            </w:r>
            <w:r w:rsidR="00370382" w:rsidRPr="00370382">
              <w:rPr>
                <w:rFonts w:ascii="Calibri" w:eastAsia="Times New Roman" w:hAnsi="Calibri" w:cs="Times New Roman"/>
                <w:color w:val="000000"/>
                <w:lang w:val="en-GB" w:eastAsia="en-GB"/>
              </w:rPr>
              <w:t>00</w:t>
            </w:r>
          </w:p>
        </w:tc>
        <w:tc>
          <w:tcPr>
            <w:tcW w:w="1021" w:type="dxa"/>
            <w:tcBorders>
              <w:top w:val="nil"/>
              <w:left w:val="nil"/>
              <w:bottom w:val="nil"/>
              <w:right w:val="single" w:sz="8" w:space="0" w:color="auto"/>
            </w:tcBorders>
            <w:shd w:val="clear" w:color="auto" w:fill="auto"/>
            <w:noWrap/>
            <w:vAlign w:val="center"/>
            <w:hideMark/>
          </w:tcPr>
          <w:p w:rsidR="00370382" w:rsidRPr="00370382" w:rsidRDefault="00370382" w:rsidP="00D74BA5">
            <w:pPr>
              <w:spacing w:after="0" w:line="240" w:lineRule="auto"/>
              <w:jc w:val="right"/>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3700</w:t>
            </w:r>
          </w:p>
        </w:tc>
        <w:tc>
          <w:tcPr>
            <w:tcW w:w="745" w:type="dxa"/>
            <w:tcBorders>
              <w:top w:val="nil"/>
              <w:left w:val="nil"/>
              <w:bottom w:val="nil"/>
              <w:right w:val="single" w:sz="8" w:space="0" w:color="auto"/>
            </w:tcBorders>
            <w:shd w:val="clear" w:color="auto" w:fill="auto"/>
            <w:noWrap/>
            <w:vAlign w:val="center"/>
            <w:hideMark/>
          </w:tcPr>
          <w:p w:rsidR="00370382" w:rsidRPr="00370382" w:rsidRDefault="008A1600" w:rsidP="00D74BA5">
            <w:pPr>
              <w:spacing w:after="0" w:line="240" w:lineRule="auto"/>
              <w:jc w:val="righ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6700</w:t>
            </w:r>
          </w:p>
        </w:tc>
      </w:tr>
      <w:tr w:rsidR="00370382" w:rsidRPr="00370382" w:rsidTr="00732062">
        <w:trPr>
          <w:trHeight w:val="315"/>
        </w:trPr>
        <w:tc>
          <w:tcPr>
            <w:tcW w:w="840" w:type="dxa"/>
            <w:vMerge/>
            <w:tcBorders>
              <w:top w:val="single" w:sz="8" w:space="0" w:color="auto"/>
              <w:left w:val="single" w:sz="8" w:space="0" w:color="auto"/>
              <w:bottom w:val="single" w:sz="8" w:space="0" w:color="000000"/>
              <w:right w:val="nil"/>
            </w:tcBorders>
            <w:vAlign w:val="center"/>
            <w:hideMark/>
          </w:tcPr>
          <w:p w:rsidR="00370382" w:rsidRPr="00370382" w:rsidRDefault="00370382" w:rsidP="00D74BA5">
            <w:pPr>
              <w:spacing w:after="0" w:line="240" w:lineRule="auto"/>
              <w:rPr>
                <w:rFonts w:ascii="Calibri" w:eastAsia="Times New Roman" w:hAnsi="Calibri" w:cs="Times New Roman"/>
                <w:color w:val="000000"/>
                <w:lang w:val="en-GB" w:eastAsia="en-GB"/>
              </w:rPr>
            </w:pPr>
          </w:p>
        </w:tc>
        <w:tc>
          <w:tcPr>
            <w:tcW w:w="1334" w:type="dxa"/>
            <w:tcBorders>
              <w:top w:val="single" w:sz="8" w:space="0" w:color="4F81BD"/>
              <w:left w:val="single" w:sz="8" w:space="0" w:color="auto"/>
              <w:bottom w:val="nil"/>
              <w:right w:val="single" w:sz="8" w:space="0" w:color="auto"/>
            </w:tcBorders>
            <w:shd w:val="clear" w:color="000000" w:fill="4F81BD"/>
            <w:noWrap/>
            <w:vAlign w:val="center"/>
            <w:hideMark/>
          </w:tcPr>
          <w:p w:rsidR="00370382" w:rsidRPr="00370382" w:rsidRDefault="00370382" w:rsidP="00D74BA5">
            <w:pPr>
              <w:spacing w:after="0" w:line="240" w:lineRule="auto"/>
              <w:rPr>
                <w:rFonts w:ascii="Calibri" w:eastAsia="Times New Roman" w:hAnsi="Calibri" w:cs="Times New Roman"/>
                <w:b/>
                <w:bCs/>
                <w:color w:val="FFFFFF"/>
                <w:lang w:val="en-GB" w:eastAsia="en-GB"/>
              </w:rPr>
            </w:pPr>
            <w:r w:rsidRPr="00370382">
              <w:rPr>
                <w:rFonts w:ascii="Calibri" w:eastAsia="Times New Roman" w:hAnsi="Calibri" w:cs="Times New Roman"/>
                <w:b/>
                <w:bCs/>
                <w:color w:val="FFFFFF"/>
                <w:lang w:val="en-GB" w:eastAsia="en-GB"/>
              </w:rPr>
              <w:t>C5</w:t>
            </w:r>
          </w:p>
        </w:tc>
        <w:tc>
          <w:tcPr>
            <w:tcW w:w="663" w:type="dxa"/>
            <w:tcBorders>
              <w:top w:val="nil"/>
              <w:left w:val="nil"/>
              <w:bottom w:val="single" w:sz="8" w:space="0" w:color="auto"/>
              <w:right w:val="nil"/>
            </w:tcBorders>
            <w:shd w:val="clear" w:color="auto" w:fill="auto"/>
            <w:noWrap/>
            <w:vAlign w:val="center"/>
            <w:hideMark/>
          </w:tcPr>
          <w:p w:rsidR="00370382" w:rsidRPr="00370382" w:rsidRDefault="00370382" w:rsidP="00D74BA5">
            <w:pPr>
              <w:spacing w:after="0" w:line="240" w:lineRule="auto"/>
              <w:jc w:val="right"/>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30</w:t>
            </w:r>
          </w:p>
        </w:tc>
        <w:tc>
          <w:tcPr>
            <w:tcW w:w="664" w:type="dxa"/>
            <w:tcBorders>
              <w:top w:val="nil"/>
              <w:left w:val="nil"/>
              <w:bottom w:val="single" w:sz="8" w:space="0" w:color="auto"/>
              <w:right w:val="nil"/>
            </w:tcBorders>
            <w:shd w:val="clear" w:color="auto" w:fill="auto"/>
            <w:noWrap/>
            <w:vAlign w:val="center"/>
            <w:hideMark/>
          </w:tcPr>
          <w:p w:rsidR="00370382" w:rsidRPr="00370382" w:rsidRDefault="00370382" w:rsidP="00D74BA5">
            <w:pPr>
              <w:spacing w:after="0" w:line="240" w:lineRule="auto"/>
              <w:jc w:val="right"/>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30</w:t>
            </w:r>
          </w:p>
        </w:tc>
        <w:tc>
          <w:tcPr>
            <w:tcW w:w="886" w:type="dxa"/>
            <w:tcBorders>
              <w:top w:val="nil"/>
              <w:left w:val="single" w:sz="8" w:space="0" w:color="auto"/>
              <w:bottom w:val="single" w:sz="8" w:space="0" w:color="auto"/>
              <w:right w:val="single" w:sz="8" w:space="0" w:color="auto"/>
            </w:tcBorders>
            <w:shd w:val="clear" w:color="auto" w:fill="auto"/>
            <w:noWrap/>
            <w:vAlign w:val="center"/>
            <w:hideMark/>
          </w:tcPr>
          <w:p w:rsidR="00370382" w:rsidRPr="00370382" w:rsidRDefault="00370382" w:rsidP="00D74BA5">
            <w:pPr>
              <w:spacing w:after="0" w:line="240" w:lineRule="auto"/>
              <w:jc w:val="right"/>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0</w:t>
            </w:r>
          </w:p>
        </w:tc>
        <w:tc>
          <w:tcPr>
            <w:tcW w:w="731" w:type="dxa"/>
            <w:tcBorders>
              <w:top w:val="nil"/>
              <w:left w:val="nil"/>
              <w:bottom w:val="nil"/>
              <w:right w:val="nil"/>
            </w:tcBorders>
            <w:shd w:val="clear" w:color="auto" w:fill="auto"/>
            <w:noWrap/>
            <w:vAlign w:val="center"/>
            <w:hideMark/>
          </w:tcPr>
          <w:p w:rsidR="00370382" w:rsidRPr="00370382" w:rsidRDefault="00732062" w:rsidP="00D74BA5">
            <w:pPr>
              <w:spacing w:after="0" w:line="240" w:lineRule="auto"/>
              <w:jc w:val="righ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w:t>
            </w:r>
            <w:r w:rsidR="00370382" w:rsidRPr="00370382">
              <w:rPr>
                <w:rFonts w:ascii="Calibri" w:eastAsia="Times New Roman" w:hAnsi="Calibri" w:cs="Times New Roman"/>
                <w:color w:val="000000"/>
                <w:lang w:val="en-GB" w:eastAsia="en-GB"/>
              </w:rPr>
              <w:t>30</w:t>
            </w:r>
          </w:p>
        </w:tc>
        <w:tc>
          <w:tcPr>
            <w:tcW w:w="851" w:type="dxa"/>
            <w:tcBorders>
              <w:top w:val="nil"/>
              <w:left w:val="nil"/>
              <w:bottom w:val="nil"/>
              <w:right w:val="single" w:sz="8" w:space="0" w:color="auto"/>
            </w:tcBorders>
            <w:shd w:val="clear" w:color="auto" w:fill="auto"/>
            <w:noWrap/>
            <w:vAlign w:val="center"/>
            <w:hideMark/>
          </w:tcPr>
          <w:p w:rsidR="00370382" w:rsidRPr="00370382" w:rsidRDefault="00370382" w:rsidP="00D74BA5">
            <w:pPr>
              <w:spacing w:after="0" w:line="240" w:lineRule="auto"/>
              <w:jc w:val="right"/>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30</w:t>
            </w:r>
          </w:p>
        </w:tc>
        <w:tc>
          <w:tcPr>
            <w:tcW w:w="886" w:type="dxa"/>
            <w:tcBorders>
              <w:top w:val="nil"/>
              <w:left w:val="nil"/>
              <w:bottom w:val="nil"/>
              <w:right w:val="single" w:sz="8" w:space="0" w:color="auto"/>
            </w:tcBorders>
            <w:shd w:val="clear" w:color="auto" w:fill="auto"/>
            <w:noWrap/>
            <w:vAlign w:val="center"/>
            <w:hideMark/>
          </w:tcPr>
          <w:p w:rsidR="00370382" w:rsidRPr="00370382" w:rsidRDefault="00370382" w:rsidP="00D74BA5">
            <w:pPr>
              <w:spacing w:after="0" w:line="240" w:lineRule="auto"/>
              <w:jc w:val="right"/>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60</w:t>
            </w:r>
          </w:p>
        </w:tc>
        <w:tc>
          <w:tcPr>
            <w:tcW w:w="786" w:type="dxa"/>
            <w:tcBorders>
              <w:top w:val="nil"/>
              <w:left w:val="nil"/>
              <w:bottom w:val="nil"/>
              <w:right w:val="nil"/>
            </w:tcBorders>
            <w:shd w:val="clear" w:color="auto" w:fill="auto"/>
            <w:noWrap/>
            <w:vAlign w:val="center"/>
            <w:hideMark/>
          </w:tcPr>
          <w:p w:rsidR="00370382" w:rsidRPr="00370382" w:rsidRDefault="008A1600" w:rsidP="00D74BA5">
            <w:pPr>
              <w:spacing w:after="0" w:line="240" w:lineRule="auto"/>
              <w:jc w:val="righ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w:t>
            </w:r>
            <w:r w:rsidR="00732062">
              <w:rPr>
                <w:rFonts w:ascii="Calibri" w:eastAsia="Times New Roman" w:hAnsi="Calibri" w:cs="Times New Roman"/>
                <w:color w:val="000000"/>
                <w:lang w:val="en-GB" w:eastAsia="en-GB"/>
              </w:rPr>
              <w:t>30</w:t>
            </w:r>
          </w:p>
        </w:tc>
        <w:tc>
          <w:tcPr>
            <w:tcW w:w="1021" w:type="dxa"/>
            <w:tcBorders>
              <w:top w:val="nil"/>
              <w:left w:val="nil"/>
              <w:bottom w:val="nil"/>
              <w:right w:val="single" w:sz="8" w:space="0" w:color="auto"/>
            </w:tcBorders>
            <w:shd w:val="clear" w:color="auto" w:fill="auto"/>
            <w:noWrap/>
            <w:vAlign w:val="center"/>
            <w:hideMark/>
          </w:tcPr>
          <w:p w:rsidR="00370382" w:rsidRPr="00370382" w:rsidRDefault="00732062" w:rsidP="00D74BA5">
            <w:pPr>
              <w:spacing w:after="0" w:line="240" w:lineRule="auto"/>
              <w:jc w:val="righ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30</w:t>
            </w:r>
          </w:p>
        </w:tc>
        <w:tc>
          <w:tcPr>
            <w:tcW w:w="745" w:type="dxa"/>
            <w:tcBorders>
              <w:top w:val="nil"/>
              <w:left w:val="nil"/>
              <w:bottom w:val="nil"/>
              <w:right w:val="single" w:sz="8" w:space="0" w:color="auto"/>
            </w:tcBorders>
            <w:shd w:val="clear" w:color="auto" w:fill="auto"/>
            <w:noWrap/>
            <w:vAlign w:val="center"/>
            <w:hideMark/>
          </w:tcPr>
          <w:p w:rsidR="00370382" w:rsidRPr="00370382" w:rsidRDefault="008A1600" w:rsidP="00D74BA5">
            <w:pPr>
              <w:spacing w:after="0" w:line="240" w:lineRule="auto"/>
              <w:jc w:val="righ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60</w:t>
            </w:r>
          </w:p>
        </w:tc>
      </w:tr>
      <w:tr w:rsidR="00370382" w:rsidRPr="00370382" w:rsidTr="00732062">
        <w:trPr>
          <w:trHeight w:val="315"/>
        </w:trPr>
        <w:tc>
          <w:tcPr>
            <w:tcW w:w="840" w:type="dxa"/>
            <w:vMerge/>
            <w:tcBorders>
              <w:top w:val="single" w:sz="8" w:space="0" w:color="auto"/>
              <w:left w:val="single" w:sz="8" w:space="0" w:color="auto"/>
              <w:bottom w:val="single" w:sz="8" w:space="0" w:color="000000"/>
              <w:right w:val="nil"/>
            </w:tcBorders>
            <w:vAlign w:val="center"/>
            <w:hideMark/>
          </w:tcPr>
          <w:p w:rsidR="00370382" w:rsidRPr="00370382" w:rsidRDefault="00370382" w:rsidP="00D74BA5">
            <w:pPr>
              <w:spacing w:after="0" w:line="240" w:lineRule="auto"/>
              <w:rPr>
                <w:rFonts w:ascii="Calibri" w:eastAsia="Times New Roman" w:hAnsi="Calibri" w:cs="Times New Roman"/>
                <w:color w:val="000000"/>
                <w:lang w:val="en-GB" w:eastAsia="en-GB"/>
              </w:rPr>
            </w:pPr>
          </w:p>
        </w:tc>
        <w:tc>
          <w:tcPr>
            <w:tcW w:w="1334" w:type="dxa"/>
            <w:tcBorders>
              <w:top w:val="single" w:sz="8" w:space="0" w:color="auto"/>
              <w:left w:val="single" w:sz="8" w:space="0" w:color="auto"/>
              <w:bottom w:val="single" w:sz="8" w:space="0" w:color="auto"/>
              <w:right w:val="single" w:sz="8" w:space="0" w:color="auto"/>
            </w:tcBorders>
            <w:shd w:val="clear" w:color="000000" w:fill="4F81BD"/>
            <w:noWrap/>
            <w:vAlign w:val="center"/>
            <w:hideMark/>
          </w:tcPr>
          <w:p w:rsidR="00370382" w:rsidRPr="00370382" w:rsidRDefault="00370382" w:rsidP="00D74BA5">
            <w:pPr>
              <w:spacing w:after="0" w:line="240" w:lineRule="auto"/>
              <w:rPr>
                <w:rFonts w:ascii="Calibri" w:eastAsia="Times New Roman" w:hAnsi="Calibri" w:cs="Times New Roman"/>
                <w:b/>
                <w:bCs/>
                <w:color w:val="FFFFFF"/>
                <w:lang w:val="en-GB" w:eastAsia="en-GB"/>
              </w:rPr>
            </w:pPr>
            <w:r w:rsidRPr="00370382">
              <w:rPr>
                <w:rFonts w:ascii="Calibri" w:eastAsia="Times New Roman" w:hAnsi="Calibri" w:cs="Times New Roman"/>
                <w:b/>
                <w:bCs/>
                <w:color w:val="FFFFFF"/>
                <w:lang w:val="en-GB" w:eastAsia="en-GB"/>
              </w:rPr>
              <w:t>Total G5</w:t>
            </w:r>
          </w:p>
        </w:tc>
        <w:tc>
          <w:tcPr>
            <w:tcW w:w="663" w:type="dxa"/>
            <w:tcBorders>
              <w:top w:val="nil"/>
              <w:left w:val="nil"/>
              <w:bottom w:val="single" w:sz="8" w:space="0" w:color="auto"/>
              <w:right w:val="nil"/>
            </w:tcBorders>
            <w:shd w:val="clear" w:color="auto" w:fill="auto"/>
            <w:noWrap/>
            <w:vAlign w:val="center"/>
            <w:hideMark/>
          </w:tcPr>
          <w:p w:rsidR="00370382" w:rsidRPr="00370382" w:rsidRDefault="00370382" w:rsidP="00D74BA5">
            <w:pPr>
              <w:spacing w:after="0" w:line="240" w:lineRule="auto"/>
              <w:jc w:val="right"/>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3575</w:t>
            </w:r>
          </w:p>
        </w:tc>
        <w:tc>
          <w:tcPr>
            <w:tcW w:w="664" w:type="dxa"/>
            <w:tcBorders>
              <w:top w:val="nil"/>
              <w:left w:val="nil"/>
              <w:bottom w:val="single" w:sz="8" w:space="0" w:color="auto"/>
              <w:right w:val="single" w:sz="8" w:space="0" w:color="auto"/>
            </w:tcBorders>
            <w:shd w:val="clear" w:color="auto" w:fill="auto"/>
            <w:noWrap/>
            <w:vAlign w:val="center"/>
            <w:hideMark/>
          </w:tcPr>
          <w:p w:rsidR="00370382" w:rsidRPr="00370382" w:rsidRDefault="00370382" w:rsidP="00D74BA5">
            <w:pPr>
              <w:spacing w:after="0" w:line="240" w:lineRule="auto"/>
              <w:jc w:val="right"/>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3960</w:t>
            </w:r>
          </w:p>
        </w:tc>
        <w:tc>
          <w:tcPr>
            <w:tcW w:w="886" w:type="dxa"/>
            <w:tcBorders>
              <w:top w:val="nil"/>
              <w:left w:val="nil"/>
              <w:bottom w:val="single" w:sz="8" w:space="0" w:color="auto"/>
              <w:right w:val="single" w:sz="8" w:space="0" w:color="auto"/>
            </w:tcBorders>
            <w:shd w:val="clear" w:color="auto" w:fill="auto"/>
            <w:noWrap/>
            <w:vAlign w:val="center"/>
            <w:hideMark/>
          </w:tcPr>
          <w:p w:rsidR="00370382" w:rsidRPr="00370382" w:rsidRDefault="00370382" w:rsidP="00D74BA5">
            <w:pPr>
              <w:spacing w:after="0" w:line="240" w:lineRule="auto"/>
              <w:jc w:val="right"/>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415</w:t>
            </w:r>
          </w:p>
        </w:tc>
        <w:tc>
          <w:tcPr>
            <w:tcW w:w="731" w:type="dxa"/>
            <w:tcBorders>
              <w:top w:val="single" w:sz="8" w:space="0" w:color="auto"/>
              <w:left w:val="nil"/>
              <w:bottom w:val="single" w:sz="8" w:space="0" w:color="auto"/>
              <w:right w:val="nil"/>
            </w:tcBorders>
            <w:shd w:val="clear" w:color="auto" w:fill="auto"/>
            <w:noWrap/>
            <w:vAlign w:val="center"/>
            <w:hideMark/>
          </w:tcPr>
          <w:p w:rsidR="00370382" w:rsidRPr="00370382" w:rsidRDefault="00D05339" w:rsidP="00D74BA5">
            <w:pPr>
              <w:spacing w:after="0" w:line="240" w:lineRule="auto"/>
              <w:jc w:val="righ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-3960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370382" w:rsidRPr="00370382" w:rsidRDefault="00D05339" w:rsidP="00D74BA5">
            <w:pPr>
              <w:spacing w:after="0" w:line="240" w:lineRule="auto"/>
              <w:jc w:val="right"/>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3960</w:t>
            </w:r>
          </w:p>
        </w:tc>
        <w:tc>
          <w:tcPr>
            <w:tcW w:w="886" w:type="dxa"/>
            <w:tcBorders>
              <w:top w:val="single" w:sz="8" w:space="0" w:color="auto"/>
              <w:left w:val="nil"/>
              <w:bottom w:val="single" w:sz="8" w:space="0" w:color="auto"/>
              <w:right w:val="single" w:sz="8" w:space="0" w:color="auto"/>
            </w:tcBorders>
            <w:shd w:val="clear" w:color="auto" w:fill="auto"/>
            <w:noWrap/>
            <w:vAlign w:val="center"/>
            <w:hideMark/>
          </w:tcPr>
          <w:p w:rsidR="00370382" w:rsidRPr="00370382" w:rsidRDefault="00732062" w:rsidP="00D74BA5">
            <w:pPr>
              <w:spacing w:after="0" w:line="240" w:lineRule="auto"/>
              <w:jc w:val="righ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8200</w:t>
            </w:r>
          </w:p>
        </w:tc>
        <w:tc>
          <w:tcPr>
            <w:tcW w:w="786" w:type="dxa"/>
            <w:tcBorders>
              <w:top w:val="single" w:sz="8" w:space="0" w:color="auto"/>
              <w:left w:val="nil"/>
              <w:bottom w:val="single" w:sz="8" w:space="0" w:color="auto"/>
              <w:right w:val="nil"/>
            </w:tcBorders>
            <w:shd w:val="clear" w:color="auto" w:fill="auto"/>
            <w:noWrap/>
            <w:vAlign w:val="center"/>
            <w:hideMark/>
          </w:tcPr>
          <w:p w:rsidR="00370382" w:rsidRPr="00370382" w:rsidRDefault="008A1600" w:rsidP="00D74BA5">
            <w:pPr>
              <w:spacing w:after="0" w:line="240" w:lineRule="auto"/>
              <w:jc w:val="righ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370</w:t>
            </w:r>
          </w:p>
        </w:tc>
        <w:tc>
          <w:tcPr>
            <w:tcW w:w="1021" w:type="dxa"/>
            <w:tcBorders>
              <w:top w:val="single" w:sz="8" w:space="0" w:color="auto"/>
              <w:left w:val="nil"/>
              <w:bottom w:val="single" w:sz="8" w:space="0" w:color="auto"/>
              <w:right w:val="single" w:sz="8" w:space="0" w:color="auto"/>
            </w:tcBorders>
            <w:shd w:val="clear" w:color="auto" w:fill="auto"/>
            <w:noWrap/>
            <w:vAlign w:val="center"/>
            <w:hideMark/>
          </w:tcPr>
          <w:p w:rsidR="00370382" w:rsidRPr="00370382" w:rsidRDefault="00D05339" w:rsidP="00D74BA5">
            <w:pPr>
              <w:spacing w:after="0" w:line="240" w:lineRule="auto"/>
              <w:jc w:val="right"/>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3960</w:t>
            </w:r>
          </w:p>
        </w:tc>
        <w:tc>
          <w:tcPr>
            <w:tcW w:w="745" w:type="dxa"/>
            <w:tcBorders>
              <w:top w:val="single" w:sz="8" w:space="0" w:color="auto"/>
              <w:left w:val="nil"/>
              <w:bottom w:val="single" w:sz="8" w:space="0" w:color="auto"/>
              <w:right w:val="single" w:sz="8" w:space="0" w:color="auto"/>
            </w:tcBorders>
            <w:shd w:val="clear" w:color="auto" w:fill="auto"/>
            <w:noWrap/>
            <w:vAlign w:val="center"/>
            <w:hideMark/>
          </w:tcPr>
          <w:p w:rsidR="00370382" w:rsidRPr="00370382" w:rsidRDefault="008A1600" w:rsidP="00D74BA5">
            <w:pPr>
              <w:spacing w:after="0" w:line="240" w:lineRule="auto"/>
              <w:jc w:val="righ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11130</w:t>
            </w:r>
          </w:p>
        </w:tc>
      </w:tr>
      <w:tr w:rsidR="00370382" w:rsidRPr="00370382" w:rsidTr="00732062">
        <w:trPr>
          <w:trHeight w:val="315"/>
        </w:trPr>
        <w:tc>
          <w:tcPr>
            <w:tcW w:w="84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370382" w:rsidRPr="00370382" w:rsidRDefault="00370382" w:rsidP="00D74BA5">
            <w:pPr>
              <w:spacing w:after="0" w:line="240" w:lineRule="auto"/>
              <w:jc w:val="center"/>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Liabilities</w:t>
            </w:r>
          </w:p>
        </w:tc>
        <w:tc>
          <w:tcPr>
            <w:tcW w:w="1334" w:type="dxa"/>
            <w:tcBorders>
              <w:top w:val="nil"/>
              <w:left w:val="nil"/>
              <w:bottom w:val="single" w:sz="8" w:space="0" w:color="auto"/>
              <w:right w:val="single" w:sz="8" w:space="0" w:color="auto"/>
            </w:tcBorders>
            <w:shd w:val="clear" w:color="000000" w:fill="4F81BD"/>
            <w:noWrap/>
            <w:vAlign w:val="bottom"/>
            <w:hideMark/>
          </w:tcPr>
          <w:p w:rsidR="00370382" w:rsidRPr="00370382" w:rsidRDefault="00370382" w:rsidP="00D74BA5">
            <w:pPr>
              <w:spacing w:after="0" w:line="240" w:lineRule="auto"/>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 </w:t>
            </w:r>
          </w:p>
        </w:tc>
        <w:tc>
          <w:tcPr>
            <w:tcW w:w="663" w:type="dxa"/>
            <w:tcBorders>
              <w:top w:val="nil"/>
              <w:left w:val="nil"/>
              <w:bottom w:val="single" w:sz="8" w:space="0" w:color="auto"/>
              <w:right w:val="nil"/>
            </w:tcBorders>
            <w:shd w:val="clear" w:color="auto" w:fill="auto"/>
            <w:noWrap/>
            <w:vAlign w:val="center"/>
            <w:hideMark/>
          </w:tcPr>
          <w:p w:rsidR="00370382" w:rsidRPr="00370382" w:rsidRDefault="00370382" w:rsidP="00D74BA5">
            <w:pPr>
              <w:spacing w:after="0" w:line="240" w:lineRule="auto"/>
              <w:jc w:val="center"/>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Rep.</w:t>
            </w:r>
          </w:p>
        </w:tc>
        <w:tc>
          <w:tcPr>
            <w:tcW w:w="664" w:type="dxa"/>
            <w:tcBorders>
              <w:top w:val="nil"/>
              <w:left w:val="nil"/>
              <w:bottom w:val="single" w:sz="8" w:space="0" w:color="auto"/>
              <w:right w:val="single" w:sz="8" w:space="0" w:color="auto"/>
            </w:tcBorders>
            <w:shd w:val="clear" w:color="auto" w:fill="auto"/>
            <w:noWrap/>
            <w:vAlign w:val="center"/>
            <w:hideMark/>
          </w:tcPr>
          <w:p w:rsidR="00370382" w:rsidRPr="00370382" w:rsidRDefault="00370382" w:rsidP="00D74BA5">
            <w:pPr>
              <w:spacing w:after="0" w:line="240" w:lineRule="auto"/>
              <w:jc w:val="center"/>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Mirr.</w:t>
            </w:r>
          </w:p>
        </w:tc>
        <w:tc>
          <w:tcPr>
            <w:tcW w:w="886" w:type="dxa"/>
            <w:tcBorders>
              <w:top w:val="nil"/>
              <w:left w:val="nil"/>
              <w:bottom w:val="single" w:sz="8" w:space="0" w:color="auto"/>
              <w:right w:val="single" w:sz="8" w:space="0" w:color="auto"/>
            </w:tcBorders>
            <w:shd w:val="clear" w:color="auto" w:fill="auto"/>
            <w:noWrap/>
            <w:vAlign w:val="center"/>
            <w:hideMark/>
          </w:tcPr>
          <w:p w:rsidR="00370382" w:rsidRPr="00370382" w:rsidRDefault="00370382" w:rsidP="00D74BA5">
            <w:pPr>
              <w:spacing w:after="0" w:line="240" w:lineRule="auto"/>
              <w:jc w:val="center"/>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|asym|</w:t>
            </w:r>
          </w:p>
        </w:tc>
        <w:tc>
          <w:tcPr>
            <w:tcW w:w="731" w:type="dxa"/>
            <w:tcBorders>
              <w:top w:val="nil"/>
              <w:left w:val="nil"/>
              <w:bottom w:val="single" w:sz="8" w:space="0" w:color="auto"/>
              <w:right w:val="nil"/>
            </w:tcBorders>
            <w:shd w:val="clear" w:color="auto" w:fill="auto"/>
            <w:noWrap/>
            <w:vAlign w:val="center"/>
            <w:hideMark/>
          </w:tcPr>
          <w:p w:rsidR="00370382" w:rsidRPr="00370382" w:rsidRDefault="00370382" w:rsidP="00D74BA5">
            <w:pPr>
              <w:spacing w:after="0" w:line="240" w:lineRule="auto"/>
              <w:jc w:val="center"/>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Rep.</w:t>
            </w:r>
          </w:p>
        </w:tc>
        <w:tc>
          <w:tcPr>
            <w:tcW w:w="851" w:type="dxa"/>
            <w:tcBorders>
              <w:top w:val="nil"/>
              <w:left w:val="nil"/>
              <w:bottom w:val="single" w:sz="8" w:space="0" w:color="auto"/>
              <w:right w:val="nil"/>
            </w:tcBorders>
            <w:shd w:val="clear" w:color="auto" w:fill="auto"/>
            <w:noWrap/>
            <w:vAlign w:val="center"/>
            <w:hideMark/>
          </w:tcPr>
          <w:p w:rsidR="00370382" w:rsidRPr="00370382" w:rsidRDefault="00370382" w:rsidP="00D74BA5">
            <w:pPr>
              <w:spacing w:after="0" w:line="240" w:lineRule="auto"/>
              <w:jc w:val="center"/>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Mirr.</w:t>
            </w:r>
          </w:p>
        </w:tc>
        <w:tc>
          <w:tcPr>
            <w:tcW w:w="886" w:type="dxa"/>
            <w:tcBorders>
              <w:top w:val="nil"/>
              <w:left w:val="single" w:sz="8" w:space="0" w:color="auto"/>
              <w:bottom w:val="single" w:sz="8" w:space="0" w:color="auto"/>
              <w:right w:val="single" w:sz="8" w:space="0" w:color="auto"/>
            </w:tcBorders>
            <w:shd w:val="clear" w:color="auto" w:fill="auto"/>
            <w:noWrap/>
            <w:vAlign w:val="center"/>
            <w:hideMark/>
          </w:tcPr>
          <w:p w:rsidR="00370382" w:rsidRPr="00370382" w:rsidRDefault="00370382" w:rsidP="00D74BA5">
            <w:pPr>
              <w:spacing w:after="0" w:line="240" w:lineRule="auto"/>
              <w:jc w:val="center"/>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|asym|</w:t>
            </w:r>
          </w:p>
        </w:tc>
        <w:tc>
          <w:tcPr>
            <w:tcW w:w="786" w:type="dxa"/>
            <w:tcBorders>
              <w:top w:val="nil"/>
              <w:left w:val="nil"/>
              <w:bottom w:val="single" w:sz="8" w:space="0" w:color="auto"/>
              <w:right w:val="nil"/>
            </w:tcBorders>
            <w:shd w:val="clear" w:color="auto" w:fill="auto"/>
            <w:noWrap/>
            <w:vAlign w:val="center"/>
            <w:hideMark/>
          </w:tcPr>
          <w:p w:rsidR="00370382" w:rsidRPr="00370382" w:rsidRDefault="00370382" w:rsidP="00D74BA5">
            <w:pPr>
              <w:spacing w:after="0" w:line="240" w:lineRule="auto"/>
              <w:jc w:val="center"/>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Rep.</w:t>
            </w:r>
          </w:p>
        </w:tc>
        <w:tc>
          <w:tcPr>
            <w:tcW w:w="1021" w:type="dxa"/>
            <w:tcBorders>
              <w:top w:val="nil"/>
              <w:left w:val="nil"/>
              <w:bottom w:val="single" w:sz="8" w:space="0" w:color="auto"/>
              <w:right w:val="single" w:sz="8" w:space="0" w:color="auto"/>
            </w:tcBorders>
            <w:shd w:val="clear" w:color="auto" w:fill="auto"/>
            <w:noWrap/>
            <w:vAlign w:val="center"/>
            <w:hideMark/>
          </w:tcPr>
          <w:p w:rsidR="00370382" w:rsidRPr="00370382" w:rsidRDefault="00370382" w:rsidP="00D74BA5">
            <w:pPr>
              <w:spacing w:after="0" w:line="240" w:lineRule="auto"/>
              <w:jc w:val="center"/>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Mirr.</w:t>
            </w:r>
          </w:p>
        </w:tc>
        <w:tc>
          <w:tcPr>
            <w:tcW w:w="745" w:type="dxa"/>
            <w:tcBorders>
              <w:top w:val="nil"/>
              <w:left w:val="nil"/>
              <w:bottom w:val="single" w:sz="8" w:space="0" w:color="auto"/>
              <w:right w:val="single" w:sz="8" w:space="0" w:color="auto"/>
            </w:tcBorders>
            <w:shd w:val="clear" w:color="auto" w:fill="auto"/>
            <w:noWrap/>
            <w:vAlign w:val="center"/>
            <w:hideMark/>
          </w:tcPr>
          <w:p w:rsidR="00370382" w:rsidRPr="00370382" w:rsidRDefault="00370382" w:rsidP="00D74BA5">
            <w:pPr>
              <w:spacing w:after="0" w:line="240" w:lineRule="auto"/>
              <w:jc w:val="center"/>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|asym|</w:t>
            </w:r>
          </w:p>
        </w:tc>
      </w:tr>
      <w:tr w:rsidR="00370382" w:rsidRPr="00370382" w:rsidTr="00732062">
        <w:trPr>
          <w:trHeight w:val="315"/>
        </w:trPr>
        <w:tc>
          <w:tcPr>
            <w:tcW w:w="840" w:type="dxa"/>
            <w:vMerge/>
            <w:tcBorders>
              <w:top w:val="nil"/>
              <w:left w:val="single" w:sz="8" w:space="0" w:color="auto"/>
              <w:bottom w:val="single" w:sz="8" w:space="0" w:color="000000"/>
              <w:right w:val="single" w:sz="8" w:space="0" w:color="auto"/>
            </w:tcBorders>
            <w:vAlign w:val="center"/>
            <w:hideMark/>
          </w:tcPr>
          <w:p w:rsidR="00370382" w:rsidRPr="00370382" w:rsidRDefault="00370382" w:rsidP="00D74BA5">
            <w:pPr>
              <w:spacing w:after="0" w:line="240" w:lineRule="auto"/>
              <w:rPr>
                <w:rFonts w:ascii="Calibri" w:eastAsia="Times New Roman" w:hAnsi="Calibri" w:cs="Times New Roman"/>
                <w:color w:val="000000"/>
                <w:lang w:val="en-GB" w:eastAsia="en-GB"/>
              </w:rPr>
            </w:pPr>
          </w:p>
        </w:tc>
        <w:tc>
          <w:tcPr>
            <w:tcW w:w="1334" w:type="dxa"/>
            <w:tcBorders>
              <w:top w:val="nil"/>
              <w:left w:val="nil"/>
              <w:bottom w:val="nil"/>
              <w:right w:val="single" w:sz="8" w:space="0" w:color="auto"/>
            </w:tcBorders>
            <w:shd w:val="clear" w:color="000000" w:fill="4F81BD"/>
            <w:noWrap/>
            <w:vAlign w:val="center"/>
            <w:hideMark/>
          </w:tcPr>
          <w:p w:rsidR="00370382" w:rsidRPr="00370382" w:rsidRDefault="00370382" w:rsidP="00D74BA5">
            <w:pPr>
              <w:spacing w:after="0" w:line="240" w:lineRule="auto"/>
              <w:rPr>
                <w:rFonts w:ascii="Calibri" w:eastAsia="Times New Roman" w:hAnsi="Calibri" w:cs="Times New Roman"/>
                <w:b/>
                <w:bCs/>
                <w:color w:val="FFFFFF"/>
                <w:lang w:val="en-GB" w:eastAsia="en-GB"/>
              </w:rPr>
            </w:pPr>
            <w:r w:rsidRPr="00370382">
              <w:rPr>
                <w:rFonts w:ascii="Calibri" w:eastAsia="Times New Roman" w:hAnsi="Calibri" w:cs="Times New Roman"/>
                <w:b/>
                <w:bCs/>
                <w:color w:val="FFFFFF"/>
                <w:lang w:val="en-GB" w:eastAsia="en-GB"/>
              </w:rPr>
              <w:t>C2</w:t>
            </w:r>
          </w:p>
        </w:tc>
        <w:tc>
          <w:tcPr>
            <w:tcW w:w="663" w:type="dxa"/>
            <w:tcBorders>
              <w:top w:val="nil"/>
              <w:left w:val="nil"/>
              <w:bottom w:val="nil"/>
              <w:right w:val="nil"/>
            </w:tcBorders>
            <w:shd w:val="clear" w:color="auto" w:fill="auto"/>
            <w:noWrap/>
            <w:vAlign w:val="center"/>
            <w:hideMark/>
          </w:tcPr>
          <w:p w:rsidR="00370382" w:rsidRPr="00370382" w:rsidRDefault="00370382" w:rsidP="00D74BA5">
            <w:pPr>
              <w:spacing w:after="0" w:line="240" w:lineRule="auto"/>
              <w:jc w:val="right"/>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1200</w:t>
            </w:r>
          </w:p>
        </w:tc>
        <w:tc>
          <w:tcPr>
            <w:tcW w:w="664" w:type="dxa"/>
            <w:tcBorders>
              <w:top w:val="nil"/>
              <w:left w:val="nil"/>
              <w:bottom w:val="nil"/>
              <w:right w:val="single" w:sz="8" w:space="0" w:color="auto"/>
            </w:tcBorders>
            <w:shd w:val="clear" w:color="auto" w:fill="auto"/>
            <w:noWrap/>
            <w:vAlign w:val="center"/>
            <w:hideMark/>
          </w:tcPr>
          <w:p w:rsidR="00370382" w:rsidRPr="00370382" w:rsidRDefault="00370382" w:rsidP="00D74BA5">
            <w:pPr>
              <w:spacing w:after="0" w:line="240" w:lineRule="auto"/>
              <w:jc w:val="right"/>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1300</w:t>
            </w:r>
          </w:p>
        </w:tc>
        <w:tc>
          <w:tcPr>
            <w:tcW w:w="886" w:type="dxa"/>
            <w:tcBorders>
              <w:top w:val="nil"/>
              <w:left w:val="nil"/>
              <w:bottom w:val="nil"/>
              <w:right w:val="single" w:sz="8" w:space="0" w:color="auto"/>
            </w:tcBorders>
            <w:shd w:val="clear" w:color="auto" w:fill="auto"/>
            <w:noWrap/>
            <w:vAlign w:val="center"/>
            <w:hideMark/>
          </w:tcPr>
          <w:p w:rsidR="00370382" w:rsidRPr="00370382" w:rsidRDefault="00370382" w:rsidP="00D74BA5">
            <w:pPr>
              <w:spacing w:after="0" w:line="240" w:lineRule="auto"/>
              <w:jc w:val="right"/>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100</w:t>
            </w:r>
          </w:p>
        </w:tc>
        <w:tc>
          <w:tcPr>
            <w:tcW w:w="731" w:type="dxa"/>
            <w:tcBorders>
              <w:top w:val="nil"/>
              <w:left w:val="nil"/>
              <w:bottom w:val="nil"/>
              <w:right w:val="nil"/>
            </w:tcBorders>
            <w:shd w:val="clear" w:color="auto" w:fill="auto"/>
            <w:noWrap/>
            <w:vAlign w:val="center"/>
            <w:hideMark/>
          </w:tcPr>
          <w:p w:rsidR="00370382" w:rsidRPr="00370382" w:rsidRDefault="00732062" w:rsidP="00D74BA5">
            <w:pPr>
              <w:spacing w:after="0" w:line="240" w:lineRule="auto"/>
              <w:jc w:val="righ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-1300</w:t>
            </w:r>
          </w:p>
        </w:tc>
        <w:tc>
          <w:tcPr>
            <w:tcW w:w="851" w:type="dxa"/>
            <w:tcBorders>
              <w:top w:val="nil"/>
              <w:left w:val="nil"/>
              <w:bottom w:val="nil"/>
              <w:right w:val="single" w:sz="8" w:space="0" w:color="auto"/>
            </w:tcBorders>
            <w:shd w:val="clear" w:color="auto" w:fill="auto"/>
            <w:noWrap/>
            <w:vAlign w:val="center"/>
            <w:hideMark/>
          </w:tcPr>
          <w:p w:rsidR="00370382" w:rsidRPr="00370382" w:rsidRDefault="00732062" w:rsidP="00D74BA5">
            <w:pPr>
              <w:spacing w:after="0" w:line="240" w:lineRule="auto"/>
              <w:jc w:val="righ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13</w:t>
            </w:r>
            <w:r w:rsidR="00370382" w:rsidRPr="00370382">
              <w:rPr>
                <w:rFonts w:ascii="Calibri" w:eastAsia="Times New Roman" w:hAnsi="Calibri" w:cs="Times New Roman"/>
                <w:color w:val="000000"/>
                <w:lang w:val="en-GB" w:eastAsia="en-GB"/>
              </w:rPr>
              <w:t>00</w:t>
            </w:r>
          </w:p>
        </w:tc>
        <w:tc>
          <w:tcPr>
            <w:tcW w:w="886" w:type="dxa"/>
            <w:tcBorders>
              <w:top w:val="nil"/>
              <w:left w:val="nil"/>
              <w:bottom w:val="nil"/>
              <w:right w:val="single" w:sz="8" w:space="0" w:color="auto"/>
            </w:tcBorders>
            <w:shd w:val="clear" w:color="auto" w:fill="auto"/>
            <w:noWrap/>
            <w:vAlign w:val="center"/>
            <w:hideMark/>
          </w:tcPr>
          <w:p w:rsidR="00370382" w:rsidRPr="00370382" w:rsidRDefault="00370382" w:rsidP="00732062">
            <w:pPr>
              <w:spacing w:after="0" w:line="240" w:lineRule="auto"/>
              <w:jc w:val="right"/>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2</w:t>
            </w:r>
            <w:r w:rsidR="00732062">
              <w:rPr>
                <w:rFonts w:ascii="Calibri" w:eastAsia="Times New Roman" w:hAnsi="Calibri" w:cs="Times New Roman"/>
                <w:color w:val="000000"/>
                <w:lang w:val="en-GB" w:eastAsia="en-GB"/>
              </w:rPr>
              <w:t>6</w:t>
            </w:r>
            <w:r w:rsidRPr="00370382">
              <w:rPr>
                <w:rFonts w:ascii="Calibri" w:eastAsia="Times New Roman" w:hAnsi="Calibri" w:cs="Times New Roman"/>
                <w:color w:val="000000"/>
                <w:lang w:val="en-GB" w:eastAsia="en-GB"/>
              </w:rPr>
              <w:t>00</w:t>
            </w:r>
          </w:p>
        </w:tc>
        <w:tc>
          <w:tcPr>
            <w:tcW w:w="786" w:type="dxa"/>
            <w:tcBorders>
              <w:top w:val="nil"/>
              <w:left w:val="nil"/>
              <w:bottom w:val="nil"/>
              <w:right w:val="nil"/>
            </w:tcBorders>
            <w:shd w:val="clear" w:color="auto" w:fill="auto"/>
            <w:noWrap/>
            <w:vAlign w:val="center"/>
            <w:hideMark/>
          </w:tcPr>
          <w:p w:rsidR="00370382" w:rsidRPr="00370382" w:rsidRDefault="00562C8D" w:rsidP="008A1600">
            <w:pPr>
              <w:spacing w:after="0" w:line="240" w:lineRule="auto"/>
              <w:jc w:val="righ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w:t>
            </w:r>
            <w:r w:rsidR="00370382" w:rsidRPr="00370382">
              <w:rPr>
                <w:rFonts w:ascii="Calibri" w:eastAsia="Times New Roman" w:hAnsi="Calibri" w:cs="Times New Roman"/>
                <w:color w:val="000000"/>
                <w:lang w:val="en-GB" w:eastAsia="en-GB"/>
              </w:rPr>
              <w:t>1</w:t>
            </w:r>
            <w:r w:rsidR="008A1600">
              <w:rPr>
                <w:rFonts w:ascii="Calibri" w:eastAsia="Times New Roman" w:hAnsi="Calibri" w:cs="Times New Roman"/>
                <w:color w:val="000000"/>
                <w:lang w:val="en-GB" w:eastAsia="en-GB"/>
              </w:rPr>
              <w:t>0</w:t>
            </w:r>
            <w:r w:rsidR="00370382" w:rsidRPr="00370382">
              <w:rPr>
                <w:rFonts w:ascii="Calibri" w:eastAsia="Times New Roman" w:hAnsi="Calibri" w:cs="Times New Roman"/>
                <w:color w:val="000000"/>
                <w:lang w:val="en-GB" w:eastAsia="en-GB"/>
              </w:rPr>
              <w:t>00</w:t>
            </w:r>
          </w:p>
        </w:tc>
        <w:tc>
          <w:tcPr>
            <w:tcW w:w="1021" w:type="dxa"/>
            <w:tcBorders>
              <w:top w:val="nil"/>
              <w:left w:val="nil"/>
              <w:bottom w:val="nil"/>
              <w:right w:val="single" w:sz="8" w:space="0" w:color="auto"/>
            </w:tcBorders>
            <w:shd w:val="clear" w:color="auto" w:fill="auto"/>
            <w:noWrap/>
            <w:vAlign w:val="center"/>
            <w:hideMark/>
          </w:tcPr>
          <w:p w:rsidR="00370382" w:rsidRPr="00370382" w:rsidRDefault="00732062" w:rsidP="00732062">
            <w:pPr>
              <w:spacing w:after="0" w:line="240" w:lineRule="auto"/>
              <w:jc w:val="righ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1300</w:t>
            </w:r>
          </w:p>
        </w:tc>
        <w:tc>
          <w:tcPr>
            <w:tcW w:w="745" w:type="dxa"/>
            <w:tcBorders>
              <w:top w:val="nil"/>
              <w:left w:val="nil"/>
              <w:bottom w:val="nil"/>
              <w:right w:val="single" w:sz="8" w:space="0" w:color="auto"/>
            </w:tcBorders>
            <w:shd w:val="clear" w:color="auto" w:fill="auto"/>
            <w:noWrap/>
            <w:vAlign w:val="center"/>
            <w:hideMark/>
          </w:tcPr>
          <w:p w:rsidR="00370382" w:rsidRPr="00370382" w:rsidRDefault="00370382" w:rsidP="008A1600">
            <w:pPr>
              <w:spacing w:after="0" w:line="240" w:lineRule="auto"/>
              <w:jc w:val="right"/>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2</w:t>
            </w:r>
            <w:r w:rsidR="008A1600">
              <w:rPr>
                <w:rFonts w:ascii="Calibri" w:eastAsia="Times New Roman" w:hAnsi="Calibri" w:cs="Times New Roman"/>
                <w:color w:val="000000"/>
                <w:lang w:val="en-GB" w:eastAsia="en-GB"/>
              </w:rPr>
              <w:t>3</w:t>
            </w:r>
            <w:r w:rsidRPr="00370382">
              <w:rPr>
                <w:rFonts w:ascii="Calibri" w:eastAsia="Times New Roman" w:hAnsi="Calibri" w:cs="Times New Roman"/>
                <w:color w:val="000000"/>
                <w:lang w:val="en-GB" w:eastAsia="en-GB"/>
              </w:rPr>
              <w:t>00</w:t>
            </w:r>
          </w:p>
        </w:tc>
      </w:tr>
      <w:tr w:rsidR="00370382" w:rsidRPr="00370382" w:rsidTr="00732062">
        <w:trPr>
          <w:trHeight w:val="315"/>
        </w:trPr>
        <w:tc>
          <w:tcPr>
            <w:tcW w:w="840" w:type="dxa"/>
            <w:vMerge/>
            <w:tcBorders>
              <w:top w:val="nil"/>
              <w:left w:val="single" w:sz="8" w:space="0" w:color="auto"/>
              <w:bottom w:val="single" w:sz="8" w:space="0" w:color="000000"/>
              <w:right w:val="single" w:sz="8" w:space="0" w:color="auto"/>
            </w:tcBorders>
            <w:vAlign w:val="center"/>
            <w:hideMark/>
          </w:tcPr>
          <w:p w:rsidR="00370382" w:rsidRPr="00370382" w:rsidRDefault="00370382" w:rsidP="00D74BA5">
            <w:pPr>
              <w:spacing w:after="0" w:line="240" w:lineRule="auto"/>
              <w:rPr>
                <w:rFonts w:ascii="Calibri" w:eastAsia="Times New Roman" w:hAnsi="Calibri" w:cs="Times New Roman"/>
                <w:color w:val="000000"/>
                <w:lang w:val="en-GB" w:eastAsia="en-GB"/>
              </w:rPr>
            </w:pPr>
          </w:p>
        </w:tc>
        <w:tc>
          <w:tcPr>
            <w:tcW w:w="1334" w:type="dxa"/>
            <w:tcBorders>
              <w:top w:val="single" w:sz="8" w:space="0" w:color="4F81BD"/>
              <w:left w:val="nil"/>
              <w:bottom w:val="nil"/>
              <w:right w:val="single" w:sz="8" w:space="0" w:color="auto"/>
            </w:tcBorders>
            <w:shd w:val="clear" w:color="000000" w:fill="4F81BD"/>
            <w:noWrap/>
            <w:vAlign w:val="center"/>
            <w:hideMark/>
          </w:tcPr>
          <w:p w:rsidR="00370382" w:rsidRPr="00370382" w:rsidRDefault="00370382" w:rsidP="00D74BA5">
            <w:pPr>
              <w:spacing w:after="0" w:line="240" w:lineRule="auto"/>
              <w:rPr>
                <w:rFonts w:ascii="Calibri" w:eastAsia="Times New Roman" w:hAnsi="Calibri" w:cs="Times New Roman"/>
                <w:b/>
                <w:bCs/>
                <w:color w:val="FFFFFF"/>
                <w:lang w:val="en-GB" w:eastAsia="en-GB"/>
              </w:rPr>
            </w:pPr>
            <w:r w:rsidRPr="00370382">
              <w:rPr>
                <w:rFonts w:ascii="Calibri" w:eastAsia="Times New Roman" w:hAnsi="Calibri" w:cs="Times New Roman"/>
                <w:b/>
                <w:bCs/>
                <w:color w:val="FFFFFF"/>
                <w:lang w:val="en-GB" w:eastAsia="en-GB"/>
              </w:rPr>
              <w:t>C3</w:t>
            </w:r>
          </w:p>
        </w:tc>
        <w:tc>
          <w:tcPr>
            <w:tcW w:w="663" w:type="dxa"/>
            <w:tcBorders>
              <w:top w:val="nil"/>
              <w:left w:val="nil"/>
              <w:bottom w:val="nil"/>
              <w:right w:val="nil"/>
            </w:tcBorders>
            <w:shd w:val="clear" w:color="auto" w:fill="auto"/>
            <w:noWrap/>
            <w:vAlign w:val="center"/>
            <w:hideMark/>
          </w:tcPr>
          <w:p w:rsidR="00370382" w:rsidRPr="00370382" w:rsidRDefault="00370382" w:rsidP="00D74BA5">
            <w:pPr>
              <w:spacing w:after="0" w:line="240" w:lineRule="auto"/>
              <w:jc w:val="right"/>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-25</w:t>
            </w:r>
          </w:p>
        </w:tc>
        <w:tc>
          <w:tcPr>
            <w:tcW w:w="664" w:type="dxa"/>
            <w:tcBorders>
              <w:top w:val="nil"/>
              <w:left w:val="nil"/>
              <w:bottom w:val="nil"/>
              <w:right w:val="single" w:sz="8" w:space="0" w:color="auto"/>
            </w:tcBorders>
            <w:shd w:val="clear" w:color="auto" w:fill="auto"/>
            <w:noWrap/>
            <w:vAlign w:val="center"/>
            <w:hideMark/>
          </w:tcPr>
          <w:p w:rsidR="00370382" w:rsidRPr="00370382" w:rsidRDefault="00370382" w:rsidP="00D74BA5">
            <w:pPr>
              <w:spacing w:after="0" w:line="240" w:lineRule="auto"/>
              <w:jc w:val="right"/>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-40</w:t>
            </w:r>
          </w:p>
        </w:tc>
        <w:tc>
          <w:tcPr>
            <w:tcW w:w="886" w:type="dxa"/>
            <w:tcBorders>
              <w:top w:val="nil"/>
              <w:left w:val="nil"/>
              <w:bottom w:val="nil"/>
              <w:right w:val="single" w:sz="8" w:space="0" w:color="auto"/>
            </w:tcBorders>
            <w:shd w:val="clear" w:color="auto" w:fill="auto"/>
            <w:noWrap/>
            <w:vAlign w:val="center"/>
            <w:hideMark/>
          </w:tcPr>
          <w:p w:rsidR="00370382" w:rsidRPr="00370382" w:rsidRDefault="00370382" w:rsidP="00D74BA5">
            <w:pPr>
              <w:spacing w:after="0" w:line="240" w:lineRule="auto"/>
              <w:jc w:val="right"/>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15</w:t>
            </w:r>
          </w:p>
        </w:tc>
        <w:tc>
          <w:tcPr>
            <w:tcW w:w="731" w:type="dxa"/>
            <w:tcBorders>
              <w:top w:val="nil"/>
              <w:left w:val="nil"/>
              <w:bottom w:val="nil"/>
              <w:right w:val="nil"/>
            </w:tcBorders>
            <w:shd w:val="clear" w:color="auto" w:fill="auto"/>
            <w:noWrap/>
            <w:vAlign w:val="center"/>
            <w:hideMark/>
          </w:tcPr>
          <w:p w:rsidR="00370382" w:rsidRPr="00370382" w:rsidRDefault="00732062" w:rsidP="00D74BA5">
            <w:pPr>
              <w:spacing w:after="0" w:line="240" w:lineRule="auto"/>
              <w:jc w:val="righ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40</w:t>
            </w:r>
          </w:p>
        </w:tc>
        <w:tc>
          <w:tcPr>
            <w:tcW w:w="851" w:type="dxa"/>
            <w:tcBorders>
              <w:top w:val="nil"/>
              <w:left w:val="nil"/>
              <w:bottom w:val="nil"/>
              <w:right w:val="single" w:sz="8" w:space="0" w:color="auto"/>
            </w:tcBorders>
            <w:shd w:val="clear" w:color="auto" w:fill="auto"/>
            <w:noWrap/>
            <w:vAlign w:val="center"/>
            <w:hideMark/>
          </w:tcPr>
          <w:p w:rsidR="00370382" w:rsidRPr="00370382" w:rsidRDefault="00732062" w:rsidP="00D74BA5">
            <w:pPr>
              <w:spacing w:after="0" w:line="240" w:lineRule="auto"/>
              <w:jc w:val="righ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-40</w:t>
            </w:r>
          </w:p>
        </w:tc>
        <w:tc>
          <w:tcPr>
            <w:tcW w:w="886" w:type="dxa"/>
            <w:tcBorders>
              <w:top w:val="nil"/>
              <w:left w:val="nil"/>
              <w:bottom w:val="nil"/>
              <w:right w:val="single" w:sz="8" w:space="0" w:color="auto"/>
            </w:tcBorders>
            <w:shd w:val="clear" w:color="auto" w:fill="auto"/>
            <w:noWrap/>
            <w:vAlign w:val="center"/>
            <w:hideMark/>
          </w:tcPr>
          <w:p w:rsidR="00370382" w:rsidRPr="00370382" w:rsidRDefault="00562C8D" w:rsidP="00D74BA5">
            <w:pPr>
              <w:spacing w:after="0" w:line="240" w:lineRule="auto"/>
              <w:jc w:val="righ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80</w:t>
            </w:r>
          </w:p>
        </w:tc>
        <w:tc>
          <w:tcPr>
            <w:tcW w:w="786" w:type="dxa"/>
            <w:tcBorders>
              <w:top w:val="nil"/>
              <w:left w:val="nil"/>
              <w:bottom w:val="nil"/>
              <w:right w:val="nil"/>
            </w:tcBorders>
            <w:shd w:val="clear" w:color="auto" w:fill="auto"/>
            <w:noWrap/>
            <w:vAlign w:val="center"/>
            <w:hideMark/>
          </w:tcPr>
          <w:p w:rsidR="00370382" w:rsidRPr="00370382" w:rsidRDefault="00D05339" w:rsidP="00D05339">
            <w:pPr>
              <w:spacing w:after="0" w:line="240" w:lineRule="auto"/>
              <w:jc w:val="righ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2500</w:t>
            </w:r>
          </w:p>
        </w:tc>
        <w:tc>
          <w:tcPr>
            <w:tcW w:w="1021" w:type="dxa"/>
            <w:tcBorders>
              <w:top w:val="nil"/>
              <w:left w:val="nil"/>
              <w:bottom w:val="nil"/>
              <w:right w:val="single" w:sz="8" w:space="0" w:color="auto"/>
            </w:tcBorders>
            <w:shd w:val="clear" w:color="auto" w:fill="auto"/>
            <w:noWrap/>
            <w:vAlign w:val="center"/>
            <w:hideMark/>
          </w:tcPr>
          <w:p w:rsidR="00370382" w:rsidRPr="00370382" w:rsidRDefault="00732062" w:rsidP="00D74BA5">
            <w:pPr>
              <w:spacing w:after="0" w:line="240" w:lineRule="auto"/>
              <w:jc w:val="righ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-40</w:t>
            </w:r>
          </w:p>
        </w:tc>
        <w:tc>
          <w:tcPr>
            <w:tcW w:w="745" w:type="dxa"/>
            <w:tcBorders>
              <w:top w:val="nil"/>
              <w:left w:val="nil"/>
              <w:bottom w:val="nil"/>
              <w:right w:val="single" w:sz="8" w:space="0" w:color="auto"/>
            </w:tcBorders>
            <w:shd w:val="clear" w:color="auto" w:fill="auto"/>
            <w:noWrap/>
            <w:vAlign w:val="center"/>
            <w:hideMark/>
          </w:tcPr>
          <w:p w:rsidR="00370382" w:rsidRPr="00370382" w:rsidRDefault="008A1600" w:rsidP="00D74BA5">
            <w:pPr>
              <w:spacing w:after="0" w:line="240" w:lineRule="auto"/>
              <w:jc w:val="righ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2540</w:t>
            </w:r>
          </w:p>
        </w:tc>
      </w:tr>
      <w:tr w:rsidR="00370382" w:rsidRPr="00370382" w:rsidTr="00732062">
        <w:trPr>
          <w:trHeight w:val="315"/>
        </w:trPr>
        <w:tc>
          <w:tcPr>
            <w:tcW w:w="840" w:type="dxa"/>
            <w:vMerge/>
            <w:tcBorders>
              <w:top w:val="nil"/>
              <w:left w:val="single" w:sz="8" w:space="0" w:color="auto"/>
              <w:bottom w:val="single" w:sz="8" w:space="0" w:color="000000"/>
              <w:right w:val="single" w:sz="8" w:space="0" w:color="auto"/>
            </w:tcBorders>
            <w:vAlign w:val="center"/>
            <w:hideMark/>
          </w:tcPr>
          <w:p w:rsidR="00370382" w:rsidRPr="00370382" w:rsidRDefault="00370382" w:rsidP="00D74BA5">
            <w:pPr>
              <w:spacing w:after="0" w:line="240" w:lineRule="auto"/>
              <w:rPr>
                <w:rFonts w:ascii="Calibri" w:eastAsia="Times New Roman" w:hAnsi="Calibri" w:cs="Times New Roman"/>
                <w:color w:val="000000"/>
                <w:lang w:val="en-GB" w:eastAsia="en-GB"/>
              </w:rPr>
            </w:pPr>
          </w:p>
        </w:tc>
        <w:tc>
          <w:tcPr>
            <w:tcW w:w="1334" w:type="dxa"/>
            <w:tcBorders>
              <w:top w:val="single" w:sz="8" w:space="0" w:color="4F81BD"/>
              <w:left w:val="nil"/>
              <w:bottom w:val="nil"/>
              <w:right w:val="single" w:sz="8" w:space="0" w:color="auto"/>
            </w:tcBorders>
            <w:shd w:val="clear" w:color="000000" w:fill="4F81BD"/>
            <w:noWrap/>
            <w:vAlign w:val="center"/>
            <w:hideMark/>
          </w:tcPr>
          <w:p w:rsidR="00370382" w:rsidRPr="00370382" w:rsidRDefault="00370382" w:rsidP="00D74BA5">
            <w:pPr>
              <w:spacing w:after="0" w:line="240" w:lineRule="auto"/>
              <w:rPr>
                <w:rFonts w:ascii="Calibri" w:eastAsia="Times New Roman" w:hAnsi="Calibri" w:cs="Times New Roman"/>
                <w:b/>
                <w:bCs/>
                <w:color w:val="FFFFFF"/>
                <w:lang w:val="en-GB" w:eastAsia="en-GB"/>
              </w:rPr>
            </w:pPr>
            <w:r w:rsidRPr="00370382">
              <w:rPr>
                <w:rFonts w:ascii="Calibri" w:eastAsia="Times New Roman" w:hAnsi="Calibri" w:cs="Times New Roman"/>
                <w:b/>
                <w:bCs/>
                <w:color w:val="FFFFFF"/>
                <w:lang w:val="en-GB" w:eastAsia="en-GB"/>
              </w:rPr>
              <w:t>C4</w:t>
            </w:r>
          </w:p>
        </w:tc>
        <w:tc>
          <w:tcPr>
            <w:tcW w:w="663" w:type="dxa"/>
            <w:tcBorders>
              <w:top w:val="nil"/>
              <w:left w:val="nil"/>
              <w:bottom w:val="nil"/>
              <w:right w:val="nil"/>
            </w:tcBorders>
            <w:shd w:val="clear" w:color="auto" w:fill="auto"/>
            <w:noWrap/>
            <w:vAlign w:val="center"/>
            <w:hideMark/>
          </w:tcPr>
          <w:p w:rsidR="00370382" w:rsidRPr="00370382" w:rsidRDefault="00370382" w:rsidP="00D74BA5">
            <w:pPr>
              <w:spacing w:after="0" w:line="240" w:lineRule="auto"/>
              <w:jc w:val="right"/>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1000</w:t>
            </w:r>
          </w:p>
        </w:tc>
        <w:tc>
          <w:tcPr>
            <w:tcW w:w="664" w:type="dxa"/>
            <w:tcBorders>
              <w:top w:val="nil"/>
              <w:left w:val="nil"/>
              <w:bottom w:val="nil"/>
              <w:right w:val="single" w:sz="8" w:space="0" w:color="auto"/>
            </w:tcBorders>
            <w:shd w:val="clear" w:color="auto" w:fill="auto"/>
            <w:noWrap/>
            <w:vAlign w:val="center"/>
            <w:hideMark/>
          </w:tcPr>
          <w:p w:rsidR="00370382" w:rsidRPr="00370382" w:rsidRDefault="00370382" w:rsidP="00D74BA5">
            <w:pPr>
              <w:spacing w:after="0" w:line="240" w:lineRule="auto"/>
              <w:jc w:val="right"/>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1300</w:t>
            </w:r>
          </w:p>
        </w:tc>
        <w:tc>
          <w:tcPr>
            <w:tcW w:w="886" w:type="dxa"/>
            <w:tcBorders>
              <w:top w:val="nil"/>
              <w:left w:val="nil"/>
              <w:bottom w:val="nil"/>
              <w:right w:val="single" w:sz="8" w:space="0" w:color="auto"/>
            </w:tcBorders>
            <w:shd w:val="clear" w:color="auto" w:fill="auto"/>
            <w:noWrap/>
            <w:vAlign w:val="center"/>
            <w:hideMark/>
          </w:tcPr>
          <w:p w:rsidR="00370382" w:rsidRPr="00370382" w:rsidRDefault="00370382" w:rsidP="00D74BA5">
            <w:pPr>
              <w:spacing w:after="0" w:line="240" w:lineRule="auto"/>
              <w:jc w:val="right"/>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300</w:t>
            </w:r>
          </w:p>
        </w:tc>
        <w:tc>
          <w:tcPr>
            <w:tcW w:w="731" w:type="dxa"/>
            <w:tcBorders>
              <w:top w:val="nil"/>
              <w:left w:val="nil"/>
              <w:bottom w:val="nil"/>
              <w:right w:val="nil"/>
            </w:tcBorders>
            <w:shd w:val="clear" w:color="auto" w:fill="auto"/>
            <w:noWrap/>
            <w:vAlign w:val="center"/>
            <w:hideMark/>
          </w:tcPr>
          <w:p w:rsidR="00370382" w:rsidRPr="00370382" w:rsidRDefault="00732062" w:rsidP="00732062">
            <w:pPr>
              <w:spacing w:after="0" w:line="240" w:lineRule="auto"/>
              <w:jc w:val="righ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-1300</w:t>
            </w:r>
          </w:p>
        </w:tc>
        <w:tc>
          <w:tcPr>
            <w:tcW w:w="851" w:type="dxa"/>
            <w:tcBorders>
              <w:top w:val="nil"/>
              <w:left w:val="nil"/>
              <w:bottom w:val="nil"/>
              <w:right w:val="single" w:sz="8" w:space="0" w:color="auto"/>
            </w:tcBorders>
            <w:shd w:val="clear" w:color="auto" w:fill="auto"/>
            <w:noWrap/>
            <w:vAlign w:val="center"/>
            <w:hideMark/>
          </w:tcPr>
          <w:p w:rsidR="00370382" w:rsidRPr="00370382" w:rsidRDefault="00732062" w:rsidP="00D74BA5">
            <w:pPr>
              <w:spacing w:after="0" w:line="240" w:lineRule="auto"/>
              <w:jc w:val="righ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1300</w:t>
            </w:r>
          </w:p>
        </w:tc>
        <w:tc>
          <w:tcPr>
            <w:tcW w:w="886" w:type="dxa"/>
            <w:tcBorders>
              <w:top w:val="nil"/>
              <w:left w:val="nil"/>
              <w:bottom w:val="nil"/>
              <w:right w:val="single" w:sz="8" w:space="0" w:color="auto"/>
            </w:tcBorders>
            <w:shd w:val="clear" w:color="auto" w:fill="auto"/>
            <w:noWrap/>
            <w:vAlign w:val="center"/>
            <w:hideMark/>
          </w:tcPr>
          <w:p w:rsidR="00370382" w:rsidRPr="00370382" w:rsidRDefault="00370382" w:rsidP="00732062">
            <w:pPr>
              <w:spacing w:after="0" w:line="240" w:lineRule="auto"/>
              <w:jc w:val="right"/>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2</w:t>
            </w:r>
            <w:r w:rsidR="00732062">
              <w:rPr>
                <w:rFonts w:ascii="Calibri" w:eastAsia="Times New Roman" w:hAnsi="Calibri" w:cs="Times New Roman"/>
                <w:color w:val="000000"/>
                <w:lang w:val="en-GB" w:eastAsia="en-GB"/>
              </w:rPr>
              <w:t>6</w:t>
            </w:r>
            <w:r w:rsidRPr="00370382">
              <w:rPr>
                <w:rFonts w:ascii="Calibri" w:eastAsia="Times New Roman" w:hAnsi="Calibri" w:cs="Times New Roman"/>
                <w:color w:val="000000"/>
                <w:lang w:val="en-GB" w:eastAsia="en-GB"/>
              </w:rPr>
              <w:t>00</w:t>
            </w:r>
          </w:p>
        </w:tc>
        <w:tc>
          <w:tcPr>
            <w:tcW w:w="786" w:type="dxa"/>
            <w:tcBorders>
              <w:top w:val="nil"/>
              <w:left w:val="nil"/>
              <w:bottom w:val="nil"/>
              <w:right w:val="nil"/>
            </w:tcBorders>
            <w:shd w:val="clear" w:color="auto" w:fill="auto"/>
            <w:noWrap/>
            <w:vAlign w:val="center"/>
            <w:hideMark/>
          </w:tcPr>
          <w:p w:rsidR="00370382" w:rsidRPr="00370382" w:rsidRDefault="008A1600" w:rsidP="008A1600">
            <w:pPr>
              <w:spacing w:after="0" w:line="240" w:lineRule="auto"/>
              <w:jc w:val="righ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w:t>
            </w:r>
            <w:r w:rsidR="00370382" w:rsidRPr="00370382">
              <w:rPr>
                <w:rFonts w:ascii="Calibri" w:eastAsia="Times New Roman" w:hAnsi="Calibri" w:cs="Times New Roman"/>
                <w:color w:val="000000"/>
                <w:lang w:val="en-GB" w:eastAsia="en-GB"/>
              </w:rPr>
              <w:t>1</w:t>
            </w:r>
            <w:r>
              <w:rPr>
                <w:rFonts w:ascii="Calibri" w:eastAsia="Times New Roman" w:hAnsi="Calibri" w:cs="Times New Roman"/>
                <w:color w:val="000000"/>
                <w:lang w:val="en-GB" w:eastAsia="en-GB"/>
              </w:rPr>
              <w:t>2</w:t>
            </w:r>
            <w:r w:rsidR="00370382" w:rsidRPr="00370382">
              <w:rPr>
                <w:rFonts w:ascii="Calibri" w:eastAsia="Times New Roman" w:hAnsi="Calibri" w:cs="Times New Roman"/>
                <w:color w:val="000000"/>
                <w:lang w:val="en-GB" w:eastAsia="en-GB"/>
              </w:rPr>
              <w:t>00</w:t>
            </w:r>
          </w:p>
        </w:tc>
        <w:tc>
          <w:tcPr>
            <w:tcW w:w="1021" w:type="dxa"/>
            <w:tcBorders>
              <w:top w:val="nil"/>
              <w:left w:val="nil"/>
              <w:bottom w:val="nil"/>
              <w:right w:val="single" w:sz="8" w:space="0" w:color="auto"/>
            </w:tcBorders>
            <w:shd w:val="clear" w:color="auto" w:fill="auto"/>
            <w:noWrap/>
            <w:vAlign w:val="center"/>
            <w:hideMark/>
          </w:tcPr>
          <w:p w:rsidR="00370382" w:rsidRPr="00370382" w:rsidRDefault="00732062" w:rsidP="00D74BA5">
            <w:pPr>
              <w:spacing w:after="0" w:line="240" w:lineRule="auto"/>
              <w:jc w:val="righ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1300</w:t>
            </w:r>
          </w:p>
        </w:tc>
        <w:tc>
          <w:tcPr>
            <w:tcW w:w="745" w:type="dxa"/>
            <w:tcBorders>
              <w:top w:val="nil"/>
              <w:left w:val="nil"/>
              <w:bottom w:val="nil"/>
              <w:right w:val="single" w:sz="8" w:space="0" w:color="auto"/>
            </w:tcBorders>
            <w:shd w:val="clear" w:color="auto" w:fill="auto"/>
            <w:noWrap/>
            <w:vAlign w:val="center"/>
            <w:hideMark/>
          </w:tcPr>
          <w:p w:rsidR="00370382" w:rsidRPr="00370382" w:rsidRDefault="008A1600" w:rsidP="00D74BA5">
            <w:pPr>
              <w:spacing w:after="0" w:line="240" w:lineRule="auto"/>
              <w:jc w:val="righ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2500</w:t>
            </w:r>
          </w:p>
        </w:tc>
      </w:tr>
      <w:tr w:rsidR="00370382" w:rsidRPr="00370382" w:rsidTr="00732062">
        <w:trPr>
          <w:trHeight w:val="315"/>
        </w:trPr>
        <w:tc>
          <w:tcPr>
            <w:tcW w:w="840" w:type="dxa"/>
            <w:vMerge/>
            <w:tcBorders>
              <w:top w:val="nil"/>
              <w:left w:val="single" w:sz="8" w:space="0" w:color="auto"/>
              <w:bottom w:val="single" w:sz="8" w:space="0" w:color="000000"/>
              <w:right w:val="single" w:sz="8" w:space="0" w:color="auto"/>
            </w:tcBorders>
            <w:vAlign w:val="center"/>
            <w:hideMark/>
          </w:tcPr>
          <w:p w:rsidR="00370382" w:rsidRPr="00370382" w:rsidRDefault="00370382" w:rsidP="00D74BA5">
            <w:pPr>
              <w:spacing w:after="0" w:line="240" w:lineRule="auto"/>
              <w:rPr>
                <w:rFonts w:ascii="Calibri" w:eastAsia="Times New Roman" w:hAnsi="Calibri" w:cs="Times New Roman"/>
                <w:color w:val="000000"/>
                <w:lang w:val="en-GB" w:eastAsia="en-GB"/>
              </w:rPr>
            </w:pPr>
          </w:p>
        </w:tc>
        <w:tc>
          <w:tcPr>
            <w:tcW w:w="1334" w:type="dxa"/>
            <w:tcBorders>
              <w:top w:val="single" w:sz="8" w:space="0" w:color="4F81BD"/>
              <w:left w:val="nil"/>
              <w:bottom w:val="nil"/>
              <w:right w:val="single" w:sz="8" w:space="0" w:color="auto"/>
            </w:tcBorders>
            <w:shd w:val="clear" w:color="000000" w:fill="4F81BD"/>
            <w:noWrap/>
            <w:vAlign w:val="center"/>
            <w:hideMark/>
          </w:tcPr>
          <w:p w:rsidR="00370382" w:rsidRPr="00370382" w:rsidRDefault="00370382" w:rsidP="00D74BA5">
            <w:pPr>
              <w:spacing w:after="0" w:line="240" w:lineRule="auto"/>
              <w:rPr>
                <w:rFonts w:ascii="Calibri" w:eastAsia="Times New Roman" w:hAnsi="Calibri" w:cs="Times New Roman"/>
                <w:b/>
                <w:bCs/>
                <w:color w:val="FFFFFF"/>
                <w:lang w:val="en-GB" w:eastAsia="en-GB"/>
              </w:rPr>
            </w:pPr>
            <w:r w:rsidRPr="00370382">
              <w:rPr>
                <w:rFonts w:ascii="Calibri" w:eastAsia="Times New Roman" w:hAnsi="Calibri" w:cs="Times New Roman"/>
                <w:b/>
                <w:bCs/>
                <w:color w:val="FFFFFF"/>
                <w:lang w:val="en-GB" w:eastAsia="en-GB"/>
              </w:rPr>
              <w:t>C5</w:t>
            </w:r>
          </w:p>
        </w:tc>
        <w:tc>
          <w:tcPr>
            <w:tcW w:w="663" w:type="dxa"/>
            <w:tcBorders>
              <w:top w:val="nil"/>
              <w:left w:val="nil"/>
              <w:bottom w:val="nil"/>
              <w:right w:val="nil"/>
            </w:tcBorders>
            <w:shd w:val="clear" w:color="auto" w:fill="auto"/>
            <w:noWrap/>
            <w:vAlign w:val="center"/>
            <w:hideMark/>
          </w:tcPr>
          <w:p w:rsidR="00370382" w:rsidRPr="00370382" w:rsidRDefault="00370382" w:rsidP="00D74BA5">
            <w:pPr>
              <w:spacing w:after="0" w:line="240" w:lineRule="auto"/>
              <w:jc w:val="right"/>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10</w:t>
            </w:r>
          </w:p>
        </w:tc>
        <w:tc>
          <w:tcPr>
            <w:tcW w:w="664" w:type="dxa"/>
            <w:tcBorders>
              <w:top w:val="nil"/>
              <w:left w:val="nil"/>
              <w:bottom w:val="nil"/>
              <w:right w:val="single" w:sz="8" w:space="0" w:color="auto"/>
            </w:tcBorders>
            <w:shd w:val="clear" w:color="auto" w:fill="auto"/>
            <w:noWrap/>
            <w:vAlign w:val="center"/>
            <w:hideMark/>
          </w:tcPr>
          <w:p w:rsidR="00370382" w:rsidRPr="00370382" w:rsidRDefault="00370382" w:rsidP="00D74BA5">
            <w:pPr>
              <w:spacing w:after="0" w:line="240" w:lineRule="auto"/>
              <w:jc w:val="right"/>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10</w:t>
            </w:r>
          </w:p>
        </w:tc>
        <w:tc>
          <w:tcPr>
            <w:tcW w:w="886" w:type="dxa"/>
            <w:tcBorders>
              <w:top w:val="nil"/>
              <w:left w:val="nil"/>
              <w:bottom w:val="nil"/>
              <w:right w:val="single" w:sz="8" w:space="0" w:color="auto"/>
            </w:tcBorders>
            <w:shd w:val="clear" w:color="auto" w:fill="auto"/>
            <w:noWrap/>
            <w:vAlign w:val="center"/>
            <w:hideMark/>
          </w:tcPr>
          <w:p w:rsidR="00370382" w:rsidRPr="00370382" w:rsidRDefault="00370382" w:rsidP="00D74BA5">
            <w:pPr>
              <w:spacing w:after="0" w:line="240" w:lineRule="auto"/>
              <w:jc w:val="right"/>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0</w:t>
            </w:r>
          </w:p>
        </w:tc>
        <w:tc>
          <w:tcPr>
            <w:tcW w:w="731" w:type="dxa"/>
            <w:tcBorders>
              <w:top w:val="nil"/>
              <w:left w:val="nil"/>
              <w:bottom w:val="nil"/>
              <w:right w:val="nil"/>
            </w:tcBorders>
            <w:shd w:val="clear" w:color="auto" w:fill="auto"/>
            <w:noWrap/>
            <w:vAlign w:val="center"/>
            <w:hideMark/>
          </w:tcPr>
          <w:p w:rsidR="00370382" w:rsidRPr="00370382" w:rsidRDefault="00370382" w:rsidP="00D74BA5">
            <w:pPr>
              <w:spacing w:after="0" w:line="240" w:lineRule="auto"/>
              <w:jc w:val="right"/>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-10</w:t>
            </w:r>
          </w:p>
        </w:tc>
        <w:tc>
          <w:tcPr>
            <w:tcW w:w="851" w:type="dxa"/>
            <w:tcBorders>
              <w:top w:val="nil"/>
              <w:left w:val="nil"/>
              <w:bottom w:val="nil"/>
              <w:right w:val="single" w:sz="8" w:space="0" w:color="auto"/>
            </w:tcBorders>
            <w:shd w:val="clear" w:color="auto" w:fill="auto"/>
            <w:noWrap/>
            <w:vAlign w:val="center"/>
            <w:hideMark/>
          </w:tcPr>
          <w:p w:rsidR="00370382" w:rsidRPr="00370382" w:rsidRDefault="00370382" w:rsidP="00D74BA5">
            <w:pPr>
              <w:spacing w:after="0" w:line="240" w:lineRule="auto"/>
              <w:jc w:val="right"/>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10</w:t>
            </w:r>
          </w:p>
        </w:tc>
        <w:tc>
          <w:tcPr>
            <w:tcW w:w="886" w:type="dxa"/>
            <w:tcBorders>
              <w:top w:val="nil"/>
              <w:left w:val="nil"/>
              <w:bottom w:val="nil"/>
              <w:right w:val="single" w:sz="8" w:space="0" w:color="auto"/>
            </w:tcBorders>
            <w:shd w:val="clear" w:color="auto" w:fill="auto"/>
            <w:noWrap/>
            <w:vAlign w:val="center"/>
            <w:hideMark/>
          </w:tcPr>
          <w:p w:rsidR="00370382" w:rsidRPr="00370382" w:rsidRDefault="00370382" w:rsidP="00D74BA5">
            <w:pPr>
              <w:spacing w:after="0" w:line="240" w:lineRule="auto"/>
              <w:jc w:val="right"/>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20</w:t>
            </w:r>
          </w:p>
        </w:tc>
        <w:tc>
          <w:tcPr>
            <w:tcW w:w="786" w:type="dxa"/>
            <w:tcBorders>
              <w:top w:val="nil"/>
              <w:left w:val="nil"/>
              <w:bottom w:val="nil"/>
              <w:right w:val="nil"/>
            </w:tcBorders>
            <w:shd w:val="clear" w:color="auto" w:fill="auto"/>
            <w:noWrap/>
            <w:vAlign w:val="center"/>
            <w:hideMark/>
          </w:tcPr>
          <w:p w:rsidR="00370382" w:rsidRPr="00370382" w:rsidRDefault="00DF48E7" w:rsidP="00D74BA5">
            <w:pPr>
              <w:spacing w:after="0" w:line="240" w:lineRule="auto"/>
              <w:jc w:val="righ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w:t>
            </w:r>
            <w:r w:rsidR="00370382" w:rsidRPr="00370382">
              <w:rPr>
                <w:rFonts w:ascii="Calibri" w:eastAsia="Times New Roman" w:hAnsi="Calibri" w:cs="Times New Roman"/>
                <w:color w:val="000000"/>
                <w:lang w:val="en-GB" w:eastAsia="en-GB"/>
              </w:rPr>
              <w:t>10</w:t>
            </w:r>
          </w:p>
        </w:tc>
        <w:tc>
          <w:tcPr>
            <w:tcW w:w="1021" w:type="dxa"/>
            <w:tcBorders>
              <w:top w:val="nil"/>
              <w:left w:val="nil"/>
              <w:bottom w:val="nil"/>
              <w:right w:val="single" w:sz="8" w:space="0" w:color="auto"/>
            </w:tcBorders>
            <w:shd w:val="clear" w:color="auto" w:fill="auto"/>
            <w:noWrap/>
            <w:vAlign w:val="center"/>
            <w:hideMark/>
          </w:tcPr>
          <w:p w:rsidR="00370382" w:rsidRPr="00370382" w:rsidRDefault="00370382" w:rsidP="00D74BA5">
            <w:pPr>
              <w:spacing w:after="0" w:line="240" w:lineRule="auto"/>
              <w:jc w:val="right"/>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10</w:t>
            </w:r>
          </w:p>
        </w:tc>
        <w:tc>
          <w:tcPr>
            <w:tcW w:w="745" w:type="dxa"/>
            <w:tcBorders>
              <w:top w:val="nil"/>
              <w:left w:val="nil"/>
              <w:bottom w:val="nil"/>
              <w:right w:val="single" w:sz="8" w:space="0" w:color="auto"/>
            </w:tcBorders>
            <w:shd w:val="clear" w:color="auto" w:fill="auto"/>
            <w:noWrap/>
            <w:vAlign w:val="center"/>
            <w:hideMark/>
          </w:tcPr>
          <w:p w:rsidR="00370382" w:rsidRPr="00370382" w:rsidRDefault="00370382" w:rsidP="00D74BA5">
            <w:pPr>
              <w:spacing w:after="0" w:line="240" w:lineRule="auto"/>
              <w:jc w:val="right"/>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20</w:t>
            </w:r>
          </w:p>
        </w:tc>
      </w:tr>
      <w:tr w:rsidR="00370382" w:rsidRPr="00370382" w:rsidTr="00732062">
        <w:trPr>
          <w:trHeight w:val="315"/>
        </w:trPr>
        <w:tc>
          <w:tcPr>
            <w:tcW w:w="840" w:type="dxa"/>
            <w:vMerge/>
            <w:tcBorders>
              <w:top w:val="nil"/>
              <w:left w:val="single" w:sz="8" w:space="0" w:color="auto"/>
              <w:bottom w:val="single" w:sz="8" w:space="0" w:color="000000"/>
              <w:right w:val="single" w:sz="8" w:space="0" w:color="auto"/>
            </w:tcBorders>
            <w:vAlign w:val="center"/>
            <w:hideMark/>
          </w:tcPr>
          <w:p w:rsidR="00370382" w:rsidRPr="00370382" w:rsidRDefault="00370382" w:rsidP="00D74BA5">
            <w:pPr>
              <w:spacing w:after="0" w:line="240" w:lineRule="auto"/>
              <w:rPr>
                <w:rFonts w:ascii="Calibri" w:eastAsia="Times New Roman" w:hAnsi="Calibri" w:cs="Times New Roman"/>
                <w:color w:val="000000"/>
                <w:lang w:val="en-GB" w:eastAsia="en-GB"/>
              </w:rPr>
            </w:pPr>
          </w:p>
        </w:tc>
        <w:tc>
          <w:tcPr>
            <w:tcW w:w="1334" w:type="dxa"/>
            <w:tcBorders>
              <w:top w:val="single" w:sz="8" w:space="0" w:color="auto"/>
              <w:left w:val="nil"/>
              <w:bottom w:val="single" w:sz="8" w:space="0" w:color="auto"/>
              <w:right w:val="single" w:sz="8" w:space="0" w:color="auto"/>
            </w:tcBorders>
            <w:shd w:val="clear" w:color="000000" w:fill="4F81BD"/>
            <w:noWrap/>
            <w:vAlign w:val="center"/>
            <w:hideMark/>
          </w:tcPr>
          <w:p w:rsidR="00370382" w:rsidRPr="00370382" w:rsidRDefault="00370382" w:rsidP="00D74BA5">
            <w:pPr>
              <w:spacing w:after="0" w:line="240" w:lineRule="auto"/>
              <w:rPr>
                <w:rFonts w:ascii="Calibri" w:eastAsia="Times New Roman" w:hAnsi="Calibri" w:cs="Times New Roman"/>
                <w:b/>
                <w:bCs/>
                <w:color w:val="FFFFFF"/>
                <w:lang w:val="en-GB" w:eastAsia="en-GB"/>
              </w:rPr>
            </w:pPr>
            <w:r w:rsidRPr="00370382">
              <w:rPr>
                <w:rFonts w:ascii="Calibri" w:eastAsia="Times New Roman" w:hAnsi="Calibri" w:cs="Times New Roman"/>
                <w:b/>
                <w:bCs/>
                <w:color w:val="FFFFFF"/>
                <w:lang w:val="en-GB" w:eastAsia="en-GB"/>
              </w:rPr>
              <w:t>Total G5</w:t>
            </w:r>
          </w:p>
        </w:tc>
        <w:tc>
          <w:tcPr>
            <w:tcW w:w="663" w:type="dxa"/>
            <w:tcBorders>
              <w:top w:val="single" w:sz="8" w:space="0" w:color="auto"/>
              <w:left w:val="nil"/>
              <w:bottom w:val="single" w:sz="8" w:space="0" w:color="auto"/>
              <w:right w:val="nil"/>
            </w:tcBorders>
            <w:shd w:val="clear" w:color="auto" w:fill="auto"/>
            <w:noWrap/>
            <w:vAlign w:val="center"/>
            <w:hideMark/>
          </w:tcPr>
          <w:p w:rsidR="00370382" w:rsidRPr="00370382" w:rsidRDefault="00370382" w:rsidP="00D74BA5">
            <w:pPr>
              <w:spacing w:after="0" w:line="240" w:lineRule="auto"/>
              <w:jc w:val="right"/>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2185</w:t>
            </w:r>
          </w:p>
        </w:tc>
        <w:tc>
          <w:tcPr>
            <w:tcW w:w="664" w:type="dxa"/>
            <w:tcBorders>
              <w:top w:val="single" w:sz="8" w:space="0" w:color="auto"/>
              <w:left w:val="nil"/>
              <w:bottom w:val="single" w:sz="8" w:space="0" w:color="auto"/>
              <w:right w:val="single" w:sz="8" w:space="0" w:color="auto"/>
            </w:tcBorders>
            <w:shd w:val="clear" w:color="auto" w:fill="auto"/>
            <w:noWrap/>
            <w:vAlign w:val="center"/>
            <w:hideMark/>
          </w:tcPr>
          <w:p w:rsidR="00370382" w:rsidRPr="00370382" w:rsidRDefault="00370382" w:rsidP="00D74BA5">
            <w:pPr>
              <w:spacing w:after="0" w:line="240" w:lineRule="auto"/>
              <w:jc w:val="right"/>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2570</w:t>
            </w:r>
          </w:p>
        </w:tc>
        <w:tc>
          <w:tcPr>
            <w:tcW w:w="886" w:type="dxa"/>
            <w:tcBorders>
              <w:top w:val="single" w:sz="8" w:space="0" w:color="auto"/>
              <w:left w:val="nil"/>
              <w:bottom w:val="single" w:sz="8" w:space="0" w:color="auto"/>
              <w:right w:val="single" w:sz="8" w:space="0" w:color="auto"/>
            </w:tcBorders>
            <w:shd w:val="clear" w:color="auto" w:fill="auto"/>
            <w:noWrap/>
            <w:vAlign w:val="center"/>
            <w:hideMark/>
          </w:tcPr>
          <w:p w:rsidR="00370382" w:rsidRPr="00370382" w:rsidRDefault="00370382" w:rsidP="00D74BA5">
            <w:pPr>
              <w:spacing w:after="0" w:line="240" w:lineRule="auto"/>
              <w:jc w:val="right"/>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415</w:t>
            </w:r>
          </w:p>
        </w:tc>
        <w:tc>
          <w:tcPr>
            <w:tcW w:w="731" w:type="dxa"/>
            <w:tcBorders>
              <w:top w:val="single" w:sz="8" w:space="0" w:color="auto"/>
              <w:left w:val="nil"/>
              <w:bottom w:val="single" w:sz="8" w:space="0" w:color="auto"/>
              <w:right w:val="nil"/>
            </w:tcBorders>
            <w:shd w:val="clear" w:color="auto" w:fill="auto"/>
            <w:noWrap/>
            <w:vAlign w:val="center"/>
            <w:hideMark/>
          </w:tcPr>
          <w:p w:rsidR="00370382" w:rsidRPr="00370382" w:rsidRDefault="00D05339" w:rsidP="00D74BA5">
            <w:pPr>
              <w:spacing w:after="0" w:line="240" w:lineRule="auto"/>
              <w:jc w:val="righ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-2570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370382" w:rsidRPr="00370382" w:rsidRDefault="00D05339" w:rsidP="00D74BA5">
            <w:pPr>
              <w:spacing w:after="0" w:line="240" w:lineRule="auto"/>
              <w:jc w:val="right"/>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2570</w:t>
            </w:r>
          </w:p>
        </w:tc>
        <w:tc>
          <w:tcPr>
            <w:tcW w:w="886" w:type="dxa"/>
            <w:tcBorders>
              <w:top w:val="single" w:sz="8" w:space="0" w:color="auto"/>
              <w:left w:val="nil"/>
              <w:bottom w:val="single" w:sz="8" w:space="0" w:color="auto"/>
              <w:right w:val="single" w:sz="8" w:space="0" w:color="auto"/>
            </w:tcBorders>
            <w:shd w:val="clear" w:color="auto" w:fill="auto"/>
            <w:noWrap/>
            <w:vAlign w:val="center"/>
            <w:hideMark/>
          </w:tcPr>
          <w:p w:rsidR="00370382" w:rsidRPr="00370382" w:rsidRDefault="00732062" w:rsidP="00D74BA5">
            <w:pPr>
              <w:spacing w:after="0" w:line="240" w:lineRule="auto"/>
              <w:jc w:val="righ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5300</w:t>
            </w:r>
          </w:p>
        </w:tc>
        <w:tc>
          <w:tcPr>
            <w:tcW w:w="786" w:type="dxa"/>
            <w:tcBorders>
              <w:top w:val="single" w:sz="8" w:space="0" w:color="auto"/>
              <w:left w:val="nil"/>
              <w:bottom w:val="single" w:sz="8" w:space="0" w:color="auto"/>
              <w:right w:val="nil"/>
            </w:tcBorders>
            <w:shd w:val="clear" w:color="auto" w:fill="auto"/>
            <w:noWrap/>
            <w:vAlign w:val="center"/>
            <w:hideMark/>
          </w:tcPr>
          <w:p w:rsidR="00370382" w:rsidRPr="00370382" w:rsidRDefault="00DF48E7" w:rsidP="00D74BA5">
            <w:pPr>
              <w:spacing w:after="0" w:line="240" w:lineRule="auto"/>
              <w:jc w:val="righ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290</w:t>
            </w:r>
          </w:p>
        </w:tc>
        <w:tc>
          <w:tcPr>
            <w:tcW w:w="1021" w:type="dxa"/>
            <w:tcBorders>
              <w:top w:val="single" w:sz="8" w:space="0" w:color="auto"/>
              <w:left w:val="nil"/>
              <w:bottom w:val="single" w:sz="8" w:space="0" w:color="auto"/>
              <w:right w:val="single" w:sz="8" w:space="0" w:color="auto"/>
            </w:tcBorders>
            <w:shd w:val="clear" w:color="auto" w:fill="auto"/>
            <w:noWrap/>
            <w:vAlign w:val="center"/>
            <w:hideMark/>
          </w:tcPr>
          <w:p w:rsidR="00370382" w:rsidRPr="00370382" w:rsidRDefault="00D05339" w:rsidP="00D74BA5">
            <w:pPr>
              <w:spacing w:after="0" w:line="240" w:lineRule="auto"/>
              <w:jc w:val="right"/>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2570</w:t>
            </w:r>
          </w:p>
        </w:tc>
        <w:tc>
          <w:tcPr>
            <w:tcW w:w="745" w:type="dxa"/>
            <w:tcBorders>
              <w:top w:val="single" w:sz="8" w:space="0" w:color="auto"/>
              <w:left w:val="nil"/>
              <w:bottom w:val="single" w:sz="8" w:space="0" w:color="auto"/>
              <w:right w:val="single" w:sz="8" w:space="0" w:color="auto"/>
            </w:tcBorders>
            <w:shd w:val="clear" w:color="auto" w:fill="auto"/>
            <w:noWrap/>
            <w:vAlign w:val="center"/>
            <w:hideMark/>
          </w:tcPr>
          <w:p w:rsidR="00370382" w:rsidRPr="00370382" w:rsidRDefault="008A1600" w:rsidP="00D74BA5">
            <w:pPr>
              <w:spacing w:after="0" w:line="240" w:lineRule="auto"/>
              <w:jc w:val="right"/>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7360</w:t>
            </w:r>
          </w:p>
        </w:tc>
      </w:tr>
      <w:tr w:rsidR="00370382" w:rsidRPr="00370382" w:rsidTr="00732062">
        <w:trPr>
          <w:trHeight w:val="315"/>
        </w:trPr>
        <w:tc>
          <w:tcPr>
            <w:tcW w:w="840" w:type="dxa"/>
            <w:tcBorders>
              <w:top w:val="nil"/>
              <w:left w:val="nil"/>
              <w:bottom w:val="nil"/>
              <w:right w:val="nil"/>
            </w:tcBorders>
            <w:shd w:val="clear" w:color="auto" w:fill="auto"/>
            <w:noWrap/>
            <w:vAlign w:val="bottom"/>
            <w:hideMark/>
          </w:tcPr>
          <w:p w:rsidR="00370382" w:rsidRPr="00370382" w:rsidRDefault="00370382" w:rsidP="00D74BA5">
            <w:pPr>
              <w:spacing w:after="0" w:line="240" w:lineRule="auto"/>
              <w:rPr>
                <w:rFonts w:ascii="Calibri" w:eastAsia="Times New Roman" w:hAnsi="Calibri" w:cs="Times New Roman"/>
                <w:color w:val="000000"/>
                <w:lang w:val="en-GB" w:eastAsia="en-GB"/>
              </w:rPr>
            </w:pPr>
          </w:p>
        </w:tc>
        <w:tc>
          <w:tcPr>
            <w:tcW w:w="1334" w:type="dxa"/>
            <w:tcBorders>
              <w:top w:val="nil"/>
              <w:left w:val="single" w:sz="8" w:space="0" w:color="auto"/>
              <w:bottom w:val="nil"/>
              <w:right w:val="single" w:sz="8" w:space="0" w:color="auto"/>
            </w:tcBorders>
            <w:shd w:val="clear" w:color="000000" w:fill="FFFFFF"/>
            <w:noWrap/>
            <w:vAlign w:val="center"/>
            <w:hideMark/>
          </w:tcPr>
          <w:p w:rsidR="00370382" w:rsidRPr="00370382" w:rsidRDefault="00370382" w:rsidP="00D74BA5">
            <w:pPr>
              <w:spacing w:after="0" w:line="240" w:lineRule="auto"/>
              <w:rPr>
                <w:rFonts w:ascii="Calibri" w:eastAsia="Times New Roman" w:hAnsi="Calibri" w:cs="Times New Roman"/>
                <w:b/>
                <w:bCs/>
                <w:color w:val="000000"/>
                <w:lang w:val="en-GB" w:eastAsia="en-GB"/>
              </w:rPr>
            </w:pPr>
            <w:r w:rsidRPr="00370382">
              <w:rPr>
                <w:rFonts w:ascii="Calibri" w:eastAsia="Times New Roman" w:hAnsi="Calibri" w:cs="Times New Roman"/>
                <w:b/>
                <w:bCs/>
                <w:color w:val="000000"/>
                <w:lang w:val="en-GB" w:eastAsia="en-GB"/>
              </w:rPr>
              <w:t>ICGQ</w:t>
            </w:r>
          </w:p>
        </w:tc>
        <w:tc>
          <w:tcPr>
            <w:tcW w:w="2213" w:type="dxa"/>
            <w:gridSpan w:val="3"/>
            <w:tcBorders>
              <w:top w:val="single" w:sz="8" w:space="0" w:color="auto"/>
              <w:left w:val="nil"/>
              <w:bottom w:val="single" w:sz="8" w:space="0" w:color="auto"/>
              <w:right w:val="single" w:sz="8" w:space="0" w:color="000000"/>
            </w:tcBorders>
            <w:shd w:val="clear" w:color="000000" w:fill="6AC081"/>
            <w:noWrap/>
            <w:vAlign w:val="center"/>
            <w:hideMark/>
          </w:tcPr>
          <w:p w:rsidR="00370382" w:rsidRPr="00370382" w:rsidRDefault="00370382" w:rsidP="003821AA">
            <w:pPr>
              <w:spacing w:after="0" w:line="240" w:lineRule="auto"/>
              <w:jc w:val="center"/>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0.0</w:t>
            </w:r>
            <w:r w:rsidR="003821AA">
              <w:rPr>
                <w:rFonts w:ascii="Calibri" w:eastAsia="Times New Roman" w:hAnsi="Calibri" w:cs="Times New Roman"/>
                <w:color w:val="000000"/>
                <w:lang w:val="en-GB" w:eastAsia="en-GB"/>
              </w:rPr>
              <w:t>7</w:t>
            </w:r>
          </w:p>
        </w:tc>
        <w:tc>
          <w:tcPr>
            <w:tcW w:w="2468" w:type="dxa"/>
            <w:gridSpan w:val="3"/>
            <w:tcBorders>
              <w:top w:val="single" w:sz="8" w:space="0" w:color="auto"/>
              <w:left w:val="nil"/>
              <w:bottom w:val="single" w:sz="8" w:space="0" w:color="auto"/>
              <w:right w:val="single" w:sz="8" w:space="0" w:color="000000"/>
            </w:tcBorders>
            <w:shd w:val="clear" w:color="000000" w:fill="F8696B"/>
            <w:noWrap/>
            <w:vAlign w:val="center"/>
            <w:hideMark/>
          </w:tcPr>
          <w:p w:rsidR="00370382" w:rsidRPr="00370382" w:rsidRDefault="00370382" w:rsidP="00D74BA5">
            <w:pPr>
              <w:spacing w:after="0" w:line="240" w:lineRule="auto"/>
              <w:jc w:val="center"/>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1</w:t>
            </w:r>
            <w:r w:rsidR="003821AA">
              <w:rPr>
                <w:rFonts w:ascii="Calibri" w:eastAsia="Times New Roman" w:hAnsi="Calibri" w:cs="Times New Roman"/>
                <w:color w:val="000000"/>
                <w:lang w:val="en-GB" w:eastAsia="en-GB"/>
              </w:rPr>
              <w:t>.00</w:t>
            </w:r>
          </w:p>
        </w:tc>
        <w:tc>
          <w:tcPr>
            <w:tcW w:w="2552" w:type="dxa"/>
            <w:gridSpan w:val="3"/>
            <w:tcBorders>
              <w:top w:val="single" w:sz="8" w:space="0" w:color="auto"/>
              <w:left w:val="nil"/>
              <w:bottom w:val="single" w:sz="8" w:space="0" w:color="auto"/>
              <w:right w:val="single" w:sz="8" w:space="0" w:color="000000"/>
            </w:tcBorders>
            <w:shd w:val="clear" w:color="000000" w:fill="F96B6D"/>
            <w:noWrap/>
            <w:vAlign w:val="center"/>
            <w:hideMark/>
          </w:tcPr>
          <w:p w:rsidR="00370382" w:rsidRPr="00370382" w:rsidRDefault="00370382" w:rsidP="003821AA">
            <w:pPr>
              <w:spacing w:after="0" w:line="240" w:lineRule="auto"/>
              <w:jc w:val="center"/>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0.9</w:t>
            </w:r>
            <w:r w:rsidR="003821AA">
              <w:rPr>
                <w:rFonts w:ascii="Calibri" w:eastAsia="Times New Roman" w:hAnsi="Calibri" w:cs="Times New Roman"/>
                <w:color w:val="000000"/>
                <w:lang w:val="en-GB" w:eastAsia="en-GB"/>
              </w:rPr>
              <w:t>9</w:t>
            </w:r>
          </w:p>
        </w:tc>
      </w:tr>
      <w:tr w:rsidR="00370382" w:rsidRPr="00370382" w:rsidTr="00732062">
        <w:trPr>
          <w:trHeight w:val="315"/>
        </w:trPr>
        <w:tc>
          <w:tcPr>
            <w:tcW w:w="840" w:type="dxa"/>
            <w:tcBorders>
              <w:top w:val="nil"/>
              <w:left w:val="nil"/>
              <w:bottom w:val="nil"/>
              <w:right w:val="nil"/>
            </w:tcBorders>
            <w:shd w:val="clear" w:color="auto" w:fill="auto"/>
            <w:noWrap/>
            <w:vAlign w:val="bottom"/>
            <w:hideMark/>
          </w:tcPr>
          <w:p w:rsidR="00370382" w:rsidRPr="00370382" w:rsidRDefault="00370382" w:rsidP="00D74BA5">
            <w:pPr>
              <w:spacing w:after="0" w:line="240" w:lineRule="auto"/>
              <w:rPr>
                <w:rFonts w:ascii="Calibri" w:eastAsia="Times New Roman" w:hAnsi="Calibri" w:cs="Times New Roman"/>
                <w:color w:val="000000"/>
                <w:lang w:val="en-GB" w:eastAsia="en-GB"/>
              </w:rPr>
            </w:pPr>
          </w:p>
        </w:tc>
        <w:tc>
          <w:tcPr>
            <w:tcW w:w="133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370382" w:rsidRPr="00370382" w:rsidRDefault="00370382" w:rsidP="00D74BA5">
            <w:pPr>
              <w:spacing w:after="0" w:line="240" w:lineRule="auto"/>
              <w:rPr>
                <w:rFonts w:ascii="Calibri" w:eastAsia="Times New Roman" w:hAnsi="Calibri" w:cs="Times New Roman"/>
                <w:b/>
                <w:bCs/>
                <w:color w:val="000000"/>
                <w:lang w:val="en-GB" w:eastAsia="en-GB"/>
              </w:rPr>
            </w:pPr>
            <w:r w:rsidRPr="00370382">
              <w:rPr>
                <w:rFonts w:ascii="Calibri" w:eastAsia="Times New Roman" w:hAnsi="Calibri" w:cs="Times New Roman"/>
                <w:b/>
                <w:bCs/>
                <w:color w:val="000000"/>
                <w:lang w:val="en-GB" w:eastAsia="en-GB"/>
              </w:rPr>
              <w:t>XCGQ</w:t>
            </w:r>
          </w:p>
        </w:tc>
        <w:tc>
          <w:tcPr>
            <w:tcW w:w="2213" w:type="dxa"/>
            <w:gridSpan w:val="3"/>
            <w:tcBorders>
              <w:top w:val="single" w:sz="8" w:space="0" w:color="auto"/>
              <w:left w:val="nil"/>
              <w:bottom w:val="single" w:sz="8" w:space="0" w:color="auto"/>
              <w:right w:val="single" w:sz="8" w:space="0" w:color="000000"/>
            </w:tcBorders>
            <w:shd w:val="clear" w:color="000000" w:fill="68C07F"/>
            <w:noWrap/>
            <w:vAlign w:val="center"/>
            <w:hideMark/>
          </w:tcPr>
          <w:p w:rsidR="00370382" w:rsidRPr="00370382" w:rsidRDefault="00370382" w:rsidP="003821AA">
            <w:pPr>
              <w:spacing w:after="0" w:line="240" w:lineRule="auto"/>
              <w:jc w:val="center"/>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0.0</w:t>
            </w:r>
            <w:r w:rsidR="003821AA">
              <w:rPr>
                <w:rFonts w:ascii="Calibri" w:eastAsia="Times New Roman" w:hAnsi="Calibri" w:cs="Times New Roman"/>
                <w:color w:val="000000"/>
                <w:lang w:val="en-GB" w:eastAsia="en-GB"/>
              </w:rPr>
              <w:t>6</w:t>
            </w:r>
          </w:p>
        </w:tc>
        <w:tc>
          <w:tcPr>
            <w:tcW w:w="2468" w:type="dxa"/>
            <w:gridSpan w:val="3"/>
            <w:tcBorders>
              <w:top w:val="single" w:sz="8" w:space="0" w:color="auto"/>
              <w:left w:val="nil"/>
              <w:bottom w:val="single" w:sz="8" w:space="0" w:color="auto"/>
              <w:right w:val="single" w:sz="8" w:space="0" w:color="000000"/>
            </w:tcBorders>
            <w:shd w:val="clear" w:color="000000" w:fill="F97375"/>
            <w:noWrap/>
            <w:vAlign w:val="center"/>
            <w:hideMark/>
          </w:tcPr>
          <w:p w:rsidR="00370382" w:rsidRPr="00370382" w:rsidRDefault="00370382" w:rsidP="003821AA">
            <w:pPr>
              <w:spacing w:after="0" w:line="240" w:lineRule="auto"/>
              <w:jc w:val="center"/>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0.9</w:t>
            </w:r>
            <w:r w:rsidR="003821AA">
              <w:rPr>
                <w:rFonts w:ascii="Calibri" w:eastAsia="Times New Roman" w:hAnsi="Calibri" w:cs="Times New Roman"/>
                <w:color w:val="000000"/>
                <w:lang w:val="en-GB" w:eastAsia="en-GB"/>
              </w:rPr>
              <w:t>7</w:t>
            </w:r>
          </w:p>
        </w:tc>
        <w:tc>
          <w:tcPr>
            <w:tcW w:w="2552" w:type="dxa"/>
            <w:gridSpan w:val="3"/>
            <w:tcBorders>
              <w:top w:val="single" w:sz="8" w:space="0" w:color="auto"/>
              <w:left w:val="nil"/>
              <w:bottom w:val="single" w:sz="8" w:space="0" w:color="auto"/>
              <w:right w:val="single" w:sz="8" w:space="0" w:color="000000"/>
            </w:tcBorders>
            <w:shd w:val="clear" w:color="000000" w:fill="63BE7B"/>
            <w:noWrap/>
            <w:vAlign w:val="center"/>
            <w:hideMark/>
          </w:tcPr>
          <w:p w:rsidR="00370382" w:rsidRPr="00370382" w:rsidRDefault="00370382" w:rsidP="008A1600">
            <w:pPr>
              <w:spacing w:after="0" w:line="240" w:lineRule="auto"/>
              <w:jc w:val="center"/>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0.</w:t>
            </w:r>
            <w:r w:rsidR="008A1600">
              <w:rPr>
                <w:rFonts w:ascii="Calibri" w:eastAsia="Times New Roman" w:hAnsi="Calibri" w:cs="Times New Roman"/>
                <w:color w:val="000000"/>
                <w:lang w:val="en-GB" w:eastAsia="en-GB"/>
              </w:rPr>
              <w:t>31</w:t>
            </w:r>
          </w:p>
        </w:tc>
      </w:tr>
      <w:tr w:rsidR="00370382" w:rsidRPr="00370382" w:rsidTr="00732062">
        <w:trPr>
          <w:trHeight w:val="315"/>
        </w:trPr>
        <w:tc>
          <w:tcPr>
            <w:tcW w:w="840" w:type="dxa"/>
            <w:tcBorders>
              <w:top w:val="nil"/>
              <w:left w:val="nil"/>
              <w:bottom w:val="nil"/>
              <w:right w:val="nil"/>
            </w:tcBorders>
            <w:shd w:val="clear" w:color="auto" w:fill="auto"/>
            <w:noWrap/>
            <w:vAlign w:val="center"/>
            <w:hideMark/>
          </w:tcPr>
          <w:p w:rsidR="00370382" w:rsidRPr="00370382" w:rsidRDefault="00370382" w:rsidP="00D74BA5">
            <w:pPr>
              <w:spacing w:after="0" w:line="240" w:lineRule="auto"/>
              <w:rPr>
                <w:rFonts w:ascii="Calibri" w:eastAsia="Times New Roman" w:hAnsi="Calibri" w:cs="Times New Roman"/>
                <w:color w:val="000000"/>
                <w:lang w:val="en-GB" w:eastAsia="en-GB"/>
              </w:rPr>
            </w:pPr>
          </w:p>
        </w:tc>
        <w:tc>
          <w:tcPr>
            <w:tcW w:w="1334" w:type="dxa"/>
            <w:tcBorders>
              <w:top w:val="nil"/>
              <w:left w:val="single" w:sz="8" w:space="0" w:color="auto"/>
              <w:bottom w:val="single" w:sz="8" w:space="0" w:color="auto"/>
              <w:right w:val="single" w:sz="8" w:space="0" w:color="auto"/>
            </w:tcBorders>
            <w:shd w:val="clear" w:color="000000" w:fill="FFFFFF"/>
            <w:noWrap/>
            <w:vAlign w:val="center"/>
            <w:hideMark/>
          </w:tcPr>
          <w:p w:rsidR="00370382" w:rsidRPr="00370382" w:rsidRDefault="00370382" w:rsidP="00D74BA5">
            <w:pPr>
              <w:spacing w:after="0" w:line="240" w:lineRule="auto"/>
              <w:rPr>
                <w:rFonts w:ascii="Calibri" w:eastAsia="Times New Roman" w:hAnsi="Calibri" w:cs="Times New Roman"/>
                <w:b/>
                <w:bCs/>
                <w:color w:val="000000"/>
                <w:lang w:val="en-GB" w:eastAsia="en-GB"/>
              </w:rPr>
            </w:pPr>
            <w:r w:rsidRPr="00370382">
              <w:rPr>
                <w:rFonts w:ascii="Calibri" w:eastAsia="Times New Roman" w:hAnsi="Calibri" w:cs="Times New Roman"/>
                <w:b/>
                <w:bCs/>
                <w:color w:val="000000"/>
                <w:lang w:val="en-GB" w:eastAsia="en-GB"/>
              </w:rPr>
              <w:t>RELV</w:t>
            </w:r>
          </w:p>
        </w:tc>
        <w:tc>
          <w:tcPr>
            <w:tcW w:w="2213" w:type="dxa"/>
            <w:gridSpan w:val="3"/>
            <w:tcBorders>
              <w:top w:val="single" w:sz="8" w:space="0" w:color="auto"/>
              <w:left w:val="nil"/>
              <w:bottom w:val="single" w:sz="8" w:space="0" w:color="auto"/>
              <w:right w:val="single" w:sz="8" w:space="0" w:color="000000"/>
            </w:tcBorders>
            <w:shd w:val="clear" w:color="000000" w:fill="8DB4E2"/>
            <w:noWrap/>
            <w:vAlign w:val="center"/>
            <w:hideMark/>
          </w:tcPr>
          <w:p w:rsidR="00370382" w:rsidRPr="00370382" w:rsidRDefault="00370382" w:rsidP="003821AA">
            <w:pPr>
              <w:spacing w:after="0" w:line="240" w:lineRule="auto"/>
              <w:jc w:val="center"/>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0.</w:t>
            </w:r>
            <w:r w:rsidR="003821AA">
              <w:rPr>
                <w:rFonts w:ascii="Calibri" w:eastAsia="Times New Roman" w:hAnsi="Calibri" w:cs="Times New Roman"/>
                <w:color w:val="000000"/>
                <w:lang w:val="en-GB" w:eastAsia="en-GB"/>
              </w:rPr>
              <w:t>33</w:t>
            </w:r>
          </w:p>
        </w:tc>
        <w:tc>
          <w:tcPr>
            <w:tcW w:w="2468" w:type="dxa"/>
            <w:gridSpan w:val="3"/>
            <w:tcBorders>
              <w:top w:val="single" w:sz="8" w:space="0" w:color="auto"/>
              <w:left w:val="nil"/>
              <w:bottom w:val="single" w:sz="8" w:space="0" w:color="auto"/>
              <w:right w:val="single" w:sz="8" w:space="0" w:color="000000"/>
            </w:tcBorders>
            <w:shd w:val="clear" w:color="000000" w:fill="8DB4E2"/>
            <w:noWrap/>
            <w:vAlign w:val="center"/>
            <w:hideMark/>
          </w:tcPr>
          <w:p w:rsidR="00370382" w:rsidRPr="00370382" w:rsidRDefault="00370382" w:rsidP="00732062">
            <w:pPr>
              <w:spacing w:after="0" w:line="240" w:lineRule="auto"/>
              <w:jc w:val="center"/>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0.</w:t>
            </w:r>
            <w:r w:rsidR="003821AA">
              <w:rPr>
                <w:rFonts w:ascii="Calibri" w:eastAsia="Times New Roman" w:hAnsi="Calibri" w:cs="Times New Roman"/>
                <w:color w:val="000000"/>
                <w:lang w:val="en-GB" w:eastAsia="en-GB"/>
              </w:rPr>
              <w:t>8</w:t>
            </w:r>
            <w:r w:rsidR="00732062">
              <w:rPr>
                <w:rFonts w:ascii="Calibri" w:eastAsia="Times New Roman" w:hAnsi="Calibri" w:cs="Times New Roman"/>
                <w:color w:val="000000"/>
                <w:lang w:val="en-GB" w:eastAsia="en-GB"/>
              </w:rPr>
              <w:t>9</w:t>
            </w:r>
          </w:p>
        </w:tc>
        <w:tc>
          <w:tcPr>
            <w:tcW w:w="2552" w:type="dxa"/>
            <w:gridSpan w:val="3"/>
            <w:tcBorders>
              <w:top w:val="single" w:sz="8" w:space="0" w:color="auto"/>
              <w:left w:val="nil"/>
              <w:bottom w:val="single" w:sz="8" w:space="0" w:color="auto"/>
              <w:right w:val="single" w:sz="8" w:space="0" w:color="000000"/>
            </w:tcBorders>
            <w:shd w:val="clear" w:color="000000" w:fill="8DB4E2"/>
            <w:noWrap/>
            <w:vAlign w:val="center"/>
            <w:hideMark/>
          </w:tcPr>
          <w:p w:rsidR="00370382" w:rsidRPr="00370382" w:rsidRDefault="00370382" w:rsidP="003821AA">
            <w:pPr>
              <w:spacing w:after="0" w:line="240" w:lineRule="auto"/>
              <w:jc w:val="center"/>
              <w:rPr>
                <w:rFonts w:ascii="Calibri" w:eastAsia="Times New Roman" w:hAnsi="Calibri" w:cs="Times New Roman"/>
                <w:color w:val="000000"/>
                <w:lang w:val="en-GB" w:eastAsia="en-GB"/>
              </w:rPr>
            </w:pPr>
            <w:r w:rsidRPr="00370382">
              <w:rPr>
                <w:rFonts w:ascii="Calibri" w:eastAsia="Times New Roman" w:hAnsi="Calibri" w:cs="Times New Roman"/>
                <w:color w:val="000000"/>
                <w:lang w:val="en-GB" w:eastAsia="en-GB"/>
              </w:rPr>
              <w:t>0.9</w:t>
            </w:r>
            <w:r w:rsidR="003821AA">
              <w:rPr>
                <w:rFonts w:ascii="Calibri" w:eastAsia="Times New Roman" w:hAnsi="Calibri" w:cs="Times New Roman"/>
                <w:color w:val="000000"/>
                <w:lang w:val="en-GB" w:eastAsia="en-GB"/>
              </w:rPr>
              <w:t>2</w:t>
            </w:r>
          </w:p>
        </w:tc>
      </w:tr>
    </w:tbl>
    <w:p w:rsidR="00941667" w:rsidRDefault="00941667" w:rsidP="00941667">
      <w:pPr>
        <w:keepNext/>
        <w:spacing w:after="0" w:line="360" w:lineRule="auto"/>
        <w:jc w:val="both"/>
        <w:rPr>
          <w:rFonts w:ascii="Arial" w:hAnsi="Arial" w:cs="Arial"/>
          <w:sz w:val="20"/>
          <w:szCs w:val="20"/>
          <w:lang w:val="en-GB"/>
        </w:rPr>
      </w:pPr>
    </w:p>
    <w:p w:rsidR="00941667" w:rsidRPr="00EC5F5A" w:rsidRDefault="00941667" w:rsidP="00941667">
      <w:pPr>
        <w:keepNext/>
        <w:spacing w:after="0" w:line="360" w:lineRule="auto"/>
        <w:jc w:val="both"/>
        <w:rPr>
          <w:rFonts w:ascii="Arial" w:hAnsi="Arial" w:cs="Arial"/>
          <w:sz w:val="20"/>
          <w:szCs w:val="20"/>
          <w:lang w:val="en-GB"/>
        </w:rPr>
      </w:pPr>
      <w:r w:rsidRPr="00EC5F5A">
        <w:rPr>
          <w:rFonts w:ascii="Arial" w:hAnsi="Arial" w:cs="Arial"/>
          <w:sz w:val="20"/>
          <w:szCs w:val="20"/>
          <w:lang w:val="en-GB"/>
        </w:rPr>
        <w:t>Source:</w:t>
      </w:r>
      <w:r>
        <w:rPr>
          <w:rFonts w:ascii="Arial" w:hAnsi="Arial" w:cs="Arial"/>
          <w:sz w:val="20"/>
          <w:szCs w:val="20"/>
          <w:lang w:val="en-GB"/>
        </w:rPr>
        <w:t xml:space="preserve"> ECB calculations</w:t>
      </w:r>
    </w:p>
    <w:p w:rsidR="0006734B" w:rsidRDefault="0006734B" w:rsidP="00532242">
      <w:pPr>
        <w:spacing w:before="120" w:after="0" w:line="360" w:lineRule="auto"/>
        <w:jc w:val="both"/>
        <w:rPr>
          <w:rFonts w:ascii="Arial" w:hAnsi="Arial" w:cs="Arial"/>
          <w:sz w:val="24"/>
          <w:szCs w:val="24"/>
          <w:lang w:val="en-GB"/>
        </w:rPr>
      </w:pPr>
    </w:p>
    <w:p w:rsidR="00CD785E" w:rsidRDefault="00915CA9" w:rsidP="006F157F">
      <w:pPr>
        <w:spacing w:before="120" w:after="0" w:line="360" w:lineRule="auto"/>
        <w:jc w:val="both"/>
        <w:rPr>
          <w:rFonts w:ascii="Arial" w:hAnsi="Arial" w:cs="Arial"/>
          <w:sz w:val="24"/>
          <w:szCs w:val="24"/>
          <w:lang w:val="en-GB"/>
        </w:rPr>
      </w:pPr>
      <w:r>
        <w:rPr>
          <w:rFonts w:ascii="Arial" w:hAnsi="Arial" w:cs="Arial"/>
          <w:sz w:val="24"/>
          <w:szCs w:val="24"/>
          <w:lang w:val="en-GB"/>
        </w:rPr>
        <w:lastRenderedPageBreak/>
        <w:t>The</w:t>
      </w:r>
      <w:r w:rsidR="007843CE">
        <w:rPr>
          <w:rFonts w:ascii="Arial" w:hAnsi="Arial" w:cs="Arial"/>
          <w:sz w:val="24"/>
          <w:szCs w:val="24"/>
          <w:lang w:val="en-GB"/>
        </w:rPr>
        <w:t xml:space="preserve"> results are</w:t>
      </w:r>
      <w:r w:rsidR="00953AFF">
        <w:rPr>
          <w:rFonts w:ascii="Arial" w:hAnsi="Arial" w:cs="Arial"/>
          <w:sz w:val="24"/>
          <w:szCs w:val="24"/>
          <w:lang w:val="en-GB"/>
        </w:rPr>
        <w:t xml:space="preserve"> summarised in Table 1, which is organised as follows.</w:t>
      </w:r>
      <w:r w:rsidR="000F2E56">
        <w:rPr>
          <w:rFonts w:ascii="Arial" w:hAnsi="Arial" w:cs="Arial"/>
          <w:sz w:val="24"/>
          <w:szCs w:val="24"/>
          <w:lang w:val="en-GB"/>
        </w:rPr>
        <w:t xml:space="preserve"> </w:t>
      </w:r>
      <w:r w:rsidR="00CD785E">
        <w:rPr>
          <w:rFonts w:ascii="Arial" w:hAnsi="Arial" w:cs="Arial"/>
          <w:sz w:val="24"/>
          <w:szCs w:val="24"/>
          <w:lang w:val="en-GB"/>
        </w:rPr>
        <w:t>The blue column</w:t>
      </w:r>
      <w:r w:rsidR="000F2E56">
        <w:rPr>
          <w:rFonts w:ascii="Arial" w:hAnsi="Arial" w:cs="Arial"/>
          <w:sz w:val="24"/>
          <w:szCs w:val="24"/>
          <w:lang w:val="en-GB"/>
        </w:rPr>
        <w:t xml:space="preserve"> </w:t>
      </w:r>
      <w:r w:rsidR="00CD785E">
        <w:rPr>
          <w:rFonts w:ascii="Arial" w:hAnsi="Arial" w:cs="Arial"/>
          <w:sz w:val="24"/>
          <w:szCs w:val="24"/>
          <w:lang w:val="en-GB"/>
        </w:rPr>
        <w:t>lists</w:t>
      </w:r>
      <w:r w:rsidR="000F2E56">
        <w:rPr>
          <w:rFonts w:ascii="Arial" w:hAnsi="Arial" w:cs="Arial"/>
          <w:sz w:val="24"/>
          <w:szCs w:val="24"/>
          <w:lang w:val="en-GB"/>
        </w:rPr>
        <w:t xml:space="preserve"> the counterpart</w:t>
      </w:r>
      <w:r w:rsidR="00CD785E">
        <w:rPr>
          <w:rFonts w:ascii="Arial" w:hAnsi="Arial" w:cs="Arial"/>
          <w:sz w:val="24"/>
          <w:szCs w:val="24"/>
          <w:lang w:val="en-GB"/>
        </w:rPr>
        <w:t>y</w:t>
      </w:r>
      <w:r w:rsidR="000F2E56">
        <w:rPr>
          <w:rFonts w:ascii="Arial" w:hAnsi="Arial" w:cs="Arial"/>
          <w:sz w:val="24"/>
          <w:szCs w:val="24"/>
          <w:lang w:val="en-GB"/>
        </w:rPr>
        <w:t xml:space="preserve"> country. Then for each of the 3</w:t>
      </w:r>
      <w:r w:rsidR="00EB42B4">
        <w:rPr>
          <w:rFonts w:ascii="Arial" w:hAnsi="Arial" w:cs="Arial"/>
          <w:sz w:val="24"/>
          <w:szCs w:val="24"/>
          <w:lang w:val="en-GB"/>
        </w:rPr>
        <w:t xml:space="preserve"> cases</w:t>
      </w:r>
      <w:r w:rsidR="000F2E56">
        <w:rPr>
          <w:rFonts w:ascii="Arial" w:hAnsi="Arial" w:cs="Arial"/>
          <w:sz w:val="24"/>
          <w:szCs w:val="24"/>
          <w:lang w:val="en-GB"/>
        </w:rPr>
        <w:t xml:space="preserve">, </w:t>
      </w:r>
      <w:r w:rsidR="00CD785E">
        <w:rPr>
          <w:rFonts w:ascii="Arial" w:hAnsi="Arial" w:cs="Arial"/>
          <w:sz w:val="24"/>
          <w:szCs w:val="24"/>
          <w:lang w:val="en-GB"/>
        </w:rPr>
        <w:t>the first</w:t>
      </w:r>
      <w:r w:rsidR="00393AFC">
        <w:rPr>
          <w:rFonts w:ascii="Arial" w:hAnsi="Arial" w:cs="Arial"/>
          <w:sz w:val="24"/>
          <w:szCs w:val="24"/>
          <w:lang w:val="en-GB"/>
        </w:rPr>
        <w:t xml:space="preserve"> column</w:t>
      </w:r>
      <w:r w:rsidR="000F2E56">
        <w:rPr>
          <w:rFonts w:ascii="Arial" w:hAnsi="Arial" w:cs="Arial"/>
          <w:sz w:val="24"/>
          <w:szCs w:val="24"/>
          <w:lang w:val="en-GB"/>
        </w:rPr>
        <w:t xml:space="preserve"> shows the data reported by C1 vis-à-vis each of the counterpart countries</w:t>
      </w:r>
      <w:r w:rsidR="00CD785E">
        <w:rPr>
          <w:rFonts w:ascii="Arial" w:hAnsi="Arial" w:cs="Arial"/>
          <w:sz w:val="24"/>
          <w:szCs w:val="24"/>
          <w:lang w:val="en-GB"/>
        </w:rPr>
        <w:t>; the second</w:t>
      </w:r>
      <w:r w:rsidR="000F2E56">
        <w:rPr>
          <w:rFonts w:ascii="Arial" w:hAnsi="Arial" w:cs="Arial"/>
          <w:sz w:val="24"/>
          <w:szCs w:val="24"/>
          <w:lang w:val="en-GB"/>
        </w:rPr>
        <w:t xml:space="preserve"> column shows the mirror data </w:t>
      </w:r>
      <w:r w:rsidR="00393AFC">
        <w:rPr>
          <w:rFonts w:ascii="Arial" w:hAnsi="Arial" w:cs="Arial"/>
          <w:sz w:val="24"/>
          <w:szCs w:val="24"/>
          <w:lang w:val="en-GB"/>
        </w:rPr>
        <w:t>reported by</w:t>
      </w:r>
      <w:r w:rsidR="000F2E56">
        <w:rPr>
          <w:rFonts w:ascii="Arial" w:hAnsi="Arial" w:cs="Arial"/>
          <w:sz w:val="24"/>
          <w:szCs w:val="24"/>
          <w:lang w:val="en-GB"/>
        </w:rPr>
        <w:t xml:space="preserve"> each counterparty vis-à-vis C1</w:t>
      </w:r>
      <w:r w:rsidR="006F157F">
        <w:rPr>
          <w:rFonts w:ascii="Arial" w:hAnsi="Arial" w:cs="Arial"/>
          <w:sz w:val="24"/>
          <w:szCs w:val="24"/>
          <w:lang w:val="en-GB"/>
        </w:rPr>
        <w:t>; the third column calculates the absolute bilateral asymmetries. I</w:t>
      </w:r>
      <w:r w:rsidR="006F157F" w:rsidRPr="00953AFF">
        <w:rPr>
          <w:rFonts w:ascii="Arial" w:hAnsi="Arial" w:cs="Arial"/>
          <w:sz w:val="24"/>
          <w:szCs w:val="24"/>
          <w:lang w:val="en-GB"/>
        </w:rPr>
        <w:t>n t</w:t>
      </w:r>
      <w:r w:rsidR="006F157F">
        <w:rPr>
          <w:rFonts w:ascii="Arial" w:hAnsi="Arial" w:cs="Arial"/>
          <w:sz w:val="24"/>
          <w:szCs w:val="24"/>
          <w:lang w:val="en-GB"/>
        </w:rPr>
        <w:t>he top half of the table, the reported assets-side of C1 is</w:t>
      </w:r>
      <w:r w:rsidR="006F157F" w:rsidRPr="00953AFF">
        <w:rPr>
          <w:rFonts w:ascii="Arial" w:hAnsi="Arial" w:cs="Arial"/>
          <w:sz w:val="24"/>
          <w:szCs w:val="24"/>
          <w:lang w:val="en-GB"/>
        </w:rPr>
        <w:t xml:space="preserve"> </w:t>
      </w:r>
      <w:r w:rsidR="006F157F">
        <w:rPr>
          <w:rFonts w:ascii="Arial" w:hAnsi="Arial" w:cs="Arial"/>
          <w:sz w:val="24"/>
          <w:szCs w:val="24"/>
          <w:lang w:val="en-GB"/>
        </w:rPr>
        <w:t xml:space="preserve">considered; </w:t>
      </w:r>
      <w:r w:rsidR="0058350F">
        <w:rPr>
          <w:rFonts w:ascii="Arial" w:hAnsi="Arial" w:cs="Arial"/>
          <w:sz w:val="24"/>
          <w:szCs w:val="24"/>
          <w:lang w:val="en-GB"/>
        </w:rPr>
        <w:t>while</w:t>
      </w:r>
      <w:r w:rsidR="0058350F" w:rsidRPr="00953AFF">
        <w:rPr>
          <w:rFonts w:ascii="Arial" w:hAnsi="Arial" w:cs="Arial"/>
          <w:sz w:val="24"/>
          <w:szCs w:val="24"/>
          <w:lang w:val="en-GB"/>
        </w:rPr>
        <w:t xml:space="preserve"> </w:t>
      </w:r>
      <w:r w:rsidR="006F157F" w:rsidRPr="00953AFF">
        <w:rPr>
          <w:rFonts w:ascii="Arial" w:hAnsi="Arial" w:cs="Arial"/>
          <w:sz w:val="24"/>
          <w:szCs w:val="24"/>
          <w:lang w:val="en-GB"/>
        </w:rPr>
        <w:t xml:space="preserve">the bottom half </w:t>
      </w:r>
      <w:r w:rsidR="0058350F">
        <w:rPr>
          <w:rFonts w:ascii="Arial" w:hAnsi="Arial" w:cs="Arial"/>
          <w:sz w:val="24"/>
          <w:szCs w:val="24"/>
          <w:lang w:val="en-GB"/>
        </w:rPr>
        <w:t xml:space="preserve">includes </w:t>
      </w:r>
      <w:r w:rsidR="006F157F" w:rsidRPr="00953AFF">
        <w:rPr>
          <w:rFonts w:ascii="Arial" w:hAnsi="Arial" w:cs="Arial"/>
          <w:sz w:val="24"/>
          <w:szCs w:val="24"/>
          <w:lang w:val="en-GB"/>
        </w:rPr>
        <w:t>the reported liabilities</w:t>
      </w:r>
      <w:r w:rsidR="006F157F">
        <w:rPr>
          <w:rFonts w:ascii="Arial" w:hAnsi="Arial" w:cs="Arial"/>
          <w:sz w:val="24"/>
          <w:szCs w:val="24"/>
          <w:lang w:val="en-GB"/>
        </w:rPr>
        <w:t>-side</w:t>
      </w:r>
      <w:r w:rsidR="006F157F" w:rsidRPr="00953AFF">
        <w:rPr>
          <w:rFonts w:ascii="Arial" w:hAnsi="Arial" w:cs="Arial"/>
          <w:sz w:val="24"/>
          <w:szCs w:val="24"/>
          <w:lang w:val="en-GB"/>
        </w:rPr>
        <w:t xml:space="preserve"> of </w:t>
      </w:r>
      <w:r w:rsidR="006F157F">
        <w:rPr>
          <w:rFonts w:ascii="Arial" w:hAnsi="Arial" w:cs="Arial"/>
          <w:sz w:val="24"/>
          <w:szCs w:val="24"/>
          <w:lang w:val="en-GB"/>
        </w:rPr>
        <w:t xml:space="preserve">C1. </w:t>
      </w:r>
      <w:r w:rsidR="003F2A50">
        <w:rPr>
          <w:rFonts w:ascii="Arial" w:hAnsi="Arial" w:cs="Arial"/>
          <w:sz w:val="24"/>
          <w:szCs w:val="24"/>
          <w:lang w:val="en-GB"/>
        </w:rPr>
        <w:t xml:space="preserve">Please note that the remaining bilateral data from the dataset are assumed to be constant under the 3 </w:t>
      </w:r>
      <w:r w:rsidR="00EB42B4">
        <w:rPr>
          <w:rFonts w:ascii="Arial" w:hAnsi="Arial" w:cs="Arial"/>
          <w:sz w:val="24"/>
          <w:szCs w:val="24"/>
          <w:lang w:val="en-GB"/>
        </w:rPr>
        <w:t xml:space="preserve">cases, and have </w:t>
      </w:r>
      <w:r w:rsidR="003F2A50">
        <w:rPr>
          <w:rFonts w:ascii="Arial" w:hAnsi="Arial" w:cs="Arial"/>
          <w:sz w:val="24"/>
          <w:szCs w:val="24"/>
          <w:lang w:val="en-GB"/>
        </w:rPr>
        <w:t xml:space="preserve">values in the interval +/- </w:t>
      </w:r>
      <w:r w:rsidR="00422669">
        <w:rPr>
          <w:rFonts w:ascii="Arial" w:hAnsi="Arial" w:cs="Arial"/>
          <w:sz w:val="24"/>
          <w:szCs w:val="24"/>
          <w:lang w:val="en-GB"/>
        </w:rPr>
        <w:t>5</w:t>
      </w:r>
      <w:r w:rsidR="003F2A50">
        <w:rPr>
          <w:rFonts w:ascii="Arial" w:hAnsi="Arial" w:cs="Arial"/>
          <w:sz w:val="24"/>
          <w:szCs w:val="24"/>
          <w:lang w:val="en-GB"/>
        </w:rPr>
        <w:t>00.</w:t>
      </w:r>
      <w:r w:rsidR="00422669">
        <w:rPr>
          <w:rFonts w:ascii="Arial" w:hAnsi="Arial" w:cs="Arial"/>
          <w:sz w:val="24"/>
          <w:szCs w:val="24"/>
          <w:lang w:val="en-GB"/>
        </w:rPr>
        <w:t xml:space="preserve"> This means that the bilateral flows not involving C1 either as a reporting country or as counterparty, but referring to the bilateral relationships between the remaining 4 countries are the same under the 3 scenarios and they </w:t>
      </w:r>
      <w:r w:rsidR="00EB42B4">
        <w:rPr>
          <w:rFonts w:ascii="Arial" w:hAnsi="Arial" w:cs="Arial"/>
          <w:sz w:val="24"/>
          <w:szCs w:val="24"/>
          <w:lang w:val="en-GB"/>
        </w:rPr>
        <w:t xml:space="preserve">cause </w:t>
      </w:r>
      <w:r w:rsidR="00422669">
        <w:rPr>
          <w:rFonts w:ascii="Arial" w:hAnsi="Arial" w:cs="Arial"/>
          <w:sz w:val="24"/>
          <w:szCs w:val="24"/>
          <w:lang w:val="en-GB"/>
        </w:rPr>
        <w:t>the same amount of asymmetries in the 3</w:t>
      </w:r>
      <w:r w:rsidR="00EB42B4">
        <w:rPr>
          <w:rFonts w:ascii="Arial" w:hAnsi="Arial" w:cs="Arial"/>
          <w:sz w:val="24"/>
          <w:szCs w:val="24"/>
          <w:lang w:val="en-GB"/>
        </w:rPr>
        <w:t xml:space="preserve"> cases</w:t>
      </w:r>
      <w:r w:rsidR="00422669">
        <w:rPr>
          <w:rFonts w:ascii="Arial" w:hAnsi="Arial" w:cs="Arial"/>
          <w:sz w:val="24"/>
          <w:szCs w:val="24"/>
          <w:lang w:val="en-GB"/>
        </w:rPr>
        <w:t>.</w:t>
      </w:r>
    </w:p>
    <w:p w:rsidR="00405430" w:rsidRDefault="00515E05" w:rsidP="00405430">
      <w:pPr>
        <w:spacing w:before="120" w:after="0" w:line="360" w:lineRule="auto"/>
        <w:jc w:val="both"/>
        <w:rPr>
          <w:rFonts w:ascii="Arial" w:hAnsi="Arial" w:cs="Arial"/>
          <w:sz w:val="24"/>
          <w:szCs w:val="24"/>
          <w:lang w:val="en-GB"/>
        </w:rPr>
      </w:pPr>
      <w:r w:rsidRPr="00515E05">
        <w:rPr>
          <w:rFonts w:ascii="Arial" w:hAnsi="Arial" w:cs="Arial"/>
          <w:sz w:val="24"/>
          <w:szCs w:val="24"/>
          <w:lang w:val="en-GB"/>
        </w:rPr>
        <w:t xml:space="preserve">As regards </w:t>
      </w:r>
      <w:r w:rsidR="00EB42B4">
        <w:rPr>
          <w:rFonts w:ascii="Arial" w:hAnsi="Arial" w:cs="Arial"/>
          <w:sz w:val="24"/>
          <w:szCs w:val="24"/>
          <w:lang w:val="en-GB"/>
        </w:rPr>
        <w:t xml:space="preserve">Case </w:t>
      </w:r>
      <w:r>
        <w:rPr>
          <w:rFonts w:ascii="Arial" w:hAnsi="Arial" w:cs="Arial"/>
          <w:sz w:val="24"/>
          <w:szCs w:val="24"/>
          <w:lang w:val="en-GB"/>
        </w:rPr>
        <w:t xml:space="preserve">1, we can </w:t>
      </w:r>
      <w:r w:rsidR="0021279E">
        <w:rPr>
          <w:rFonts w:ascii="Arial" w:hAnsi="Arial" w:cs="Arial"/>
          <w:sz w:val="24"/>
          <w:szCs w:val="24"/>
          <w:lang w:val="en-GB"/>
        </w:rPr>
        <w:t xml:space="preserve">observe </w:t>
      </w:r>
      <w:r>
        <w:rPr>
          <w:rFonts w:ascii="Arial" w:hAnsi="Arial" w:cs="Arial"/>
          <w:sz w:val="24"/>
          <w:szCs w:val="24"/>
          <w:lang w:val="en-GB"/>
        </w:rPr>
        <w:t xml:space="preserve">that the </w:t>
      </w:r>
      <w:r w:rsidR="00754781">
        <w:rPr>
          <w:rFonts w:ascii="Arial" w:hAnsi="Arial" w:cs="Arial"/>
          <w:sz w:val="24"/>
          <w:szCs w:val="24"/>
          <w:lang w:val="en-GB"/>
        </w:rPr>
        <w:t xml:space="preserve">individual </w:t>
      </w:r>
      <w:r>
        <w:rPr>
          <w:rFonts w:ascii="Arial" w:hAnsi="Arial" w:cs="Arial"/>
          <w:sz w:val="24"/>
          <w:szCs w:val="24"/>
          <w:lang w:val="en-GB"/>
        </w:rPr>
        <w:t xml:space="preserve">bilateral asymmetries </w:t>
      </w:r>
      <w:r w:rsidR="00754781">
        <w:rPr>
          <w:rFonts w:ascii="Arial" w:hAnsi="Arial" w:cs="Arial"/>
          <w:sz w:val="24"/>
          <w:szCs w:val="24"/>
          <w:lang w:val="en-GB"/>
        </w:rPr>
        <w:t xml:space="preserve">involving C1 and its group asymmetry total </w:t>
      </w:r>
      <w:r>
        <w:rPr>
          <w:rFonts w:ascii="Arial" w:hAnsi="Arial" w:cs="Arial"/>
          <w:sz w:val="24"/>
          <w:szCs w:val="24"/>
          <w:lang w:val="en-GB"/>
        </w:rPr>
        <w:t xml:space="preserve">are </w:t>
      </w:r>
      <w:r w:rsidR="00754781">
        <w:rPr>
          <w:rFonts w:ascii="Arial" w:hAnsi="Arial" w:cs="Arial"/>
          <w:sz w:val="24"/>
          <w:szCs w:val="24"/>
          <w:lang w:val="en-GB"/>
        </w:rPr>
        <w:t xml:space="preserve">modest </w:t>
      </w:r>
      <w:r>
        <w:rPr>
          <w:rFonts w:ascii="Arial" w:hAnsi="Arial" w:cs="Arial"/>
          <w:sz w:val="24"/>
          <w:szCs w:val="24"/>
          <w:lang w:val="en-GB"/>
        </w:rPr>
        <w:t xml:space="preserve">with respect to the </w:t>
      </w:r>
      <w:r w:rsidR="00754781">
        <w:rPr>
          <w:rFonts w:ascii="Arial" w:hAnsi="Arial" w:cs="Arial"/>
          <w:sz w:val="24"/>
          <w:szCs w:val="24"/>
          <w:lang w:val="en-GB"/>
        </w:rPr>
        <w:t xml:space="preserve">overall size of the data </w:t>
      </w:r>
      <w:r>
        <w:rPr>
          <w:rFonts w:ascii="Arial" w:hAnsi="Arial" w:cs="Arial"/>
          <w:sz w:val="24"/>
          <w:szCs w:val="24"/>
          <w:lang w:val="en-GB"/>
        </w:rPr>
        <w:t>reported by C1</w:t>
      </w:r>
      <w:r w:rsidR="00754781">
        <w:rPr>
          <w:rFonts w:ascii="Arial" w:hAnsi="Arial" w:cs="Arial"/>
          <w:sz w:val="24"/>
          <w:szCs w:val="24"/>
          <w:lang w:val="en-GB"/>
        </w:rPr>
        <w:t>.</w:t>
      </w:r>
      <w:r w:rsidR="00503914">
        <w:rPr>
          <w:rFonts w:ascii="Arial" w:hAnsi="Arial" w:cs="Arial"/>
          <w:sz w:val="24"/>
          <w:szCs w:val="24"/>
          <w:lang w:val="en-GB"/>
        </w:rPr>
        <w:t xml:space="preserve"> </w:t>
      </w:r>
      <w:r w:rsidR="00E85FFC">
        <w:rPr>
          <w:rFonts w:ascii="Arial" w:hAnsi="Arial" w:cs="Arial"/>
          <w:sz w:val="24"/>
          <w:szCs w:val="24"/>
          <w:lang w:val="en-GB"/>
        </w:rPr>
        <w:t xml:space="preserve">The geographical distribution obtained from C1 and from mirror data match quite well. Consequently </w:t>
      </w:r>
      <w:r>
        <w:rPr>
          <w:rFonts w:ascii="Arial" w:hAnsi="Arial" w:cs="Arial"/>
          <w:sz w:val="24"/>
          <w:szCs w:val="24"/>
          <w:lang w:val="en-GB"/>
        </w:rPr>
        <w:t xml:space="preserve">both </w:t>
      </w:r>
      <w:r w:rsidRPr="00515E05">
        <w:rPr>
          <w:rFonts w:ascii="Arial" w:hAnsi="Arial" w:cs="Arial"/>
          <w:sz w:val="24"/>
          <w:szCs w:val="24"/>
          <w:lang w:val="en-GB"/>
        </w:rPr>
        <w:t>the ICGQ</w:t>
      </w:r>
      <w:r>
        <w:rPr>
          <w:rFonts w:ascii="Arial" w:hAnsi="Arial" w:cs="Arial"/>
          <w:sz w:val="24"/>
          <w:szCs w:val="24"/>
          <w:lang w:val="en-GB"/>
        </w:rPr>
        <w:t xml:space="preserve"> and the XCGQ </w:t>
      </w:r>
      <w:r w:rsidR="00754781">
        <w:rPr>
          <w:rFonts w:ascii="Arial" w:hAnsi="Arial" w:cs="Arial"/>
          <w:sz w:val="24"/>
          <w:szCs w:val="24"/>
          <w:lang w:val="en-GB"/>
        </w:rPr>
        <w:t xml:space="preserve">indicate </w:t>
      </w:r>
      <w:r>
        <w:rPr>
          <w:rFonts w:ascii="Arial" w:hAnsi="Arial" w:cs="Arial"/>
          <w:sz w:val="24"/>
          <w:szCs w:val="24"/>
          <w:lang w:val="en-GB"/>
        </w:rPr>
        <w:t>relatively good results.</w:t>
      </w:r>
      <w:r w:rsidR="00393AFC">
        <w:rPr>
          <w:rFonts w:ascii="Arial" w:hAnsi="Arial" w:cs="Arial"/>
          <w:sz w:val="24"/>
          <w:szCs w:val="24"/>
          <w:lang w:val="en-GB"/>
        </w:rPr>
        <w:t xml:space="preserve"> </w:t>
      </w:r>
      <w:r w:rsidR="003821AA">
        <w:rPr>
          <w:rFonts w:ascii="Arial" w:hAnsi="Arial" w:cs="Arial"/>
          <w:sz w:val="24"/>
          <w:szCs w:val="24"/>
          <w:lang w:val="en-GB"/>
        </w:rPr>
        <w:t>The</w:t>
      </w:r>
      <w:r w:rsidR="0001774B">
        <w:rPr>
          <w:rFonts w:ascii="Arial" w:hAnsi="Arial" w:cs="Arial"/>
          <w:sz w:val="24"/>
          <w:szCs w:val="24"/>
          <w:lang w:val="en-GB"/>
        </w:rPr>
        <w:t xml:space="preserve"> RELV indicator </w:t>
      </w:r>
      <w:r w:rsidR="00E2011D">
        <w:rPr>
          <w:rFonts w:ascii="Arial" w:hAnsi="Arial" w:cs="Arial"/>
          <w:sz w:val="24"/>
          <w:szCs w:val="24"/>
          <w:lang w:val="en-GB"/>
        </w:rPr>
        <w:t>0.</w:t>
      </w:r>
      <w:r w:rsidR="003821AA">
        <w:rPr>
          <w:rFonts w:ascii="Arial" w:hAnsi="Arial" w:cs="Arial"/>
          <w:sz w:val="24"/>
          <w:szCs w:val="24"/>
          <w:lang w:val="en-GB"/>
        </w:rPr>
        <w:t>3</w:t>
      </w:r>
      <w:r w:rsidR="00EB42B4">
        <w:rPr>
          <w:rFonts w:ascii="Arial" w:hAnsi="Arial" w:cs="Arial"/>
          <w:sz w:val="24"/>
          <w:szCs w:val="24"/>
          <w:lang w:val="en-GB"/>
        </w:rPr>
        <w:t xml:space="preserve">3 </w:t>
      </w:r>
      <w:r w:rsidR="003821AA">
        <w:rPr>
          <w:rFonts w:ascii="Arial" w:hAnsi="Arial" w:cs="Arial"/>
          <w:sz w:val="24"/>
          <w:szCs w:val="24"/>
          <w:lang w:val="en-GB"/>
        </w:rPr>
        <w:t>tells us instead</w:t>
      </w:r>
      <w:r w:rsidR="0001774B">
        <w:rPr>
          <w:rFonts w:ascii="Arial" w:hAnsi="Arial" w:cs="Arial"/>
          <w:sz w:val="24"/>
          <w:szCs w:val="24"/>
          <w:lang w:val="en-GB"/>
        </w:rPr>
        <w:t xml:space="preserve"> that </w:t>
      </w:r>
      <w:r w:rsidR="003821AA">
        <w:rPr>
          <w:rFonts w:ascii="Arial" w:hAnsi="Arial" w:cs="Arial"/>
          <w:sz w:val="24"/>
          <w:szCs w:val="24"/>
          <w:lang w:val="en-GB"/>
        </w:rPr>
        <w:t xml:space="preserve">the asymmetries involving </w:t>
      </w:r>
      <w:r w:rsidR="0001774B">
        <w:rPr>
          <w:rFonts w:ascii="Arial" w:hAnsi="Arial" w:cs="Arial"/>
          <w:sz w:val="24"/>
          <w:szCs w:val="24"/>
          <w:lang w:val="en-GB"/>
        </w:rPr>
        <w:t xml:space="preserve">C1 </w:t>
      </w:r>
      <w:r w:rsidR="00D74BA5">
        <w:rPr>
          <w:rFonts w:ascii="Arial" w:hAnsi="Arial" w:cs="Arial"/>
          <w:sz w:val="24"/>
          <w:szCs w:val="24"/>
          <w:lang w:val="en-GB"/>
        </w:rPr>
        <w:t>are relevant but do not dominate the</w:t>
      </w:r>
      <w:r w:rsidR="003821AA">
        <w:rPr>
          <w:rFonts w:ascii="Arial" w:hAnsi="Arial" w:cs="Arial"/>
          <w:sz w:val="24"/>
          <w:szCs w:val="24"/>
          <w:lang w:val="en-GB"/>
        </w:rPr>
        <w:t xml:space="preserve"> total intra-G5 asymmetries</w:t>
      </w:r>
      <w:r w:rsidR="00405430">
        <w:rPr>
          <w:rFonts w:ascii="Arial" w:hAnsi="Arial" w:cs="Arial"/>
          <w:sz w:val="24"/>
          <w:szCs w:val="24"/>
          <w:lang w:val="en-GB"/>
        </w:rPr>
        <w:t>.</w:t>
      </w:r>
      <w:r w:rsidR="003821AA">
        <w:rPr>
          <w:rFonts w:ascii="Arial" w:hAnsi="Arial" w:cs="Arial"/>
          <w:sz w:val="24"/>
          <w:szCs w:val="24"/>
          <w:lang w:val="en-GB"/>
        </w:rPr>
        <w:t xml:space="preserve"> </w:t>
      </w:r>
      <w:r w:rsidR="00405430">
        <w:rPr>
          <w:rFonts w:ascii="Arial" w:hAnsi="Arial" w:cs="Arial"/>
          <w:sz w:val="24"/>
          <w:szCs w:val="24"/>
          <w:lang w:val="en-GB"/>
        </w:rPr>
        <w:t>(The sum of intra-G5 absolute bilateral asymmetries in Case 1 amount</w:t>
      </w:r>
      <w:r w:rsidR="007534E6">
        <w:rPr>
          <w:rFonts w:ascii="Arial" w:hAnsi="Arial" w:cs="Arial"/>
          <w:sz w:val="24"/>
          <w:szCs w:val="24"/>
          <w:lang w:val="en-GB"/>
        </w:rPr>
        <w:t>s</w:t>
      </w:r>
      <w:r w:rsidR="00405430">
        <w:rPr>
          <w:rFonts w:ascii="Arial" w:hAnsi="Arial" w:cs="Arial"/>
          <w:sz w:val="24"/>
          <w:szCs w:val="24"/>
          <w:lang w:val="en-GB"/>
        </w:rPr>
        <w:t xml:space="preserve"> to 2490).</w:t>
      </w:r>
    </w:p>
    <w:p w:rsidR="002D5E6F" w:rsidRDefault="0021279E" w:rsidP="00515E05">
      <w:pPr>
        <w:spacing w:before="120" w:after="0" w:line="360" w:lineRule="auto"/>
        <w:jc w:val="both"/>
        <w:rPr>
          <w:rFonts w:ascii="Arial" w:hAnsi="Arial" w:cs="Arial"/>
          <w:sz w:val="24"/>
          <w:szCs w:val="24"/>
          <w:lang w:val="en-GB"/>
        </w:rPr>
      </w:pPr>
      <w:r>
        <w:rPr>
          <w:rFonts w:ascii="Arial" w:hAnsi="Arial" w:cs="Arial"/>
          <w:sz w:val="24"/>
          <w:szCs w:val="24"/>
          <w:lang w:val="en-GB"/>
        </w:rPr>
        <w:t>In</w:t>
      </w:r>
      <w:r w:rsidR="00515E05">
        <w:rPr>
          <w:rFonts w:ascii="Arial" w:hAnsi="Arial" w:cs="Arial"/>
          <w:sz w:val="24"/>
          <w:szCs w:val="24"/>
          <w:lang w:val="en-GB"/>
        </w:rPr>
        <w:t xml:space="preserve"> </w:t>
      </w:r>
      <w:r w:rsidR="00EB42B4">
        <w:rPr>
          <w:rFonts w:ascii="Arial" w:hAnsi="Arial" w:cs="Arial"/>
          <w:sz w:val="24"/>
          <w:szCs w:val="24"/>
          <w:lang w:val="en-GB"/>
        </w:rPr>
        <w:t xml:space="preserve">Case </w:t>
      </w:r>
      <w:r w:rsidR="00515E05">
        <w:rPr>
          <w:rFonts w:ascii="Arial" w:hAnsi="Arial" w:cs="Arial"/>
          <w:sz w:val="24"/>
          <w:szCs w:val="24"/>
          <w:lang w:val="en-GB"/>
        </w:rPr>
        <w:t xml:space="preserve">2, we can see that C1 fails to match </w:t>
      </w:r>
      <w:r w:rsidR="00E85FFC">
        <w:rPr>
          <w:rFonts w:ascii="Arial" w:hAnsi="Arial" w:cs="Arial"/>
          <w:sz w:val="24"/>
          <w:szCs w:val="24"/>
          <w:lang w:val="en-GB"/>
        </w:rPr>
        <w:t xml:space="preserve">any of the counterparty </w:t>
      </w:r>
      <w:r w:rsidR="00515E05">
        <w:rPr>
          <w:rFonts w:ascii="Arial" w:hAnsi="Arial" w:cs="Arial"/>
          <w:sz w:val="24"/>
          <w:szCs w:val="24"/>
          <w:lang w:val="en-GB"/>
        </w:rPr>
        <w:t xml:space="preserve">data, </w:t>
      </w:r>
      <w:r w:rsidR="00D74BA5">
        <w:rPr>
          <w:rFonts w:ascii="Arial" w:hAnsi="Arial" w:cs="Arial"/>
          <w:sz w:val="24"/>
          <w:szCs w:val="24"/>
          <w:lang w:val="en-GB"/>
        </w:rPr>
        <w:t xml:space="preserve">by the simple expedient of being </w:t>
      </w:r>
      <w:r w:rsidR="000F1CB1">
        <w:rPr>
          <w:rFonts w:ascii="Arial" w:hAnsi="Arial" w:cs="Arial"/>
          <w:sz w:val="24"/>
          <w:szCs w:val="24"/>
          <w:lang w:val="en-GB"/>
        </w:rPr>
        <w:t xml:space="preserve">of </w:t>
      </w:r>
      <w:r w:rsidR="00515E05">
        <w:rPr>
          <w:rFonts w:ascii="Arial" w:hAnsi="Arial" w:cs="Arial"/>
          <w:sz w:val="24"/>
          <w:szCs w:val="24"/>
          <w:lang w:val="en-GB"/>
        </w:rPr>
        <w:t>the same size</w:t>
      </w:r>
      <w:r w:rsidR="002D5E6F">
        <w:rPr>
          <w:rFonts w:ascii="Arial" w:hAnsi="Arial" w:cs="Arial"/>
          <w:sz w:val="24"/>
          <w:szCs w:val="24"/>
          <w:lang w:val="en-GB"/>
        </w:rPr>
        <w:t>,</w:t>
      </w:r>
      <w:r w:rsidR="00515E05">
        <w:rPr>
          <w:rFonts w:ascii="Arial" w:hAnsi="Arial" w:cs="Arial"/>
          <w:sz w:val="24"/>
          <w:szCs w:val="24"/>
          <w:lang w:val="en-GB"/>
        </w:rPr>
        <w:t xml:space="preserve"> but </w:t>
      </w:r>
      <w:r w:rsidR="00E85FFC">
        <w:rPr>
          <w:rFonts w:ascii="Arial" w:hAnsi="Arial" w:cs="Arial"/>
          <w:sz w:val="24"/>
          <w:szCs w:val="24"/>
          <w:lang w:val="en-GB"/>
        </w:rPr>
        <w:t xml:space="preserve">of </w:t>
      </w:r>
      <w:r w:rsidR="00515E05">
        <w:rPr>
          <w:rFonts w:ascii="Arial" w:hAnsi="Arial" w:cs="Arial"/>
          <w:sz w:val="24"/>
          <w:szCs w:val="24"/>
          <w:lang w:val="en-GB"/>
        </w:rPr>
        <w:t>opposite sign</w:t>
      </w:r>
      <w:r>
        <w:rPr>
          <w:rFonts w:ascii="Arial" w:hAnsi="Arial" w:cs="Arial"/>
          <w:sz w:val="24"/>
          <w:szCs w:val="24"/>
          <w:lang w:val="en-GB"/>
        </w:rPr>
        <w:t>.</w:t>
      </w:r>
      <w:r w:rsidR="00515E05">
        <w:rPr>
          <w:rFonts w:ascii="Arial" w:hAnsi="Arial" w:cs="Arial"/>
          <w:sz w:val="24"/>
          <w:szCs w:val="24"/>
          <w:lang w:val="en-GB"/>
        </w:rPr>
        <w:t xml:space="preserve"> </w:t>
      </w:r>
      <w:r>
        <w:rPr>
          <w:rFonts w:ascii="Arial" w:hAnsi="Arial" w:cs="Arial"/>
          <w:sz w:val="24"/>
          <w:szCs w:val="24"/>
          <w:lang w:val="en-GB"/>
        </w:rPr>
        <w:t>T</w:t>
      </w:r>
      <w:r w:rsidR="00515E05">
        <w:rPr>
          <w:rFonts w:ascii="Arial" w:hAnsi="Arial" w:cs="Arial"/>
          <w:sz w:val="24"/>
          <w:szCs w:val="24"/>
          <w:lang w:val="en-GB"/>
        </w:rPr>
        <w:t xml:space="preserve">he ICGQ </w:t>
      </w:r>
      <w:r w:rsidR="00E85FFC">
        <w:rPr>
          <w:rFonts w:ascii="Arial" w:hAnsi="Arial" w:cs="Arial"/>
          <w:sz w:val="24"/>
          <w:szCs w:val="24"/>
          <w:lang w:val="en-GB"/>
        </w:rPr>
        <w:t xml:space="preserve">therefore </w:t>
      </w:r>
      <w:r w:rsidR="00515E05">
        <w:rPr>
          <w:rFonts w:ascii="Arial" w:hAnsi="Arial" w:cs="Arial"/>
          <w:sz w:val="24"/>
          <w:szCs w:val="24"/>
          <w:lang w:val="en-GB"/>
        </w:rPr>
        <w:t>reaches its maximum level</w:t>
      </w:r>
      <w:r w:rsidR="005C68CA">
        <w:rPr>
          <w:rFonts w:ascii="Arial" w:hAnsi="Arial" w:cs="Arial"/>
          <w:sz w:val="24"/>
          <w:szCs w:val="24"/>
          <w:lang w:val="en-GB"/>
        </w:rPr>
        <w:t xml:space="preserve"> (1</w:t>
      </w:r>
      <w:r w:rsidR="00D74BA5">
        <w:rPr>
          <w:rFonts w:ascii="Arial" w:hAnsi="Arial" w:cs="Arial"/>
          <w:sz w:val="24"/>
          <w:szCs w:val="24"/>
          <w:lang w:val="en-GB"/>
        </w:rPr>
        <w:t>.</w:t>
      </w:r>
      <w:r w:rsidR="005C68CA">
        <w:rPr>
          <w:rFonts w:ascii="Arial" w:hAnsi="Arial" w:cs="Arial"/>
          <w:sz w:val="24"/>
          <w:szCs w:val="24"/>
          <w:lang w:val="en-GB"/>
        </w:rPr>
        <w:t>00)</w:t>
      </w:r>
      <w:r w:rsidR="002D5E6F">
        <w:rPr>
          <w:rFonts w:ascii="Arial" w:hAnsi="Arial" w:cs="Arial"/>
          <w:sz w:val="24"/>
          <w:szCs w:val="24"/>
          <w:lang w:val="en-GB"/>
        </w:rPr>
        <w:t xml:space="preserve"> indicating th</w:t>
      </w:r>
      <w:r w:rsidR="005C68CA">
        <w:rPr>
          <w:rFonts w:ascii="Arial" w:hAnsi="Arial" w:cs="Arial"/>
          <w:sz w:val="24"/>
          <w:szCs w:val="24"/>
          <w:lang w:val="en-GB"/>
        </w:rPr>
        <w:t>at C1 has a</w:t>
      </w:r>
      <w:r w:rsidR="00D74BA5">
        <w:rPr>
          <w:rFonts w:ascii="Arial" w:hAnsi="Arial" w:cs="Arial"/>
          <w:sz w:val="24"/>
          <w:szCs w:val="24"/>
          <w:lang w:val="en-GB"/>
        </w:rPr>
        <w:t>n extreme</w:t>
      </w:r>
      <w:r w:rsidR="00D74BA5">
        <w:rPr>
          <w:rStyle w:val="FootnoteReference"/>
          <w:rFonts w:ascii="Arial" w:hAnsi="Arial" w:cs="Arial"/>
          <w:sz w:val="24"/>
          <w:szCs w:val="24"/>
          <w:lang w:val="en-GB"/>
        </w:rPr>
        <w:footnoteReference w:id="4"/>
      </w:r>
      <w:r w:rsidR="00D74BA5">
        <w:rPr>
          <w:rFonts w:ascii="Arial" w:hAnsi="Arial" w:cs="Arial"/>
          <w:sz w:val="24"/>
          <w:szCs w:val="24"/>
          <w:lang w:val="en-GB"/>
        </w:rPr>
        <w:t xml:space="preserve"> </w:t>
      </w:r>
      <w:r w:rsidR="005C68CA">
        <w:rPr>
          <w:rFonts w:ascii="Arial" w:hAnsi="Arial" w:cs="Arial"/>
          <w:sz w:val="24"/>
          <w:szCs w:val="24"/>
          <w:lang w:val="en-GB"/>
        </w:rPr>
        <w:t xml:space="preserve">problem </w:t>
      </w:r>
      <w:r w:rsidR="006F157F">
        <w:rPr>
          <w:rFonts w:ascii="Arial" w:hAnsi="Arial" w:cs="Arial"/>
          <w:sz w:val="24"/>
          <w:szCs w:val="24"/>
          <w:lang w:val="en-GB"/>
        </w:rPr>
        <w:t>matching its counterparties’ bilateral data</w:t>
      </w:r>
      <w:r w:rsidR="005C68CA">
        <w:rPr>
          <w:rFonts w:ascii="Arial" w:hAnsi="Arial" w:cs="Arial"/>
          <w:sz w:val="24"/>
          <w:szCs w:val="24"/>
          <w:lang w:val="en-GB"/>
        </w:rPr>
        <w:t xml:space="preserve"> that deserves a deep</w:t>
      </w:r>
      <w:r w:rsidR="00E85FFC">
        <w:rPr>
          <w:rFonts w:ascii="Arial" w:hAnsi="Arial" w:cs="Arial"/>
          <w:sz w:val="24"/>
          <w:szCs w:val="24"/>
          <w:lang w:val="en-GB"/>
        </w:rPr>
        <w:t>er</w:t>
      </w:r>
      <w:r w:rsidR="005C68CA">
        <w:rPr>
          <w:rFonts w:ascii="Arial" w:hAnsi="Arial" w:cs="Arial"/>
          <w:sz w:val="24"/>
          <w:szCs w:val="24"/>
          <w:lang w:val="en-GB"/>
        </w:rPr>
        <w:t xml:space="preserve"> analysis.</w:t>
      </w:r>
      <w:r w:rsidR="00515E05">
        <w:rPr>
          <w:rFonts w:ascii="Arial" w:hAnsi="Arial" w:cs="Arial"/>
          <w:sz w:val="24"/>
          <w:szCs w:val="24"/>
          <w:lang w:val="en-GB"/>
        </w:rPr>
        <w:t xml:space="preserve"> </w:t>
      </w:r>
      <w:r w:rsidR="00AE57B6">
        <w:rPr>
          <w:rFonts w:ascii="Arial" w:hAnsi="Arial" w:cs="Arial"/>
          <w:sz w:val="24"/>
          <w:szCs w:val="24"/>
          <w:lang w:val="en-GB"/>
        </w:rPr>
        <w:t>The</w:t>
      </w:r>
      <w:r w:rsidR="00515E05">
        <w:rPr>
          <w:rFonts w:ascii="Arial" w:hAnsi="Arial" w:cs="Arial"/>
          <w:sz w:val="24"/>
          <w:szCs w:val="24"/>
          <w:lang w:val="en-GB"/>
        </w:rPr>
        <w:t xml:space="preserve"> total value obtained summing up the </w:t>
      </w:r>
      <w:r w:rsidR="002D5E6F">
        <w:rPr>
          <w:rFonts w:ascii="Arial" w:hAnsi="Arial" w:cs="Arial"/>
          <w:sz w:val="24"/>
          <w:szCs w:val="24"/>
          <w:lang w:val="en-GB"/>
        </w:rPr>
        <w:t>bilateral</w:t>
      </w:r>
      <w:r w:rsidR="00515E05">
        <w:rPr>
          <w:rFonts w:ascii="Arial" w:hAnsi="Arial" w:cs="Arial"/>
          <w:sz w:val="24"/>
          <w:szCs w:val="24"/>
          <w:lang w:val="en-GB"/>
        </w:rPr>
        <w:t xml:space="preserve"> data for the total intra-G5 group </w:t>
      </w:r>
      <w:r w:rsidR="002D5E6F">
        <w:rPr>
          <w:rFonts w:ascii="Arial" w:hAnsi="Arial" w:cs="Arial"/>
          <w:sz w:val="24"/>
          <w:szCs w:val="24"/>
          <w:lang w:val="en-GB"/>
        </w:rPr>
        <w:t>has</w:t>
      </w:r>
      <w:r w:rsidR="00AE57B6">
        <w:rPr>
          <w:rFonts w:ascii="Arial" w:hAnsi="Arial" w:cs="Arial"/>
          <w:sz w:val="24"/>
          <w:szCs w:val="24"/>
          <w:lang w:val="en-GB"/>
        </w:rPr>
        <w:t xml:space="preserve"> also</w:t>
      </w:r>
      <w:r w:rsidR="002D5E6F">
        <w:rPr>
          <w:rFonts w:ascii="Arial" w:hAnsi="Arial" w:cs="Arial"/>
          <w:sz w:val="24"/>
          <w:szCs w:val="24"/>
          <w:lang w:val="en-GB"/>
        </w:rPr>
        <w:t xml:space="preserve"> the same size but the opposite sign for C1 and its partner countries</w:t>
      </w:r>
      <w:r w:rsidR="00AE57B6">
        <w:rPr>
          <w:rFonts w:ascii="Arial" w:hAnsi="Arial" w:cs="Arial"/>
          <w:sz w:val="24"/>
          <w:szCs w:val="24"/>
          <w:lang w:val="en-GB"/>
        </w:rPr>
        <w:t>.</w:t>
      </w:r>
      <w:r w:rsidR="00515E05" w:rsidRPr="00515E05">
        <w:rPr>
          <w:rFonts w:ascii="Arial" w:hAnsi="Arial" w:cs="Arial"/>
          <w:sz w:val="24"/>
          <w:szCs w:val="24"/>
          <w:lang w:val="en-GB"/>
        </w:rPr>
        <w:t xml:space="preserve"> </w:t>
      </w:r>
      <w:r w:rsidR="00AE57B6">
        <w:rPr>
          <w:rFonts w:ascii="Arial" w:hAnsi="Arial" w:cs="Arial"/>
          <w:sz w:val="24"/>
          <w:szCs w:val="24"/>
          <w:lang w:val="en-GB"/>
        </w:rPr>
        <w:t>T</w:t>
      </w:r>
      <w:r w:rsidR="002D5E6F">
        <w:rPr>
          <w:rFonts w:ascii="Arial" w:hAnsi="Arial" w:cs="Arial"/>
          <w:sz w:val="24"/>
          <w:szCs w:val="24"/>
          <w:lang w:val="en-GB"/>
        </w:rPr>
        <w:t xml:space="preserve">he XCGQ </w:t>
      </w:r>
      <w:r w:rsidR="00AE57B6">
        <w:rPr>
          <w:rFonts w:ascii="Arial" w:hAnsi="Arial" w:cs="Arial"/>
          <w:sz w:val="24"/>
          <w:szCs w:val="24"/>
          <w:lang w:val="en-GB"/>
        </w:rPr>
        <w:t xml:space="preserve">value is </w:t>
      </w:r>
      <w:r w:rsidR="006F157F">
        <w:rPr>
          <w:rFonts w:ascii="Arial" w:hAnsi="Arial" w:cs="Arial"/>
          <w:sz w:val="24"/>
          <w:szCs w:val="24"/>
          <w:lang w:val="en-GB"/>
        </w:rPr>
        <w:t xml:space="preserve">therefore </w:t>
      </w:r>
      <w:r w:rsidR="00AE57B6">
        <w:rPr>
          <w:rFonts w:ascii="Arial" w:hAnsi="Arial" w:cs="Arial"/>
          <w:sz w:val="24"/>
          <w:szCs w:val="24"/>
          <w:lang w:val="en-GB"/>
        </w:rPr>
        <w:t xml:space="preserve">close to 1 </w:t>
      </w:r>
      <w:r w:rsidR="002D5E6F">
        <w:rPr>
          <w:rFonts w:ascii="Arial" w:hAnsi="Arial" w:cs="Arial"/>
          <w:sz w:val="24"/>
          <w:szCs w:val="24"/>
          <w:lang w:val="en-GB"/>
        </w:rPr>
        <w:t>indicating the very large discrepancy in the total intra-G5 data</w:t>
      </w:r>
      <w:r w:rsidR="00A2552B">
        <w:rPr>
          <w:rFonts w:ascii="Arial" w:hAnsi="Arial" w:cs="Arial"/>
          <w:sz w:val="24"/>
          <w:szCs w:val="24"/>
          <w:lang w:val="en-GB"/>
        </w:rPr>
        <w:t>.</w:t>
      </w:r>
      <w:r w:rsidR="005C68CA">
        <w:rPr>
          <w:rFonts w:ascii="Arial" w:hAnsi="Arial" w:cs="Arial"/>
          <w:sz w:val="24"/>
          <w:szCs w:val="24"/>
          <w:lang w:val="en-GB"/>
        </w:rPr>
        <w:t xml:space="preserve"> </w:t>
      </w:r>
      <w:r w:rsidR="00D74BA5">
        <w:rPr>
          <w:rFonts w:ascii="Arial" w:hAnsi="Arial" w:cs="Arial"/>
          <w:sz w:val="24"/>
          <w:szCs w:val="24"/>
          <w:lang w:val="en-GB"/>
        </w:rPr>
        <w:t>T</w:t>
      </w:r>
      <w:r w:rsidR="0001774B">
        <w:rPr>
          <w:rFonts w:ascii="Arial" w:hAnsi="Arial" w:cs="Arial"/>
          <w:sz w:val="24"/>
          <w:szCs w:val="24"/>
          <w:lang w:val="en-GB"/>
        </w:rPr>
        <w:t xml:space="preserve">he RELV indicator </w:t>
      </w:r>
      <w:r w:rsidR="000F1CB1">
        <w:rPr>
          <w:rFonts w:ascii="Arial" w:hAnsi="Arial" w:cs="Arial"/>
          <w:sz w:val="24"/>
          <w:szCs w:val="24"/>
          <w:lang w:val="en-GB"/>
        </w:rPr>
        <w:t xml:space="preserve">at 0.89 </w:t>
      </w:r>
      <w:r w:rsidR="00D74BA5">
        <w:rPr>
          <w:rFonts w:ascii="Arial" w:hAnsi="Arial" w:cs="Arial"/>
          <w:sz w:val="24"/>
          <w:szCs w:val="24"/>
          <w:lang w:val="en-GB"/>
        </w:rPr>
        <w:t xml:space="preserve">now reaches </w:t>
      </w:r>
      <w:r w:rsidR="003821AA">
        <w:rPr>
          <w:rFonts w:ascii="Arial" w:hAnsi="Arial" w:cs="Arial"/>
          <w:sz w:val="24"/>
          <w:szCs w:val="24"/>
          <w:lang w:val="en-GB"/>
        </w:rPr>
        <w:t>a very high value</w:t>
      </w:r>
      <w:r w:rsidR="00405430">
        <w:rPr>
          <w:rFonts w:ascii="Arial" w:hAnsi="Arial" w:cs="Arial"/>
          <w:sz w:val="24"/>
          <w:szCs w:val="24"/>
          <w:lang w:val="en-GB"/>
        </w:rPr>
        <w:t>, indicating the high contribution of C1 to intragroup asymmetries</w:t>
      </w:r>
      <w:r w:rsidR="007534E6">
        <w:rPr>
          <w:rFonts w:ascii="Arial" w:hAnsi="Arial" w:cs="Arial"/>
          <w:sz w:val="24"/>
          <w:szCs w:val="24"/>
          <w:lang w:val="en-GB"/>
        </w:rPr>
        <w:t>.</w:t>
      </w:r>
      <w:r w:rsidR="00405430">
        <w:rPr>
          <w:rFonts w:ascii="Arial" w:hAnsi="Arial" w:cs="Arial"/>
          <w:sz w:val="24"/>
          <w:szCs w:val="24"/>
          <w:lang w:val="en-GB"/>
        </w:rPr>
        <w:t xml:space="preserve"> (</w:t>
      </w:r>
      <w:r w:rsidR="007534E6">
        <w:rPr>
          <w:rFonts w:ascii="Arial" w:hAnsi="Arial" w:cs="Arial"/>
          <w:sz w:val="24"/>
          <w:szCs w:val="24"/>
          <w:lang w:val="en-GB"/>
        </w:rPr>
        <w:t xml:space="preserve">The </w:t>
      </w:r>
      <w:r w:rsidR="00405430">
        <w:rPr>
          <w:rFonts w:ascii="Arial" w:hAnsi="Arial" w:cs="Arial"/>
          <w:sz w:val="24"/>
          <w:szCs w:val="24"/>
          <w:lang w:val="en-GB"/>
        </w:rPr>
        <w:t>sum of intra-G5 absolute bilateral asymmetries</w:t>
      </w:r>
      <w:r w:rsidR="003821AA">
        <w:rPr>
          <w:rFonts w:ascii="Arial" w:hAnsi="Arial" w:cs="Arial"/>
          <w:sz w:val="24"/>
          <w:szCs w:val="24"/>
          <w:lang w:val="en-GB"/>
        </w:rPr>
        <w:t xml:space="preserve"> </w:t>
      </w:r>
      <w:r w:rsidR="00405430">
        <w:rPr>
          <w:rFonts w:ascii="Arial" w:hAnsi="Arial" w:cs="Arial"/>
          <w:sz w:val="24"/>
          <w:szCs w:val="24"/>
          <w:lang w:val="en-GB"/>
        </w:rPr>
        <w:t>now amount</w:t>
      </w:r>
      <w:r w:rsidR="007534E6">
        <w:rPr>
          <w:rFonts w:ascii="Arial" w:hAnsi="Arial" w:cs="Arial"/>
          <w:sz w:val="24"/>
          <w:szCs w:val="24"/>
          <w:lang w:val="en-GB"/>
        </w:rPr>
        <w:t>s</w:t>
      </w:r>
      <w:r w:rsidR="00405430">
        <w:rPr>
          <w:rFonts w:ascii="Arial" w:hAnsi="Arial" w:cs="Arial"/>
          <w:sz w:val="24"/>
          <w:szCs w:val="24"/>
          <w:lang w:val="en-GB"/>
        </w:rPr>
        <w:t xml:space="preserve"> to </w:t>
      </w:r>
      <w:r w:rsidR="003821AA">
        <w:rPr>
          <w:rFonts w:ascii="Arial" w:hAnsi="Arial" w:cs="Arial"/>
          <w:sz w:val="24"/>
          <w:szCs w:val="24"/>
          <w:lang w:val="en-GB"/>
        </w:rPr>
        <w:t>1</w:t>
      </w:r>
      <w:r w:rsidR="00732062">
        <w:rPr>
          <w:rFonts w:ascii="Arial" w:hAnsi="Arial" w:cs="Arial"/>
          <w:sz w:val="24"/>
          <w:szCs w:val="24"/>
          <w:lang w:val="en-GB"/>
        </w:rPr>
        <w:t>51</w:t>
      </w:r>
      <w:r w:rsidR="003821AA">
        <w:rPr>
          <w:rFonts w:ascii="Arial" w:hAnsi="Arial" w:cs="Arial"/>
          <w:sz w:val="24"/>
          <w:szCs w:val="24"/>
          <w:lang w:val="en-GB"/>
        </w:rPr>
        <w:t>00</w:t>
      </w:r>
      <w:r w:rsidR="00405430">
        <w:rPr>
          <w:rFonts w:ascii="Arial" w:hAnsi="Arial" w:cs="Arial"/>
          <w:sz w:val="24"/>
          <w:szCs w:val="24"/>
          <w:lang w:val="en-GB"/>
        </w:rPr>
        <w:t>)</w:t>
      </w:r>
      <w:r w:rsidR="003821AA">
        <w:rPr>
          <w:rFonts w:ascii="Arial" w:hAnsi="Arial" w:cs="Arial"/>
          <w:sz w:val="24"/>
          <w:szCs w:val="24"/>
          <w:lang w:val="en-GB"/>
        </w:rPr>
        <w:t>.</w:t>
      </w:r>
    </w:p>
    <w:p w:rsidR="00405430" w:rsidRDefault="002D5E6F" w:rsidP="00405430">
      <w:pPr>
        <w:spacing w:before="120" w:after="0" w:line="360" w:lineRule="auto"/>
        <w:jc w:val="both"/>
        <w:rPr>
          <w:rFonts w:ascii="Arial" w:hAnsi="Arial" w:cs="Arial"/>
          <w:sz w:val="24"/>
          <w:szCs w:val="24"/>
          <w:lang w:val="en-GB"/>
        </w:rPr>
      </w:pPr>
      <w:r>
        <w:rPr>
          <w:rFonts w:ascii="Arial" w:hAnsi="Arial" w:cs="Arial"/>
          <w:sz w:val="24"/>
          <w:szCs w:val="24"/>
          <w:lang w:val="en-GB"/>
        </w:rPr>
        <w:t xml:space="preserve">As regards </w:t>
      </w:r>
      <w:r w:rsidR="00EB42B4">
        <w:rPr>
          <w:rFonts w:ascii="Arial" w:hAnsi="Arial" w:cs="Arial"/>
          <w:sz w:val="24"/>
          <w:szCs w:val="24"/>
          <w:lang w:val="en-GB"/>
        </w:rPr>
        <w:t xml:space="preserve">Case </w:t>
      </w:r>
      <w:r>
        <w:rPr>
          <w:rFonts w:ascii="Arial" w:hAnsi="Arial" w:cs="Arial"/>
          <w:sz w:val="24"/>
          <w:szCs w:val="24"/>
          <w:lang w:val="en-GB"/>
        </w:rPr>
        <w:t xml:space="preserve">3, we </w:t>
      </w:r>
      <w:r w:rsidR="000F1CB1">
        <w:rPr>
          <w:rFonts w:ascii="Arial" w:hAnsi="Arial" w:cs="Arial"/>
          <w:sz w:val="24"/>
          <w:szCs w:val="24"/>
          <w:lang w:val="en-GB"/>
        </w:rPr>
        <w:t xml:space="preserve">see </w:t>
      </w:r>
      <w:r>
        <w:rPr>
          <w:rFonts w:ascii="Arial" w:hAnsi="Arial" w:cs="Arial"/>
          <w:sz w:val="24"/>
          <w:szCs w:val="24"/>
          <w:lang w:val="en-GB"/>
        </w:rPr>
        <w:t xml:space="preserve">that the situation for the bilateral asymmetries is </w:t>
      </w:r>
      <w:r w:rsidR="008A1600">
        <w:rPr>
          <w:rFonts w:ascii="Arial" w:hAnsi="Arial" w:cs="Arial"/>
          <w:sz w:val="24"/>
          <w:szCs w:val="24"/>
          <w:lang w:val="en-GB"/>
        </w:rPr>
        <w:t xml:space="preserve">quite </w:t>
      </w:r>
      <w:r>
        <w:rPr>
          <w:rFonts w:ascii="Arial" w:hAnsi="Arial" w:cs="Arial"/>
          <w:sz w:val="24"/>
          <w:szCs w:val="24"/>
          <w:lang w:val="en-GB"/>
        </w:rPr>
        <w:t>similar to that of Scenario 2</w:t>
      </w:r>
      <w:r w:rsidR="00D854D7">
        <w:rPr>
          <w:rFonts w:ascii="Arial" w:hAnsi="Arial" w:cs="Arial"/>
          <w:sz w:val="24"/>
          <w:szCs w:val="24"/>
          <w:lang w:val="en-GB"/>
        </w:rPr>
        <w:t>.</w:t>
      </w:r>
      <w:r>
        <w:rPr>
          <w:rFonts w:ascii="Arial" w:hAnsi="Arial" w:cs="Arial"/>
          <w:sz w:val="24"/>
          <w:szCs w:val="24"/>
          <w:lang w:val="en-GB"/>
        </w:rPr>
        <w:t xml:space="preserve"> C1 </w:t>
      </w:r>
      <w:r w:rsidR="000F1CB1">
        <w:rPr>
          <w:rFonts w:ascii="Arial" w:hAnsi="Arial" w:cs="Arial"/>
          <w:sz w:val="24"/>
          <w:szCs w:val="24"/>
          <w:lang w:val="en-GB"/>
        </w:rPr>
        <w:t>again achieves a</w:t>
      </w:r>
      <w:r w:rsidR="007534E6">
        <w:rPr>
          <w:rFonts w:ascii="Arial" w:hAnsi="Arial" w:cs="Arial"/>
          <w:sz w:val="24"/>
          <w:szCs w:val="24"/>
          <w:lang w:val="en-GB"/>
        </w:rPr>
        <w:t>lmost</w:t>
      </w:r>
      <w:r w:rsidR="000F1CB1">
        <w:rPr>
          <w:rFonts w:ascii="Arial" w:hAnsi="Arial" w:cs="Arial"/>
          <w:sz w:val="24"/>
          <w:szCs w:val="24"/>
          <w:lang w:val="en-GB"/>
        </w:rPr>
        <w:t xml:space="preserve"> perfect bilateral mismatch</w:t>
      </w:r>
      <w:r w:rsidR="007534E6">
        <w:rPr>
          <w:rFonts w:ascii="Arial" w:hAnsi="Arial" w:cs="Arial"/>
          <w:sz w:val="24"/>
          <w:szCs w:val="24"/>
          <w:lang w:val="en-GB"/>
        </w:rPr>
        <w:t>es</w:t>
      </w:r>
      <w:r w:rsidR="000F1CB1">
        <w:rPr>
          <w:rFonts w:ascii="Arial" w:hAnsi="Arial" w:cs="Arial"/>
          <w:sz w:val="24"/>
          <w:szCs w:val="24"/>
          <w:lang w:val="en-GB"/>
        </w:rPr>
        <w:t xml:space="preserve"> </w:t>
      </w:r>
      <w:r w:rsidR="000F1CB1">
        <w:rPr>
          <w:rFonts w:ascii="Arial" w:hAnsi="Arial" w:cs="Arial"/>
          <w:sz w:val="24"/>
          <w:szCs w:val="24"/>
          <w:lang w:val="en-GB"/>
        </w:rPr>
        <w:lastRenderedPageBreak/>
        <w:t xml:space="preserve">with </w:t>
      </w:r>
      <w:r>
        <w:rPr>
          <w:rFonts w:ascii="Arial" w:hAnsi="Arial" w:cs="Arial"/>
          <w:sz w:val="24"/>
          <w:szCs w:val="24"/>
          <w:lang w:val="en-GB"/>
        </w:rPr>
        <w:t>its partners’ data</w:t>
      </w:r>
      <w:r w:rsidR="000F1CB1">
        <w:rPr>
          <w:rFonts w:ascii="Arial" w:hAnsi="Arial" w:cs="Arial"/>
          <w:sz w:val="24"/>
          <w:szCs w:val="24"/>
          <w:lang w:val="en-GB"/>
        </w:rPr>
        <w:t xml:space="preserve"> by construction</w:t>
      </w:r>
      <w:r>
        <w:rPr>
          <w:rFonts w:ascii="Arial" w:hAnsi="Arial" w:cs="Arial"/>
          <w:sz w:val="24"/>
          <w:szCs w:val="24"/>
          <w:lang w:val="en-GB"/>
        </w:rPr>
        <w:t xml:space="preserve">, with the total amount of bilateral asymmetries almost the same size of the sum of </w:t>
      </w:r>
      <w:r w:rsidR="00AE57B6">
        <w:rPr>
          <w:rFonts w:ascii="Arial" w:hAnsi="Arial" w:cs="Arial"/>
          <w:sz w:val="24"/>
          <w:szCs w:val="24"/>
          <w:lang w:val="en-GB"/>
        </w:rPr>
        <w:t xml:space="preserve">the absolute </w:t>
      </w:r>
      <w:r>
        <w:rPr>
          <w:rFonts w:ascii="Arial" w:hAnsi="Arial" w:cs="Arial"/>
          <w:sz w:val="24"/>
          <w:szCs w:val="24"/>
          <w:lang w:val="en-GB"/>
        </w:rPr>
        <w:t xml:space="preserve">reported and partner data, producing an ICGQ very close to 1. The XCGQ </w:t>
      </w:r>
      <w:r w:rsidR="000F1CB1">
        <w:rPr>
          <w:rFonts w:ascii="Arial" w:hAnsi="Arial" w:cs="Arial"/>
          <w:sz w:val="24"/>
          <w:szCs w:val="24"/>
          <w:lang w:val="en-GB"/>
        </w:rPr>
        <w:t xml:space="preserve">measure however now </w:t>
      </w:r>
      <w:r w:rsidR="00E85FFC">
        <w:rPr>
          <w:rFonts w:ascii="Arial" w:hAnsi="Arial" w:cs="Arial"/>
          <w:sz w:val="24"/>
          <w:szCs w:val="24"/>
          <w:lang w:val="en-GB"/>
        </w:rPr>
        <w:t xml:space="preserve">yields </w:t>
      </w:r>
      <w:r w:rsidR="008A1600">
        <w:rPr>
          <w:rFonts w:ascii="Arial" w:hAnsi="Arial" w:cs="Arial"/>
          <w:sz w:val="24"/>
          <w:szCs w:val="24"/>
          <w:lang w:val="en-GB"/>
        </w:rPr>
        <w:t>a good</w:t>
      </w:r>
      <w:r>
        <w:rPr>
          <w:rFonts w:ascii="Arial" w:hAnsi="Arial" w:cs="Arial"/>
          <w:sz w:val="24"/>
          <w:szCs w:val="24"/>
          <w:lang w:val="en-GB"/>
        </w:rPr>
        <w:t xml:space="preserve"> result as the discrepanc</w:t>
      </w:r>
      <w:r w:rsidR="00E85FFC">
        <w:rPr>
          <w:rFonts w:ascii="Arial" w:hAnsi="Arial" w:cs="Arial"/>
          <w:sz w:val="24"/>
          <w:szCs w:val="24"/>
          <w:lang w:val="en-GB"/>
        </w:rPr>
        <w:t>ies</w:t>
      </w:r>
      <w:r>
        <w:rPr>
          <w:rFonts w:ascii="Arial" w:hAnsi="Arial" w:cs="Arial"/>
          <w:sz w:val="24"/>
          <w:szCs w:val="24"/>
          <w:lang w:val="en-GB"/>
        </w:rPr>
        <w:t xml:space="preserve"> </w:t>
      </w:r>
      <w:r w:rsidR="00034157">
        <w:rPr>
          <w:rFonts w:ascii="Arial" w:hAnsi="Arial" w:cs="Arial"/>
          <w:sz w:val="24"/>
          <w:szCs w:val="24"/>
          <w:lang w:val="en-GB"/>
        </w:rPr>
        <w:t>between the reported and mirror</w:t>
      </w:r>
      <w:r>
        <w:rPr>
          <w:rFonts w:ascii="Arial" w:hAnsi="Arial" w:cs="Arial"/>
          <w:sz w:val="24"/>
          <w:szCs w:val="24"/>
          <w:lang w:val="en-GB"/>
        </w:rPr>
        <w:t xml:space="preserve"> total intra-G5 </w:t>
      </w:r>
      <w:r w:rsidR="000F1CB1">
        <w:rPr>
          <w:rFonts w:ascii="Arial" w:hAnsi="Arial" w:cs="Arial"/>
          <w:sz w:val="24"/>
          <w:szCs w:val="24"/>
          <w:lang w:val="en-GB"/>
        </w:rPr>
        <w:t xml:space="preserve">are </w:t>
      </w:r>
      <w:r>
        <w:rPr>
          <w:rFonts w:ascii="Arial" w:hAnsi="Arial" w:cs="Arial"/>
          <w:sz w:val="24"/>
          <w:szCs w:val="24"/>
          <w:lang w:val="en-GB"/>
        </w:rPr>
        <w:t xml:space="preserve">relatively small compared to the </w:t>
      </w:r>
      <w:r w:rsidR="00AE57B6">
        <w:rPr>
          <w:rFonts w:ascii="Arial" w:hAnsi="Arial" w:cs="Arial"/>
          <w:sz w:val="24"/>
          <w:szCs w:val="24"/>
          <w:lang w:val="en-GB"/>
        </w:rPr>
        <w:t xml:space="preserve">absolute </w:t>
      </w:r>
      <w:r>
        <w:rPr>
          <w:rFonts w:ascii="Arial" w:hAnsi="Arial" w:cs="Arial"/>
          <w:sz w:val="24"/>
          <w:szCs w:val="24"/>
          <w:lang w:val="en-GB"/>
        </w:rPr>
        <w:t xml:space="preserve">amounts reported. </w:t>
      </w:r>
      <w:r w:rsidR="000F1CB1">
        <w:rPr>
          <w:rFonts w:ascii="Arial" w:hAnsi="Arial" w:cs="Arial"/>
          <w:sz w:val="24"/>
          <w:szCs w:val="24"/>
          <w:lang w:val="en-GB"/>
        </w:rPr>
        <w:t xml:space="preserve">Case </w:t>
      </w:r>
      <w:r>
        <w:rPr>
          <w:rFonts w:ascii="Arial" w:hAnsi="Arial" w:cs="Arial"/>
          <w:sz w:val="24"/>
          <w:szCs w:val="24"/>
          <w:lang w:val="en-GB"/>
        </w:rPr>
        <w:t xml:space="preserve">3 would </w:t>
      </w:r>
      <w:r w:rsidR="000F1CB1">
        <w:rPr>
          <w:rFonts w:ascii="Arial" w:hAnsi="Arial" w:cs="Arial"/>
          <w:sz w:val="24"/>
          <w:szCs w:val="24"/>
          <w:lang w:val="en-GB"/>
        </w:rPr>
        <w:t xml:space="preserve">captures </w:t>
      </w:r>
      <w:r>
        <w:rPr>
          <w:rFonts w:ascii="Arial" w:hAnsi="Arial" w:cs="Arial"/>
          <w:sz w:val="24"/>
          <w:szCs w:val="24"/>
          <w:lang w:val="en-GB"/>
        </w:rPr>
        <w:t xml:space="preserve">a situation where C1 has </w:t>
      </w:r>
      <w:r w:rsidR="000F1CB1">
        <w:rPr>
          <w:rFonts w:ascii="Arial" w:hAnsi="Arial" w:cs="Arial"/>
          <w:sz w:val="24"/>
          <w:szCs w:val="24"/>
          <w:lang w:val="en-GB"/>
        </w:rPr>
        <w:t xml:space="preserve">cannot </w:t>
      </w:r>
      <w:r>
        <w:rPr>
          <w:rFonts w:ascii="Arial" w:hAnsi="Arial" w:cs="Arial"/>
          <w:sz w:val="24"/>
          <w:szCs w:val="24"/>
          <w:lang w:val="en-GB"/>
        </w:rPr>
        <w:t>obtain</w:t>
      </w:r>
      <w:r w:rsidR="000F1CB1">
        <w:rPr>
          <w:rFonts w:ascii="Arial" w:hAnsi="Arial" w:cs="Arial"/>
          <w:sz w:val="24"/>
          <w:szCs w:val="24"/>
          <w:lang w:val="en-GB"/>
        </w:rPr>
        <w:t xml:space="preserve"> a </w:t>
      </w:r>
      <w:r>
        <w:rPr>
          <w:rFonts w:ascii="Arial" w:hAnsi="Arial" w:cs="Arial"/>
          <w:sz w:val="24"/>
          <w:szCs w:val="24"/>
          <w:lang w:val="en-GB"/>
        </w:rPr>
        <w:t>the correct bilateral geographical allocation of its data (compared to its counterparties information)</w:t>
      </w:r>
      <w:r w:rsidR="00E85FFC">
        <w:rPr>
          <w:rFonts w:ascii="Arial" w:hAnsi="Arial" w:cs="Arial"/>
          <w:sz w:val="24"/>
          <w:szCs w:val="24"/>
          <w:lang w:val="en-GB"/>
        </w:rPr>
        <w:t xml:space="preserve"> </w:t>
      </w:r>
      <w:r>
        <w:rPr>
          <w:rFonts w:ascii="Arial" w:hAnsi="Arial" w:cs="Arial"/>
          <w:sz w:val="24"/>
          <w:szCs w:val="24"/>
          <w:lang w:val="en-GB"/>
        </w:rPr>
        <w:t xml:space="preserve">but </w:t>
      </w:r>
      <w:r w:rsidR="000F1CB1">
        <w:rPr>
          <w:rFonts w:ascii="Arial" w:hAnsi="Arial" w:cs="Arial"/>
          <w:sz w:val="24"/>
          <w:szCs w:val="24"/>
          <w:lang w:val="en-GB"/>
        </w:rPr>
        <w:t xml:space="preserve">manages to achieve </w:t>
      </w:r>
      <w:r>
        <w:rPr>
          <w:rFonts w:ascii="Arial" w:hAnsi="Arial" w:cs="Arial"/>
          <w:sz w:val="24"/>
          <w:szCs w:val="24"/>
          <w:lang w:val="en-GB"/>
        </w:rPr>
        <w:t>intra-group total</w:t>
      </w:r>
      <w:r w:rsidR="000F1CB1">
        <w:rPr>
          <w:rFonts w:ascii="Arial" w:hAnsi="Arial" w:cs="Arial"/>
          <w:sz w:val="24"/>
          <w:szCs w:val="24"/>
          <w:lang w:val="en-GB"/>
        </w:rPr>
        <w:t>s</w:t>
      </w:r>
      <w:r>
        <w:rPr>
          <w:rFonts w:ascii="Arial" w:hAnsi="Arial" w:cs="Arial"/>
          <w:sz w:val="24"/>
          <w:szCs w:val="24"/>
          <w:lang w:val="en-GB"/>
        </w:rPr>
        <w:t xml:space="preserve"> are not far away from the totals obtained from the counterparties </w:t>
      </w:r>
      <w:r w:rsidR="000F1CB1">
        <w:rPr>
          <w:rFonts w:ascii="Arial" w:hAnsi="Arial" w:cs="Arial"/>
          <w:sz w:val="24"/>
          <w:szCs w:val="24"/>
          <w:lang w:val="en-GB"/>
        </w:rPr>
        <w:t xml:space="preserve">bilateral </w:t>
      </w:r>
      <w:r>
        <w:rPr>
          <w:rFonts w:ascii="Arial" w:hAnsi="Arial" w:cs="Arial"/>
          <w:sz w:val="24"/>
          <w:szCs w:val="24"/>
          <w:lang w:val="en-GB"/>
        </w:rPr>
        <w:t xml:space="preserve">information, </w:t>
      </w:r>
      <w:r w:rsidR="000F1CB1">
        <w:rPr>
          <w:rFonts w:ascii="Arial" w:hAnsi="Arial" w:cs="Arial"/>
          <w:sz w:val="24"/>
          <w:szCs w:val="24"/>
          <w:lang w:val="en-GB"/>
        </w:rPr>
        <w:t xml:space="preserve">implying </w:t>
      </w:r>
      <w:r>
        <w:rPr>
          <w:rFonts w:ascii="Arial" w:hAnsi="Arial" w:cs="Arial"/>
          <w:sz w:val="24"/>
          <w:szCs w:val="24"/>
          <w:lang w:val="en-GB"/>
        </w:rPr>
        <w:t xml:space="preserve">that </w:t>
      </w:r>
      <w:r w:rsidR="000F1CB1">
        <w:rPr>
          <w:rFonts w:ascii="Arial" w:hAnsi="Arial" w:cs="Arial"/>
          <w:sz w:val="24"/>
          <w:szCs w:val="24"/>
          <w:lang w:val="en-GB"/>
        </w:rPr>
        <w:t xml:space="preserve">the C1 </w:t>
      </w:r>
      <w:r>
        <w:rPr>
          <w:rFonts w:ascii="Arial" w:hAnsi="Arial" w:cs="Arial"/>
          <w:sz w:val="24"/>
          <w:szCs w:val="24"/>
          <w:lang w:val="en-GB"/>
        </w:rPr>
        <w:t xml:space="preserve">intra/extra group breakdown does not </w:t>
      </w:r>
      <w:r w:rsidR="00D854D7">
        <w:rPr>
          <w:rFonts w:ascii="Arial" w:hAnsi="Arial" w:cs="Arial"/>
          <w:sz w:val="24"/>
          <w:szCs w:val="24"/>
          <w:lang w:val="en-GB"/>
        </w:rPr>
        <w:t>seem</w:t>
      </w:r>
      <w:r w:rsidR="00DE04EA">
        <w:rPr>
          <w:rFonts w:ascii="Arial" w:hAnsi="Arial" w:cs="Arial"/>
          <w:sz w:val="24"/>
          <w:szCs w:val="24"/>
          <w:lang w:val="en-GB"/>
        </w:rPr>
        <w:t xml:space="preserve"> to </w:t>
      </w:r>
      <w:r w:rsidR="00D854D7">
        <w:rPr>
          <w:rFonts w:ascii="Arial" w:hAnsi="Arial" w:cs="Arial"/>
          <w:sz w:val="24"/>
          <w:szCs w:val="24"/>
          <w:lang w:val="en-GB"/>
        </w:rPr>
        <w:t>have</w:t>
      </w:r>
      <w:r w:rsidR="00DE04EA">
        <w:rPr>
          <w:rFonts w:ascii="Arial" w:hAnsi="Arial" w:cs="Arial"/>
          <w:sz w:val="24"/>
          <w:szCs w:val="24"/>
          <w:lang w:val="en-GB"/>
        </w:rPr>
        <w:t xml:space="preserve"> severe quality issues.</w:t>
      </w:r>
      <w:r w:rsidR="000F1CB1">
        <w:rPr>
          <w:rFonts w:ascii="Arial" w:hAnsi="Arial" w:cs="Arial"/>
          <w:sz w:val="24"/>
          <w:szCs w:val="24"/>
          <w:lang w:val="en-GB"/>
        </w:rPr>
        <w:t xml:space="preserve"> Still</w:t>
      </w:r>
      <w:r w:rsidR="00405430">
        <w:rPr>
          <w:rFonts w:ascii="Arial" w:hAnsi="Arial" w:cs="Arial"/>
          <w:sz w:val="24"/>
          <w:szCs w:val="24"/>
          <w:lang w:val="en-GB"/>
        </w:rPr>
        <w:t xml:space="preserve">, the </w:t>
      </w:r>
      <w:r w:rsidR="000F2E66">
        <w:rPr>
          <w:rFonts w:ascii="Arial" w:hAnsi="Arial" w:cs="Arial"/>
          <w:sz w:val="24"/>
          <w:szCs w:val="24"/>
          <w:lang w:val="en-GB"/>
        </w:rPr>
        <w:t>RELV indicator</w:t>
      </w:r>
      <w:r w:rsidR="00405430" w:rsidRPr="00405430">
        <w:rPr>
          <w:rFonts w:ascii="Arial" w:hAnsi="Arial" w:cs="Arial"/>
          <w:sz w:val="24"/>
          <w:szCs w:val="24"/>
          <w:lang w:val="en-GB"/>
        </w:rPr>
        <w:t xml:space="preserve"> </w:t>
      </w:r>
      <w:r w:rsidR="00405430">
        <w:rPr>
          <w:rFonts w:ascii="Arial" w:hAnsi="Arial" w:cs="Arial"/>
          <w:sz w:val="24"/>
          <w:szCs w:val="24"/>
          <w:lang w:val="en-GB"/>
        </w:rPr>
        <w:t>indicates that C1 remains highly relevant (with a value of 0.92</w:t>
      </w:r>
      <w:r w:rsidR="007534E6">
        <w:rPr>
          <w:rFonts w:ascii="Arial" w:hAnsi="Arial" w:cs="Arial"/>
          <w:sz w:val="24"/>
          <w:szCs w:val="24"/>
          <w:lang w:val="en-GB"/>
        </w:rPr>
        <w:t xml:space="preserve">) as it contributes </w:t>
      </w:r>
      <w:r w:rsidR="00405430">
        <w:rPr>
          <w:rFonts w:ascii="Arial" w:hAnsi="Arial" w:cs="Arial"/>
          <w:sz w:val="24"/>
          <w:szCs w:val="24"/>
          <w:lang w:val="en-GB"/>
        </w:rPr>
        <w:t>to a very large degree to intra group bilateral asymmetries.</w:t>
      </w:r>
      <w:r w:rsidR="000F1CB1">
        <w:rPr>
          <w:rFonts w:ascii="Arial" w:hAnsi="Arial" w:cs="Arial"/>
          <w:sz w:val="24"/>
          <w:szCs w:val="24"/>
          <w:lang w:val="en-GB"/>
        </w:rPr>
        <w:t xml:space="preserve"> </w:t>
      </w:r>
      <w:r w:rsidR="00405430">
        <w:rPr>
          <w:rFonts w:ascii="Arial" w:hAnsi="Arial" w:cs="Arial"/>
          <w:sz w:val="24"/>
          <w:szCs w:val="24"/>
          <w:lang w:val="en-GB"/>
        </w:rPr>
        <w:t>(</w:t>
      </w:r>
      <w:r w:rsidR="003F3484">
        <w:rPr>
          <w:rFonts w:ascii="Arial" w:hAnsi="Arial" w:cs="Arial"/>
          <w:sz w:val="24"/>
          <w:szCs w:val="24"/>
          <w:lang w:val="en-GB"/>
        </w:rPr>
        <w:t>In case 3, t</w:t>
      </w:r>
      <w:r w:rsidR="00405430">
        <w:rPr>
          <w:rFonts w:ascii="Arial" w:hAnsi="Arial" w:cs="Arial"/>
          <w:sz w:val="24"/>
          <w:szCs w:val="24"/>
          <w:lang w:val="en-GB"/>
        </w:rPr>
        <w:t>he sum of intra-G5 absolute bilateral asymmetries amount</w:t>
      </w:r>
      <w:r w:rsidR="007534E6">
        <w:rPr>
          <w:rFonts w:ascii="Arial" w:hAnsi="Arial" w:cs="Arial"/>
          <w:sz w:val="24"/>
          <w:szCs w:val="24"/>
          <w:lang w:val="en-GB"/>
        </w:rPr>
        <w:t>s</w:t>
      </w:r>
      <w:r w:rsidR="00405430">
        <w:rPr>
          <w:rFonts w:ascii="Arial" w:hAnsi="Arial" w:cs="Arial"/>
          <w:sz w:val="24"/>
          <w:szCs w:val="24"/>
          <w:lang w:val="en-GB"/>
        </w:rPr>
        <w:t xml:space="preserve"> to 20130).</w:t>
      </w:r>
      <w:bookmarkStart w:id="0" w:name="_GoBack"/>
      <w:bookmarkEnd w:id="0"/>
    </w:p>
    <w:p w:rsidR="00CB2B44" w:rsidRPr="00A2552B" w:rsidRDefault="00CB2B44" w:rsidP="00CC1C1D">
      <w:pPr>
        <w:spacing w:before="360" w:after="0" w:line="360" w:lineRule="auto"/>
        <w:jc w:val="both"/>
        <w:rPr>
          <w:rFonts w:ascii="Arial" w:hAnsi="Arial" w:cs="Arial"/>
          <w:b/>
          <w:sz w:val="24"/>
          <w:szCs w:val="24"/>
          <w:lang w:val="en-GB"/>
        </w:rPr>
      </w:pPr>
      <w:r w:rsidRPr="008C1F34">
        <w:rPr>
          <w:rFonts w:ascii="Arial" w:hAnsi="Arial" w:cs="Arial"/>
          <w:b/>
          <w:sz w:val="24"/>
          <w:szCs w:val="24"/>
          <w:lang w:val="en-GB"/>
        </w:rPr>
        <w:t xml:space="preserve">3. </w:t>
      </w:r>
      <w:r w:rsidR="0034712B" w:rsidRPr="00A2552B">
        <w:rPr>
          <w:rFonts w:ascii="Arial" w:hAnsi="Arial" w:cs="Arial"/>
          <w:b/>
          <w:sz w:val="24"/>
          <w:szCs w:val="24"/>
          <w:lang w:val="en-GB"/>
        </w:rPr>
        <w:t>Application: FDI data</w:t>
      </w:r>
    </w:p>
    <w:p w:rsidR="00A942AB" w:rsidRDefault="00CB2B44" w:rsidP="00A942AB">
      <w:pPr>
        <w:spacing w:before="120" w:after="0" w:line="360" w:lineRule="auto"/>
        <w:jc w:val="both"/>
        <w:rPr>
          <w:rFonts w:ascii="Arial" w:hAnsi="Arial" w:cs="Arial"/>
          <w:i/>
          <w:sz w:val="24"/>
          <w:szCs w:val="24"/>
          <w:lang w:val="en-GB"/>
        </w:rPr>
      </w:pPr>
      <w:r w:rsidRPr="00A2552B">
        <w:rPr>
          <w:rFonts w:ascii="Arial" w:hAnsi="Arial" w:cs="Arial"/>
          <w:i/>
          <w:sz w:val="24"/>
          <w:szCs w:val="24"/>
          <w:lang w:val="en-GB"/>
        </w:rPr>
        <w:t xml:space="preserve">3.1. </w:t>
      </w:r>
      <w:r w:rsidR="00034157" w:rsidRPr="00A2552B">
        <w:rPr>
          <w:rFonts w:ascii="Arial" w:hAnsi="Arial" w:cs="Arial"/>
          <w:i/>
          <w:sz w:val="24"/>
          <w:szCs w:val="24"/>
          <w:lang w:val="en-GB"/>
        </w:rPr>
        <w:t>Intra euro area asymmetries</w:t>
      </w:r>
    </w:p>
    <w:p w:rsidR="009D189E" w:rsidRDefault="00FA3473" w:rsidP="008C1F34">
      <w:pPr>
        <w:spacing w:before="120" w:after="0" w:line="360" w:lineRule="auto"/>
        <w:jc w:val="both"/>
        <w:rPr>
          <w:rFonts w:ascii="Arial" w:hAnsi="Arial" w:cs="Arial"/>
          <w:sz w:val="24"/>
          <w:szCs w:val="24"/>
          <w:lang w:val="en-GB"/>
        </w:rPr>
      </w:pPr>
      <w:r>
        <w:rPr>
          <w:rFonts w:ascii="Arial" w:hAnsi="Arial" w:cs="Arial"/>
          <w:sz w:val="24"/>
          <w:szCs w:val="24"/>
          <w:lang w:val="en-GB"/>
        </w:rPr>
        <w:t>A</w:t>
      </w:r>
      <w:r w:rsidR="00905EF4" w:rsidRPr="00A942AB">
        <w:rPr>
          <w:rFonts w:ascii="Arial" w:hAnsi="Arial" w:cs="Arial"/>
          <w:sz w:val="24"/>
          <w:szCs w:val="24"/>
          <w:lang w:val="en-GB"/>
        </w:rPr>
        <w:t xml:space="preserve"> key element for compiling reliable </w:t>
      </w:r>
      <w:r w:rsidR="00C975A7">
        <w:rPr>
          <w:rFonts w:ascii="Arial" w:hAnsi="Arial" w:cs="Arial"/>
          <w:sz w:val="24"/>
          <w:szCs w:val="24"/>
          <w:lang w:val="en-GB"/>
        </w:rPr>
        <w:t xml:space="preserve">b.o.p. statistics is </w:t>
      </w:r>
      <w:r w:rsidR="00C975A7" w:rsidRPr="00A942AB">
        <w:rPr>
          <w:rFonts w:ascii="Arial" w:hAnsi="Arial" w:cs="Arial"/>
          <w:sz w:val="24"/>
          <w:szCs w:val="24"/>
          <w:lang w:val="en-GB"/>
        </w:rPr>
        <w:t xml:space="preserve">the accuracy of the </w:t>
      </w:r>
      <w:r w:rsidR="00EB7CFF" w:rsidRPr="00A942AB">
        <w:rPr>
          <w:rFonts w:ascii="Arial" w:hAnsi="Arial" w:cs="Arial"/>
          <w:sz w:val="24"/>
          <w:szCs w:val="24"/>
          <w:lang w:val="en-GB"/>
        </w:rPr>
        <w:t xml:space="preserve">geographical </w:t>
      </w:r>
      <w:r w:rsidR="00EB7CFF">
        <w:rPr>
          <w:rFonts w:ascii="Arial" w:hAnsi="Arial" w:cs="Arial"/>
          <w:sz w:val="24"/>
          <w:szCs w:val="24"/>
          <w:lang w:val="en-GB"/>
        </w:rPr>
        <w:t>distribution.</w:t>
      </w:r>
      <w:r w:rsidR="00C975A7">
        <w:rPr>
          <w:rFonts w:ascii="Arial" w:hAnsi="Arial" w:cs="Arial"/>
          <w:sz w:val="24"/>
          <w:szCs w:val="24"/>
          <w:lang w:val="en-GB"/>
        </w:rPr>
        <w:t xml:space="preserve"> </w:t>
      </w:r>
      <w:r w:rsidR="00EB7CFF">
        <w:rPr>
          <w:rFonts w:ascii="Arial" w:hAnsi="Arial" w:cs="Arial"/>
          <w:sz w:val="24"/>
          <w:szCs w:val="24"/>
          <w:lang w:val="en-GB"/>
        </w:rPr>
        <w:t>T</w:t>
      </w:r>
      <w:r w:rsidR="00C975A7">
        <w:rPr>
          <w:rFonts w:ascii="Arial" w:hAnsi="Arial" w:cs="Arial"/>
          <w:sz w:val="24"/>
          <w:szCs w:val="24"/>
          <w:lang w:val="en-GB"/>
        </w:rPr>
        <w:t>his element become</w:t>
      </w:r>
      <w:r w:rsidR="00EB7CFF">
        <w:rPr>
          <w:rFonts w:ascii="Arial" w:hAnsi="Arial" w:cs="Arial"/>
          <w:sz w:val="24"/>
          <w:szCs w:val="24"/>
          <w:lang w:val="en-GB"/>
        </w:rPr>
        <w:t>s</w:t>
      </w:r>
      <w:r w:rsidR="00C975A7">
        <w:rPr>
          <w:rFonts w:ascii="Arial" w:hAnsi="Arial" w:cs="Arial"/>
          <w:sz w:val="24"/>
          <w:szCs w:val="24"/>
          <w:lang w:val="en-GB"/>
        </w:rPr>
        <w:t xml:space="preserve"> </w:t>
      </w:r>
      <w:r w:rsidR="00EB7CFF">
        <w:rPr>
          <w:rFonts w:ascii="Arial" w:hAnsi="Arial" w:cs="Arial"/>
          <w:sz w:val="24"/>
          <w:szCs w:val="24"/>
          <w:lang w:val="en-GB"/>
        </w:rPr>
        <w:t>crucial</w:t>
      </w:r>
      <w:r w:rsidR="00C975A7">
        <w:rPr>
          <w:rFonts w:ascii="Arial" w:hAnsi="Arial" w:cs="Arial"/>
          <w:sz w:val="24"/>
          <w:szCs w:val="24"/>
          <w:lang w:val="en-GB"/>
        </w:rPr>
        <w:t xml:space="preserve"> </w:t>
      </w:r>
      <w:r w:rsidR="00EB7CFF">
        <w:rPr>
          <w:rFonts w:ascii="Arial" w:hAnsi="Arial" w:cs="Arial"/>
          <w:sz w:val="24"/>
          <w:szCs w:val="24"/>
          <w:lang w:val="en-GB"/>
        </w:rPr>
        <w:t xml:space="preserve">when compiling </w:t>
      </w:r>
      <w:r w:rsidR="00905EF4" w:rsidRPr="00A942AB">
        <w:rPr>
          <w:rFonts w:ascii="Arial" w:hAnsi="Arial" w:cs="Arial"/>
          <w:sz w:val="24"/>
          <w:szCs w:val="24"/>
          <w:lang w:val="en-GB"/>
        </w:rPr>
        <w:t xml:space="preserve">euro area aggregates </w:t>
      </w:r>
      <w:r w:rsidR="00EB7CFF">
        <w:rPr>
          <w:rFonts w:ascii="Arial" w:hAnsi="Arial" w:cs="Arial"/>
          <w:sz w:val="24"/>
          <w:szCs w:val="24"/>
          <w:lang w:val="en-GB"/>
        </w:rPr>
        <w:t>based on</w:t>
      </w:r>
      <w:r w:rsidR="00905EF4" w:rsidRPr="00A942AB">
        <w:rPr>
          <w:rFonts w:ascii="Arial" w:hAnsi="Arial" w:cs="Arial"/>
          <w:sz w:val="24"/>
          <w:szCs w:val="24"/>
          <w:lang w:val="en-GB"/>
        </w:rPr>
        <w:t xml:space="preserve"> the contributions from the member states.</w:t>
      </w:r>
      <w:r w:rsidR="00905EF4">
        <w:rPr>
          <w:rFonts w:ascii="Arial" w:hAnsi="Arial" w:cs="Arial"/>
          <w:sz w:val="24"/>
          <w:szCs w:val="24"/>
          <w:lang w:val="en-GB"/>
        </w:rPr>
        <w:t xml:space="preserve"> </w:t>
      </w:r>
      <w:r w:rsidR="00A942AB">
        <w:rPr>
          <w:rFonts w:ascii="Arial" w:hAnsi="Arial" w:cs="Arial"/>
          <w:sz w:val="24"/>
          <w:szCs w:val="24"/>
          <w:lang w:val="en-GB"/>
        </w:rPr>
        <w:t xml:space="preserve">The correct identification of the </w:t>
      </w:r>
      <w:r w:rsidR="00905EF4">
        <w:rPr>
          <w:rFonts w:ascii="Arial" w:hAnsi="Arial" w:cs="Arial"/>
          <w:sz w:val="24"/>
          <w:szCs w:val="24"/>
          <w:lang w:val="en-GB"/>
        </w:rPr>
        <w:t>counterpart of a b.o.p. transaction</w:t>
      </w:r>
      <w:r w:rsidR="008C1F34">
        <w:rPr>
          <w:rFonts w:ascii="Arial" w:hAnsi="Arial" w:cs="Arial"/>
          <w:sz w:val="24"/>
          <w:szCs w:val="24"/>
          <w:lang w:val="en-GB"/>
        </w:rPr>
        <w:t xml:space="preserve">, </w:t>
      </w:r>
      <w:r w:rsidR="009D189E">
        <w:rPr>
          <w:rFonts w:ascii="Arial" w:hAnsi="Arial" w:cs="Arial"/>
          <w:sz w:val="24"/>
          <w:szCs w:val="24"/>
          <w:lang w:val="en-GB"/>
        </w:rPr>
        <w:t>for example</w:t>
      </w:r>
      <w:r w:rsidR="008C1F34">
        <w:rPr>
          <w:rFonts w:ascii="Arial" w:hAnsi="Arial" w:cs="Arial"/>
          <w:sz w:val="24"/>
          <w:szCs w:val="24"/>
          <w:lang w:val="en-GB"/>
        </w:rPr>
        <w:t xml:space="preserve"> whether a transaction</w:t>
      </w:r>
      <w:r w:rsidR="00905EF4">
        <w:rPr>
          <w:rFonts w:ascii="Arial" w:hAnsi="Arial" w:cs="Arial"/>
          <w:sz w:val="24"/>
          <w:szCs w:val="24"/>
          <w:lang w:val="en-GB"/>
        </w:rPr>
        <w:t xml:space="preserve"> made by an Italian resident </w:t>
      </w:r>
      <w:r w:rsidR="008C1F34">
        <w:rPr>
          <w:rFonts w:ascii="Arial" w:hAnsi="Arial" w:cs="Arial"/>
          <w:sz w:val="24"/>
          <w:szCs w:val="24"/>
          <w:lang w:val="en-GB"/>
        </w:rPr>
        <w:t>has as counterparty a resident</w:t>
      </w:r>
      <w:r w:rsidR="00905EF4">
        <w:rPr>
          <w:rFonts w:ascii="Arial" w:hAnsi="Arial" w:cs="Arial"/>
          <w:sz w:val="24"/>
          <w:szCs w:val="24"/>
          <w:lang w:val="en-GB"/>
        </w:rPr>
        <w:t xml:space="preserve"> in Germany or </w:t>
      </w:r>
      <w:r w:rsidR="008C1F34">
        <w:rPr>
          <w:rFonts w:ascii="Arial" w:hAnsi="Arial" w:cs="Arial"/>
          <w:sz w:val="24"/>
          <w:szCs w:val="24"/>
          <w:lang w:val="en-GB"/>
        </w:rPr>
        <w:t xml:space="preserve">a resident </w:t>
      </w:r>
      <w:r w:rsidR="00905EF4">
        <w:rPr>
          <w:rFonts w:ascii="Arial" w:hAnsi="Arial" w:cs="Arial"/>
          <w:sz w:val="24"/>
          <w:szCs w:val="24"/>
          <w:lang w:val="en-GB"/>
        </w:rPr>
        <w:t>in Switzerland</w:t>
      </w:r>
      <w:r w:rsidR="008C1F34">
        <w:rPr>
          <w:rFonts w:ascii="Arial" w:hAnsi="Arial" w:cs="Arial"/>
          <w:sz w:val="24"/>
          <w:szCs w:val="24"/>
          <w:lang w:val="en-GB"/>
        </w:rPr>
        <w:t>,</w:t>
      </w:r>
      <w:r w:rsidR="00905EF4">
        <w:rPr>
          <w:rFonts w:ascii="Arial" w:hAnsi="Arial" w:cs="Arial"/>
          <w:sz w:val="24"/>
          <w:szCs w:val="24"/>
          <w:lang w:val="en-GB"/>
        </w:rPr>
        <w:t xml:space="preserve"> </w:t>
      </w:r>
      <w:r w:rsidR="008C1F34">
        <w:rPr>
          <w:rFonts w:ascii="Arial" w:hAnsi="Arial" w:cs="Arial"/>
          <w:sz w:val="24"/>
          <w:szCs w:val="24"/>
          <w:lang w:val="en-GB"/>
        </w:rPr>
        <w:t>is fundamental</w:t>
      </w:r>
      <w:r w:rsidR="00905EF4">
        <w:rPr>
          <w:rFonts w:ascii="Arial" w:hAnsi="Arial" w:cs="Arial"/>
          <w:sz w:val="24"/>
          <w:szCs w:val="24"/>
          <w:lang w:val="en-GB"/>
        </w:rPr>
        <w:t xml:space="preserve">  for the compilation of the euro area b.o.p.</w:t>
      </w:r>
      <w:r w:rsidR="008C1F34">
        <w:rPr>
          <w:rFonts w:ascii="Arial" w:hAnsi="Arial" w:cs="Arial"/>
          <w:sz w:val="24"/>
          <w:szCs w:val="24"/>
          <w:lang w:val="en-GB"/>
        </w:rPr>
        <w:t>,</w:t>
      </w:r>
      <w:r w:rsidR="00905EF4">
        <w:rPr>
          <w:rFonts w:ascii="Arial" w:hAnsi="Arial" w:cs="Arial"/>
          <w:sz w:val="24"/>
          <w:szCs w:val="24"/>
          <w:lang w:val="en-GB"/>
        </w:rPr>
        <w:t xml:space="preserve"> but also for the analysis of the euro area </w:t>
      </w:r>
      <w:r w:rsidR="002C70B3">
        <w:rPr>
          <w:rFonts w:ascii="Arial" w:hAnsi="Arial" w:cs="Arial"/>
          <w:sz w:val="24"/>
          <w:szCs w:val="24"/>
          <w:lang w:val="en-GB"/>
        </w:rPr>
        <w:t xml:space="preserve">(financial) </w:t>
      </w:r>
      <w:r w:rsidR="00905EF4">
        <w:rPr>
          <w:rFonts w:ascii="Arial" w:hAnsi="Arial" w:cs="Arial"/>
          <w:sz w:val="24"/>
          <w:szCs w:val="24"/>
          <w:lang w:val="en-GB"/>
        </w:rPr>
        <w:t>integration</w:t>
      </w:r>
      <w:r w:rsidR="00D854D7">
        <w:rPr>
          <w:rFonts w:ascii="Arial" w:hAnsi="Arial" w:cs="Arial"/>
          <w:sz w:val="24"/>
          <w:szCs w:val="24"/>
          <w:lang w:val="en-GB"/>
        </w:rPr>
        <w:t>. This analysis</w:t>
      </w:r>
      <w:r w:rsidR="00905EF4">
        <w:rPr>
          <w:rFonts w:ascii="Arial" w:hAnsi="Arial" w:cs="Arial"/>
          <w:sz w:val="24"/>
          <w:szCs w:val="24"/>
          <w:lang w:val="en-GB"/>
        </w:rPr>
        <w:t xml:space="preserve"> is based on intra</w:t>
      </w:r>
      <w:r w:rsidR="008C1F34">
        <w:rPr>
          <w:rFonts w:ascii="Arial" w:hAnsi="Arial" w:cs="Arial"/>
          <w:sz w:val="24"/>
          <w:szCs w:val="24"/>
          <w:lang w:val="en-GB"/>
        </w:rPr>
        <w:t>-</w:t>
      </w:r>
      <w:r w:rsidR="00905EF4">
        <w:rPr>
          <w:rFonts w:ascii="Arial" w:hAnsi="Arial" w:cs="Arial"/>
          <w:sz w:val="24"/>
          <w:szCs w:val="24"/>
          <w:lang w:val="en-GB"/>
        </w:rPr>
        <w:t>euro area transactions</w:t>
      </w:r>
      <w:r w:rsidR="002C70B3">
        <w:rPr>
          <w:rFonts w:ascii="Arial" w:hAnsi="Arial" w:cs="Arial"/>
          <w:sz w:val="24"/>
          <w:szCs w:val="24"/>
          <w:lang w:val="en-GB"/>
        </w:rPr>
        <w:t xml:space="preserve"> that should be equal to 0 after consolidation</w:t>
      </w:r>
      <w:r w:rsidR="00233FE3">
        <w:rPr>
          <w:rFonts w:ascii="Arial" w:hAnsi="Arial" w:cs="Arial"/>
          <w:sz w:val="24"/>
          <w:szCs w:val="24"/>
          <w:lang w:val="en-GB"/>
        </w:rPr>
        <w:t>, i.e. the intra</w:t>
      </w:r>
      <w:r w:rsidR="008C1F34">
        <w:rPr>
          <w:rFonts w:ascii="Arial" w:hAnsi="Arial" w:cs="Arial"/>
          <w:sz w:val="24"/>
          <w:szCs w:val="24"/>
          <w:lang w:val="en-GB"/>
        </w:rPr>
        <w:t>-</w:t>
      </w:r>
      <w:r w:rsidR="00233FE3">
        <w:rPr>
          <w:rFonts w:ascii="Arial" w:hAnsi="Arial" w:cs="Arial"/>
          <w:sz w:val="24"/>
          <w:szCs w:val="24"/>
          <w:lang w:val="en-GB"/>
        </w:rPr>
        <w:t>euro area credits</w:t>
      </w:r>
      <w:r w:rsidR="00D854D7">
        <w:rPr>
          <w:rFonts w:ascii="Arial" w:hAnsi="Arial" w:cs="Arial"/>
          <w:sz w:val="24"/>
          <w:szCs w:val="24"/>
          <w:lang w:val="en-GB"/>
        </w:rPr>
        <w:t xml:space="preserve"> and debits</w:t>
      </w:r>
      <w:r w:rsidR="00233FE3">
        <w:rPr>
          <w:rFonts w:ascii="Arial" w:hAnsi="Arial" w:cs="Arial"/>
          <w:sz w:val="24"/>
          <w:szCs w:val="24"/>
          <w:lang w:val="en-GB"/>
        </w:rPr>
        <w:t xml:space="preserve"> should be equal,</w:t>
      </w:r>
      <w:r w:rsidR="00637CE1">
        <w:rPr>
          <w:rFonts w:ascii="Arial" w:hAnsi="Arial" w:cs="Arial"/>
          <w:sz w:val="24"/>
          <w:szCs w:val="24"/>
          <w:lang w:val="en-GB"/>
        </w:rPr>
        <w:t xml:space="preserve"> as well as</w:t>
      </w:r>
      <w:r w:rsidR="00233FE3">
        <w:rPr>
          <w:rFonts w:ascii="Arial" w:hAnsi="Arial" w:cs="Arial"/>
          <w:sz w:val="24"/>
          <w:szCs w:val="24"/>
          <w:lang w:val="en-GB"/>
        </w:rPr>
        <w:t xml:space="preserve"> the intra</w:t>
      </w:r>
      <w:r w:rsidR="008C1F34">
        <w:rPr>
          <w:rFonts w:ascii="Arial" w:hAnsi="Arial" w:cs="Arial"/>
          <w:sz w:val="24"/>
          <w:szCs w:val="24"/>
          <w:lang w:val="en-GB"/>
        </w:rPr>
        <w:t>-</w:t>
      </w:r>
      <w:r w:rsidR="00233FE3">
        <w:rPr>
          <w:rFonts w:ascii="Arial" w:hAnsi="Arial" w:cs="Arial"/>
          <w:sz w:val="24"/>
          <w:szCs w:val="24"/>
          <w:lang w:val="en-GB"/>
        </w:rPr>
        <w:t xml:space="preserve">euro area assets </w:t>
      </w:r>
      <w:r w:rsidR="00D854D7">
        <w:rPr>
          <w:rFonts w:ascii="Arial" w:hAnsi="Arial" w:cs="Arial"/>
          <w:sz w:val="24"/>
          <w:szCs w:val="24"/>
          <w:lang w:val="en-GB"/>
        </w:rPr>
        <w:t>and</w:t>
      </w:r>
      <w:r w:rsidR="00233FE3">
        <w:rPr>
          <w:rFonts w:ascii="Arial" w:hAnsi="Arial" w:cs="Arial"/>
          <w:sz w:val="24"/>
          <w:szCs w:val="24"/>
          <w:lang w:val="en-GB"/>
        </w:rPr>
        <w:t xml:space="preserve"> liabilities</w:t>
      </w:r>
      <w:r w:rsidR="00905EF4">
        <w:rPr>
          <w:rFonts w:ascii="Arial" w:hAnsi="Arial" w:cs="Arial"/>
          <w:sz w:val="24"/>
          <w:szCs w:val="24"/>
          <w:lang w:val="en-GB"/>
        </w:rPr>
        <w:t>. A wrong geographical allocation may generate large errors and omissions (statistical discrepancies) and</w:t>
      </w:r>
      <w:r w:rsidR="002C70B3">
        <w:rPr>
          <w:rFonts w:ascii="Arial" w:hAnsi="Arial" w:cs="Arial"/>
          <w:sz w:val="24"/>
          <w:szCs w:val="24"/>
          <w:lang w:val="en-GB"/>
        </w:rPr>
        <w:t xml:space="preserve"> also indicators of (financial) integration difficult to interpret</w:t>
      </w:r>
      <w:r w:rsidR="00EB7CFF">
        <w:rPr>
          <w:rFonts w:ascii="Arial" w:hAnsi="Arial" w:cs="Arial"/>
          <w:sz w:val="24"/>
          <w:szCs w:val="24"/>
          <w:lang w:val="en-GB"/>
        </w:rPr>
        <w:t xml:space="preserve"> and </w:t>
      </w:r>
      <w:r w:rsidR="002C70B3">
        <w:rPr>
          <w:rFonts w:ascii="Arial" w:hAnsi="Arial" w:cs="Arial"/>
          <w:sz w:val="24"/>
          <w:szCs w:val="24"/>
          <w:lang w:val="en-GB"/>
        </w:rPr>
        <w:t xml:space="preserve">justify. </w:t>
      </w:r>
    </w:p>
    <w:p w:rsidR="00547DC7" w:rsidRDefault="00D5193E" w:rsidP="008C1F34">
      <w:pPr>
        <w:spacing w:before="120" w:after="0" w:line="360" w:lineRule="auto"/>
        <w:jc w:val="both"/>
        <w:rPr>
          <w:rFonts w:ascii="Arial" w:hAnsi="Arial" w:cs="Arial"/>
          <w:sz w:val="24"/>
          <w:szCs w:val="24"/>
          <w:lang w:val="en-GB"/>
        </w:rPr>
      </w:pPr>
      <w:r>
        <w:rPr>
          <w:rFonts w:ascii="Arial" w:hAnsi="Arial" w:cs="Arial"/>
          <w:sz w:val="24"/>
          <w:szCs w:val="24"/>
          <w:lang w:val="en-GB"/>
        </w:rPr>
        <w:t>Th</w:t>
      </w:r>
      <w:r w:rsidR="004C42BC">
        <w:rPr>
          <w:rFonts w:ascii="Arial" w:hAnsi="Arial" w:cs="Arial"/>
          <w:sz w:val="24"/>
          <w:szCs w:val="24"/>
          <w:lang w:val="en-GB"/>
        </w:rPr>
        <w:t>is</w:t>
      </w:r>
      <w:r>
        <w:rPr>
          <w:rFonts w:ascii="Arial" w:hAnsi="Arial" w:cs="Arial"/>
          <w:sz w:val="24"/>
          <w:szCs w:val="24"/>
          <w:lang w:val="en-GB"/>
        </w:rPr>
        <w:t xml:space="preserve"> analysis of asymmetries </w:t>
      </w:r>
      <w:r w:rsidR="004C42BC">
        <w:rPr>
          <w:rFonts w:ascii="Arial" w:hAnsi="Arial" w:cs="Arial"/>
          <w:sz w:val="24"/>
          <w:szCs w:val="24"/>
          <w:lang w:val="en-GB"/>
        </w:rPr>
        <w:t xml:space="preserve">is </w:t>
      </w:r>
      <w:r>
        <w:rPr>
          <w:rFonts w:ascii="Arial" w:hAnsi="Arial" w:cs="Arial"/>
          <w:sz w:val="24"/>
          <w:szCs w:val="24"/>
          <w:lang w:val="en-GB"/>
        </w:rPr>
        <w:t xml:space="preserve">one of the available tools to </w:t>
      </w:r>
      <w:r w:rsidR="004C42BC">
        <w:rPr>
          <w:rFonts w:ascii="Arial" w:hAnsi="Arial" w:cs="Arial"/>
          <w:sz w:val="24"/>
          <w:szCs w:val="24"/>
          <w:lang w:val="en-GB"/>
        </w:rPr>
        <w:t>assess</w:t>
      </w:r>
      <w:r w:rsidR="00A8690D">
        <w:rPr>
          <w:rFonts w:ascii="Arial" w:hAnsi="Arial" w:cs="Arial"/>
          <w:sz w:val="24"/>
          <w:szCs w:val="24"/>
          <w:lang w:val="en-GB"/>
        </w:rPr>
        <w:t xml:space="preserve"> and improve</w:t>
      </w:r>
      <w:r w:rsidR="004C42BC">
        <w:rPr>
          <w:rFonts w:ascii="Arial" w:hAnsi="Arial" w:cs="Arial"/>
          <w:sz w:val="24"/>
          <w:szCs w:val="24"/>
          <w:lang w:val="en-GB"/>
        </w:rPr>
        <w:t xml:space="preserve"> </w:t>
      </w:r>
      <w:r>
        <w:rPr>
          <w:rFonts w:ascii="Arial" w:hAnsi="Arial" w:cs="Arial"/>
          <w:sz w:val="24"/>
          <w:szCs w:val="24"/>
          <w:lang w:val="en-GB"/>
        </w:rPr>
        <w:t>the quality of the geographical distribution of transactions and positions; therefore the ECB</w:t>
      </w:r>
      <w:r w:rsidR="008C1F34">
        <w:rPr>
          <w:rFonts w:ascii="Arial" w:hAnsi="Arial" w:cs="Arial"/>
          <w:sz w:val="24"/>
          <w:szCs w:val="24"/>
          <w:lang w:val="en-GB"/>
        </w:rPr>
        <w:t>,</w:t>
      </w:r>
      <w:r>
        <w:rPr>
          <w:rFonts w:ascii="Arial" w:hAnsi="Arial" w:cs="Arial"/>
          <w:sz w:val="24"/>
          <w:szCs w:val="24"/>
          <w:lang w:val="en-GB"/>
        </w:rPr>
        <w:t xml:space="preserve"> </w:t>
      </w:r>
      <w:r w:rsidR="00D854D7">
        <w:rPr>
          <w:rFonts w:ascii="Arial" w:hAnsi="Arial" w:cs="Arial"/>
          <w:sz w:val="24"/>
          <w:szCs w:val="24"/>
          <w:lang w:val="en-GB"/>
        </w:rPr>
        <w:t>as the euro area b.o.p. compiler</w:t>
      </w:r>
      <w:r w:rsidR="008C1F34">
        <w:rPr>
          <w:rFonts w:ascii="Arial" w:hAnsi="Arial" w:cs="Arial"/>
          <w:sz w:val="24"/>
          <w:szCs w:val="24"/>
          <w:lang w:val="en-GB"/>
        </w:rPr>
        <w:t>,</w:t>
      </w:r>
      <w:r w:rsidR="00D854D7">
        <w:rPr>
          <w:rFonts w:ascii="Arial" w:hAnsi="Arial" w:cs="Arial"/>
          <w:sz w:val="24"/>
          <w:szCs w:val="24"/>
          <w:lang w:val="en-GB"/>
        </w:rPr>
        <w:t xml:space="preserve"> devotes continu</w:t>
      </w:r>
      <w:r w:rsidR="008C1F34">
        <w:rPr>
          <w:rFonts w:ascii="Arial" w:hAnsi="Arial" w:cs="Arial"/>
          <w:sz w:val="24"/>
          <w:szCs w:val="24"/>
          <w:lang w:val="en-GB"/>
        </w:rPr>
        <w:t>ing</w:t>
      </w:r>
      <w:r w:rsidR="00D854D7">
        <w:rPr>
          <w:rFonts w:ascii="Arial" w:hAnsi="Arial" w:cs="Arial"/>
          <w:sz w:val="24"/>
          <w:szCs w:val="24"/>
          <w:lang w:val="en-GB"/>
        </w:rPr>
        <w:t xml:space="preserve"> </w:t>
      </w:r>
      <w:r>
        <w:rPr>
          <w:rFonts w:ascii="Arial" w:hAnsi="Arial" w:cs="Arial"/>
          <w:sz w:val="24"/>
          <w:szCs w:val="24"/>
          <w:lang w:val="en-GB"/>
        </w:rPr>
        <w:t>efforts to this analysis and its follow</w:t>
      </w:r>
      <w:r w:rsidR="008C1F34">
        <w:rPr>
          <w:rFonts w:ascii="Arial" w:hAnsi="Arial" w:cs="Arial"/>
          <w:sz w:val="24"/>
          <w:szCs w:val="24"/>
          <w:lang w:val="en-GB"/>
        </w:rPr>
        <w:t>-</w:t>
      </w:r>
      <w:r w:rsidR="009D189E">
        <w:rPr>
          <w:rFonts w:ascii="Arial" w:hAnsi="Arial" w:cs="Arial"/>
          <w:sz w:val="24"/>
          <w:szCs w:val="24"/>
          <w:lang w:val="en-GB"/>
        </w:rPr>
        <w:t>up.</w:t>
      </w:r>
    </w:p>
    <w:p w:rsidR="00E835BE" w:rsidRDefault="00E835BE" w:rsidP="008C1F34">
      <w:pPr>
        <w:spacing w:before="120" w:after="0" w:line="360" w:lineRule="auto"/>
        <w:jc w:val="both"/>
        <w:rPr>
          <w:rFonts w:ascii="Arial" w:hAnsi="Arial" w:cs="Arial"/>
          <w:sz w:val="24"/>
          <w:szCs w:val="24"/>
          <w:lang w:val="en-GB"/>
        </w:rPr>
      </w:pPr>
    </w:p>
    <w:p w:rsidR="00547DC7" w:rsidRPr="00EC5F5A" w:rsidRDefault="00547DC7" w:rsidP="00547DC7">
      <w:pPr>
        <w:pStyle w:val="Caption"/>
        <w:keepNext/>
        <w:jc w:val="both"/>
        <w:rPr>
          <w:rFonts w:ascii="Arial" w:hAnsi="Arial" w:cs="Arial"/>
          <w:b/>
          <w:i w:val="0"/>
          <w:color w:val="auto"/>
          <w:sz w:val="20"/>
          <w:szCs w:val="20"/>
          <w:lang w:val="en-GB"/>
        </w:rPr>
      </w:pPr>
      <w:r w:rsidRPr="006F157F">
        <w:rPr>
          <w:rFonts w:ascii="Arial" w:hAnsi="Arial" w:cs="Arial"/>
          <w:b/>
          <w:i w:val="0"/>
          <w:color w:val="auto"/>
          <w:sz w:val="20"/>
          <w:szCs w:val="20"/>
          <w:lang w:val="en-GB"/>
        </w:rPr>
        <w:lastRenderedPageBreak/>
        <w:t xml:space="preserve">Chart </w:t>
      </w:r>
      <w:r>
        <w:rPr>
          <w:rFonts w:ascii="Arial" w:hAnsi="Arial" w:cs="Arial"/>
          <w:b/>
          <w:i w:val="0"/>
          <w:color w:val="auto"/>
          <w:sz w:val="20"/>
          <w:szCs w:val="20"/>
          <w:lang w:val="en-GB"/>
        </w:rPr>
        <w:t>1</w:t>
      </w:r>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Intra EA asymmetries in the financial account</w:t>
      </w:r>
    </w:p>
    <w:p w:rsidR="00547DC7" w:rsidRPr="00EC5F5A" w:rsidRDefault="00547DC7" w:rsidP="00933446">
      <w:pPr>
        <w:jc w:val="center"/>
        <w:rPr>
          <w:lang w:val="en-GB"/>
        </w:rPr>
      </w:pPr>
      <w:r>
        <w:rPr>
          <w:noProof/>
          <w:lang w:val="en-GB" w:eastAsia="en-GB"/>
        </w:rPr>
        <w:drawing>
          <wp:inline distT="0" distB="0" distL="0" distR="0" wp14:anchorId="2B320BBE" wp14:editId="39F94161">
            <wp:extent cx="5591175" cy="19050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47DC7" w:rsidRPr="00EC5F5A" w:rsidRDefault="00547DC7" w:rsidP="00547DC7">
      <w:pPr>
        <w:spacing w:after="0" w:line="360" w:lineRule="auto"/>
        <w:jc w:val="both"/>
        <w:rPr>
          <w:rFonts w:ascii="Arial" w:hAnsi="Arial" w:cs="Arial"/>
          <w:sz w:val="20"/>
          <w:szCs w:val="20"/>
          <w:lang w:val="en-GB"/>
        </w:rPr>
      </w:pPr>
      <w:r w:rsidRPr="00EC5F5A">
        <w:rPr>
          <w:rFonts w:ascii="Arial" w:hAnsi="Arial" w:cs="Arial"/>
          <w:sz w:val="20"/>
          <w:szCs w:val="20"/>
          <w:lang w:val="en-GB"/>
        </w:rPr>
        <w:t>Source:</w:t>
      </w:r>
      <w:r>
        <w:rPr>
          <w:rFonts w:ascii="Arial" w:hAnsi="Arial" w:cs="Arial"/>
          <w:sz w:val="20"/>
          <w:szCs w:val="20"/>
          <w:lang w:val="en-GB"/>
        </w:rPr>
        <w:t xml:space="preserve"> ECB calculations</w:t>
      </w:r>
    </w:p>
    <w:p w:rsidR="004A6213" w:rsidRDefault="00D854D7" w:rsidP="00A8690D">
      <w:pPr>
        <w:spacing w:before="240" w:after="0" w:line="360" w:lineRule="auto"/>
        <w:jc w:val="both"/>
        <w:rPr>
          <w:rFonts w:ascii="Arial" w:hAnsi="Arial" w:cs="Arial"/>
          <w:sz w:val="24"/>
          <w:szCs w:val="24"/>
          <w:lang w:val="en-GB"/>
        </w:rPr>
      </w:pPr>
      <w:r>
        <w:rPr>
          <w:rFonts w:ascii="Arial" w:hAnsi="Arial" w:cs="Arial"/>
          <w:sz w:val="24"/>
          <w:szCs w:val="24"/>
          <w:lang w:val="en-GB"/>
        </w:rPr>
        <w:t>Considering</w:t>
      </w:r>
      <w:r w:rsidR="00D5193E">
        <w:rPr>
          <w:rFonts w:ascii="Arial" w:hAnsi="Arial" w:cs="Arial"/>
          <w:sz w:val="24"/>
          <w:szCs w:val="24"/>
          <w:lang w:val="en-GB"/>
        </w:rPr>
        <w:t xml:space="preserve"> the </w:t>
      </w:r>
      <w:r w:rsidR="008C1F34">
        <w:rPr>
          <w:rFonts w:ascii="Arial" w:hAnsi="Arial" w:cs="Arial"/>
          <w:sz w:val="24"/>
          <w:szCs w:val="24"/>
          <w:lang w:val="en-GB"/>
        </w:rPr>
        <w:t xml:space="preserve">breakdown by functional category of the </w:t>
      </w:r>
      <w:r w:rsidR="00D5193E">
        <w:rPr>
          <w:rFonts w:ascii="Arial" w:hAnsi="Arial" w:cs="Arial"/>
          <w:sz w:val="24"/>
          <w:szCs w:val="24"/>
          <w:lang w:val="en-GB"/>
        </w:rPr>
        <w:t>intra</w:t>
      </w:r>
      <w:r w:rsidR="008C1F34">
        <w:rPr>
          <w:rFonts w:ascii="Arial" w:hAnsi="Arial" w:cs="Arial"/>
          <w:sz w:val="24"/>
          <w:szCs w:val="24"/>
          <w:lang w:val="en-GB"/>
        </w:rPr>
        <w:t>-</w:t>
      </w:r>
      <w:r w:rsidR="00D5193E">
        <w:rPr>
          <w:rFonts w:ascii="Arial" w:hAnsi="Arial" w:cs="Arial"/>
          <w:sz w:val="24"/>
          <w:szCs w:val="24"/>
          <w:lang w:val="en-GB"/>
        </w:rPr>
        <w:t xml:space="preserve">euro </w:t>
      </w:r>
      <w:r w:rsidR="008C1F34">
        <w:rPr>
          <w:rFonts w:ascii="Arial" w:hAnsi="Arial" w:cs="Arial"/>
          <w:sz w:val="24"/>
          <w:szCs w:val="24"/>
          <w:lang w:val="en-GB"/>
        </w:rPr>
        <w:t xml:space="preserve">area </w:t>
      </w:r>
      <w:r w:rsidR="00D5193E">
        <w:rPr>
          <w:rFonts w:ascii="Arial" w:hAnsi="Arial" w:cs="Arial"/>
          <w:sz w:val="24"/>
          <w:szCs w:val="24"/>
          <w:lang w:val="en-GB"/>
        </w:rPr>
        <w:t xml:space="preserve">asymmetries in the financial account </w:t>
      </w:r>
      <w:r>
        <w:rPr>
          <w:rFonts w:ascii="Arial" w:hAnsi="Arial" w:cs="Arial"/>
          <w:sz w:val="24"/>
          <w:szCs w:val="24"/>
          <w:lang w:val="en-GB"/>
        </w:rPr>
        <w:t xml:space="preserve">(see </w:t>
      </w:r>
      <w:r w:rsidR="008C1F34">
        <w:rPr>
          <w:rFonts w:ascii="Arial" w:hAnsi="Arial" w:cs="Arial"/>
          <w:sz w:val="24"/>
          <w:szCs w:val="24"/>
          <w:lang w:val="en-GB"/>
        </w:rPr>
        <w:t>C</w:t>
      </w:r>
      <w:r>
        <w:rPr>
          <w:rFonts w:ascii="Arial" w:hAnsi="Arial" w:cs="Arial"/>
          <w:sz w:val="24"/>
          <w:szCs w:val="24"/>
          <w:lang w:val="en-GB"/>
        </w:rPr>
        <w:t>hart 1)</w:t>
      </w:r>
      <w:r w:rsidR="00D5193E">
        <w:rPr>
          <w:rFonts w:ascii="Arial" w:hAnsi="Arial" w:cs="Arial"/>
          <w:sz w:val="24"/>
          <w:szCs w:val="24"/>
          <w:lang w:val="en-GB"/>
        </w:rPr>
        <w:t>,</w:t>
      </w:r>
      <w:r w:rsidR="008127E8">
        <w:rPr>
          <w:rFonts w:ascii="Arial" w:hAnsi="Arial" w:cs="Arial"/>
          <w:sz w:val="24"/>
          <w:szCs w:val="24"/>
          <w:lang w:val="en-GB"/>
        </w:rPr>
        <w:t xml:space="preserve"> </w:t>
      </w:r>
      <w:r w:rsidR="008C1F34">
        <w:rPr>
          <w:rFonts w:ascii="Arial" w:hAnsi="Arial" w:cs="Arial"/>
          <w:sz w:val="24"/>
          <w:szCs w:val="24"/>
          <w:lang w:val="en-GB"/>
        </w:rPr>
        <w:t xml:space="preserve">it is evident that </w:t>
      </w:r>
      <w:r w:rsidR="008127E8">
        <w:rPr>
          <w:rFonts w:ascii="Arial" w:hAnsi="Arial" w:cs="Arial"/>
          <w:sz w:val="24"/>
          <w:szCs w:val="24"/>
          <w:lang w:val="en-GB"/>
        </w:rPr>
        <w:t xml:space="preserve">the asymmetries in direct investment </w:t>
      </w:r>
      <w:r w:rsidR="004C42BC">
        <w:rPr>
          <w:rFonts w:ascii="Arial" w:hAnsi="Arial" w:cs="Arial"/>
          <w:sz w:val="24"/>
          <w:szCs w:val="24"/>
          <w:lang w:val="en-GB"/>
        </w:rPr>
        <w:t xml:space="preserve">are </w:t>
      </w:r>
      <w:r w:rsidR="008C1F34">
        <w:rPr>
          <w:rFonts w:ascii="Arial" w:hAnsi="Arial" w:cs="Arial"/>
          <w:sz w:val="24"/>
          <w:szCs w:val="24"/>
          <w:lang w:val="en-GB"/>
        </w:rPr>
        <w:t>recurrently</w:t>
      </w:r>
      <w:r w:rsidR="008127E8">
        <w:rPr>
          <w:rFonts w:ascii="Arial" w:hAnsi="Arial" w:cs="Arial"/>
          <w:sz w:val="24"/>
          <w:szCs w:val="24"/>
          <w:lang w:val="en-GB"/>
        </w:rPr>
        <w:t xml:space="preserve"> the most</w:t>
      </w:r>
      <w:r>
        <w:rPr>
          <w:rFonts w:ascii="Arial" w:hAnsi="Arial" w:cs="Arial"/>
          <w:sz w:val="24"/>
          <w:szCs w:val="24"/>
          <w:lang w:val="en-GB"/>
        </w:rPr>
        <w:t xml:space="preserve"> relevant</w:t>
      </w:r>
      <w:r w:rsidR="008C1F34">
        <w:rPr>
          <w:rFonts w:ascii="Arial" w:hAnsi="Arial" w:cs="Arial"/>
          <w:sz w:val="24"/>
          <w:szCs w:val="24"/>
          <w:lang w:val="en-GB"/>
        </w:rPr>
        <w:t xml:space="preserve"> component</w:t>
      </w:r>
      <w:r>
        <w:rPr>
          <w:rFonts w:ascii="Arial" w:hAnsi="Arial" w:cs="Arial"/>
          <w:sz w:val="24"/>
          <w:szCs w:val="24"/>
          <w:lang w:val="en-GB"/>
        </w:rPr>
        <w:t>. T</w:t>
      </w:r>
      <w:r w:rsidR="008127E8">
        <w:rPr>
          <w:rFonts w:ascii="Arial" w:hAnsi="Arial" w:cs="Arial"/>
          <w:sz w:val="24"/>
          <w:szCs w:val="24"/>
          <w:lang w:val="en-GB"/>
        </w:rPr>
        <w:t xml:space="preserve">his may be explained by the difficulty </w:t>
      </w:r>
      <w:r w:rsidR="008C1F34">
        <w:rPr>
          <w:rFonts w:ascii="Arial" w:hAnsi="Arial" w:cs="Arial"/>
          <w:sz w:val="24"/>
          <w:szCs w:val="24"/>
          <w:lang w:val="en-GB"/>
        </w:rPr>
        <w:t xml:space="preserve">for </w:t>
      </w:r>
      <w:r w:rsidR="004C42BC">
        <w:rPr>
          <w:rFonts w:ascii="Arial" w:hAnsi="Arial" w:cs="Arial"/>
          <w:sz w:val="24"/>
          <w:szCs w:val="24"/>
          <w:lang w:val="en-GB"/>
        </w:rPr>
        <w:t xml:space="preserve">national </w:t>
      </w:r>
      <w:r w:rsidR="008C1F34">
        <w:rPr>
          <w:rFonts w:ascii="Arial" w:hAnsi="Arial" w:cs="Arial"/>
          <w:sz w:val="24"/>
          <w:szCs w:val="24"/>
          <w:lang w:val="en-GB"/>
        </w:rPr>
        <w:t xml:space="preserve">compilers </w:t>
      </w:r>
      <w:r w:rsidR="008127E8">
        <w:rPr>
          <w:rFonts w:ascii="Arial" w:hAnsi="Arial" w:cs="Arial"/>
          <w:sz w:val="24"/>
          <w:szCs w:val="24"/>
          <w:lang w:val="en-GB"/>
        </w:rPr>
        <w:t xml:space="preserve">to disentangle the geography </w:t>
      </w:r>
      <w:r w:rsidR="004C42BC">
        <w:rPr>
          <w:rFonts w:ascii="Arial" w:hAnsi="Arial" w:cs="Arial"/>
          <w:sz w:val="24"/>
          <w:szCs w:val="24"/>
          <w:lang w:val="en-GB"/>
        </w:rPr>
        <w:t>of transactions occurring within</w:t>
      </w:r>
      <w:r w:rsidR="008C1F34">
        <w:rPr>
          <w:rFonts w:ascii="Arial" w:hAnsi="Arial" w:cs="Arial"/>
          <w:sz w:val="24"/>
          <w:szCs w:val="24"/>
          <w:lang w:val="en-GB"/>
        </w:rPr>
        <w:t xml:space="preserve"> </w:t>
      </w:r>
      <w:r w:rsidR="008127E8">
        <w:rPr>
          <w:rFonts w:ascii="Arial" w:hAnsi="Arial" w:cs="Arial"/>
          <w:sz w:val="24"/>
          <w:szCs w:val="24"/>
          <w:lang w:val="en-GB"/>
        </w:rPr>
        <w:t xml:space="preserve">complex enterprises </w:t>
      </w:r>
      <w:r w:rsidR="000A2FFF">
        <w:rPr>
          <w:rFonts w:ascii="Arial" w:hAnsi="Arial" w:cs="Arial"/>
          <w:sz w:val="24"/>
          <w:szCs w:val="24"/>
          <w:lang w:val="en-GB"/>
        </w:rPr>
        <w:t>group structures</w:t>
      </w:r>
      <w:r w:rsidR="008C1F34">
        <w:rPr>
          <w:rFonts w:ascii="Arial" w:hAnsi="Arial" w:cs="Arial"/>
          <w:sz w:val="24"/>
          <w:szCs w:val="24"/>
          <w:lang w:val="en-GB"/>
        </w:rPr>
        <w:t>.</w:t>
      </w:r>
      <w:r w:rsidR="000A2FFF">
        <w:rPr>
          <w:rFonts w:ascii="Arial" w:hAnsi="Arial" w:cs="Arial"/>
          <w:sz w:val="24"/>
          <w:szCs w:val="24"/>
          <w:lang w:val="en-GB"/>
        </w:rPr>
        <w:t xml:space="preserve"> </w:t>
      </w:r>
      <w:r w:rsidR="004C42BC">
        <w:rPr>
          <w:rFonts w:ascii="Arial" w:hAnsi="Arial" w:cs="Arial"/>
          <w:sz w:val="24"/>
          <w:szCs w:val="24"/>
          <w:lang w:val="en-GB"/>
        </w:rPr>
        <w:t xml:space="preserve">The application of </w:t>
      </w:r>
      <w:r w:rsidR="000A2FFF">
        <w:rPr>
          <w:rFonts w:ascii="Arial" w:hAnsi="Arial" w:cs="Arial"/>
          <w:sz w:val="24"/>
          <w:szCs w:val="24"/>
          <w:lang w:val="en-GB"/>
        </w:rPr>
        <w:t>the synthetic indicators to the FDI transactions</w:t>
      </w:r>
      <w:r w:rsidR="004C42BC">
        <w:rPr>
          <w:rFonts w:ascii="Arial" w:hAnsi="Arial" w:cs="Arial"/>
          <w:sz w:val="24"/>
          <w:szCs w:val="24"/>
          <w:lang w:val="en-GB"/>
        </w:rPr>
        <w:t xml:space="preserve"> may guide national compilers to the identification of transient and structural problems in the geographic quality of FDI transactions</w:t>
      </w:r>
      <w:r w:rsidR="000A2FFF">
        <w:rPr>
          <w:rFonts w:ascii="Arial" w:hAnsi="Arial" w:cs="Arial"/>
          <w:sz w:val="24"/>
          <w:szCs w:val="24"/>
          <w:lang w:val="en-GB"/>
        </w:rPr>
        <w:t>.</w:t>
      </w:r>
    </w:p>
    <w:p w:rsidR="004740F1" w:rsidRPr="00B4471D" w:rsidRDefault="004740F1" w:rsidP="006F157F">
      <w:pPr>
        <w:keepNext/>
        <w:spacing w:before="120" w:after="0" w:line="360" w:lineRule="auto"/>
        <w:jc w:val="both"/>
        <w:rPr>
          <w:rFonts w:ascii="Arial" w:hAnsi="Arial" w:cs="Arial"/>
          <w:sz w:val="24"/>
          <w:szCs w:val="24"/>
          <w:lang w:val="en-GB"/>
        </w:rPr>
      </w:pPr>
      <w:r w:rsidRPr="00DD4977">
        <w:rPr>
          <w:rFonts w:ascii="Arial" w:hAnsi="Arial" w:cs="Arial"/>
          <w:i/>
          <w:sz w:val="24"/>
          <w:szCs w:val="24"/>
          <w:lang w:val="en-GB"/>
        </w:rPr>
        <w:t xml:space="preserve">3.2. </w:t>
      </w:r>
      <w:r w:rsidR="00034157">
        <w:rPr>
          <w:rFonts w:ascii="Arial" w:hAnsi="Arial" w:cs="Arial"/>
          <w:i/>
          <w:sz w:val="24"/>
          <w:szCs w:val="24"/>
          <w:lang w:val="en-GB"/>
        </w:rPr>
        <w:t xml:space="preserve">Assumption of the exercise </w:t>
      </w:r>
    </w:p>
    <w:p w:rsidR="000A2FFF" w:rsidRDefault="000A2FFF" w:rsidP="004740F1">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main </w:t>
      </w:r>
      <w:r w:rsidR="008C1F34">
        <w:rPr>
          <w:rFonts w:ascii="Arial" w:hAnsi="Arial" w:cs="Arial"/>
          <w:sz w:val="24"/>
          <w:szCs w:val="24"/>
          <w:lang w:val="en-GB"/>
        </w:rPr>
        <w:t>challenge</w:t>
      </w:r>
      <w:r>
        <w:rPr>
          <w:rFonts w:ascii="Arial" w:hAnsi="Arial" w:cs="Arial"/>
          <w:sz w:val="24"/>
          <w:szCs w:val="24"/>
          <w:lang w:val="en-GB"/>
        </w:rPr>
        <w:t xml:space="preserve"> </w:t>
      </w:r>
      <w:r w:rsidR="004C42BC">
        <w:rPr>
          <w:rFonts w:ascii="Arial" w:hAnsi="Arial" w:cs="Arial"/>
          <w:sz w:val="24"/>
          <w:szCs w:val="24"/>
          <w:lang w:val="en-GB"/>
        </w:rPr>
        <w:t xml:space="preserve">in the application of </w:t>
      </w:r>
      <w:r>
        <w:rPr>
          <w:rFonts w:ascii="Arial" w:hAnsi="Arial" w:cs="Arial"/>
          <w:sz w:val="24"/>
          <w:szCs w:val="24"/>
          <w:lang w:val="en-GB"/>
        </w:rPr>
        <w:t xml:space="preserve">the synthetic indicators is the need </w:t>
      </w:r>
      <w:r w:rsidR="00A8690D">
        <w:rPr>
          <w:rFonts w:ascii="Arial" w:hAnsi="Arial" w:cs="Arial"/>
          <w:sz w:val="24"/>
          <w:szCs w:val="24"/>
          <w:lang w:val="en-GB"/>
        </w:rPr>
        <w:t>for comprehensive</w:t>
      </w:r>
      <w:r>
        <w:rPr>
          <w:rFonts w:ascii="Arial" w:hAnsi="Arial" w:cs="Arial"/>
          <w:sz w:val="24"/>
          <w:szCs w:val="24"/>
          <w:lang w:val="en-GB"/>
        </w:rPr>
        <w:t xml:space="preserve"> bilateral data for all the countries </w:t>
      </w:r>
      <w:r w:rsidR="004C42BC">
        <w:rPr>
          <w:rFonts w:ascii="Arial" w:hAnsi="Arial" w:cs="Arial"/>
          <w:sz w:val="24"/>
          <w:szCs w:val="24"/>
          <w:lang w:val="en-GB"/>
        </w:rPr>
        <w:t xml:space="preserve">belonging to </w:t>
      </w:r>
      <w:r>
        <w:rPr>
          <w:rFonts w:ascii="Arial" w:hAnsi="Arial" w:cs="Arial"/>
          <w:sz w:val="24"/>
          <w:szCs w:val="24"/>
          <w:lang w:val="en-GB"/>
        </w:rPr>
        <w:t xml:space="preserve">the euro area. </w:t>
      </w:r>
      <w:r w:rsidR="008C1F34">
        <w:rPr>
          <w:rFonts w:ascii="Arial" w:hAnsi="Arial" w:cs="Arial"/>
          <w:sz w:val="24"/>
          <w:szCs w:val="24"/>
          <w:lang w:val="en-GB"/>
        </w:rPr>
        <w:t xml:space="preserve">For </w:t>
      </w:r>
      <w:r w:rsidR="004C42BC">
        <w:rPr>
          <w:rFonts w:ascii="Arial" w:hAnsi="Arial" w:cs="Arial"/>
          <w:sz w:val="24"/>
          <w:szCs w:val="24"/>
          <w:lang w:val="en-GB"/>
        </w:rPr>
        <w:t xml:space="preserve">this </w:t>
      </w:r>
      <w:r w:rsidR="008C1F34">
        <w:rPr>
          <w:rFonts w:ascii="Arial" w:hAnsi="Arial" w:cs="Arial"/>
          <w:sz w:val="24"/>
          <w:szCs w:val="24"/>
          <w:lang w:val="en-GB"/>
        </w:rPr>
        <w:t>exercise, b</w:t>
      </w:r>
      <w:r>
        <w:rPr>
          <w:rFonts w:ascii="Arial" w:hAnsi="Arial" w:cs="Arial"/>
          <w:sz w:val="24"/>
          <w:szCs w:val="24"/>
          <w:lang w:val="en-GB"/>
        </w:rPr>
        <w:t xml:space="preserve">ilateral data for 17 </w:t>
      </w:r>
      <w:r w:rsidR="008C1F34">
        <w:rPr>
          <w:rFonts w:ascii="Arial" w:hAnsi="Arial" w:cs="Arial"/>
          <w:sz w:val="24"/>
          <w:szCs w:val="24"/>
          <w:lang w:val="en-GB"/>
        </w:rPr>
        <w:t xml:space="preserve">out of the 19 euro area </w:t>
      </w:r>
      <w:r>
        <w:rPr>
          <w:rFonts w:ascii="Arial" w:hAnsi="Arial" w:cs="Arial"/>
          <w:sz w:val="24"/>
          <w:szCs w:val="24"/>
          <w:lang w:val="en-GB"/>
        </w:rPr>
        <w:t xml:space="preserve">countries </w:t>
      </w:r>
      <w:r w:rsidR="0065257B">
        <w:rPr>
          <w:rFonts w:ascii="Arial" w:hAnsi="Arial" w:cs="Arial"/>
          <w:sz w:val="24"/>
          <w:szCs w:val="24"/>
          <w:lang w:val="en-GB"/>
        </w:rPr>
        <w:t>were</w:t>
      </w:r>
      <w:r>
        <w:rPr>
          <w:rFonts w:ascii="Arial" w:hAnsi="Arial" w:cs="Arial"/>
          <w:sz w:val="24"/>
          <w:szCs w:val="24"/>
          <w:lang w:val="en-GB"/>
        </w:rPr>
        <w:t xml:space="preserve"> available</w:t>
      </w:r>
      <w:r w:rsidR="0065257B">
        <w:rPr>
          <w:rFonts w:ascii="Arial" w:hAnsi="Arial" w:cs="Arial"/>
          <w:sz w:val="24"/>
          <w:szCs w:val="24"/>
          <w:lang w:val="en-GB"/>
        </w:rPr>
        <w:t xml:space="preserve"> to us</w:t>
      </w:r>
      <w:r w:rsidR="008C1F34">
        <w:rPr>
          <w:rFonts w:ascii="Arial" w:hAnsi="Arial" w:cs="Arial"/>
          <w:sz w:val="24"/>
          <w:szCs w:val="24"/>
          <w:lang w:val="en-GB"/>
        </w:rPr>
        <w:t>;</w:t>
      </w:r>
      <w:r>
        <w:rPr>
          <w:rFonts w:ascii="Arial" w:hAnsi="Arial" w:cs="Arial"/>
          <w:sz w:val="24"/>
          <w:szCs w:val="24"/>
          <w:lang w:val="en-GB"/>
        </w:rPr>
        <w:t xml:space="preserve"> only Greece and Slovakia are missing</w:t>
      </w:r>
      <w:r w:rsidR="008C1F34">
        <w:rPr>
          <w:rFonts w:ascii="Arial" w:hAnsi="Arial" w:cs="Arial"/>
          <w:sz w:val="24"/>
          <w:szCs w:val="24"/>
          <w:lang w:val="en-GB"/>
        </w:rPr>
        <w:t xml:space="preserve"> </w:t>
      </w:r>
      <w:r w:rsidR="004C42BC">
        <w:rPr>
          <w:rFonts w:ascii="Arial" w:hAnsi="Arial" w:cs="Arial"/>
          <w:sz w:val="24"/>
          <w:szCs w:val="24"/>
          <w:lang w:val="en-GB"/>
        </w:rPr>
        <w:t xml:space="preserve">in the sample </w:t>
      </w:r>
      <w:r w:rsidR="008C1F34">
        <w:rPr>
          <w:rFonts w:ascii="Arial" w:hAnsi="Arial" w:cs="Arial"/>
          <w:sz w:val="24"/>
          <w:szCs w:val="24"/>
          <w:lang w:val="en-GB"/>
        </w:rPr>
        <w:t>but</w:t>
      </w:r>
      <w:r>
        <w:rPr>
          <w:rFonts w:ascii="Arial" w:hAnsi="Arial" w:cs="Arial"/>
          <w:sz w:val="24"/>
          <w:szCs w:val="24"/>
          <w:lang w:val="en-GB"/>
        </w:rPr>
        <w:t xml:space="preserve"> </w:t>
      </w:r>
      <w:r w:rsidR="008C1F34">
        <w:rPr>
          <w:rFonts w:ascii="Arial" w:hAnsi="Arial" w:cs="Arial"/>
          <w:sz w:val="24"/>
          <w:szCs w:val="24"/>
          <w:lang w:val="en-GB"/>
        </w:rPr>
        <w:t>d</w:t>
      </w:r>
      <w:r>
        <w:rPr>
          <w:rFonts w:ascii="Arial" w:hAnsi="Arial" w:cs="Arial"/>
          <w:sz w:val="24"/>
          <w:szCs w:val="24"/>
          <w:lang w:val="en-GB"/>
        </w:rPr>
        <w:t>ue to their low weigh</w:t>
      </w:r>
      <w:r w:rsidR="00852661">
        <w:rPr>
          <w:rFonts w:ascii="Arial" w:hAnsi="Arial" w:cs="Arial"/>
          <w:sz w:val="24"/>
          <w:szCs w:val="24"/>
          <w:lang w:val="en-GB"/>
        </w:rPr>
        <w:t xml:space="preserve">t </w:t>
      </w:r>
      <w:r>
        <w:rPr>
          <w:rFonts w:ascii="Arial" w:hAnsi="Arial" w:cs="Arial"/>
          <w:sz w:val="24"/>
          <w:szCs w:val="24"/>
          <w:lang w:val="en-GB"/>
        </w:rPr>
        <w:t xml:space="preserve">in the </w:t>
      </w:r>
      <w:r w:rsidR="004C42BC">
        <w:rPr>
          <w:rFonts w:ascii="Arial" w:hAnsi="Arial" w:cs="Arial"/>
          <w:sz w:val="24"/>
          <w:szCs w:val="24"/>
          <w:lang w:val="en-GB"/>
        </w:rPr>
        <w:t xml:space="preserve">total </w:t>
      </w:r>
      <w:r>
        <w:rPr>
          <w:rFonts w:ascii="Arial" w:hAnsi="Arial" w:cs="Arial"/>
          <w:sz w:val="24"/>
          <w:szCs w:val="24"/>
          <w:lang w:val="en-GB"/>
        </w:rPr>
        <w:t xml:space="preserve">euro area FDI, we consider their </w:t>
      </w:r>
      <w:r w:rsidR="004C42BC">
        <w:rPr>
          <w:rFonts w:ascii="Arial" w:hAnsi="Arial" w:cs="Arial"/>
          <w:sz w:val="24"/>
          <w:szCs w:val="24"/>
          <w:lang w:val="en-GB"/>
        </w:rPr>
        <w:t xml:space="preserve">potential </w:t>
      </w:r>
      <w:r>
        <w:rPr>
          <w:rFonts w:ascii="Arial" w:hAnsi="Arial" w:cs="Arial"/>
          <w:sz w:val="24"/>
          <w:szCs w:val="24"/>
          <w:lang w:val="en-GB"/>
        </w:rPr>
        <w:t>contribution to the intra euro area asymmetries negligible</w:t>
      </w:r>
      <w:r w:rsidR="00C24404">
        <w:rPr>
          <w:rStyle w:val="FootnoteReference"/>
          <w:rFonts w:ascii="Arial" w:hAnsi="Arial" w:cs="Arial"/>
          <w:sz w:val="24"/>
          <w:szCs w:val="24"/>
          <w:lang w:val="en-GB"/>
        </w:rPr>
        <w:footnoteReference w:id="5"/>
      </w:r>
      <w:r>
        <w:rPr>
          <w:rFonts w:ascii="Arial" w:hAnsi="Arial" w:cs="Arial"/>
          <w:sz w:val="24"/>
          <w:szCs w:val="24"/>
          <w:lang w:val="en-GB"/>
        </w:rPr>
        <w:t>.</w:t>
      </w:r>
    </w:p>
    <w:p w:rsidR="000A2FFF" w:rsidRDefault="000A2FFF" w:rsidP="004740F1">
      <w:pPr>
        <w:spacing w:before="120" w:after="0" w:line="360" w:lineRule="auto"/>
        <w:jc w:val="both"/>
        <w:rPr>
          <w:rFonts w:ascii="Arial" w:hAnsi="Arial" w:cs="Arial"/>
          <w:sz w:val="24"/>
          <w:szCs w:val="24"/>
          <w:lang w:val="en-GB"/>
        </w:rPr>
      </w:pPr>
      <w:r>
        <w:rPr>
          <w:rFonts w:ascii="Arial" w:hAnsi="Arial" w:cs="Arial"/>
          <w:sz w:val="24"/>
          <w:szCs w:val="24"/>
          <w:lang w:val="en-GB"/>
        </w:rPr>
        <w:t xml:space="preserve">Before calculating the </w:t>
      </w:r>
      <w:r w:rsidR="00817209">
        <w:rPr>
          <w:rFonts w:ascii="Arial" w:hAnsi="Arial" w:cs="Arial"/>
          <w:sz w:val="24"/>
          <w:szCs w:val="24"/>
          <w:lang w:val="en-GB"/>
        </w:rPr>
        <w:t>indicators</w:t>
      </w:r>
      <w:r>
        <w:rPr>
          <w:rFonts w:ascii="Arial" w:hAnsi="Arial" w:cs="Arial"/>
          <w:sz w:val="24"/>
          <w:szCs w:val="24"/>
          <w:lang w:val="en-GB"/>
        </w:rPr>
        <w:t xml:space="preserve"> </w:t>
      </w:r>
      <w:r w:rsidR="000F196D">
        <w:rPr>
          <w:rFonts w:ascii="Arial" w:hAnsi="Arial" w:cs="Arial"/>
          <w:sz w:val="24"/>
          <w:szCs w:val="24"/>
          <w:lang w:val="en-GB"/>
        </w:rPr>
        <w:t xml:space="preserve">a simple validation </w:t>
      </w:r>
      <w:r>
        <w:rPr>
          <w:rFonts w:ascii="Arial" w:hAnsi="Arial" w:cs="Arial"/>
          <w:sz w:val="24"/>
          <w:szCs w:val="24"/>
          <w:lang w:val="en-GB"/>
        </w:rPr>
        <w:t xml:space="preserve">check </w:t>
      </w:r>
      <w:r w:rsidR="000F196D">
        <w:rPr>
          <w:rFonts w:ascii="Arial" w:hAnsi="Arial" w:cs="Arial"/>
          <w:sz w:val="24"/>
          <w:szCs w:val="24"/>
          <w:lang w:val="en-GB"/>
        </w:rPr>
        <w:t>is performed.</w:t>
      </w:r>
      <w:r w:rsidR="00F74FBA">
        <w:rPr>
          <w:rFonts w:ascii="Arial" w:hAnsi="Arial" w:cs="Arial"/>
          <w:sz w:val="24"/>
          <w:szCs w:val="24"/>
          <w:lang w:val="en-GB"/>
        </w:rPr>
        <w:t xml:space="preserve"> </w:t>
      </w:r>
      <w:r w:rsidR="000F196D">
        <w:rPr>
          <w:rFonts w:ascii="Arial" w:hAnsi="Arial" w:cs="Arial"/>
          <w:sz w:val="24"/>
          <w:szCs w:val="24"/>
          <w:lang w:val="en-GB"/>
        </w:rPr>
        <w:t xml:space="preserve">The calculated total of the </w:t>
      </w:r>
      <w:r>
        <w:rPr>
          <w:rFonts w:ascii="Arial" w:hAnsi="Arial" w:cs="Arial"/>
          <w:sz w:val="24"/>
          <w:szCs w:val="24"/>
          <w:lang w:val="en-GB"/>
        </w:rPr>
        <w:t>bilateral</w:t>
      </w:r>
      <w:r w:rsidR="00233FE3">
        <w:rPr>
          <w:rFonts w:ascii="Arial" w:hAnsi="Arial" w:cs="Arial"/>
          <w:sz w:val="24"/>
          <w:szCs w:val="24"/>
          <w:lang w:val="en-GB"/>
        </w:rPr>
        <w:t xml:space="preserve"> transactions </w:t>
      </w:r>
      <w:r w:rsidR="00817209">
        <w:rPr>
          <w:rFonts w:ascii="Arial" w:hAnsi="Arial" w:cs="Arial"/>
          <w:sz w:val="24"/>
          <w:szCs w:val="24"/>
          <w:lang w:val="en-GB"/>
        </w:rPr>
        <w:t>s</w:t>
      </w:r>
      <w:r w:rsidR="0065257B">
        <w:rPr>
          <w:rFonts w:ascii="Arial" w:hAnsi="Arial" w:cs="Arial"/>
          <w:sz w:val="24"/>
          <w:szCs w:val="24"/>
          <w:lang w:val="en-GB"/>
        </w:rPr>
        <w:t xml:space="preserve">hould </w:t>
      </w:r>
      <w:r w:rsidR="000F196D">
        <w:rPr>
          <w:rFonts w:ascii="Arial" w:hAnsi="Arial" w:cs="Arial"/>
          <w:sz w:val="24"/>
          <w:szCs w:val="24"/>
          <w:lang w:val="en-GB"/>
        </w:rPr>
        <w:t>account for a</w:t>
      </w:r>
      <w:r w:rsidR="0065257B">
        <w:rPr>
          <w:rFonts w:ascii="Arial" w:hAnsi="Arial" w:cs="Arial"/>
          <w:sz w:val="24"/>
          <w:szCs w:val="24"/>
          <w:lang w:val="en-GB"/>
        </w:rPr>
        <w:t>t least 80</w:t>
      </w:r>
      <w:r w:rsidR="00817209">
        <w:rPr>
          <w:rFonts w:ascii="Arial" w:hAnsi="Arial" w:cs="Arial"/>
          <w:sz w:val="24"/>
          <w:szCs w:val="24"/>
          <w:lang w:val="en-GB"/>
        </w:rPr>
        <w:t xml:space="preserve">% of the </w:t>
      </w:r>
      <w:r w:rsidR="000F196D">
        <w:rPr>
          <w:rFonts w:ascii="Arial" w:hAnsi="Arial" w:cs="Arial"/>
          <w:sz w:val="24"/>
          <w:szCs w:val="24"/>
          <w:lang w:val="en-GB"/>
        </w:rPr>
        <w:t xml:space="preserve">reported </w:t>
      </w:r>
      <w:r w:rsidR="00817209">
        <w:rPr>
          <w:rFonts w:ascii="Arial" w:hAnsi="Arial" w:cs="Arial"/>
          <w:sz w:val="24"/>
          <w:szCs w:val="24"/>
          <w:lang w:val="en-GB"/>
        </w:rPr>
        <w:t>total intra euro area</w:t>
      </w:r>
      <w:r w:rsidR="00233FE3">
        <w:rPr>
          <w:rFonts w:ascii="Arial" w:hAnsi="Arial" w:cs="Arial"/>
          <w:sz w:val="24"/>
          <w:szCs w:val="24"/>
          <w:lang w:val="en-GB"/>
        </w:rPr>
        <w:t xml:space="preserve"> transactions</w:t>
      </w:r>
      <w:r w:rsidR="00933446">
        <w:rPr>
          <w:rStyle w:val="FootnoteReference"/>
          <w:rFonts w:ascii="Arial" w:hAnsi="Arial" w:cs="Arial"/>
          <w:sz w:val="24"/>
          <w:szCs w:val="24"/>
          <w:lang w:val="en-GB"/>
        </w:rPr>
        <w:footnoteReference w:id="6"/>
      </w:r>
      <w:r w:rsidR="000F196D">
        <w:rPr>
          <w:rFonts w:ascii="Arial" w:hAnsi="Arial" w:cs="Arial"/>
          <w:sz w:val="24"/>
          <w:szCs w:val="24"/>
          <w:lang w:val="en-GB"/>
        </w:rPr>
        <w:t>, i</w:t>
      </w:r>
      <w:r w:rsidR="00933446">
        <w:rPr>
          <w:rFonts w:ascii="Arial" w:hAnsi="Arial" w:cs="Arial"/>
          <w:sz w:val="24"/>
          <w:szCs w:val="24"/>
          <w:lang w:val="en-GB"/>
        </w:rPr>
        <w:t xml:space="preserve">f </w:t>
      </w:r>
      <w:r w:rsidR="000F196D">
        <w:rPr>
          <w:rFonts w:ascii="Arial" w:hAnsi="Arial" w:cs="Arial"/>
          <w:sz w:val="24"/>
          <w:szCs w:val="24"/>
          <w:lang w:val="en-GB"/>
        </w:rPr>
        <w:t xml:space="preserve">this is not the case the </w:t>
      </w:r>
      <w:r w:rsidR="00933446">
        <w:rPr>
          <w:rFonts w:ascii="Arial" w:hAnsi="Arial" w:cs="Arial"/>
          <w:sz w:val="24"/>
          <w:szCs w:val="24"/>
          <w:lang w:val="en-GB"/>
        </w:rPr>
        <w:t>indicators</w:t>
      </w:r>
      <w:r w:rsidR="000F196D">
        <w:rPr>
          <w:rFonts w:ascii="Arial" w:hAnsi="Arial" w:cs="Arial"/>
          <w:sz w:val="24"/>
          <w:szCs w:val="24"/>
          <w:lang w:val="en-GB"/>
        </w:rPr>
        <w:t xml:space="preserve"> are supressed for the given country and period where this occurs</w:t>
      </w:r>
      <w:r w:rsidR="00933446">
        <w:rPr>
          <w:rStyle w:val="FootnoteReference"/>
          <w:rFonts w:ascii="Arial" w:hAnsi="Arial" w:cs="Arial"/>
          <w:sz w:val="24"/>
          <w:szCs w:val="24"/>
          <w:lang w:val="en-GB"/>
        </w:rPr>
        <w:footnoteReference w:id="7"/>
      </w:r>
      <w:r w:rsidR="00817209" w:rsidRPr="00637CE1">
        <w:rPr>
          <w:rFonts w:ascii="Arial" w:hAnsi="Arial" w:cs="Arial"/>
          <w:sz w:val="24"/>
          <w:szCs w:val="24"/>
          <w:lang w:val="en-GB"/>
        </w:rPr>
        <w:t>.</w:t>
      </w:r>
    </w:p>
    <w:p w:rsidR="0065257B" w:rsidRDefault="0065257B" w:rsidP="002F33A6">
      <w:pPr>
        <w:keepNext/>
        <w:spacing w:before="120" w:after="0" w:line="360" w:lineRule="auto"/>
        <w:jc w:val="both"/>
        <w:rPr>
          <w:rFonts w:ascii="Arial" w:hAnsi="Arial" w:cs="Arial"/>
          <w:i/>
          <w:sz w:val="24"/>
          <w:szCs w:val="24"/>
          <w:lang w:val="en-GB"/>
        </w:rPr>
      </w:pPr>
      <w:r w:rsidRPr="00DD4977">
        <w:rPr>
          <w:rFonts w:ascii="Arial" w:hAnsi="Arial" w:cs="Arial"/>
          <w:i/>
          <w:sz w:val="24"/>
          <w:szCs w:val="24"/>
          <w:lang w:val="en-GB"/>
        </w:rPr>
        <w:lastRenderedPageBreak/>
        <w:t>3.</w:t>
      </w:r>
      <w:r>
        <w:rPr>
          <w:rFonts w:ascii="Arial" w:hAnsi="Arial" w:cs="Arial"/>
          <w:i/>
          <w:sz w:val="24"/>
          <w:szCs w:val="24"/>
          <w:lang w:val="en-GB"/>
        </w:rPr>
        <w:t>3</w:t>
      </w:r>
      <w:r w:rsidRPr="00DD4977">
        <w:rPr>
          <w:rFonts w:ascii="Arial" w:hAnsi="Arial" w:cs="Arial"/>
          <w:i/>
          <w:sz w:val="24"/>
          <w:szCs w:val="24"/>
          <w:lang w:val="en-GB"/>
        </w:rPr>
        <w:t xml:space="preserve">. </w:t>
      </w:r>
      <w:r>
        <w:rPr>
          <w:rFonts w:ascii="Arial" w:hAnsi="Arial" w:cs="Arial"/>
          <w:i/>
          <w:sz w:val="24"/>
          <w:szCs w:val="24"/>
          <w:lang w:val="en-GB"/>
        </w:rPr>
        <w:t xml:space="preserve">Results </w:t>
      </w:r>
    </w:p>
    <w:p w:rsidR="00496BF4" w:rsidRDefault="0006734B" w:rsidP="002F33A6">
      <w:pPr>
        <w:spacing w:before="120" w:after="0" w:line="360" w:lineRule="auto"/>
        <w:jc w:val="both"/>
        <w:rPr>
          <w:rFonts w:ascii="Arial" w:hAnsi="Arial" w:cs="Arial"/>
          <w:sz w:val="24"/>
          <w:szCs w:val="24"/>
          <w:lang w:val="en-GB"/>
        </w:rPr>
      </w:pPr>
      <w:r>
        <w:rPr>
          <w:rFonts w:ascii="Arial" w:hAnsi="Arial" w:cs="Arial"/>
          <w:sz w:val="24"/>
          <w:szCs w:val="24"/>
          <w:lang w:val="en-GB"/>
        </w:rPr>
        <w:t>C</w:t>
      </w:r>
      <w:r w:rsidR="00E32BA7">
        <w:rPr>
          <w:rFonts w:ascii="Arial" w:hAnsi="Arial" w:cs="Arial"/>
          <w:sz w:val="24"/>
          <w:szCs w:val="24"/>
          <w:lang w:val="en-GB"/>
        </w:rPr>
        <w:t>harts</w:t>
      </w:r>
      <w:r>
        <w:rPr>
          <w:rFonts w:ascii="Arial" w:hAnsi="Arial" w:cs="Arial"/>
          <w:sz w:val="24"/>
          <w:szCs w:val="24"/>
          <w:lang w:val="en-GB"/>
        </w:rPr>
        <w:t xml:space="preserve"> 2 to 4</w:t>
      </w:r>
      <w:r w:rsidR="00E32BA7">
        <w:rPr>
          <w:rFonts w:ascii="Arial" w:hAnsi="Arial" w:cs="Arial"/>
          <w:sz w:val="24"/>
          <w:szCs w:val="24"/>
          <w:lang w:val="en-GB"/>
        </w:rPr>
        <w:t xml:space="preserve"> summarise the results for the 3 indicators </w:t>
      </w:r>
      <w:r w:rsidR="002F33A6">
        <w:rPr>
          <w:rFonts w:ascii="Arial" w:hAnsi="Arial" w:cs="Arial"/>
          <w:sz w:val="24"/>
          <w:szCs w:val="24"/>
          <w:lang w:val="en-GB"/>
        </w:rPr>
        <w:t xml:space="preserve">by means of box-plots </w:t>
      </w:r>
      <w:r w:rsidR="00E32BA7">
        <w:rPr>
          <w:rFonts w:ascii="Arial" w:hAnsi="Arial" w:cs="Arial"/>
          <w:sz w:val="24"/>
          <w:szCs w:val="24"/>
          <w:lang w:val="en-GB"/>
        </w:rPr>
        <w:t xml:space="preserve">indicating </w:t>
      </w:r>
      <w:r w:rsidR="002F33A6">
        <w:rPr>
          <w:rFonts w:ascii="Arial" w:hAnsi="Arial" w:cs="Arial"/>
          <w:sz w:val="24"/>
          <w:szCs w:val="24"/>
          <w:lang w:val="en-GB"/>
        </w:rPr>
        <w:t xml:space="preserve">for each country </w:t>
      </w:r>
      <w:r w:rsidR="00E32BA7">
        <w:rPr>
          <w:rFonts w:ascii="Arial" w:hAnsi="Arial" w:cs="Arial"/>
          <w:sz w:val="24"/>
          <w:szCs w:val="24"/>
          <w:lang w:val="en-GB"/>
        </w:rPr>
        <w:t xml:space="preserve">the median (red line) and the dispersion </w:t>
      </w:r>
      <w:r w:rsidR="009A27D1">
        <w:rPr>
          <w:rFonts w:ascii="Arial" w:hAnsi="Arial" w:cs="Arial"/>
          <w:sz w:val="24"/>
          <w:szCs w:val="24"/>
          <w:lang w:val="en-GB"/>
        </w:rPr>
        <w:t xml:space="preserve">for quarterly </w:t>
      </w:r>
      <w:r w:rsidR="00AA1F2E">
        <w:rPr>
          <w:rFonts w:ascii="Arial" w:hAnsi="Arial" w:cs="Arial"/>
          <w:sz w:val="24"/>
          <w:szCs w:val="24"/>
          <w:lang w:val="en-GB"/>
        </w:rPr>
        <w:t xml:space="preserve">calculations </w:t>
      </w:r>
      <w:r w:rsidR="009A27D1">
        <w:rPr>
          <w:rFonts w:ascii="Arial" w:hAnsi="Arial" w:cs="Arial"/>
          <w:sz w:val="24"/>
          <w:szCs w:val="24"/>
          <w:lang w:val="en-GB"/>
        </w:rPr>
        <w:t>from Q1 2015 to Q4 2017</w:t>
      </w:r>
      <w:r w:rsidR="00E32BA7">
        <w:rPr>
          <w:rFonts w:ascii="Arial" w:hAnsi="Arial" w:cs="Arial"/>
          <w:sz w:val="24"/>
          <w:szCs w:val="24"/>
          <w:lang w:val="en-GB"/>
        </w:rPr>
        <w:t>.</w:t>
      </w:r>
      <w:r w:rsidR="00D24652">
        <w:rPr>
          <w:rFonts w:ascii="Arial" w:hAnsi="Arial" w:cs="Arial"/>
          <w:sz w:val="24"/>
          <w:szCs w:val="24"/>
          <w:lang w:val="en-GB"/>
        </w:rPr>
        <w:t xml:space="preserve"> </w:t>
      </w:r>
      <w:r w:rsidR="003F4F0D">
        <w:rPr>
          <w:rFonts w:ascii="Arial" w:hAnsi="Arial" w:cs="Arial"/>
          <w:sz w:val="24"/>
          <w:szCs w:val="24"/>
          <w:lang w:val="en-GB"/>
        </w:rPr>
        <w:t>The box-plots are ordered by the median value for each</w:t>
      </w:r>
      <w:r w:rsidR="009D189E">
        <w:rPr>
          <w:rFonts w:ascii="Arial" w:hAnsi="Arial" w:cs="Arial"/>
          <w:sz w:val="24"/>
          <w:szCs w:val="24"/>
          <w:lang w:val="en-GB"/>
        </w:rPr>
        <w:t xml:space="preserve"> country in an </w:t>
      </w:r>
      <w:r w:rsidR="000F196D">
        <w:rPr>
          <w:rFonts w:ascii="Arial" w:hAnsi="Arial" w:cs="Arial"/>
          <w:sz w:val="24"/>
          <w:szCs w:val="24"/>
          <w:lang w:val="en-GB"/>
        </w:rPr>
        <w:t xml:space="preserve">ascending </w:t>
      </w:r>
      <w:r w:rsidR="009D189E">
        <w:rPr>
          <w:rFonts w:ascii="Arial" w:hAnsi="Arial" w:cs="Arial"/>
          <w:sz w:val="24"/>
          <w:szCs w:val="24"/>
          <w:lang w:val="en-GB"/>
        </w:rPr>
        <w:t>order.</w:t>
      </w:r>
    </w:p>
    <w:p w:rsidR="00C6760C" w:rsidRPr="00C6760C" w:rsidRDefault="00C6760C" w:rsidP="004740F1">
      <w:pPr>
        <w:spacing w:before="120" w:after="0" w:line="360" w:lineRule="auto"/>
        <w:jc w:val="both"/>
        <w:rPr>
          <w:rFonts w:ascii="Arial" w:hAnsi="Arial" w:cs="Arial"/>
          <w:sz w:val="24"/>
          <w:szCs w:val="24"/>
        </w:rPr>
      </w:pPr>
    </w:p>
    <w:tbl>
      <w:tblPr>
        <w:tblStyle w:val="TableGrid2"/>
        <w:tblW w:w="0" w:type="auto"/>
        <w:tblInd w:w="250" w:type="dxa"/>
        <w:tblLook w:val="04A0" w:firstRow="1" w:lastRow="0" w:firstColumn="1" w:lastColumn="0" w:noHBand="0" w:noVBand="1"/>
      </w:tblPr>
      <w:tblGrid>
        <w:gridCol w:w="8376"/>
      </w:tblGrid>
      <w:tr w:rsidR="0065257B" w:rsidRPr="00116981" w:rsidTr="00C6760C">
        <w:trPr>
          <w:trHeight w:val="217"/>
        </w:trPr>
        <w:tc>
          <w:tcPr>
            <w:tcW w:w="0" w:type="auto"/>
            <w:tcBorders>
              <w:top w:val="nil"/>
              <w:right w:val="nil"/>
            </w:tcBorders>
            <w:shd w:val="clear" w:color="auto" w:fill="9CC2E5" w:themeFill="accent1" w:themeFillTint="99"/>
          </w:tcPr>
          <w:p w:rsidR="0065257B" w:rsidRPr="001819CB" w:rsidRDefault="0006734B" w:rsidP="00C03969">
            <w:pPr>
              <w:keepNext/>
              <w:spacing w:before="40" w:after="20"/>
              <w:jc w:val="both"/>
              <w:rPr>
                <w:sz w:val="24"/>
                <w:szCs w:val="24"/>
              </w:rPr>
            </w:pPr>
            <w:r>
              <w:rPr>
                <w:sz w:val="24"/>
                <w:szCs w:val="24"/>
              </w:rPr>
              <w:t>Chart 2</w:t>
            </w:r>
            <w:r w:rsidR="0065257B" w:rsidRPr="001819CB">
              <w:rPr>
                <w:sz w:val="24"/>
                <w:szCs w:val="24"/>
              </w:rPr>
              <w:t>. ICGQ – FDI transactions</w:t>
            </w:r>
          </w:p>
        </w:tc>
      </w:tr>
      <w:tr w:rsidR="0065257B" w:rsidRPr="00116981" w:rsidTr="00C6760C">
        <w:trPr>
          <w:trHeight w:val="3053"/>
        </w:trPr>
        <w:tc>
          <w:tcPr>
            <w:tcW w:w="0" w:type="auto"/>
          </w:tcPr>
          <w:p w:rsidR="0065257B" w:rsidRPr="00116981" w:rsidRDefault="00134568" w:rsidP="00C6760C">
            <w:pPr>
              <w:spacing w:before="40" w:after="20"/>
              <w:jc w:val="center"/>
            </w:pPr>
            <w:r>
              <w:rPr>
                <w:noProof/>
              </w:rPr>
              <w:drawing>
                <wp:inline distT="0" distB="0" distL="0" distR="0" wp14:anchorId="57C72B2E" wp14:editId="0ED05ADB">
                  <wp:extent cx="4998126" cy="2009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GQ Internal Country Geographical Quality orderedFDI_T.png"/>
                          <pic:cNvPicPr/>
                        </pic:nvPicPr>
                        <pic:blipFill>
                          <a:blip r:embed="rId10">
                            <a:extLst>
                              <a:ext uri="{28A0092B-C50C-407E-A947-70E740481C1C}">
                                <a14:useLocalDpi xmlns:a14="http://schemas.microsoft.com/office/drawing/2010/main" val="0"/>
                              </a:ext>
                            </a:extLst>
                          </a:blip>
                          <a:stretch>
                            <a:fillRect/>
                          </a:stretch>
                        </pic:blipFill>
                        <pic:spPr>
                          <a:xfrm>
                            <a:off x="0" y="0"/>
                            <a:ext cx="5013953" cy="2016139"/>
                          </a:xfrm>
                          <a:prstGeom prst="rect">
                            <a:avLst/>
                          </a:prstGeom>
                        </pic:spPr>
                      </pic:pic>
                    </a:graphicData>
                  </a:graphic>
                </wp:inline>
              </w:drawing>
            </w:r>
          </w:p>
        </w:tc>
      </w:tr>
      <w:tr w:rsidR="0065257B" w:rsidRPr="00116981" w:rsidTr="00C6760C">
        <w:trPr>
          <w:trHeight w:val="217"/>
        </w:trPr>
        <w:tc>
          <w:tcPr>
            <w:tcW w:w="0" w:type="auto"/>
            <w:shd w:val="clear" w:color="auto" w:fill="9CC2E5" w:themeFill="accent1" w:themeFillTint="99"/>
          </w:tcPr>
          <w:p w:rsidR="0065257B" w:rsidRPr="001819CB" w:rsidRDefault="0065257B" w:rsidP="00CF022E">
            <w:pPr>
              <w:keepNext/>
              <w:spacing w:before="40" w:after="20"/>
              <w:jc w:val="both"/>
              <w:rPr>
                <w:noProof/>
                <w:sz w:val="24"/>
                <w:szCs w:val="24"/>
              </w:rPr>
            </w:pPr>
            <w:r w:rsidRPr="001819CB">
              <w:rPr>
                <w:sz w:val="24"/>
                <w:szCs w:val="24"/>
              </w:rPr>
              <w:t xml:space="preserve">Chart </w:t>
            </w:r>
            <w:r w:rsidR="00790BB0">
              <w:rPr>
                <w:sz w:val="24"/>
                <w:szCs w:val="24"/>
              </w:rPr>
              <w:t>3</w:t>
            </w:r>
            <w:r w:rsidRPr="001819CB">
              <w:rPr>
                <w:sz w:val="24"/>
                <w:szCs w:val="24"/>
              </w:rPr>
              <w:t>. XCGQ – FDI transactions</w:t>
            </w:r>
          </w:p>
        </w:tc>
      </w:tr>
      <w:tr w:rsidR="0065257B" w:rsidRPr="00116981" w:rsidTr="00C6760C">
        <w:trPr>
          <w:trHeight w:val="2223"/>
        </w:trPr>
        <w:tc>
          <w:tcPr>
            <w:tcW w:w="0" w:type="auto"/>
          </w:tcPr>
          <w:p w:rsidR="0065257B" w:rsidRPr="00116981" w:rsidRDefault="00134568" w:rsidP="00C6760C">
            <w:pPr>
              <w:spacing w:before="40" w:after="20"/>
              <w:jc w:val="center"/>
              <w:rPr>
                <w:noProof/>
              </w:rPr>
            </w:pPr>
            <w:r>
              <w:rPr>
                <w:noProof/>
              </w:rPr>
              <w:drawing>
                <wp:inline distT="0" distB="0" distL="0" distR="0" wp14:anchorId="6A3A408C" wp14:editId="57CB3584">
                  <wp:extent cx="5105400" cy="2114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GQ External Country Geographical Quality orderedFDI_T.png"/>
                          <pic:cNvPicPr/>
                        </pic:nvPicPr>
                        <pic:blipFill>
                          <a:blip r:embed="rId11">
                            <a:extLst>
                              <a:ext uri="{28A0092B-C50C-407E-A947-70E740481C1C}">
                                <a14:useLocalDpi xmlns:a14="http://schemas.microsoft.com/office/drawing/2010/main" val="0"/>
                              </a:ext>
                            </a:extLst>
                          </a:blip>
                          <a:stretch>
                            <a:fillRect/>
                          </a:stretch>
                        </pic:blipFill>
                        <pic:spPr>
                          <a:xfrm>
                            <a:off x="0" y="0"/>
                            <a:ext cx="5103713" cy="2113851"/>
                          </a:xfrm>
                          <a:prstGeom prst="rect">
                            <a:avLst/>
                          </a:prstGeom>
                        </pic:spPr>
                      </pic:pic>
                    </a:graphicData>
                  </a:graphic>
                </wp:inline>
              </w:drawing>
            </w:r>
          </w:p>
        </w:tc>
      </w:tr>
      <w:tr w:rsidR="0065257B" w:rsidRPr="00116981" w:rsidTr="00C6760C">
        <w:trPr>
          <w:trHeight w:val="217"/>
        </w:trPr>
        <w:tc>
          <w:tcPr>
            <w:tcW w:w="0" w:type="auto"/>
            <w:shd w:val="clear" w:color="auto" w:fill="9CC2E5" w:themeFill="accent1" w:themeFillTint="99"/>
          </w:tcPr>
          <w:p w:rsidR="0065257B" w:rsidRPr="001819CB" w:rsidRDefault="0065257B" w:rsidP="00CF022E">
            <w:pPr>
              <w:keepNext/>
              <w:spacing w:before="40" w:after="20"/>
              <w:jc w:val="both"/>
              <w:rPr>
                <w:sz w:val="24"/>
                <w:szCs w:val="24"/>
              </w:rPr>
            </w:pPr>
            <w:r w:rsidRPr="001819CB">
              <w:rPr>
                <w:noProof/>
                <w:sz w:val="24"/>
                <w:szCs w:val="24"/>
              </w:rPr>
              <w:t xml:space="preserve">Chart </w:t>
            </w:r>
            <w:r w:rsidR="0006734B">
              <w:rPr>
                <w:noProof/>
                <w:sz w:val="24"/>
                <w:szCs w:val="24"/>
              </w:rPr>
              <w:t>4</w:t>
            </w:r>
            <w:r w:rsidRPr="001819CB">
              <w:rPr>
                <w:noProof/>
                <w:sz w:val="24"/>
                <w:szCs w:val="24"/>
              </w:rPr>
              <w:t>. RELV – FDI transactions</w:t>
            </w:r>
          </w:p>
        </w:tc>
      </w:tr>
      <w:tr w:rsidR="0065257B" w:rsidRPr="00116981" w:rsidTr="00C6760C">
        <w:trPr>
          <w:trHeight w:val="1765"/>
        </w:trPr>
        <w:tc>
          <w:tcPr>
            <w:tcW w:w="0" w:type="auto"/>
          </w:tcPr>
          <w:p w:rsidR="0065257B" w:rsidRPr="00116981" w:rsidRDefault="00134568" w:rsidP="00C6760C">
            <w:pPr>
              <w:spacing w:before="40" w:after="20"/>
              <w:jc w:val="center"/>
              <w:rPr>
                <w:sz w:val="16"/>
                <w:szCs w:val="16"/>
              </w:rPr>
            </w:pPr>
            <w:r>
              <w:rPr>
                <w:noProof/>
                <w:sz w:val="16"/>
                <w:szCs w:val="16"/>
              </w:rPr>
              <w:drawing>
                <wp:inline distT="0" distB="0" distL="0" distR="0" wp14:anchorId="29D0F00E" wp14:editId="4F962087">
                  <wp:extent cx="5181718" cy="2019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V Relevance Measure orderedFDI_T.png"/>
                          <pic:cNvPicPr/>
                        </pic:nvPicPr>
                        <pic:blipFill>
                          <a:blip r:embed="rId12">
                            <a:extLst>
                              <a:ext uri="{28A0092B-C50C-407E-A947-70E740481C1C}">
                                <a14:useLocalDpi xmlns:a14="http://schemas.microsoft.com/office/drawing/2010/main" val="0"/>
                              </a:ext>
                            </a:extLst>
                          </a:blip>
                          <a:stretch>
                            <a:fillRect/>
                          </a:stretch>
                        </pic:blipFill>
                        <pic:spPr>
                          <a:xfrm>
                            <a:off x="0" y="0"/>
                            <a:ext cx="5223580" cy="2035614"/>
                          </a:xfrm>
                          <a:prstGeom prst="rect">
                            <a:avLst/>
                          </a:prstGeom>
                        </pic:spPr>
                      </pic:pic>
                    </a:graphicData>
                  </a:graphic>
                </wp:inline>
              </w:drawing>
            </w:r>
          </w:p>
        </w:tc>
      </w:tr>
    </w:tbl>
    <w:p w:rsidR="00C6760C" w:rsidRPr="00EC5F5A" w:rsidRDefault="00C6760C" w:rsidP="00C6760C">
      <w:pPr>
        <w:spacing w:after="0" w:line="360" w:lineRule="auto"/>
        <w:jc w:val="both"/>
        <w:rPr>
          <w:rFonts w:ascii="Arial" w:hAnsi="Arial" w:cs="Arial"/>
          <w:sz w:val="20"/>
          <w:szCs w:val="20"/>
          <w:lang w:val="en-GB"/>
        </w:rPr>
      </w:pPr>
      <w:r w:rsidRPr="00EC5F5A">
        <w:rPr>
          <w:rFonts w:ascii="Arial" w:hAnsi="Arial" w:cs="Arial"/>
          <w:sz w:val="20"/>
          <w:szCs w:val="20"/>
          <w:lang w:val="en-GB"/>
        </w:rPr>
        <w:t>Source:</w:t>
      </w:r>
      <w:r>
        <w:rPr>
          <w:rFonts w:ascii="Arial" w:hAnsi="Arial" w:cs="Arial"/>
          <w:sz w:val="20"/>
          <w:szCs w:val="20"/>
          <w:lang w:val="en-GB"/>
        </w:rPr>
        <w:t xml:space="preserve"> ECB calculations</w:t>
      </w:r>
    </w:p>
    <w:p w:rsidR="00533155" w:rsidRDefault="00533155" w:rsidP="00533155">
      <w:pPr>
        <w:spacing w:before="120" w:after="0" w:line="360" w:lineRule="auto"/>
        <w:jc w:val="both"/>
        <w:rPr>
          <w:rFonts w:ascii="Arial" w:hAnsi="Arial" w:cs="Arial"/>
          <w:sz w:val="24"/>
          <w:szCs w:val="24"/>
          <w:lang w:val="en-GB"/>
        </w:rPr>
      </w:pPr>
      <w:r>
        <w:rPr>
          <w:rFonts w:ascii="Arial" w:hAnsi="Arial" w:cs="Arial"/>
          <w:sz w:val="24"/>
          <w:szCs w:val="24"/>
          <w:lang w:val="en-GB"/>
        </w:rPr>
        <w:lastRenderedPageBreak/>
        <w:t>Generally e</w:t>
      </w:r>
      <w:r w:rsidRPr="0078606D">
        <w:rPr>
          <w:rFonts w:ascii="Arial" w:hAnsi="Arial" w:cs="Arial"/>
          <w:sz w:val="24"/>
          <w:szCs w:val="24"/>
          <w:lang w:val="en-GB"/>
        </w:rPr>
        <w:t xml:space="preserve">uro area countries </w:t>
      </w:r>
      <w:r>
        <w:rPr>
          <w:rFonts w:ascii="Arial" w:hAnsi="Arial" w:cs="Arial"/>
          <w:sz w:val="24"/>
          <w:szCs w:val="24"/>
          <w:lang w:val="en-GB"/>
        </w:rPr>
        <w:t xml:space="preserve">face </w:t>
      </w:r>
      <w:r w:rsidRPr="0078606D">
        <w:rPr>
          <w:rFonts w:ascii="Arial" w:hAnsi="Arial" w:cs="Arial"/>
          <w:sz w:val="24"/>
          <w:szCs w:val="24"/>
          <w:lang w:val="en-GB"/>
        </w:rPr>
        <w:t xml:space="preserve">difficulties in </w:t>
      </w:r>
      <w:r>
        <w:rPr>
          <w:rFonts w:ascii="Arial" w:hAnsi="Arial" w:cs="Arial"/>
          <w:sz w:val="24"/>
          <w:szCs w:val="24"/>
          <w:lang w:val="en-GB"/>
        </w:rPr>
        <w:t>matching</w:t>
      </w:r>
      <w:r w:rsidRPr="0078606D">
        <w:rPr>
          <w:rFonts w:ascii="Arial" w:hAnsi="Arial" w:cs="Arial"/>
          <w:sz w:val="24"/>
          <w:szCs w:val="24"/>
          <w:lang w:val="en-GB"/>
        </w:rPr>
        <w:t xml:space="preserve"> </w:t>
      </w:r>
      <w:r>
        <w:rPr>
          <w:rFonts w:ascii="Arial" w:hAnsi="Arial" w:cs="Arial"/>
          <w:sz w:val="24"/>
          <w:szCs w:val="24"/>
          <w:lang w:val="en-GB"/>
        </w:rPr>
        <w:t xml:space="preserve">individual </w:t>
      </w:r>
      <w:r w:rsidRPr="0078606D">
        <w:rPr>
          <w:rFonts w:ascii="Arial" w:hAnsi="Arial" w:cs="Arial"/>
          <w:sz w:val="24"/>
          <w:szCs w:val="24"/>
          <w:lang w:val="en-GB"/>
        </w:rPr>
        <w:t>counterpart</w:t>
      </w:r>
      <w:r>
        <w:rPr>
          <w:rFonts w:ascii="Arial" w:hAnsi="Arial" w:cs="Arial"/>
          <w:sz w:val="24"/>
          <w:szCs w:val="24"/>
          <w:lang w:val="en-GB"/>
        </w:rPr>
        <w:t>ies’ data</w:t>
      </w:r>
      <w:r w:rsidRPr="0078606D">
        <w:rPr>
          <w:rFonts w:ascii="Arial" w:hAnsi="Arial" w:cs="Arial"/>
          <w:sz w:val="24"/>
          <w:szCs w:val="24"/>
          <w:lang w:val="en-GB"/>
        </w:rPr>
        <w:t xml:space="preserve">, while they seem to </w:t>
      </w:r>
      <w:r>
        <w:rPr>
          <w:rFonts w:ascii="Arial" w:hAnsi="Arial" w:cs="Arial"/>
          <w:sz w:val="24"/>
          <w:szCs w:val="24"/>
          <w:lang w:val="en-GB"/>
        </w:rPr>
        <w:t xml:space="preserve">face a lesser </w:t>
      </w:r>
      <w:r w:rsidRPr="0078606D">
        <w:rPr>
          <w:rFonts w:ascii="Arial" w:hAnsi="Arial" w:cs="Arial"/>
          <w:sz w:val="24"/>
          <w:szCs w:val="24"/>
          <w:lang w:val="en-GB"/>
        </w:rPr>
        <w:t xml:space="preserve">problem </w:t>
      </w:r>
      <w:r>
        <w:rPr>
          <w:rFonts w:ascii="Arial" w:hAnsi="Arial" w:cs="Arial"/>
          <w:sz w:val="24"/>
          <w:szCs w:val="24"/>
          <w:lang w:val="en-GB"/>
        </w:rPr>
        <w:t>in matching the intra euro area totals</w:t>
      </w:r>
      <w:r w:rsidRPr="0078606D">
        <w:rPr>
          <w:rFonts w:ascii="Arial" w:hAnsi="Arial" w:cs="Arial"/>
          <w:sz w:val="24"/>
          <w:szCs w:val="24"/>
          <w:lang w:val="en-GB"/>
        </w:rPr>
        <w:t xml:space="preserve">. This </w:t>
      </w:r>
      <w:r>
        <w:rPr>
          <w:rFonts w:ascii="Arial" w:hAnsi="Arial" w:cs="Arial"/>
          <w:sz w:val="24"/>
          <w:szCs w:val="24"/>
          <w:lang w:val="en-GB"/>
        </w:rPr>
        <w:t>can be inferred from</w:t>
      </w:r>
      <w:r w:rsidRPr="0078606D">
        <w:rPr>
          <w:rFonts w:ascii="Arial" w:hAnsi="Arial" w:cs="Arial"/>
          <w:sz w:val="24"/>
          <w:szCs w:val="24"/>
          <w:lang w:val="en-GB"/>
        </w:rPr>
        <w:t xml:space="preserve"> the median values, </w:t>
      </w:r>
      <w:r>
        <w:rPr>
          <w:rFonts w:ascii="Arial" w:hAnsi="Arial" w:cs="Arial"/>
          <w:sz w:val="24"/>
          <w:szCs w:val="24"/>
          <w:lang w:val="en-GB"/>
        </w:rPr>
        <w:t xml:space="preserve">where </w:t>
      </w:r>
      <w:r w:rsidRPr="0078606D">
        <w:rPr>
          <w:rFonts w:ascii="Arial" w:hAnsi="Arial" w:cs="Arial"/>
          <w:sz w:val="24"/>
          <w:szCs w:val="24"/>
          <w:lang w:val="en-GB"/>
        </w:rPr>
        <w:t xml:space="preserve">most of the countries show an ICGQ median </w:t>
      </w:r>
      <w:r>
        <w:rPr>
          <w:rFonts w:ascii="Arial" w:hAnsi="Arial" w:cs="Arial"/>
          <w:sz w:val="24"/>
          <w:szCs w:val="24"/>
          <w:lang w:val="en-GB"/>
        </w:rPr>
        <w:t xml:space="preserve">exceeding </w:t>
      </w:r>
      <w:r w:rsidRPr="0078606D">
        <w:rPr>
          <w:rFonts w:ascii="Arial" w:hAnsi="Arial" w:cs="Arial"/>
          <w:sz w:val="24"/>
          <w:szCs w:val="24"/>
          <w:lang w:val="en-GB"/>
        </w:rPr>
        <w:t>0.5</w:t>
      </w:r>
      <w:r>
        <w:rPr>
          <w:rFonts w:ascii="Arial" w:hAnsi="Arial" w:cs="Arial"/>
          <w:sz w:val="24"/>
          <w:szCs w:val="24"/>
          <w:lang w:val="en-GB"/>
        </w:rPr>
        <w:t>,</w:t>
      </w:r>
      <w:r w:rsidRPr="0078606D">
        <w:rPr>
          <w:rFonts w:ascii="Arial" w:hAnsi="Arial" w:cs="Arial"/>
          <w:sz w:val="24"/>
          <w:szCs w:val="24"/>
          <w:lang w:val="en-GB"/>
        </w:rPr>
        <w:t xml:space="preserve"> while the XCGQ is lower than 0.5 for all countries. </w:t>
      </w:r>
    </w:p>
    <w:p w:rsidR="00533155" w:rsidRPr="00533155" w:rsidRDefault="00533155" w:rsidP="00547DC7">
      <w:pPr>
        <w:spacing w:before="120" w:after="0" w:line="360" w:lineRule="auto"/>
        <w:jc w:val="both"/>
        <w:rPr>
          <w:rFonts w:ascii="Arial" w:hAnsi="Arial" w:cs="Arial"/>
          <w:sz w:val="24"/>
          <w:szCs w:val="24"/>
        </w:rPr>
      </w:pPr>
      <w:r>
        <w:rPr>
          <w:rFonts w:ascii="Arial" w:hAnsi="Arial" w:cs="Arial"/>
          <w:sz w:val="24"/>
          <w:szCs w:val="24"/>
          <w:lang w:val="en-GB"/>
        </w:rPr>
        <w:t>It is, however, important to note that the focus on median values only provides a partial view of the complexity of the phenomenon. Most countries show</w:t>
      </w:r>
      <w:r w:rsidRPr="002F33A6">
        <w:rPr>
          <w:rFonts w:ascii="Arial" w:hAnsi="Arial" w:cs="Arial"/>
          <w:sz w:val="24"/>
          <w:szCs w:val="24"/>
          <w:lang w:val="en-GB"/>
        </w:rPr>
        <w:t xml:space="preserve"> a high dispersion </w:t>
      </w:r>
      <w:r>
        <w:rPr>
          <w:rFonts w:ascii="Arial" w:hAnsi="Arial" w:cs="Arial"/>
          <w:sz w:val="24"/>
          <w:szCs w:val="24"/>
          <w:lang w:val="en-GB"/>
        </w:rPr>
        <w:t xml:space="preserve">of the results </w:t>
      </w:r>
      <w:r w:rsidRPr="002F33A6">
        <w:rPr>
          <w:rFonts w:ascii="Arial" w:hAnsi="Arial" w:cs="Arial"/>
          <w:sz w:val="24"/>
          <w:szCs w:val="24"/>
          <w:lang w:val="en-GB"/>
        </w:rPr>
        <w:t xml:space="preserve">over time in both ICGQ and XCGQ indicators, </w:t>
      </w:r>
      <w:r>
        <w:rPr>
          <w:rFonts w:ascii="Arial" w:hAnsi="Arial" w:cs="Arial"/>
          <w:sz w:val="24"/>
          <w:szCs w:val="24"/>
          <w:lang w:val="en-GB"/>
        </w:rPr>
        <w:t xml:space="preserve">indicating a high variability over time and suggesting sensitivity to large transactions. </w:t>
      </w:r>
    </w:p>
    <w:p w:rsidR="00547DC7" w:rsidRDefault="00547DC7" w:rsidP="00547DC7">
      <w:pPr>
        <w:spacing w:before="120" w:after="0" w:line="360" w:lineRule="auto"/>
        <w:jc w:val="both"/>
        <w:rPr>
          <w:rFonts w:ascii="Arial" w:hAnsi="Arial" w:cs="Arial"/>
          <w:sz w:val="24"/>
          <w:szCs w:val="24"/>
          <w:lang w:val="en-GB"/>
        </w:rPr>
      </w:pPr>
      <w:r>
        <w:rPr>
          <w:rFonts w:ascii="Arial" w:hAnsi="Arial" w:cs="Arial"/>
          <w:sz w:val="24"/>
          <w:szCs w:val="24"/>
          <w:lang w:val="en-GB"/>
        </w:rPr>
        <w:t xml:space="preserve">Another interesting result is that, in </w:t>
      </w:r>
      <w:r w:rsidR="00017FE3">
        <w:rPr>
          <w:rFonts w:ascii="Arial" w:hAnsi="Arial" w:cs="Arial"/>
          <w:sz w:val="24"/>
          <w:szCs w:val="24"/>
          <w:lang w:val="en-GB"/>
        </w:rPr>
        <w:t>terms of the median values</w:t>
      </w:r>
      <w:r w:rsidR="00320438">
        <w:rPr>
          <w:rFonts w:ascii="Arial" w:hAnsi="Arial" w:cs="Arial"/>
          <w:sz w:val="24"/>
          <w:szCs w:val="24"/>
          <w:lang w:val="en-GB"/>
        </w:rPr>
        <w:t xml:space="preserve"> showing at the same time low dispersion</w:t>
      </w:r>
      <w:r>
        <w:rPr>
          <w:rFonts w:ascii="Arial" w:hAnsi="Arial" w:cs="Arial"/>
          <w:sz w:val="24"/>
          <w:szCs w:val="24"/>
          <w:lang w:val="en-GB"/>
        </w:rPr>
        <w:t xml:space="preserve">, the </w:t>
      </w:r>
      <w:r w:rsidR="00017FE3">
        <w:rPr>
          <w:rFonts w:ascii="Arial" w:hAnsi="Arial" w:cs="Arial"/>
          <w:sz w:val="24"/>
          <w:szCs w:val="24"/>
          <w:lang w:val="en-GB"/>
        </w:rPr>
        <w:t xml:space="preserve">most adverse </w:t>
      </w:r>
      <w:r>
        <w:rPr>
          <w:rFonts w:ascii="Arial" w:hAnsi="Arial" w:cs="Arial"/>
          <w:sz w:val="24"/>
          <w:szCs w:val="24"/>
          <w:lang w:val="en-GB"/>
        </w:rPr>
        <w:t xml:space="preserve">results for both ICGQ and XCGQ are shown by Malta and Cyprus, </w:t>
      </w:r>
      <w:r w:rsidR="00017FE3">
        <w:rPr>
          <w:rFonts w:ascii="Arial" w:hAnsi="Arial" w:cs="Arial"/>
          <w:sz w:val="24"/>
          <w:szCs w:val="24"/>
          <w:lang w:val="en-GB"/>
        </w:rPr>
        <w:t>related to problems experienced by these countries in capturing resident SPE’s</w:t>
      </w:r>
      <w:r>
        <w:rPr>
          <w:rFonts w:ascii="Arial" w:hAnsi="Arial" w:cs="Arial"/>
          <w:sz w:val="24"/>
          <w:szCs w:val="24"/>
          <w:lang w:val="en-GB"/>
        </w:rPr>
        <w:t xml:space="preserve">. </w:t>
      </w:r>
      <w:r w:rsidR="00017FE3">
        <w:rPr>
          <w:rFonts w:ascii="Arial" w:hAnsi="Arial" w:cs="Arial"/>
          <w:sz w:val="24"/>
          <w:szCs w:val="24"/>
          <w:lang w:val="en-GB"/>
        </w:rPr>
        <w:t>As a result they have a high</w:t>
      </w:r>
      <w:r w:rsidR="007A4D1A">
        <w:rPr>
          <w:rFonts w:ascii="Arial" w:hAnsi="Arial" w:cs="Arial"/>
          <w:sz w:val="24"/>
          <w:szCs w:val="24"/>
          <w:lang w:val="en-GB"/>
        </w:rPr>
        <w:t>er</w:t>
      </w:r>
      <w:r w:rsidR="00017FE3">
        <w:rPr>
          <w:rFonts w:ascii="Arial" w:hAnsi="Arial" w:cs="Arial"/>
          <w:sz w:val="24"/>
          <w:szCs w:val="24"/>
          <w:lang w:val="en-GB"/>
        </w:rPr>
        <w:t xml:space="preserve"> score of the relevance indicator </w:t>
      </w:r>
      <w:r w:rsidR="007A4D1A">
        <w:rPr>
          <w:rFonts w:ascii="Arial" w:hAnsi="Arial" w:cs="Arial"/>
          <w:sz w:val="24"/>
          <w:szCs w:val="24"/>
          <w:lang w:val="en-GB"/>
        </w:rPr>
        <w:t>than expected based on the relative size of their economy</w:t>
      </w:r>
      <w:r w:rsidR="00017FE3">
        <w:rPr>
          <w:rFonts w:ascii="Arial" w:hAnsi="Arial" w:cs="Arial"/>
          <w:sz w:val="24"/>
          <w:szCs w:val="24"/>
          <w:lang w:val="en-GB"/>
        </w:rPr>
        <w:t>.</w:t>
      </w:r>
    </w:p>
    <w:p w:rsidR="00547DC7" w:rsidRPr="000C04C8" w:rsidRDefault="007A4D1A" w:rsidP="00547DC7">
      <w:pPr>
        <w:spacing w:before="240" w:after="0" w:line="360" w:lineRule="auto"/>
        <w:jc w:val="both"/>
        <w:rPr>
          <w:rFonts w:ascii="Arial" w:hAnsi="Arial" w:cs="Arial"/>
          <w:sz w:val="24"/>
          <w:szCs w:val="24"/>
          <w:lang w:val="en-GB"/>
        </w:rPr>
      </w:pPr>
      <w:r>
        <w:rPr>
          <w:rFonts w:ascii="Arial" w:hAnsi="Arial" w:cs="Arial"/>
          <w:sz w:val="24"/>
          <w:szCs w:val="24"/>
          <w:lang w:val="en-GB"/>
        </w:rPr>
        <w:t xml:space="preserve">The relevance indicator (RELV) results emphasise however that a limited number of countries concentrating </w:t>
      </w:r>
      <w:r w:rsidR="00547DC7">
        <w:rPr>
          <w:rFonts w:ascii="Arial" w:hAnsi="Arial" w:cs="Arial"/>
          <w:sz w:val="24"/>
          <w:szCs w:val="24"/>
          <w:lang w:val="en-GB"/>
        </w:rPr>
        <w:t xml:space="preserve">large </w:t>
      </w:r>
      <w:r>
        <w:rPr>
          <w:rFonts w:ascii="Arial" w:hAnsi="Arial" w:cs="Arial"/>
          <w:sz w:val="24"/>
          <w:szCs w:val="24"/>
          <w:lang w:val="en-GB"/>
        </w:rPr>
        <w:t xml:space="preserve">intra EA </w:t>
      </w:r>
      <w:r w:rsidR="00547DC7">
        <w:rPr>
          <w:rFonts w:ascii="Arial" w:hAnsi="Arial" w:cs="Arial"/>
          <w:sz w:val="24"/>
          <w:szCs w:val="24"/>
          <w:lang w:val="en-GB"/>
        </w:rPr>
        <w:t>FDI transactions</w:t>
      </w:r>
      <w:r>
        <w:rPr>
          <w:rFonts w:ascii="Arial" w:hAnsi="Arial" w:cs="Arial"/>
          <w:sz w:val="24"/>
          <w:szCs w:val="24"/>
          <w:lang w:val="en-GB"/>
        </w:rPr>
        <w:t>, namely</w:t>
      </w:r>
      <w:r w:rsidR="00547DC7">
        <w:rPr>
          <w:rFonts w:ascii="Arial" w:hAnsi="Arial" w:cs="Arial"/>
          <w:sz w:val="24"/>
          <w:szCs w:val="24"/>
          <w:lang w:val="en-GB"/>
        </w:rPr>
        <w:t xml:space="preserve"> the Netherlands, Luxembourg and Ireland</w:t>
      </w:r>
      <w:r>
        <w:rPr>
          <w:rFonts w:ascii="Arial" w:hAnsi="Arial" w:cs="Arial"/>
          <w:sz w:val="24"/>
          <w:szCs w:val="24"/>
          <w:lang w:val="en-GB"/>
        </w:rPr>
        <w:t>, are disproportionately relevant</w:t>
      </w:r>
      <w:r w:rsidR="00A45B99">
        <w:rPr>
          <w:rFonts w:ascii="Arial" w:hAnsi="Arial" w:cs="Arial"/>
          <w:sz w:val="24"/>
          <w:szCs w:val="24"/>
          <w:lang w:val="en-GB"/>
        </w:rPr>
        <w:t xml:space="preserve"> to</w:t>
      </w:r>
      <w:r w:rsidR="00547DC7">
        <w:rPr>
          <w:rFonts w:ascii="Arial" w:hAnsi="Arial" w:cs="Arial"/>
          <w:sz w:val="24"/>
          <w:szCs w:val="24"/>
          <w:lang w:val="en-GB"/>
        </w:rPr>
        <w:t xml:space="preserve"> the euro area </w:t>
      </w:r>
      <w:r>
        <w:rPr>
          <w:rFonts w:ascii="Arial" w:hAnsi="Arial" w:cs="Arial"/>
          <w:sz w:val="24"/>
          <w:szCs w:val="24"/>
          <w:lang w:val="en-GB"/>
        </w:rPr>
        <w:t xml:space="preserve">FDI transactions </w:t>
      </w:r>
      <w:r w:rsidR="00547DC7">
        <w:rPr>
          <w:rFonts w:ascii="Arial" w:hAnsi="Arial" w:cs="Arial"/>
          <w:sz w:val="24"/>
          <w:szCs w:val="24"/>
          <w:lang w:val="en-GB"/>
        </w:rPr>
        <w:t>asymmetries</w:t>
      </w:r>
      <w:r w:rsidR="00A45B99">
        <w:rPr>
          <w:rFonts w:ascii="Arial" w:hAnsi="Arial" w:cs="Arial"/>
          <w:sz w:val="24"/>
          <w:szCs w:val="24"/>
          <w:lang w:val="en-GB"/>
        </w:rPr>
        <w:t>, which can be traced back to the operations of large multinational corporations having simultaneously specialised subsidiaries in these countries</w:t>
      </w:r>
      <w:r w:rsidR="00547DC7">
        <w:rPr>
          <w:rFonts w:ascii="Arial" w:hAnsi="Arial" w:cs="Arial"/>
          <w:sz w:val="24"/>
          <w:szCs w:val="24"/>
          <w:lang w:val="en-GB"/>
        </w:rPr>
        <w:t xml:space="preserve">. </w:t>
      </w:r>
    </w:p>
    <w:p w:rsidR="00406C2D" w:rsidRPr="00EC5F5A" w:rsidRDefault="00406C2D" w:rsidP="00034157">
      <w:pPr>
        <w:spacing w:before="120" w:after="0" w:line="360" w:lineRule="auto"/>
        <w:jc w:val="both"/>
        <w:rPr>
          <w:rFonts w:ascii="Arial" w:hAnsi="Arial" w:cs="Arial"/>
          <w:sz w:val="24"/>
          <w:szCs w:val="24"/>
          <w:lang w:val="en-GB"/>
        </w:rPr>
      </w:pPr>
    </w:p>
    <w:p w:rsidR="00F30C27" w:rsidRPr="00EC5F5A" w:rsidRDefault="004740F1" w:rsidP="00C6760C">
      <w:pPr>
        <w:keepNext/>
        <w:rPr>
          <w:rFonts w:ascii="Arial" w:hAnsi="Arial" w:cs="Arial"/>
          <w:b/>
          <w:sz w:val="24"/>
          <w:szCs w:val="24"/>
          <w:lang w:val="en-GB"/>
        </w:rPr>
      </w:pPr>
      <w:r w:rsidRPr="00EC5F5A">
        <w:rPr>
          <w:rFonts w:ascii="Arial" w:hAnsi="Arial" w:cs="Arial"/>
          <w:b/>
          <w:sz w:val="24"/>
          <w:szCs w:val="24"/>
          <w:lang w:val="en-GB"/>
        </w:rPr>
        <w:t xml:space="preserve">4. </w:t>
      </w:r>
      <w:r w:rsidR="0034712B">
        <w:rPr>
          <w:rFonts w:ascii="Arial" w:hAnsi="Arial" w:cs="Arial"/>
          <w:b/>
          <w:sz w:val="24"/>
          <w:szCs w:val="24"/>
          <w:lang w:val="en-GB"/>
        </w:rPr>
        <w:t>Conclusion</w:t>
      </w:r>
    </w:p>
    <w:p w:rsidR="00E43C6D" w:rsidRDefault="003D0669" w:rsidP="00F30C27">
      <w:pPr>
        <w:spacing w:before="120" w:after="0" w:line="360" w:lineRule="auto"/>
        <w:jc w:val="both"/>
        <w:rPr>
          <w:rFonts w:ascii="Arial" w:hAnsi="Arial" w:cs="Arial"/>
          <w:sz w:val="24"/>
          <w:szCs w:val="24"/>
          <w:lang w:val="en-GB"/>
        </w:rPr>
      </w:pPr>
      <w:r>
        <w:rPr>
          <w:rFonts w:ascii="Arial" w:hAnsi="Arial" w:cs="Arial"/>
          <w:sz w:val="24"/>
          <w:szCs w:val="24"/>
          <w:lang w:val="en-GB"/>
        </w:rPr>
        <w:t>The analysis of asymmetries is fundamental to improve the quality of statistics based on a geographical dimension</w:t>
      </w:r>
      <w:r w:rsidR="00D24C3B">
        <w:rPr>
          <w:rFonts w:ascii="Arial" w:hAnsi="Arial" w:cs="Arial"/>
          <w:sz w:val="24"/>
          <w:szCs w:val="24"/>
          <w:lang w:val="en-GB"/>
        </w:rPr>
        <w:t>,</w:t>
      </w:r>
      <w:r>
        <w:rPr>
          <w:rFonts w:ascii="Arial" w:hAnsi="Arial" w:cs="Arial"/>
          <w:sz w:val="24"/>
          <w:szCs w:val="24"/>
          <w:lang w:val="en-GB"/>
        </w:rPr>
        <w:t xml:space="preserve"> such as b.o.p.</w:t>
      </w:r>
      <w:r w:rsidR="00D24C3B">
        <w:rPr>
          <w:rFonts w:ascii="Arial" w:hAnsi="Arial" w:cs="Arial"/>
          <w:sz w:val="24"/>
          <w:szCs w:val="24"/>
          <w:lang w:val="en-GB"/>
        </w:rPr>
        <w:t xml:space="preserve"> and i.i.p.</w:t>
      </w:r>
      <w:r>
        <w:rPr>
          <w:rFonts w:ascii="Arial" w:hAnsi="Arial" w:cs="Arial"/>
          <w:sz w:val="24"/>
          <w:szCs w:val="24"/>
          <w:lang w:val="en-GB"/>
        </w:rPr>
        <w:t xml:space="preserve"> statistics. The synthetic indicators presented </w:t>
      </w:r>
      <w:r w:rsidR="00320438">
        <w:rPr>
          <w:rFonts w:ascii="Arial" w:hAnsi="Arial" w:cs="Arial"/>
          <w:sz w:val="24"/>
          <w:szCs w:val="24"/>
          <w:lang w:val="en-GB"/>
        </w:rPr>
        <w:t xml:space="preserve">and applied </w:t>
      </w:r>
      <w:r>
        <w:rPr>
          <w:rFonts w:ascii="Arial" w:hAnsi="Arial" w:cs="Arial"/>
          <w:sz w:val="24"/>
          <w:szCs w:val="24"/>
          <w:lang w:val="en-GB"/>
        </w:rPr>
        <w:t xml:space="preserve">in this paper go beyond conventional measures of bilateral asymmetries </w:t>
      </w:r>
      <w:r w:rsidR="00A45B99">
        <w:rPr>
          <w:rFonts w:ascii="Arial" w:hAnsi="Arial" w:cs="Arial"/>
          <w:sz w:val="24"/>
          <w:szCs w:val="24"/>
          <w:lang w:val="en-GB"/>
        </w:rPr>
        <w:t xml:space="preserve">and contribute to a better understanding of </w:t>
      </w:r>
      <w:r w:rsidR="00320438">
        <w:rPr>
          <w:rFonts w:ascii="Arial" w:hAnsi="Arial" w:cs="Arial"/>
          <w:sz w:val="24"/>
          <w:szCs w:val="24"/>
          <w:lang w:val="en-GB"/>
        </w:rPr>
        <w:t>regional asymmetries</w:t>
      </w:r>
      <w:r w:rsidR="00FE3565">
        <w:rPr>
          <w:rFonts w:ascii="Arial" w:hAnsi="Arial" w:cs="Arial"/>
          <w:sz w:val="24"/>
          <w:szCs w:val="24"/>
          <w:lang w:val="en-GB"/>
        </w:rPr>
        <w:t xml:space="preserve"> in macroeconomic data.</w:t>
      </w:r>
      <w:r w:rsidR="00D24C3B">
        <w:rPr>
          <w:rFonts w:ascii="Arial" w:hAnsi="Arial" w:cs="Arial"/>
          <w:sz w:val="24"/>
          <w:szCs w:val="24"/>
          <w:lang w:val="en-GB"/>
        </w:rPr>
        <w:t xml:space="preserve"> </w:t>
      </w:r>
    </w:p>
    <w:p w:rsidR="00CF022E" w:rsidRDefault="00715FC4" w:rsidP="004C7DE0">
      <w:pPr>
        <w:spacing w:before="120" w:after="0" w:line="360" w:lineRule="auto"/>
        <w:jc w:val="both"/>
        <w:rPr>
          <w:rFonts w:ascii="Arial" w:hAnsi="Arial" w:cs="Arial"/>
          <w:sz w:val="24"/>
          <w:szCs w:val="24"/>
          <w:lang w:val="en-GB"/>
        </w:rPr>
      </w:pPr>
      <w:r>
        <w:rPr>
          <w:rFonts w:ascii="Arial" w:hAnsi="Arial" w:cs="Arial"/>
          <w:sz w:val="24"/>
          <w:szCs w:val="24"/>
          <w:lang w:val="en-GB"/>
        </w:rPr>
        <w:t xml:space="preserve">As the numerical examples and the application to euro area quarterly FDI data showed, </w:t>
      </w:r>
      <w:r w:rsidR="00FE3565">
        <w:rPr>
          <w:rFonts w:ascii="Arial" w:hAnsi="Arial" w:cs="Arial"/>
          <w:sz w:val="24"/>
          <w:szCs w:val="24"/>
          <w:lang w:val="en-GB"/>
        </w:rPr>
        <w:t xml:space="preserve">a combined analysis of </w:t>
      </w:r>
      <w:r>
        <w:rPr>
          <w:rFonts w:ascii="Arial" w:hAnsi="Arial" w:cs="Arial"/>
          <w:sz w:val="24"/>
          <w:szCs w:val="24"/>
          <w:lang w:val="en-GB"/>
        </w:rPr>
        <w:t xml:space="preserve">the three indicators </w:t>
      </w:r>
      <w:r w:rsidR="00FE3565">
        <w:rPr>
          <w:rFonts w:ascii="Arial" w:hAnsi="Arial" w:cs="Arial"/>
          <w:sz w:val="24"/>
          <w:szCs w:val="24"/>
          <w:lang w:val="en-GB"/>
        </w:rPr>
        <w:t>helps</w:t>
      </w:r>
      <w:r>
        <w:rPr>
          <w:rFonts w:ascii="Arial" w:hAnsi="Arial" w:cs="Arial"/>
          <w:sz w:val="24"/>
          <w:szCs w:val="24"/>
          <w:lang w:val="en-GB"/>
        </w:rPr>
        <w:t xml:space="preserve"> summaris</w:t>
      </w:r>
      <w:r w:rsidR="00FE3565">
        <w:rPr>
          <w:rFonts w:ascii="Arial" w:hAnsi="Arial" w:cs="Arial"/>
          <w:sz w:val="24"/>
          <w:szCs w:val="24"/>
          <w:lang w:val="en-GB"/>
        </w:rPr>
        <w:t>ing</w:t>
      </w:r>
      <w:r>
        <w:rPr>
          <w:rFonts w:ascii="Arial" w:hAnsi="Arial" w:cs="Arial"/>
          <w:sz w:val="24"/>
          <w:szCs w:val="24"/>
          <w:lang w:val="en-GB"/>
        </w:rPr>
        <w:t xml:space="preserve"> the different aspects of geographical quality of bilateral data</w:t>
      </w:r>
      <w:r w:rsidR="00FE3565">
        <w:rPr>
          <w:rFonts w:ascii="Arial" w:hAnsi="Arial" w:cs="Arial"/>
          <w:sz w:val="24"/>
          <w:szCs w:val="24"/>
          <w:lang w:val="en-GB"/>
        </w:rPr>
        <w:t xml:space="preserve"> and allows country-specific follow-up strategies to be formulated</w:t>
      </w:r>
      <w:r w:rsidR="009F3698">
        <w:rPr>
          <w:rFonts w:ascii="Arial" w:hAnsi="Arial" w:cs="Arial"/>
          <w:sz w:val="24"/>
          <w:szCs w:val="24"/>
          <w:lang w:val="en-GB"/>
        </w:rPr>
        <w:t>.</w:t>
      </w:r>
    </w:p>
    <w:p w:rsidR="00F30C27" w:rsidRPr="00EC5F5A" w:rsidRDefault="00F30C27" w:rsidP="003F3484">
      <w:pPr>
        <w:keepNext/>
        <w:spacing w:before="120" w:after="0" w:line="360" w:lineRule="auto"/>
        <w:jc w:val="both"/>
        <w:rPr>
          <w:rFonts w:ascii="Arial" w:hAnsi="Arial" w:cs="Arial"/>
          <w:b/>
          <w:sz w:val="24"/>
          <w:szCs w:val="24"/>
          <w:lang w:val="en-GB"/>
        </w:rPr>
      </w:pPr>
      <w:r w:rsidRPr="00EC5F5A">
        <w:rPr>
          <w:rFonts w:ascii="Arial" w:hAnsi="Arial" w:cs="Arial"/>
          <w:b/>
          <w:sz w:val="24"/>
          <w:szCs w:val="24"/>
          <w:lang w:val="en-GB"/>
        </w:rPr>
        <w:lastRenderedPageBreak/>
        <w:t>5. References</w:t>
      </w:r>
    </w:p>
    <w:p w:rsidR="00AB26CF" w:rsidRDefault="00AB26CF" w:rsidP="00F64A93">
      <w:pPr>
        <w:spacing w:before="120" w:after="0" w:line="360" w:lineRule="auto"/>
        <w:jc w:val="both"/>
        <w:rPr>
          <w:rFonts w:ascii="Arial" w:hAnsi="Arial" w:cs="Arial"/>
          <w:sz w:val="24"/>
          <w:szCs w:val="24"/>
          <w:lang w:val="en-GB"/>
        </w:rPr>
      </w:pPr>
      <w:r>
        <w:rPr>
          <w:rFonts w:ascii="Arial" w:hAnsi="Arial" w:cs="Arial"/>
          <w:sz w:val="24"/>
          <w:szCs w:val="24"/>
          <w:lang w:val="en-GB"/>
        </w:rPr>
        <w:t xml:space="preserve">Angulo E. and Hierro A. (2017), </w:t>
      </w:r>
      <w:r w:rsidRPr="00AB26CF">
        <w:rPr>
          <w:rFonts w:ascii="Arial" w:hAnsi="Arial" w:cs="Arial"/>
          <w:sz w:val="24"/>
          <w:szCs w:val="24"/>
          <w:lang w:val="en-GB"/>
        </w:rPr>
        <w:t>Asymmetries in the Coordinated Direct Investment Survey: What Lies Behind?</w:t>
      </w:r>
      <w:r>
        <w:rPr>
          <w:rFonts w:ascii="Arial" w:hAnsi="Arial" w:cs="Arial"/>
          <w:sz w:val="24"/>
          <w:szCs w:val="24"/>
          <w:lang w:val="en-GB"/>
        </w:rPr>
        <w:t>, IMF Working Paper No.17/261</w:t>
      </w:r>
    </w:p>
    <w:p w:rsidR="00F64A93" w:rsidRDefault="00F64A93" w:rsidP="00F64A93">
      <w:pPr>
        <w:spacing w:before="120" w:after="0" w:line="360" w:lineRule="auto"/>
        <w:jc w:val="both"/>
        <w:rPr>
          <w:rFonts w:ascii="Arial" w:hAnsi="Arial" w:cs="Arial"/>
          <w:sz w:val="24"/>
          <w:szCs w:val="24"/>
          <w:lang w:val="en-GB"/>
        </w:rPr>
      </w:pPr>
      <w:r>
        <w:rPr>
          <w:rFonts w:ascii="Arial" w:hAnsi="Arial" w:cs="Arial"/>
          <w:sz w:val="24"/>
          <w:szCs w:val="24"/>
          <w:lang w:val="en-GB"/>
        </w:rPr>
        <w:t xml:space="preserve">ECB and Eurostat (2014), </w:t>
      </w:r>
      <w:r w:rsidRPr="00F64A93">
        <w:rPr>
          <w:rFonts w:ascii="Arial" w:hAnsi="Arial" w:cs="Arial"/>
          <w:sz w:val="24"/>
          <w:szCs w:val="24"/>
          <w:lang w:val="en-GB"/>
        </w:rPr>
        <w:t>European Networking Exercises: The FDI Network</w:t>
      </w:r>
      <w:r w:rsidR="00707C17">
        <w:rPr>
          <w:rFonts w:ascii="Arial" w:hAnsi="Arial" w:cs="Arial"/>
          <w:sz w:val="24"/>
          <w:szCs w:val="24"/>
          <w:lang w:val="en-GB"/>
        </w:rPr>
        <w:t xml:space="preserve">, </w:t>
      </w:r>
      <w:r>
        <w:rPr>
          <w:rFonts w:ascii="Arial" w:hAnsi="Arial" w:cs="Arial"/>
          <w:sz w:val="24"/>
          <w:szCs w:val="24"/>
          <w:lang w:val="en-GB"/>
        </w:rPr>
        <w:t xml:space="preserve">Twenty-Seventh Meeting of the </w:t>
      </w:r>
      <w:r w:rsidRPr="00F64A93">
        <w:rPr>
          <w:rFonts w:ascii="Arial" w:hAnsi="Arial" w:cs="Arial"/>
          <w:sz w:val="24"/>
          <w:szCs w:val="24"/>
          <w:lang w:val="en-GB"/>
        </w:rPr>
        <w:t>IMF Committee on Balance of Payments Statistics</w:t>
      </w:r>
      <w:r>
        <w:rPr>
          <w:rFonts w:ascii="Arial" w:hAnsi="Arial" w:cs="Arial"/>
          <w:sz w:val="24"/>
          <w:szCs w:val="24"/>
          <w:lang w:val="en-GB"/>
        </w:rPr>
        <w:t xml:space="preserve"> </w:t>
      </w:r>
    </w:p>
    <w:p w:rsidR="00B427F5" w:rsidRPr="00EC5F5A" w:rsidRDefault="00B427F5" w:rsidP="00035EF1">
      <w:pPr>
        <w:spacing w:before="120" w:after="0" w:line="360" w:lineRule="auto"/>
        <w:jc w:val="both"/>
        <w:rPr>
          <w:rFonts w:ascii="Arial" w:hAnsi="Arial" w:cs="Arial"/>
          <w:sz w:val="24"/>
          <w:szCs w:val="24"/>
          <w:lang w:val="en-GB"/>
        </w:rPr>
      </w:pPr>
      <w:r>
        <w:rPr>
          <w:rFonts w:ascii="Arial" w:hAnsi="Arial" w:cs="Arial"/>
          <w:sz w:val="24"/>
          <w:szCs w:val="24"/>
          <w:lang w:val="en-GB"/>
        </w:rPr>
        <w:t>Eurostat</w:t>
      </w:r>
      <w:r w:rsidR="005B5F70">
        <w:rPr>
          <w:rFonts w:ascii="Arial" w:hAnsi="Arial" w:cs="Arial"/>
          <w:sz w:val="24"/>
          <w:szCs w:val="24"/>
          <w:lang w:val="en-GB"/>
        </w:rPr>
        <w:t xml:space="preserve"> (2006), Asymmetries in EU current account data, Working </w:t>
      </w:r>
      <w:r w:rsidR="00357E54">
        <w:rPr>
          <w:rFonts w:ascii="Arial" w:hAnsi="Arial" w:cs="Arial"/>
          <w:sz w:val="24"/>
          <w:szCs w:val="24"/>
          <w:lang w:val="en-GB"/>
        </w:rPr>
        <w:t>P</w:t>
      </w:r>
      <w:r w:rsidR="005B5F70">
        <w:rPr>
          <w:rFonts w:ascii="Arial" w:hAnsi="Arial" w:cs="Arial"/>
          <w:sz w:val="24"/>
          <w:szCs w:val="24"/>
          <w:lang w:val="en-GB"/>
        </w:rPr>
        <w:t xml:space="preserve">apers and </w:t>
      </w:r>
      <w:r w:rsidR="00357E54">
        <w:rPr>
          <w:rFonts w:ascii="Arial" w:hAnsi="Arial" w:cs="Arial"/>
          <w:sz w:val="24"/>
          <w:szCs w:val="24"/>
          <w:lang w:val="en-GB"/>
        </w:rPr>
        <w:t>Studies, Eurostat, 2006</w:t>
      </w:r>
    </w:p>
    <w:p w:rsidR="007D0C37" w:rsidRDefault="007D0C37" w:rsidP="00035EF1">
      <w:pPr>
        <w:spacing w:before="120" w:after="0" w:line="360" w:lineRule="auto"/>
        <w:jc w:val="both"/>
        <w:rPr>
          <w:rFonts w:ascii="Arial" w:hAnsi="Arial" w:cs="Arial"/>
          <w:sz w:val="24"/>
          <w:szCs w:val="24"/>
          <w:lang w:val="en-GB"/>
        </w:rPr>
      </w:pPr>
      <w:r w:rsidRPr="007D0C37">
        <w:rPr>
          <w:rFonts w:ascii="Arial" w:hAnsi="Arial" w:cs="Arial"/>
          <w:sz w:val="24"/>
          <w:szCs w:val="24"/>
          <w:lang w:val="en-GB"/>
        </w:rPr>
        <w:t>Javorsek</w:t>
      </w:r>
      <w:r>
        <w:rPr>
          <w:rFonts w:ascii="Arial" w:hAnsi="Arial" w:cs="Arial"/>
          <w:sz w:val="24"/>
          <w:szCs w:val="24"/>
          <w:lang w:val="en-GB"/>
        </w:rPr>
        <w:t xml:space="preserve"> M.</w:t>
      </w:r>
      <w:r w:rsidRPr="007D0C37">
        <w:rPr>
          <w:rFonts w:ascii="Arial" w:hAnsi="Arial" w:cs="Arial"/>
          <w:sz w:val="24"/>
          <w:szCs w:val="24"/>
          <w:lang w:val="en-GB"/>
        </w:rPr>
        <w:t xml:space="preserve"> (2016), Asymmetries in international merchandise trade statistics: A case study of selected countries in Asia and the</w:t>
      </w:r>
      <w:r w:rsidR="00707C17">
        <w:rPr>
          <w:rFonts w:ascii="Arial" w:hAnsi="Arial" w:cs="Arial"/>
          <w:sz w:val="24"/>
          <w:szCs w:val="24"/>
          <w:lang w:val="en-GB"/>
        </w:rPr>
        <w:t xml:space="preserve"> Pacific”, ARTNeT Working Paper</w:t>
      </w:r>
    </w:p>
    <w:p w:rsidR="00B427F5" w:rsidRDefault="00B427F5" w:rsidP="00B427F5">
      <w:pPr>
        <w:spacing w:before="120" w:after="0" w:line="360" w:lineRule="auto"/>
        <w:jc w:val="both"/>
        <w:rPr>
          <w:rFonts w:ascii="Arial" w:hAnsi="Arial" w:cs="Arial"/>
          <w:sz w:val="24"/>
          <w:szCs w:val="24"/>
          <w:lang w:val="en-GB"/>
        </w:rPr>
      </w:pPr>
      <w:r>
        <w:rPr>
          <w:rFonts w:ascii="Arial" w:hAnsi="Arial" w:cs="Arial"/>
          <w:sz w:val="24"/>
          <w:szCs w:val="24"/>
          <w:lang w:val="en-GB"/>
        </w:rPr>
        <w:t xml:space="preserve">Ortolani G. and Rucaj E. (2009), </w:t>
      </w:r>
      <w:r w:rsidRPr="00B427F5">
        <w:rPr>
          <w:rFonts w:ascii="Arial" w:hAnsi="Arial" w:cs="Arial"/>
          <w:sz w:val="24"/>
          <w:szCs w:val="24"/>
          <w:lang w:val="en-GB"/>
        </w:rPr>
        <w:t>Improving the q</w:t>
      </w:r>
      <w:r>
        <w:rPr>
          <w:rFonts w:ascii="Arial" w:hAnsi="Arial" w:cs="Arial"/>
          <w:sz w:val="24"/>
          <w:szCs w:val="24"/>
          <w:lang w:val="en-GB"/>
        </w:rPr>
        <w:t xml:space="preserve">uality of remittance statistics </w:t>
      </w:r>
      <w:r w:rsidRPr="00B427F5">
        <w:rPr>
          <w:rFonts w:ascii="Arial" w:hAnsi="Arial" w:cs="Arial"/>
          <w:sz w:val="24"/>
          <w:szCs w:val="24"/>
          <w:lang w:val="en-GB"/>
        </w:rPr>
        <w:t>through the analysis of bilateral asymmetries</w:t>
      </w:r>
      <w:r>
        <w:rPr>
          <w:rFonts w:ascii="Arial" w:hAnsi="Arial" w:cs="Arial"/>
          <w:sz w:val="24"/>
          <w:szCs w:val="24"/>
          <w:lang w:val="en-GB"/>
        </w:rPr>
        <w:t xml:space="preserve">, </w:t>
      </w:r>
      <w:r w:rsidRPr="00B427F5">
        <w:rPr>
          <w:rFonts w:ascii="Arial" w:hAnsi="Arial" w:cs="Arial"/>
          <w:sz w:val="24"/>
          <w:szCs w:val="24"/>
          <w:lang w:val="en-GB"/>
        </w:rPr>
        <w:t>Technical M</w:t>
      </w:r>
      <w:r>
        <w:rPr>
          <w:rFonts w:ascii="Arial" w:hAnsi="Arial" w:cs="Arial"/>
          <w:sz w:val="24"/>
          <w:szCs w:val="24"/>
          <w:lang w:val="en-GB"/>
        </w:rPr>
        <w:t>eeting on Measuring Remittances</w:t>
      </w:r>
    </w:p>
    <w:p w:rsidR="004740F1" w:rsidRPr="00EC5F5A" w:rsidRDefault="004740F1" w:rsidP="00C74A1D">
      <w:pPr>
        <w:rPr>
          <w:rFonts w:ascii="Arial" w:hAnsi="Arial" w:cs="Arial"/>
          <w:sz w:val="24"/>
          <w:szCs w:val="24"/>
          <w:lang w:val="en-GB"/>
        </w:rPr>
      </w:pPr>
    </w:p>
    <w:sectPr w:rsidR="004740F1" w:rsidRPr="00EC5F5A" w:rsidSect="0023623C">
      <w:headerReference w:type="even" r:id="rId13"/>
      <w:headerReference w:type="default" r:id="rId14"/>
      <w:footerReference w:type="default" r:id="rId15"/>
      <w:headerReference w:type="first" r:id="rId16"/>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07F" w:rsidRDefault="00D0107F" w:rsidP="00E82B25">
      <w:pPr>
        <w:spacing w:after="0" w:line="240" w:lineRule="auto"/>
      </w:pPr>
      <w:r>
        <w:separator/>
      </w:r>
    </w:p>
  </w:endnote>
  <w:endnote w:type="continuationSeparator" w:id="0">
    <w:p w:rsidR="00D0107F" w:rsidRDefault="00D0107F"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ndnya">
    <w:altName w:val="Courier"/>
    <w:panose1 w:val="00000400000000000000"/>
    <w:charset w:val="01"/>
    <w:family w:val="roman"/>
    <w:notTrueType/>
    <w:pitch w:val="variable"/>
  </w:font>
  <w:font w:name="Arial">
    <w:altName w:val="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roid_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36665"/>
      <w:docPartObj>
        <w:docPartGallery w:val="Page Numbers (Bottom of Page)"/>
        <w:docPartUnique/>
      </w:docPartObj>
    </w:sdtPr>
    <w:sdtEndPr>
      <w:rPr>
        <w:rFonts w:ascii="Arial" w:hAnsi="Arial" w:cs="Arial"/>
        <w:sz w:val="24"/>
        <w:szCs w:val="24"/>
      </w:rPr>
    </w:sdtEndPr>
    <w:sdtContent>
      <w:p w:rsidR="00D74BA5" w:rsidRPr="009378F5" w:rsidRDefault="00D74BA5" w:rsidP="0035694D">
        <w:pPr>
          <w:pStyle w:val="Footer"/>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AD4FD9">
          <w:rPr>
            <w:rFonts w:ascii="Arial" w:hAnsi="Arial" w:cs="Arial"/>
            <w:noProof/>
            <w:sz w:val="24"/>
            <w:szCs w:val="24"/>
          </w:rPr>
          <w:t>7</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07F" w:rsidRDefault="00D0107F" w:rsidP="00E82B25">
      <w:pPr>
        <w:spacing w:after="0" w:line="240" w:lineRule="auto"/>
      </w:pPr>
      <w:r>
        <w:separator/>
      </w:r>
    </w:p>
  </w:footnote>
  <w:footnote w:type="continuationSeparator" w:id="0">
    <w:p w:rsidR="00D0107F" w:rsidRDefault="00D0107F" w:rsidP="00E82B25">
      <w:pPr>
        <w:spacing w:after="0" w:line="240" w:lineRule="auto"/>
      </w:pPr>
      <w:r>
        <w:continuationSeparator/>
      </w:r>
    </w:p>
  </w:footnote>
  <w:footnote w:id="1">
    <w:p w:rsidR="00D74BA5" w:rsidRPr="00F518FE" w:rsidRDefault="00D74BA5" w:rsidP="001934EA">
      <w:pPr>
        <w:pStyle w:val="FootnoteText"/>
        <w:rPr>
          <w:lang w:val="en-GB"/>
        </w:rPr>
      </w:pPr>
      <w:r>
        <w:rPr>
          <w:rStyle w:val="FootnoteReference"/>
        </w:rPr>
        <w:footnoteRef/>
      </w:r>
      <w:r>
        <w:t xml:space="preserve"> </w:t>
      </w:r>
      <w:r w:rsidRPr="00657E17">
        <w:rPr>
          <w:rFonts w:ascii="Arial" w:hAnsi="Arial" w:cs="Arial"/>
        </w:rPr>
        <w:t xml:space="preserve">The </w:t>
      </w:r>
      <w:r w:rsidRPr="00657E17">
        <w:rPr>
          <w:rFonts w:ascii="Arial" w:hAnsi="Arial" w:cs="Arial"/>
          <w:lang w:val="en-GB"/>
        </w:rPr>
        <w:t>ECB’s</w:t>
      </w:r>
      <w:r w:rsidRPr="00657E17">
        <w:rPr>
          <w:rFonts w:ascii="Arial" w:hAnsi="Arial" w:cs="Arial"/>
        </w:rPr>
        <w:t xml:space="preserve"> Statistics </w:t>
      </w:r>
      <w:r w:rsidRPr="00657E17">
        <w:rPr>
          <w:rFonts w:ascii="Arial" w:hAnsi="Arial" w:cs="Arial"/>
          <w:lang w:val="en-GB"/>
        </w:rPr>
        <w:t>Quality</w:t>
      </w:r>
      <w:r w:rsidRPr="00657E17">
        <w:rPr>
          <w:rFonts w:ascii="Arial" w:hAnsi="Arial" w:cs="Arial"/>
        </w:rPr>
        <w:t xml:space="preserve"> Framework (SQF)</w:t>
      </w:r>
      <w:r>
        <w:rPr>
          <w:rFonts w:ascii="Arial" w:hAnsi="Arial" w:cs="Arial"/>
        </w:rPr>
        <w:t xml:space="preserve"> </w:t>
      </w:r>
      <w:r w:rsidRPr="001934EA">
        <w:rPr>
          <w:rFonts w:ascii="Arial" w:hAnsi="Arial" w:cs="Arial"/>
          <w:lang w:val="en-GB"/>
        </w:rPr>
        <w:t>and quality assurance procedures</w:t>
      </w:r>
      <w:r w:rsidRPr="00657E17">
        <w:rPr>
          <w:rFonts w:ascii="Arial" w:hAnsi="Arial" w:cs="Arial"/>
        </w:rPr>
        <w:t xml:space="preserve"> </w:t>
      </w:r>
      <w:r w:rsidRPr="00657E17">
        <w:rPr>
          <w:rFonts w:ascii="Arial" w:hAnsi="Arial" w:cs="Arial"/>
          <w:lang w:val="en-GB"/>
        </w:rPr>
        <w:t>is</w:t>
      </w:r>
      <w:r w:rsidRPr="00657E17">
        <w:rPr>
          <w:rFonts w:ascii="Arial" w:hAnsi="Arial" w:cs="Arial"/>
        </w:rPr>
        <w:t xml:space="preserve"> </w:t>
      </w:r>
      <w:r w:rsidRPr="00657E17">
        <w:rPr>
          <w:rFonts w:ascii="Arial" w:hAnsi="Arial" w:cs="Arial"/>
          <w:lang w:val="en-GB"/>
        </w:rPr>
        <w:t>available</w:t>
      </w:r>
      <w:r w:rsidRPr="00657E17">
        <w:rPr>
          <w:rFonts w:ascii="Arial" w:hAnsi="Arial" w:cs="Arial"/>
        </w:rPr>
        <w:t xml:space="preserve"> at:</w:t>
      </w:r>
      <w:r w:rsidRPr="00D77CE1">
        <w:t xml:space="preserve"> </w:t>
      </w:r>
      <w:hyperlink r:id="rId1" w:history="1">
        <w:r w:rsidRPr="004636D3">
          <w:rPr>
            <w:rStyle w:val="Hyperlink"/>
          </w:rPr>
          <w:t>http://www.ecb.europa.eu/stats/html/sqf.en.html</w:t>
        </w:r>
      </w:hyperlink>
      <w:r>
        <w:t xml:space="preserve"> </w:t>
      </w:r>
    </w:p>
  </w:footnote>
  <w:footnote w:id="2">
    <w:p w:rsidR="00D74BA5" w:rsidRPr="00E9772B" w:rsidRDefault="00D74BA5">
      <w:pPr>
        <w:pStyle w:val="FootnoteText"/>
        <w:rPr>
          <w:rFonts w:ascii="Arial" w:hAnsi="Arial" w:cs="Arial"/>
          <w:lang w:val="en-GB"/>
        </w:rPr>
      </w:pPr>
      <w:r w:rsidRPr="00F64A93">
        <w:rPr>
          <w:rStyle w:val="FootnoteReference"/>
          <w:rFonts w:ascii="Arial" w:hAnsi="Arial" w:cs="Arial"/>
        </w:rPr>
        <w:footnoteRef/>
      </w:r>
      <w:r w:rsidRPr="00F64A93">
        <w:rPr>
          <w:rFonts w:ascii="Arial" w:hAnsi="Arial" w:cs="Arial"/>
        </w:rPr>
        <w:t xml:space="preserve"> </w:t>
      </w:r>
      <w:r>
        <w:rPr>
          <w:rFonts w:ascii="Arial" w:hAnsi="Arial" w:cs="Arial"/>
          <w:lang w:val="en-GB"/>
        </w:rPr>
        <w:t xml:space="preserve">See the experience of the FDI network available: </w:t>
      </w:r>
      <w:hyperlink r:id="rId2" w:history="1">
        <w:r w:rsidRPr="002A6EF9">
          <w:rPr>
            <w:rStyle w:val="Hyperlink"/>
            <w:rFonts w:ascii="Arial" w:hAnsi="Arial" w:cs="Arial"/>
            <w:lang w:val="en-GB"/>
          </w:rPr>
          <w:t>https://www.imf.org/external/pubs/ft/bop/2014/pdf/14-20.pdf</w:t>
        </w:r>
      </w:hyperlink>
      <w:r>
        <w:rPr>
          <w:rFonts w:ascii="Arial" w:hAnsi="Arial" w:cs="Arial"/>
          <w:lang w:val="en-GB"/>
        </w:rPr>
        <w:t xml:space="preserve"> </w:t>
      </w:r>
    </w:p>
  </w:footnote>
  <w:footnote w:id="3">
    <w:p w:rsidR="00D74BA5" w:rsidRPr="00FA3473" w:rsidRDefault="00D74BA5">
      <w:pPr>
        <w:pStyle w:val="FootnoteText"/>
        <w:rPr>
          <w:rFonts w:ascii="Arial" w:hAnsi="Arial" w:cs="Arial"/>
          <w:lang w:val="en-GB"/>
        </w:rPr>
      </w:pPr>
      <w:r w:rsidRPr="00FA3473">
        <w:rPr>
          <w:rStyle w:val="FootnoteReference"/>
          <w:rFonts w:ascii="Arial" w:hAnsi="Arial" w:cs="Arial"/>
        </w:rPr>
        <w:footnoteRef/>
      </w:r>
      <w:r w:rsidRPr="00FA3473">
        <w:rPr>
          <w:rFonts w:ascii="Arial" w:hAnsi="Arial" w:cs="Arial"/>
        </w:rPr>
        <w:t xml:space="preserve"> </w:t>
      </w:r>
      <w:r w:rsidRPr="00FA3473">
        <w:rPr>
          <w:rFonts w:ascii="Arial" w:hAnsi="Arial" w:cs="Arial"/>
          <w:lang w:val="en-GB"/>
        </w:rPr>
        <w:t>These indicators could also be used to measure asymmetries for the current account, and then A will show the credits and L will represent the debits.</w:t>
      </w:r>
    </w:p>
  </w:footnote>
  <w:footnote w:id="4">
    <w:p w:rsidR="00D74BA5" w:rsidRPr="00D74BA5" w:rsidRDefault="00D74BA5">
      <w:pPr>
        <w:pStyle w:val="FootnoteText"/>
      </w:pPr>
      <w:r>
        <w:rPr>
          <w:rStyle w:val="FootnoteReference"/>
        </w:rPr>
        <w:footnoteRef/>
      </w:r>
      <w:r>
        <w:t xml:space="preserve"> </w:t>
      </w:r>
      <w:r w:rsidRPr="007534E6">
        <w:rPr>
          <w:lang w:val="en-GB"/>
        </w:rPr>
        <w:t>Another possibility of achieving the extreme value of 1 is that C1 would report zero flows vis-á-vis all its counterparties.</w:t>
      </w:r>
      <w:r>
        <w:t xml:space="preserve"> </w:t>
      </w:r>
    </w:p>
  </w:footnote>
  <w:footnote w:id="5">
    <w:p w:rsidR="00D74BA5" w:rsidRPr="00017FE3" w:rsidRDefault="00D74BA5" w:rsidP="00C24404">
      <w:pPr>
        <w:pStyle w:val="FootnoteText"/>
      </w:pPr>
      <w:r>
        <w:rPr>
          <w:rStyle w:val="FootnoteReference"/>
        </w:rPr>
        <w:footnoteRef/>
      </w:r>
      <w:r>
        <w:t xml:space="preserve"> </w:t>
      </w:r>
      <w:r w:rsidRPr="00707C17">
        <w:rPr>
          <w:rFonts w:ascii="Arial" w:hAnsi="Arial" w:cs="Arial"/>
          <w:lang w:val="en-GB"/>
        </w:rPr>
        <w:t xml:space="preserve">Also as observed through the </w:t>
      </w:r>
      <w:r>
        <w:rPr>
          <w:rFonts w:ascii="Arial" w:hAnsi="Arial" w:cs="Arial"/>
          <w:lang w:val="en-GB"/>
        </w:rPr>
        <w:t xml:space="preserve">available </w:t>
      </w:r>
      <w:r w:rsidRPr="00707C17">
        <w:rPr>
          <w:rFonts w:ascii="Arial" w:hAnsi="Arial" w:cs="Arial"/>
          <w:lang w:val="en-GB"/>
        </w:rPr>
        <w:t>mirror data.</w:t>
      </w:r>
    </w:p>
  </w:footnote>
  <w:footnote w:id="6">
    <w:p w:rsidR="00D74BA5" w:rsidRPr="00C6760C" w:rsidRDefault="00D74BA5" w:rsidP="00933446">
      <w:pPr>
        <w:pStyle w:val="FootnoteText"/>
        <w:rPr>
          <w:lang w:val="en-GB"/>
        </w:rPr>
      </w:pPr>
      <w:r>
        <w:rPr>
          <w:rStyle w:val="FootnoteReference"/>
        </w:rPr>
        <w:footnoteRef/>
      </w:r>
      <w:r>
        <w:t xml:space="preserve"> </w:t>
      </w:r>
      <w:r w:rsidRPr="00C03969">
        <w:rPr>
          <w:rFonts w:ascii="Arial" w:hAnsi="Arial" w:cs="Arial"/>
        </w:rPr>
        <w:t xml:space="preserve">The </w:t>
      </w:r>
      <w:r w:rsidRPr="00C03969">
        <w:rPr>
          <w:rFonts w:ascii="Arial" w:hAnsi="Arial" w:cs="Arial"/>
          <w:color w:val="191919"/>
          <w:lang w:val="en"/>
        </w:rPr>
        <w:t>guideline of the ECB of 9 December 2011 on the statistical reporting requirements of the ECB in the field of external statistics is available at</w:t>
      </w:r>
      <w:r>
        <w:rPr>
          <w:rFonts w:ascii="droid_sans" w:hAnsi="droid_sans"/>
          <w:color w:val="191919"/>
          <w:lang w:val="en"/>
        </w:rPr>
        <w:t xml:space="preserve">: </w:t>
      </w:r>
      <w:hyperlink r:id="rId3" w:history="1">
        <w:r w:rsidRPr="00C03969">
          <w:rPr>
            <w:rStyle w:val="Hyperlink"/>
            <w:rFonts w:ascii="Arial" w:hAnsi="Arial" w:cs="Arial"/>
          </w:rPr>
          <w:t>http://www.ecb.europa.eu/ecb/legal/1005/1022/html/index.en.html</w:t>
        </w:r>
      </w:hyperlink>
      <w:r>
        <w:t xml:space="preserve"> </w:t>
      </w:r>
    </w:p>
  </w:footnote>
  <w:footnote w:id="7">
    <w:p w:rsidR="00D74BA5" w:rsidRPr="00933446" w:rsidRDefault="00D74BA5">
      <w:pPr>
        <w:pStyle w:val="FootnoteText"/>
        <w:rPr>
          <w:lang w:val="en-GB"/>
        </w:rPr>
      </w:pPr>
      <w:r>
        <w:rPr>
          <w:rStyle w:val="FootnoteReference"/>
        </w:rPr>
        <w:footnoteRef/>
      </w:r>
      <w:r>
        <w:t xml:space="preserve"> </w:t>
      </w:r>
      <w:r w:rsidRPr="00C03969">
        <w:rPr>
          <w:rFonts w:ascii="Arial" w:hAnsi="Arial" w:cs="Arial"/>
          <w:lang w:val="en-GB"/>
        </w:rPr>
        <w:t>For example, the indicators of Malta are calculated only for 5 out of 12 quarters.</w:t>
      </w:r>
      <w:r>
        <w:rPr>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BA5" w:rsidRDefault="00D0107F">
    <w:pPr>
      <w:pStyle w:val="Header"/>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BA5" w:rsidRDefault="00D0107F">
    <w:pPr>
      <w:pStyle w:val="Header"/>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BA5" w:rsidRDefault="00D0107F">
    <w:pPr>
      <w:pStyle w:val="Header"/>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D2A5C"/>
    <w:multiLevelType w:val="hybridMultilevel"/>
    <w:tmpl w:val="7D861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9478A2"/>
    <w:multiLevelType w:val="hybridMultilevel"/>
    <w:tmpl w:val="47CA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9C"/>
    <w:rsid w:val="00000BCA"/>
    <w:rsid w:val="00004C50"/>
    <w:rsid w:val="00007B57"/>
    <w:rsid w:val="0001774B"/>
    <w:rsid w:val="00017FE3"/>
    <w:rsid w:val="00024394"/>
    <w:rsid w:val="00026CD3"/>
    <w:rsid w:val="0002781E"/>
    <w:rsid w:val="00034157"/>
    <w:rsid w:val="00035EF1"/>
    <w:rsid w:val="00044C0B"/>
    <w:rsid w:val="00047C24"/>
    <w:rsid w:val="0006734B"/>
    <w:rsid w:val="00070925"/>
    <w:rsid w:val="00076761"/>
    <w:rsid w:val="0007704A"/>
    <w:rsid w:val="000957CC"/>
    <w:rsid w:val="000A1C3F"/>
    <w:rsid w:val="000A2FFF"/>
    <w:rsid w:val="000A6B34"/>
    <w:rsid w:val="000C1CFE"/>
    <w:rsid w:val="000C6472"/>
    <w:rsid w:val="000D705A"/>
    <w:rsid w:val="000F196D"/>
    <w:rsid w:val="000F1CB1"/>
    <w:rsid w:val="000F2E56"/>
    <w:rsid w:val="000F2E66"/>
    <w:rsid w:val="000F337F"/>
    <w:rsid w:val="000F51C8"/>
    <w:rsid w:val="001128A2"/>
    <w:rsid w:val="00133E07"/>
    <w:rsid w:val="00134568"/>
    <w:rsid w:val="00142A8D"/>
    <w:rsid w:val="00157DAD"/>
    <w:rsid w:val="00160406"/>
    <w:rsid w:val="0016743D"/>
    <w:rsid w:val="00172E99"/>
    <w:rsid w:val="001819CB"/>
    <w:rsid w:val="001821D5"/>
    <w:rsid w:val="00182357"/>
    <w:rsid w:val="0018328B"/>
    <w:rsid w:val="00184869"/>
    <w:rsid w:val="001934EA"/>
    <w:rsid w:val="001A2CD8"/>
    <w:rsid w:val="001A6D85"/>
    <w:rsid w:val="001C02B1"/>
    <w:rsid w:val="001C02FC"/>
    <w:rsid w:val="001E43DC"/>
    <w:rsid w:val="001F183D"/>
    <w:rsid w:val="00203D66"/>
    <w:rsid w:val="00203F9F"/>
    <w:rsid w:val="0021279E"/>
    <w:rsid w:val="00217E21"/>
    <w:rsid w:val="00221F17"/>
    <w:rsid w:val="00223B40"/>
    <w:rsid w:val="00233FE3"/>
    <w:rsid w:val="00234927"/>
    <w:rsid w:val="0023623C"/>
    <w:rsid w:val="00242620"/>
    <w:rsid w:val="002550BA"/>
    <w:rsid w:val="0027139A"/>
    <w:rsid w:val="00280780"/>
    <w:rsid w:val="0028150C"/>
    <w:rsid w:val="00282B53"/>
    <w:rsid w:val="00293580"/>
    <w:rsid w:val="002B2C83"/>
    <w:rsid w:val="002B6D33"/>
    <w:rsid w:val="002C70B3"/>
    <w:rsid w:val="002D548C"/>
    <w:rsid w:val="002D5E6F"/>
    <w:rsid w:val="002D66CA"/>
    <w:rsid w:val="002F0BE5"/>
    <w:rsid w:val="002F33A6"/>
    <w:rsid w:val="002F366D"/>
    <w:rsid w:val="002F6CB1"/>
    <w:rsid w:val="00314B6E"/>
    <w:rsid w:val="00320438"/>
    <w:rsid w:val="00321099"/>
    <w:rsid w:val="00326C3F"/>
    <w:rsid w:val="00336E21"/>
    <w:rsid w:val="0034712B"/>
    <w:rsid w:val="0035694D"/>
    <w:rsid w:val="00357E54"/>
    <w:rsid w:val="00362815"/>
    <w:rsid w:val="00370382"/>
    <w:rsid w:val="003821AA"/>
    <w:rsid w:val="00393AFC"/>
    <w:rsid w:val="003964B9"/>
    <w:rsid w:val="003A1D16"/>
    <w:rsid w:val="003D0669"/>
    <w:rsid w:val="003E402C"/>
    <w:rsid w:val="003E418D"/>
    <w:rsid w:val="003F1E13"/>
    <w:rsid w:val="003F2A50"/>
    <w:rsid w:val="003F3484"/>
    <w:rsid w:val="003F4F0D"/>
    <w:rsid w:val="003F769D"/>
    <w:rsid w:val="00403972"/>
    <w:rsid w:val="00405430"/>
    <w:rsid w:val="00406C2D"/>
    <w:rsid w:val="004123FF"/>
    <w:rsid w:val="004150F5"/>
    <w:rsid w:val="00415B5C"/>
    <w:rsid w:val="00422669"/>
    <w:rsid w:val="00422862"/>
    <w:rsid w:val="004448E9"/>
    <w:rsid w:val="00445949"/>
    <w:rsid w:val="004740F1"/>
    <w:rsid w:val="00483D50"/>
    <w:rsid w:val="004867AA"/>
    <w:rsid w:val="00491362"/>
    <w:rsid w:val="00493026"/>
    <w:rsid w:val="00496BF4"/>
    <w:rsid w:val="004A12A7"/>
    <w:rsid w:val="004A1A99"/>
    <w:rsid w:val="004A6213"/>
    <w:rsid w:val="004B15EC"/>
    <w:rsid w:val="004B1EE5"/>
    <w:rsid w:val="004B39C1"/>
    <w:rsid w:val="004B6729"/>
    <w:rsid w:val="004C42BC"/>
    <w:rsid w:val="004C4CD5"/>
    <w:rsid w:val="004C5048"/>
    <w:rsid w:val="004C7DE0"/>
    <w:rsid w:val="004E10DD"/>
    <w:rsid w:val="004E5EA5"/>
    <w:rsid w:val="004F04B4"/>
    <w:rsid w:val="00503914"/>
    <w:rsid w:val="005068FD"/>
    <w:rsid w:val="00515E05"/>
    <w:rsid w:val="005215E8"/>
    <w:rsid w:val="00530FD6"/>
    <w:rsid w:val="00532242"/>
    <w:rsid w:val="00533155"/>
    <w:rsid w:val="00547DC7"/>
    <w:rsid w:val="005506BA"/>
    <w:rsid w:val="00550BE5"/>
    <w:rsid w:val="00562C8D"/>
    <w:rsid w:val="00576770"/>
    <w:rsid w:val="005812C5"/>
    <w:rsid w:val="0058350F"/>
    <w:rsid w:val="005A1F57"/>
    <w:rsid w:val="005B371D"/>
    <w:rsid w:val="005B5A92"/>
    <w:rsid w:val="005B5F70"/>
    <w:rsid w:val="005B6971"/>
    <w:rsid w:val="005C68CA"/>
    <w:rsid w:val="005E2903"/>
    <w:rsid w:val="005F0FF7"/>
    <w:rsid w:val="005F1761"/>
    <w:rsid w:val="005F2CBF"/>
    <w:rsid w:val="0060187F"/>
    <w:rsid w:val="006052BF"/>
    <w:rsid w:val="0061226A"/>
    <w:rsid w:val="006265D2"/>
    <w:rsid w:val="00631647"/>
    <w:rsid w:val="00636F15"/>
    <w:rsid w:val="00637CE1"/>
    <w:rsid w:val="00650F21"/>
    <w:rsid w:val="0065257B"/>
    <w:rsid w:val="00653D6C"/>
    <w:rsid w:val="00657E17"/>
    <w:rsid w:val="00667788"/>
    <w:rsid w:val="0069009D"/>
    <w:rsid w:val="00697934"/>
    <w:rsid w:val="006B4F7B"/>
    <w:rsid w:val="006B5A4A"/>
    <w:rsid w:val="006C5879"/>
    <w:rsid w:val="006E00FF"/>
    <w:rsid w:val="006E1B1D"/>
    <w:rsid w:val="006F157F"/>
    <w:rsid w:val="00707C17"/>
    <w:rsid w:val="007146B5"/>
    <w:rsid w:val="00715FC4"/>
    <w:rsid w:val="00732062"/>
    <w:rsid w:val="00733BF2"/>
    <w:rsid w:val="00743B60"/>
    <w:rsid w:val="007534E6"/>
    <w:rsid w:val="00754781"/>
    <w:rsid w:val="00765631"/>
    <w:rsid w:val="00772BA9"/>
    <w:rsid w:val="007730C4"/>
    <w:rsid w:val="00776C97"/>
    <w:rsid w:val="007843CE"/>
    <w:rsid w:val="0078606D"/>
    <w:rsid w:val="00790BB0"/>
    <w:rsid w:val="007A4D1A"/>
    <w:rsid w:val="007B457D"/>
    <w:rsid w:val="007B7159"/>
    <w:rsid w:val="007C367D"/>
    <w:rsid w:val="007D0C37"/>
    <w:rsid w:val="007E24DE"/>
    <w:rsid w:val="007E5DDB"/>
    <w:rsid w:val="007E6D8C"/>
    <w:rsid w:val="007E771E"/>
    <w:rsid w:val="007F486E"/>
    <w:rsid w:val="008127E8"/>
    <w:rsid w:val="008135FD"/>
    <w:rsid w:val="00817209"/>
    <w:rsid w:val="008202C0"/>
    <w:rsid w:val="00822BB4"/>
    <w:rsid w:val="0082373C"/>
    <w:rsid w:val="00826608"/>
    <w:rsid w:val="008524A6"/>
    <w:rsid w:val="00852661"/>
    <w:rsid w:val="00863A92"/>
    <w:rsid w:val="00867B2C"/>
    <w:rsid w:val="00873330"/>
    <w:rsid w:val="00873C84"/>
    <w:rsid w:val="00883326"/>
    <w:rsid w:val="008859BC"/>
    <w:rsid w:val="008906DB"/>
    <w:rsid w:val="008A1600"/>
    <w:rsid w:val="008A71D2"/>
    <w:rsid w:val="008B0935"/>
    <w:rsid w:val="008C1F34"/>
    <w:rsid w:val="008D41FD"/>
    <w:rsid w:val="008D56E1"/>
    <w:rsid w:val="008D6094"/>
    <w:rsid w:val="008E6DB7"/>
    <w:rsid w:val="008F59EC"/>
    <w:rsid w:val="009008FE"/>
    <w:rsid w:val="00902A7F"/>
    <w:rsid w:val="00905EF4"/>
    <w:rsid w:val="0091142C"/>
    <w:rsid w:val="00912F0C"/>
    <w:rsid w:val="00913DF4"/>
    <w:rsid w:val="00915CA9"/>
    <w:rsid w:val="00920924"/>
    <w:rsid w:val="00920D50"/>
    <w:rsid w:val="00920E46"/>
    <w:rsid w:val="00925EAC"/>
    <w:rsid w:val="00933446"/>
    <w:rsid w:val="009378B2"/>
    <w:rsid w:val="009378F5"/>
    <w:rsid w:val="00941667"/>
    <w:rsid w:val="00953AFF"/>
    <w:rsid w:val="0095491D"/>
    <w:rsid w:val="00972AA3"/>
    <w:rsid w:val="00973B8D"/>
    <w:rsid w:val="009A27D1"/>
    <w:rsid w:val="009B267B"/>
    <w:rsid w:val="009B63A8"/>
    <w:rsid w:val="009B7F3D"/>
    <w:rsid w:val="009D189E"/>
    <w:rsid w:val="009D54AC"/>
    <w:rsid w:val="009F2708"/>
    <w:rsid w:val="009F3698"/>
    <w:rsid w:val="009F5C9C"/>
    <w:rsid w:val="00A10F19"/>
    <w:rsid w:val="00A23816"/>
    <w:rsid w:val="00A2552B"/>
    <w:rsid w:val="00A454B6"/>
    <w:rsid w:val="00A45B99"/>
    <w:rsid w:val="00A531F2"/>
    <w:rsid w:val="00A6013E"/>
    <w:rsid w:val="00A65AED"/>
    <w:rsid w:val="00A8690D"/>
    <w:rsid w:val="00A922CA"/>
    <w:rsid w:val="00A942AB"/>
    <w:rsid w:val="00AA1F2E"/>
    <w:rsid w:val="00AB190C"/>
    <w:rsid w:val="00AB1F3B"/>
    <w:rsid w:val="00AB26CF"/>
    <w:rsid w:val="00AD1423"/>
    <w:rsid w:val="00AD30DC"/>
    <w:rsid w:val="00AD4AEE"/>
    <w:rsid w:val="00AD4FD9"/>
    <w:rsid w:val="00AE57B6"/>
    <w:rsid w:val="00AF648A"/>
    <w:rsid w:val="00B055FB"/>
    <w:rsid w:val="00B264C7"/>
    <w:rsid w:val="00B31065"/>
    <w:rsid w:val="00B427F5"/>
    <w:rsid w:val="00B4471D"/>
    <w:rsid w:val="00B47197"/>
    <w:rsid w:val="00B72169"/>
    <w:rsid w:val="00B725CF"/>
    <w:rsid w:val="00B74218"/>
    <w:rsid w:val="00B74522"/>
    <w:rsid w:val="00B77A7F"/>
    <w:rsid w:val="00B8606C"/>
    <w:rsid w:val="00B86FC7"/>
    <w:rsid w:val="00B873E2"/>
    <w:rsid w:val="00B912C3"/>
    <w:rsid w:val="00B95ADF"/>
    <w:rsid w:val="00BB19AC"/>
    <w:rsid w:val="00BB2EA9"/>
    <w:rsid w:val="00BC26CE"/>
    <w:rsid w:val="00BC5FD9"/>
    <w:rsid w:val="00BC64AC"/>
    <w:rsid w:val="00BD01F3"/>
    <w:rsid w:val="00BF01C6"/>
    <w:rsid w:val="00BF6DBC"/>
    <w:rsid w:val="00C01217"/>
    <w:rsid w:val="00C032B8"/>
    <w:rsid w:val="00C03969"/>
    <w:rsid w:val="00C07681"/>
    <w:rsid w:val="00C1642B"/>
    <w:rsid w:val="00C16E8E"/>
    <w:rsid w:val="00C24404"/>
    <w:rsid w:val="00C261EA"/>
    <w:rsid w:val="00C26A49"/>
    <w:rsid w:val="00C40213"/>
    <w:rsid w:val="00C444A7"/>
    <w:rsid w:val="00C44B63"/>
    <w:rsid w:val="00C54702"/>
    <w:rsid w:val="00C55909"/>
    <w:rsid w:val="00C6760C"/>
    <w:rsid w:val="00C726EA"/>
    <w:rsid w:val="00C74A1D"/>
    <w:rsid w:val="00C975A7"/>
    <w:rsid w:val="00CB2B44"/>
    <w:rsid w:val="00CB4074"/>
    <w:rsid w:val="00CB5BBE"/>
    <w:rsid w:val="00CC1C1D"/>
    <w:rsid w:val="00CD297D"/>
    <w:rsid w:val="00CD6E88"/>
    <w:rsid w:val="00CD7220"/>
    <w:rsid w:val="00CD785E"/>
    <w:rsid w:val="00CE13D7"/>
    <w:rsid w:val="00CE2645"/>
    <w:rsid w:val="00CF022E"/>
    <w:rsid w:val="00CF33AD"/>
    <w:rsid w:val="00CF656A"/>
    <w:rsid w:val="00D0107F"/>
    <w:rsid w:val="00D0258C"/>
    <w:rsid w:val="00D0270E"/>
    <w:rsid w:val="00D02B1E"/>
    <w:rsid w:val="00D05339"/>
    <w:rsid w:val="00D10803"/>
    <w:rsid w:val="00D171F8"/>
    <w:rsid w:val="00D20550"/>
    <w:rsid w:val="00D24652"/>
    <w:rsid w:val="00D24C3B"/>
    <w:rsid w:val="00D3638C"/>
    <w:rsid w:val="00D37697"/>
    <w:rsid w:val="00D45FD2"/>
    <w:rsid w:val="00D510D4"/>
    <w:rsid w:val="00D5193E"/>
    <w:rsid w:val="00D52194"/>
    <w:rsid w:val="00D65C24"/>
    <w:rsid w:val="00D74BA5"/>
    <w:rsid w:val="00D77CE1"/>
    <w:rsid w:val="00D80E98"/>
    <w:rsid w:val="00D854D7"/>
    <w:rsid w:val="00DA6171"/>
    <w:rsid w:val="00DA74F6"/>
    <w:rsid w:val="00DA7A86"/>
    <w:rsid w:val="00DB7742"/>
    <w:rsid w:val="00DC7D7A"/>
    <w:rsid w:val="00DD4526"/>
    <w:rsid w:val="00DD4977"/>
    <w:rsid w:val="00DE01B4"/>
    <w:rsid w:val="00DE04EA"/>
    <w:rsid w:val="00DE533B"/>
    <w:rsid w:val="00DF27A8"/>
    <w:rsid w:val="00DF48E7"/>
    <w:rsid w:val="00E00953"/>
    <w:rsid w:val="00E03177"/>
    <w:rsid w:val="00E0767B"/>
    <w:rsid w:val="00E140A7"/>
    <w:rsid w:val="00E17A3F"/>
    <w:rsid w:val="00E2011D"/>
    <w:rsid w:val="00E2141B"/>
    <w:rsid w:val="00E261EB"/>
    <w:rsid w:val="00E277B2"/>
    <w:rsid w:val="00E317AE"/>
    <w:rsid w:val="00E32BA7"/>
    <w:rsid w:val="00E41AB0"/>
    <w:rsid w:val="00E43C6D"/>
    <w:rsid w:val="00E65005"/>
    <w:rsid w:val="00E7228E"/>
    <w:rsid w:val="00E75DD2"/>
    <w:rsid w:val="00E82B25"/>
    <w:rsid w:val="00E835BE"/>
    <w:rsid w:val="00E85FFC"/>
    <w:rsid w:val="00E915FB"/>
    <w:rsid w:val="00E92831"/>
    <w:rsid w:val="00E9313B"/>
    <w:rsid w:val="00E967D3"/>
    <w:rsid w:val="00E9772B"/>
    <w:rsid w:val="00E97735"/>
    <w:rsid w:val="00EA103D"/>
    <w:rsid w:val="00EA67A6"/>
    <w:rsid w:val="00EB42B4"/>
    <w:rsid w:val="00EB7A63"/>
    <w:rsid w:val="00EB7CFF"/>
    <w:rsid w:val="00EC5F5A"/>
    <w:rsid w:val="00EE4A70"/>
    <w:rsid w:val="00EE4F51"/>
    <w:rsid w:val="00EF0310"/>
    <w:rsid w:val="00EF2665"/>
    <w:rsid w:val="00F11D82"/>
    <w:rsid w:val="00F12F4E"/>
    <w:rsid w:val="00F15DCE"/>
    <w:rsid w:val="00F30C27"/>
    <w:rsid w:val="00F51570"/>
    <w:rsid w:val="00F518FE"/>
    <w:rsid w:val="00F64A93"/>
    <w:rsid w:val="00F74EA2"/>
    <w:rsid w:val="00F74FBA"/>
    <w:rsid w:val="00F844F3"/>
    <w:rsid w:val="00F85D54"/>
    <w:rsid w:val="00F93D54"/>
    <w:rsid w:val="00FA3473"/>
    <w:rsid w:val="00FC6BD8"/>
    <w:rsid w:val="00FD7518"/>
    <w:rsid w:val="00FE3565"/>
    <w:rsid w:val="00FE369C"/>
    <w:rsid w:val="00FF2B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7197"/>
    <w:pPr>
      <w:spacing w:after="0" w:line="240" w:lineRule="auto"/>
    </w:pPr>
  </w:style>
  <w:style w:type="paragraph" w:styleId="BalloonText">
    <w:name w:val="Balloon Text"/>
    <w:basedOn w:val="Normal"/>
    <w:link w:val="BalloonTextChar"/>
    <w:uiPriority w:val="99"/>
    <w:semiHidden/>
    <w:unhideWhenUsed/>
    <w:rsid w:val="00B4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semiHidden/>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semiHidden/>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basedOn w:val="Normal"/>
    <w:link w:val="FootnoteTextChar"/>
    <w:uiPriority w:val="99"/>
    <w:semiHidden/>
    <w:unhideWhenUsed/>
    <w:rsid w:val="00F30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C27"/>
    <w:rPr>
      <w:sz w:val="20"/>
      <w:szCs w:val="20"/>
    </w:rPr>
  </w:style>
  <w:style w:type="character" w:styleId="FootnoteReference">
    <w:name w:val="footnote reference"/>
    <w:basedOn w:val="DefaultParagraphFont"/>
    <w:uiPriority w:val="99"/>
    <w:semiHidden/>
    <w:unhideWhenUsed/>
    <w:rsid w:val="00F30C27"/>
    <w:rPr>
      <w:vertAlign w:val="superscript"/>
    </w:rPr>
  </w:style>
  <w:style w:type="paragraph" w:styleId="Caption">
    <w:name w:val="caption"/>
    <w:basedOn w:val="Normal"/>
    <w:next w:val="Normal"/>
    <w:uiPriority w:val="35"/>
    <w:unhideWhenUsed/>
    <w:qFormat/>
    <w:rsid w:val="00AD4AEE"/>
    <w:pPr>
      <w:spacing w:after="200" w:line="240" w:lineRule="auto"/>
    </w:pPr>
    <w:rPr>
      <w:i/>
      <w:iCs/>
      <w:color w:val="44546A" w:themeColor="text2"/>
      <w:sz w:val="18"/>
      <w:szCs w:val="18"/>
    </w:rPr>
  </w:style>
  <w:style w:type="paragraph" w:styleId="ListParagraph">
    <w:name w:val="List Paragraph"/>
    <w:basedOn w:val="Normal"/>
    <w:uiPriority w:val="34"/>
    <w:qFormat/>
    <w:rsid w:val="004C4CD5"/>
    <w:pPr>
      <w:ind w:left="720"/>
      <w:contextualSpacing/>
    </w:pPr>
  </w:style>
  <w:style w:type="paragraph" w:styleId="EndnoteText">
    <w:name w:val="endnote text"/>
    <w:basedOn w:val="Normal"/>
    <w:link w:val="EndnoteTextChar"/>
    <w:uiPriority w:val="99"/>
    <w:semiHidden/>
    <w:unhideWhenUsed/>
    <w:rsid w:val="00F518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18FE"/>
    <w:rPr>
      <w:sz w:val="20"/>
      <w:szCs w:val="20"/>
    </w:rPr>
  </w:style>
  <w:style w:type="character" w:styleId="EndnoteReference">
    <w:name w:val="endnote reference"/>
    <w:basedOn w:val="DefaultParagraphFont"/>
    <w:uiPriority w:val="99"/>
    <w:semiHidden/>
    <w:unhideWhenUsed/>
    <w:rsid w:val="00F518FE"/>
    <w:rPr>
      <w:vertAlign w:val="superscript"/>
    </w:rPr>
  </w:style>
  <w:style w:type="character" w:styleId="FollowedHyperlink">
    <w:name w:val="FollowedHyperlink"/>
    <w:basedOn w:val="DefaultParagraphFont"/>
    <w:uiPriority w:val="99"/>
    <w:semiHidden/>
    <w:unhideWhenUsed/>
    <w:rsid w:val="00D77CE1"/>
    <w:rPr>
      <w:color w:val="954F72" w:themeColor="followedHyperlink"/>
      <w:u w:val="single"/>
    </w:rPr>
  </w:style>
  <w:style w:type="table" w:customStyle="1" w:styleId="TableGrid2">
    <w:name w:val="Table Grid2"/>
    <w:basedOn w:val="TableNormal"/>
    <w:next w:val="TableGrid"/>
    <w:uiPriority w:val="59"/>
    <w:rsid w:val="0065257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BBodyText">
    <w:name w:val="ECB Body Text"/>
    <w:basedOn w:val="Normal"/>
    <w:link w:val="ECBBodyTextChar"/>
    <w:qFormat/>
    <w:rsid w:val="00A922CA"/>
    <w:pPr>
      <w:spacing w:before="60" w:after="60" w:line="300" w:lineRule="atLeast"/>
    </w:pPr>
    <w:rPr>
      <w:rFonts w:eastAsia="Times New Roman" w:cs="Sendnya"/>
      <w:sz w:val="20"/>
      <w:lang w:val="en-GB" w:eastAsia="en-GB"/>
    </w:rPr>
  </w:style>
  <w:style w:type="character" w:customStyle="1" w:styleId="ECBBodyTextChar">
    <w:name w:val="ECB Body Text Char"/>
    <w:link w:val="ECBBodyText"/>
    <w:rsid w:val="00A922CA"/>
    <w:rPr>
      <w:rFonts w:eastAsia="Times New Roman" w:cs="Sendnya"/>
      <w:sz w:val="20"/>
      <w:lang w:val="en-GB" w:eastAsia="en-GB"/>
    </w:rPr>
  </w:style>
  <w:style w:type="paragraph" w:styleId="Revision">
    <w:name w:val="Revision"/>
    <w:hidden/>
    <w:uiPriority w:val="99"/>
    <w:semiHidden/>
    <w:rsid w:val="00FF2B3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7197"/>
    <w:pPr>
      <w:spacing w:after="0" w:line="240" w:lineRule="auto"/>
    </w:pPr>
  </w:style>
  <w:style w:type="paragraph" w:styleId="BalloonText">
    <w:name w:val="Balloon Text"/>
    <w:basedOn w:val="Normal"/>
    <w:link w:val="BalloonTextChar"/>
    <w:uiPriority w:val="99"/>
    <w:semiHidden/>
    <w:unhideWhenUsed/>
    <w:rsid w:val="00B4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semiHidden/>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semiHidden/>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basedOn w:val="Normal"/>
    <w:link w:val="FootnoteTextChar"/>
    <w:uiPriority w:val="99"/>
    <w:semiHidden/>
    <w:unhideWhenUsed/>
    <w:rsid w:val="00F30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C27"/>
    <w:rPr>
      <w:sz w:val="20"/>
      <w:szCs w:val="20"/>
    </w:rPr>
  </w:style>
  <w:style w:type="character" w:styleId="FootnoteReference">
    <w:name w:val="footnote reference"/>
    <w:basedOn w:val="DefaultParagraphFont"/>
    <w:uiPriority w:val="99"/>
    <w:semiHidden/>
    <w:unhideWhenUsed/>
    <w:rsid w:val="00F30C27"/>
    <w:rPr>
      <w:vertAlign w:val="superscript"/>
    </w:rPr>
  </w:style>
  <w:style w:type="paragraph" w:styleId="Caption">
    <w:name w:val="caption"/>
    <w:basedOn w:val="Normal"/>
    <w:next w:val="Normal"/>
    <w:uiPriority w:val="35"/>
    <w:unhideWhenUsed/>
    <w:qFormat/>
    <w:rsid w:val="00AD4AEE"/>
    <w:pPr>
      <w:spacing w:after="200" w:line="240" w:lineRule="auto"/>
    </w:pPr>
    <w:rPr>
      <w:i/>
      <w:iCs/>
      <w:color w:val="44546A" w:themeColor="text2"/>
      <w:sz w:val="18"/>
      <w:szCs w:val="18"/>
    </w:rPr>
  </w:style>
  <w:style w:type="paragraph" w:styleId="ListParagraph">
    <w:name w:val="List Paragraph"/>
    <w:basedOn w:val="Normal"/>
    <w:uiPriority w:val="34"/>
    <w:qFormat/>
    <w:rsid w:val="004C4CD5"/>
    <w:pPr>
      <w:ind w:left="720"/>
      <w:contextualSpacing/>
    </w:pPr>
  </w:style>
  <w:style w:type="paragraph" w:styleId="EndnoteText">
    <w:name w:val="endnote text"/>
    <w:basedOn w:val="Normal"/>
    <w:link w:val="EndnoteTextChar"/>
    <w:uiPriority w:val="99"/>
    <w:semiHidden/>
    <w:unhideWhenUsed/>
    <w:rsid w:val="00F518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18FE"/>
    <w:rPr>
      <w:sz w:val="20"/>
      <w:szCs w:val="20"/>
    </w:rPr>
  </w:style>
  <w:style w:type="character" w:styleId="EndnoteReference">
    <w:name w:val="endnote reference"/>
    <w:basedOn w:val="DefaultParagraphFont"/>
    <w:uiPriority w:val="99"/>
    <w:semiHidden/>
    <w:unhideWhenUsed/>
    <w:rsid w:val="00F518FE"/>
    <w:rPr>
      <w:vertAlign w:val="superscript"/>
    </w:rPr>
  </w:style>
  <w:style w:type="character" w:styleId="FollowedHyperlink">
    <w:name w:val="FollowedHyperlink"/>
    <w:basedOn w:val="DefaultParagraphFont"/>
    <w:uiPriority w:val="99"/>
    <w:semiHidden/>
    <w:unhideWhenUsed/>
    <w:rsid w:val="00D77CE1"/>
    <w:rPr>
      <w:color w:val="954F72" w:themeColor="followedHyperlink"/>
      <w:u w:val="single"/>
    </w:rPr>
  </w:style>
  <w:style w:type="table" w:customStyle="1" w:styleId="TableGrid2">
    <w:name w:val="Table Grid2"/>
    <w:basedOn w:val="TableNormal"/>
    <w:next w:val="TableGrid"/>
    <w:uiPriority w:val="59"/>
    <w:rsid w:val="0065257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BBodyText">
    <w:name w:val="ECB Body Text"/>
    <w:basedOn w:val="Normal"/>
    <w:link w:val="ECBBodyTextChar"/>
    <w:qFormat/>
    <w:rsid w:val="00A922CA"/>
    <w:pPr>
      <w:spacing w:before="60" w:after="60" w:line="300" w:lineRule="atLeast"/>
    </w:pPr>
    <w:rPr>
      <w:rFonts w:eastAsia="Times New Roman" w:cs="Sendnya"/>
      <w:sz w:val="20"/>
      <w:lang w:val="en-GB" w:eastAsia="en-GB"/>
    </w:rPr>
  </w:style>
  <w:style w:type="character" w:customStyle="1" w:styleId="ECBBodyTextChar">
    <w:name w:val="ECB Body Text Char"/>
    <w:link w:val="ECBBodyText"/>
    <w:rsid w:val="00A922CA"/>
    <w:rPr>
      <w:rFonts w:eastAsia="Times New Roman" w:cs="Sendnya"/>
      <w:sz w:val="20"/>
      <w:lang w:val="en-GB" w:eastAsia="en-GB"/>
    </w:rPr>
  </w:style>
  <w:style w:type="paragraph" w:styleId="Revision">
    <w:name w:val="Revision"/>
    <w:hidden/>
    <w:uiPriority w:val="99"/>
    <w:semiHidden/>
    <w:rsid w:val="00FF2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40999">
      <w:bodyDiv w:val="1"/>
      <w:marLeft w:val="0"/>
      <w:marRight w:val="0"/>
      <w:marTop w:val="0"/>
      <w:marBottom w:val="0"/>
      <w:divBdr>
        <w:top w:val="none" w:sz="0" w:space="0" w:color="auto"/>
        <w:left w:val="none" w:sz="0" w:space="0" w:color="auto"/>
        <w:bottom w:val="none" w:sz="0" w:space="0" w:color="auto"/>
        <w:right w:val="none" w:sz="0" w:space="0" w:color="auto"/>
      </w:divBdr>
    </w:div>
    <w:div w:id="204342147">
      <w:bodyDiv w:val="1"/>
      <w:marLeft w:val="0"/>
      <w:marRight w:val="0"/>
      <w:marTop w:val="0"/>
      <w:marBottom w:val="0"/>
      <w:divBdr>
        <w:top w:val="none" w:sz="0" w:space="0" w:color="auto"/>
        <w:left w:val="none" w:sz="0" w:space="0" w:color="auto"/>
        <w:bottom w:val="none" w:sz="0" w:space="0" w:color="auto"/>
        <w:right w:val="none" w:sz="0" w:space="0" w:color="auto"/>
      </w:divBdr>
    </w:div>
    <w:div w:id="207644835">
      <w:bodyDiv w:val="1"/>
      <w:marLeft w:val="0"/>
      <w:marRight w:val="0"/>
      <w:marTop w:val="0"/>
      <w:marBottom w:val="0"/>
      <w:divBdr>
        <w:top w:val="none" w:sz="0" w:space="0" w:color="auto"/>
        <w:left w:val="none" w:sz="0" w:space="0" w:color="auto"/>
        <w:bottom w:val="none" w:sz="0" w:space="0" w:color="auto"/>
        <w:right w:val="none" w:sz="0" w:space="0" w:color="auto"/>
      </w:divBdr>
    </w:div>
    <w:div w:id="228881762">
      <w:bodyDiv w:val="1"/>
      <w:marLeft w:val="0"/>
      <w:marRight w:val="0"/>
      <w:marTop w:val="0"/>
      <w:marBottom w:val="0"/>
      <w:divBdr>
        <w:top w:val="none" w:sz="0" w:space="0" w:color="auto"/>
        <w:left w:val="none" w:sz="0" w:space="0" w:color="auto"/>
        <w:bottom w:val="none" w:sz="0" w:space="0" w:color="auto"/>
        <w:right w:val="none" w:sz="0" w:space="0" w:color="auto"/>
      </w:divBdr>
    </w:div>
    <w:div w:id="266474287">
      <w:bodyDiv w:val="1"/>
      <w:marLeft w:val="0"/>
      <w:marRight w:val="0"/>
      <w:marTop w:val="0"/>
      <w:marBottom w:val="0"/>
      <w:divBdr>
        <w:top w:val="none" w:sz="0" w:space="0" w:color="auto"/>
        <w:left w:val="none" w:sz="0" w:space="0" w:color="auto"/>
        <w:bottom w:val="none" w:sz="0" w:space="0" w:color="auto"/>
        <w:right w:val="none" w:sz="0" w:space="0" w:color="auto"/>
      </w:divBdr>
    </w:div>
    <w:div w:id="399716010">
      <w:bodyDiv w:val="1"/>
      <w:marLeft w:val="0"/>
      <w:marRight w:val="0"/>
      <w:marTop w:val="0"/>
      <w:marBottom w:val="0"/>
      <w:divBdr>
        <w:top w:val="none" w:sz="0" w:space="0" w:color="auto"/>
        <w:left w:val="none" w:sz="0" w:space="0" w:color="auto"/>
        <w:bottom w:val="none" w:sz="0" w:space="0" w:color="auto"/>
        <w:right w:val="none" w:sz="0" w:space="0" w:color="auto"/>
      </w:divBdr>
    </w:div>
    <w:div w:id="590234442">
      <w:bodyDiv w:val="1"/>
      <w:marLeft w:val="0"/>
      <w:marRight w:val="0"/>
      <w:marTop w:val="0"/>
      <w:marBottom w:val="0"/>
      <w:divBdr>
        <w:top w:val="none" w:sz="0" w:space="0" w:color="auto"/>
        <w:left w:val="none" w:sz="0" w:space="0" w:color="auto"/>
        <w:bottom w:val="none" w:sz="0" w:space="0" w:color="auto"/>
        <w:right w:val="none" w:sz="0" w:space="0" w:color="auto"/>
      </w:divBdr>
    </w:div>
    <w:div w:id="660349769">
      <w:bodyDiv w:val="1"/>
      <w:marLeft w:val="0"/>
      <w:marRight w:val="0"/>
      <w:marTop w:val="0"/>
      <w:marBottom w:val="0"/>
      <w:divBdr>
        <w:top w:val="none" w:sz="0" w:space="0" w:color="auto"/>
        <w:left w:val="none" w:sz="0" w:space="0" w:color="auto"/>
        <w:bottom w:val="none" w:sz="0" w:space="0" w:color="auto"/>
        <w:right w:val="none" w:sz="0" w:space="0" w:color="auto"/>
      </w:divBdr>
    </w:div>
    <w:div w:id="765612087">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967784149">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282568370">
      <w:bodyDiv w:val="1"/>
      <w:marLeft w:val="0"/>
      <w:marRight w:val="0"/>
      <w:marTop w:val="0"/>
      <w:marBottom w:val="0"/>
      <w:divBdr>
        <w:top w:val="none" w:sz="0" w:space="0" w:color="auto"/>
        <w:left w:val="none" w:sz="0" w:space="0" w:color="auto"/>
        <w:bottom w:val="none" w:sz="0" w:space="0" w:color="auto"/>
        <w:right w:val="none" w:sz="0" w:space="0" w:color="auto"/>
      </w:divBdr>
    </w:div>
    <w:div w:id="1398820058">
      <w:bodyDiv w:val="1"/>
      <w:marLeft w:val="0"/>
      <w:marRight w:val="0"/>
      <w:marTop w:val="0"/>
      <w:marBottom w:val="0"/>
      <w:divBdr>
        <w:top w:val="none" w:sz="0" w:space="0" w:color="auto"/>
        <w:left w:val="none" w:sz="0" w:space="0" w:color="auto"/>
        <w:bottom w:val="none" w:sz="0" w:space="0" w:color="auto"/>
        <w:right w:val="none" w:sz="0" w:space="0" w:color="auto"/>
      </w:divBdr>
    </w:div>
    <w:div w:id="1405376506">
      <w:bodyDiv w:val="1"/>
      <w:marLeft w:val="0"/>
      <w:marRight w:val="0"/>
      <w:marTop w:val="0"/>
      <w:marBottom w:val="0"/>
      <w:divBdr>
        <w:top w:val="none" w:sz="0" w:space="0" w:color="auto"/>
        <w:left w:val="none" w:sz="0" w:space="0" w:color="auto"/>
        <w:bottom w:val="none" w:sz="0" w:space="0" w:color="auto"/>
        <w:right w:val="none" w:sz="0" w:space="0" w:color="auto"/>
      </w:divBdr>
    </w:div>
    <w:div w:id="1466895672">
      <w:bodyDiv w:val="1"/>
      <w:marLeft w:val="0"/>
      <w:marRight w:val="0"/>
      <w:marTop w:val="0"/>
      <w:marBottom w:val="0"/>
      <w:divBdr>
        <w:top w:val="none" w:sz="0" w:space="0" w:color="auto"/>
        <w:left w:val="none" w:sz="0" w:space="0" w:color="auto"/>
        <w:bottom w:val="none" w:sz="0" w:space="0" w:color="auto"/>
        <w:right w:val="none" w:sz="0" w:space="0" w:color="auto"/>
      </w:divBdr>
    </w:div>
    <w:div w:id="1486094414">
      <w:bodyDiv w:val="1"/>
      <w:marLeft w:val="0"/>
      <w:marRight w:val="0"/>
      <w:marTop w:val="0"/>
      <w:marBottom w:val="0"/>
      <w:divBdr>
        <w:top w:val="none" w:sz="0" w:space="0" w:color="auto"/>
        <w:left w:val="none" w:sz="0" w:space="0" w:color="auto"/>
        <w:bottom w:val="none" w:sz="0" w:space="0" w:color="auto"/>
        <w:right w:val="none" w:sz="0" w:space="0" w:color="auto"/>
      </w:divBdr>
    </w:div>
    <w:div w:id="1865095989">
      <w:bodyDiv w:val="1"/>
      <w:marLeft w:val="0"/>
      <w:marRight w:val="0"/>
      <w:marTop w:val="0"/>
      <w:marBottom w:val="0"/>
      <w:divBdr>
        <w:top w:val="none" w:sz="0" w:space="0" w:color="auto"/>
        <w:left w:val="none" w:sz="0" w:space="0" w:color="auto"/>
        <w:bottom w:val="none" w:sz="0" w:space="0" w:color="auto"/>
        <w:right w:val="none" w:sz="0" w:space="0" w:color="auto"/>
      </w:divBdr>
    </w:div>
    <w:div w:id="2106068692">
      <w:bodyDiv w:val="1"/>
      <w:marLeft w:val="0"/>
      <w:marRight w:val="0"/>
      <w:marTop w:val="0"/>
      <w:marBottom w:val="0"/>
      <w:divBdr>
        <w:top w:val="none" w:sz="0" w:space="0" w:color="auto"/>
        <w:left w:val="none" w:sz="0" w:space="0" w:color="auto"/>
        <w:bottom w:val="none" w:sz="0" w:space="0" w:color="auto"/>
        <w:right w:val="none" w:sz="0" w:space="0" w:color="auto"/>
      </w:divBdr>
    </w:div>
    <w:div w:id="2120101269">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ecb.europa.eu/ecb/legal/1005/1022/html/index.en.html" TargetMode="External"/><Relationship Id="rId2" Type="http://schemas.openxmlformats.org/officeDocument/2006/relationships/hyperlink" Target="https://www.imf.org/external/pubs/ft/bop/2014/pdf/14-20.pdf" TargetMode="External"/><Relationship Id="rId1" Type="http://schemas.openxmlformats.org/officeDocument/2006/relationships/hyperlink" Target="http://www.ecb.europa.eu/stats/html/sqf.e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pastorf\Desktop\Asymmetries_charts_edit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xMode val="edge"/>
          <c:yMode val="edge"/>
          <c:x val="0"/>
          <c:y val="0.11776655982522403"/>
          <c:w val="0.98962655601659755"/>
          <c:h val="0.87635108723359945"/>
        </c:manualLayout>
      </c:layout>
      <c:barChart>
        <c:barDir val="col"/>
        <c:grouping val="stacked"/>
        <c:varyColors val="0"/>
        <c:ser>
          <c:idx val="1"/>
          <c:order val="0"/>
          <c:tx>
            <c:strRef>
              <c:f>Determinants!$C$35</c:f>
              <c:strCache>
                <c:ptCount val="1"/>
                <c:pt idx="0">
                  <c:v>Direct investment</c:v>
                </c:pt>
              </c:strCache>
            </c:strRef>
          </c:tx>
          <c:spPr>
            <a:solidFill>
              <a:srgbClr val="003299"/>
            </a:solidFill>
            <a:ln>
              <a:noFill/>
              <a:round/>
            </a:ln>
            <a:effectLst/>
            <a:extLst>
              <a:ext uri="{91240B29-F687-4F45-9708-019B960494DF}">
                <a14:hiddenLine xmlns:a14="http://schemas.microsoft.com/office/drawing/2010/main">
                  <a:noFill/>
                  <a:round/>
                </a14:hiddenLine>
              </a:ext>
            </a:extLst>
          </c:spPr>
          <c:invertIfNegative val="0"/>
          <c:cat>
            <c:strRef>
              <c:f>Determinants!$Z$16:$AS$16</c:f>
              <c:strCache>
                <c:ptCount val="20"/>
                <c:pt idx="0">
                  <c:v>13Q1</c:v>
                </c:pt>
                <c:pt idx="1">
                  <c:v>13Q2</c:v>
                </c:pt>
                <c:pt idx="2">
                  <c:v>13Q3</c:v>
                </c:pt>
                <c:pt idx="3">
                  <c:v>13Q4</c:v>
                </c:pt>
                <c:pt idx="4">
                  <c:v>14Q1</c:v>
                </c:pt>
                <c:pt idx="5">
                  <c:v>14Q2</c:v>
                </c:pt>
                <c:pt idx="6">
                  <c:v>14Q3</c:v>
                </c:pt>
                <c:pt idx="7">
                  <c:v>14Q4</c:v>
                </c:pt>
                <c:pt idx="8">
                  <c:v>15Q1</c:v>
                </c:pt>
                <c:pt idx="9">
                  <c:v>15Q2</c:v>
                </c:pt>
                <c:pt idx="10">
                  <c:v>15Q3</c:v>
                </c:pt>
                <c:pt idx="11">
                  <c:v>15Q4</c:v>
                </c:pt>
                <c:pt idx="12">
                  <c:v>16Q1</c:v>
                </c:pt>
                <c:pt idx="13">
                  <c:v>16Q2</c:v>
                </c:pt>
                <c:pt idx="14">
                  <c:v>16Q3</c:v>
                </c:pt>
                <c:pt idx="15">
                  <c:v>16Q4</c:v>
                </c:pt>
                <c:pt idx="16">
                  <c:v>17Q1</c:v>
                </c:pt>
                <c:pt idx="17">
                  <c:v>17Q2</c:v>
                </c:pt>
                <c:pt idx="18">
                  <c:v>17Q3</c:v>
                </c:pt>
                <c:pt idx="19">
                  <c:v>17Q4</c:v>
                </c:pt>
              </c:strCache>
            </c:strRef>
          </c:cat>
          <c:val>
            <c:numRef>
              <c:f>Determinants!$Z$35:$AS$35</c:f>
              <c:numCache>
                <c:formatCode>0.00</c:formatCode>
                <c:ptCount val="20"/>
                <c:pt idx="0">
                  <c:v>-16.813598218999978</c:v>
                </c:pt>
                <c:pt idx="1">
                  <c:v>-8.8546984399999999</c:v>
                </c:pt>
                <c:pt idx="2">
                  <c:v>3.2987695400000083</c:v>
                </c:pt>
                <c:pt idx="3">
                  <c:v>-68.12120746399998</c:v>
                </c:pt>
                <c:pt idx="4">
                  <c:v>58.577787552000011</c:v>
                </c:pt>
                <c:pt idx="5">
                  <c:v>-2.1281099780000003</c:v>
                </c:pt>
                <c:pt idx="6">
                  <c:v>-19.60650386299999</c:v>
                </c:pt>
                <c:pt idx="7">
                  <c:v>27.612762010000012</c:v>
                </c:pt>
                <c:pt idx="8">
                  <c:v>55.659830244000013</c:v>
                </c:pt>
                <c:pt idx="9">
                  <c:v>36.947129216999997</c:v>
                </c:pt>
                <c:pt idx="10">
                  <c:v>14.671693417000061</c:v>
                </c:pt>
                <c:pt idx="11">
                  <c:v>-50.272806319999972</c:v>
                </c:pt>
                <c:pt idx="12">
                  <c:v>15.719666752999998</c:v>
                </c:pt>
                <c:pt idx="13">
                  <c:v>19.223255563999992</c:v>
                </c:pt>
                <c:pt idx="14">
                  <c:v>-80.546999445000026</c:v>
                </c:pt>
                <c:pt idx="15">
                  <c:v>36.42137305699999</c:v>
                </c:pt>
                <c:pt idx="16">
                  <c:v>-19.330595828999996</c:v>
                </c:pt>
                <c:pt idx="17">
                  <c:v>5.6407336580000411</c:v>
                </c:pt>
                <c:pt idx="18">
                  <c:v>30.916896439999995</c:v>
                </c:pt>
                <c:pt idx="19">
                  <c:v>-53.631557391000037</c:v>
                </c:pt>
              </c:numCache>
            </c:numRef>
          </c:val>
        </c:ser>
        <c:ser>
          <c:idx val="2"/>
          <c:order val="1"/>
          <c:tx>
            <c:strRef>
              <c:f>Determinants!$C$41</c:f>
              <c:strCache>
                <c:ptCount val="1"/>
                <c:pt idx="0">
                  <c:v>Other investment</c:v>
                </c:pt>
              </c:strCache>
            </c:strRef>
          </c:tx>
          <c:spPr>
            <a:solidFill>
              <a:srgbClr val="FFB400"/>
            </a:solidFill>
            <a:ln>
              <a:noFill/>
              <a:round/>
            </a:ln>
            <a:effectLst/>
            <a:extLst>
              <a:ext uri="{91240B29-F687-4F45-9708-019B960494DF}">
                <a14:hiddenLine xmlns:a14="http://schemas.microsoft.com/office/drawing/2010/main">
                  <a:noFill/>
                  <a:round/>
                </a14:hiddenLine>
              </a:ext>
            </a:extLst>
          </c:spPr>
          <c:invertIfNegative val="0"/>
          <c:cat>
            <c:strRef>
              <c:f>Determinants!$Z$16:$AS$16</c:f>
              <c:strCache>
                <c:ptCount val="20"/>
                <c:pt idx="0">
                  <c:v>13Q1</c:v>
                </c:pt>
                <c:pt idx="1">
                  <c:v>13Q2</c:v>
                </c:pt>
                <c:pt idx="2">
                  <c:v>13Q3</c:v>
                </c:pt>
                <c:pt idx="3">
                  <c:v>13Q4</c:v>
                </c:pt>
                <c:pt idx="4">
                  <c:v>14Q1</c:v>
                </c:pt>
                <c:pt idx="5">
                  <c:v>14Q2</c:v>
                </c:pt>
                <c:pt idx="6">
                  <c:v>14Q3</c:v>
                </c:pt>
                <c:pt idx="7">
                  <c:v>14Q4</c:v>
                </c:pt>
                <c:pt idx="8">
                  <c:v>15Q1</c:v>
                </c:pt>
                <c:pt idx="9">
                  <c:v>15Q2</c:v>
                </c:pt>
                <c:pt idx="10">
                  <c:v>15Q3</c:v>
                </c:pt>
                <c:pt idx="11">
                  <c:v>15Q4</c:v>
                </c:pt>
                <c:pt idx="12">
                  <c:v>16Q1</c:v>
                </c:pt>
                <c:pt idx="13">
                  <c:v>16Q2</c:v>
                </c:pt>
                <c:pt idx="14">
                  <c:v>16Q3</c:v>
                </c:pt>
                <c:pt idx="15">
                  <c:v>16Q4</c:v>
                </c:pt>
                <c:pt idx="16">
                  <c:v>17Q1</c:v>
                </c:pt>
                <c:pt idx="17">
                  <c:v>17Q2</c:v>
                </c:pt>
                <c:pt idx="18">
                  <c:v>17Q3</c:v>
                </c:pt>
                <c:pt idx="19">
                  <c:v>17Q4</c:v>
                </c:pt>
              </c:strCache>
            </c:strRef>
          </c:cat>
          <c:val>
            <c:numRef>
              <c:f>Determinants!$Z$41:$AS$41</c:f>
              <c:numCache>
                <c:formatCode>0.00</c:formatCode>
                <c:ptCount val="20"/>
                <c:pt idx="0">
                  <c:v>-10.077548982189969</c:v>
                </c:pt>
                <c:pt idx="1">
                  <c:v>10.575506691029993</c:v>
                </c:pt>
                <c:pt idx="2">
                  <c:v>48.186875064759988</c:v>
                </c:pt>
                <c:pt idx="3">
                  <c:v>1.7211669092699886</c:v>
                </c:pt>
                <c:pt idx="4">
                  <c:v>-49.458704746749987</c:v>
                </c:pt>
                <c:pt idx="5">
                  <c:v>20.893020551000024</c:v>
                </c:pt>
                <c:pt idx="6">
                  <c:v>4.7135242530000214</c:v>
                </c:pt>
                <c:pt idx="7">
                  <c:v>20.098519047000011</c:v>
                </c:pt>
                <c:pt idx="8">
                  <c:v>16.960891397000001</c:v>
                </c:pt>
                <c:pt idx="9">
                  <c:v>-7.0594876999999903</c:v>
                </c:pt>
                <c:pt idx="10">
                  <c:v>54.299972225999952</c:v>
                </c:pt>
                <c:pt idx="11">
                  <c:v>50.70196517699992</c:v>
                </c:pt>
                <c:pt idx="12">
                  <c:v>26.025596769000053</c:v>
                </c:pt>
                <c:pt idx="13">
                  <c:v>4.8018960850000152</c:v>
                </c:pt>
                <c:pt idx="14">
                  <c:v>47.178054591999974</c:v>
                </c:pt>
                <c:pt idx="15">
                  <c:v>-3.6888542690000032</c:v>
                </c:pt>
                <c:pt idx="16">
                  <c:v>-0.38269407400011551</c:v>
                </c:pt>
                <c:pt idx="17">
                  <c:v>-32.27223794100005</c:v>
                </c:pt>
                <c:pt idx="18">
                  <c:v>-35.333499751999888</c:v>
                </c:pt>
                <c:pt idx="19">
                  <c:v>-29.829986006000066</c:v>
                </c:pt>
              </c:numCache>
            </c:numRef>
          </c:val>
        </c:ser>
        <c:ser>
          <c:idx val="3"/>
          <c:order val="2"/>
          <c:tx>
            <c:strRef>
              <c:f>Determinants!$C$42</c:f>
              <c:strCache>
                <c:ptCount val="1"/>
                <c:pt idx="0">
                  <c:v>Financial derivatives</c:v>
                </c:pt>
              </c:strCache>
            </c:strRef>
          </c:tx>
          <c:spPr>
            <a:solidFill>
              <a:srgbClr val="FF4B00"/>
            </a:solidFill>
            <a:ln>
              <a:noFill/>
              <a:round/>
            </a:ln>
            <a:effectLst/>
            <a:extLst>
              <a:ext uri="{91240B29-F687-4F45-9708-019B960494DF}">
                <a14:hiddenLine xmlns:a14="http://schemas.microsoft.com/office/drawing/2010/main">
                  <a:noFill/>
                  <a:round/>
                </a14:hiddenLine>
              </a:ext>
            </a:extLst>
          </c:spPr>
          <c:invertIfNegative val="0"/>
          <c:cat>
            <c:strRef>
              <c:f>Determinants!$Z$16:$AS$16</c:f>
              <c:strCache>
                <c:ptCount val="20"/>
                <c:pt idx="0">
                  <c:v>13Q1</c:v>
                </c:pt>
                <c:pt idx="1">
                  <c:v>13Q2</c:v>
                </c:pt>
                <c:pt idx="2">
                  <c:v>13Q3</c:v>
                </c:pt>
                <c:pt idx="3">
                  <c:v>13Q4</c:v>
                </c:pt>
                <c:pt idx="4">
                  <c:v>14Q1</c:v>
                </c:pt>
                <c:pt idx="5">
                  <c:v>14Q2</c:v>
                </c:pt>
                <c:pt idx="6">
                  <c:v>14Q3</c:v>
                </c:pt>
                <c:pt idx="7">
                  <c:v>14Q4</c:v>
                </c:pt>
                <c:pt idx="8">
                  <c:v>15Q1</c:v>
                </c:pt>
                <c:pt idx="9">
                  <c:v>15Q2</c:v>
                </c:pt>
                <c:pt idx="10">
                  <c:v>15Q3</c:v>
                </c:pt>
                <c:pt idx="11">
                  <c:v>15Q4</c:v>
                </c:pt>
                <c:pt idx="12">
                  <c:v>16Q1</c:v>
                </c:pt>
                <c:pt idx="13">
                  <c:v>16Q2</c:v>
                </c:pt>
                <c:pt idx="14">
                  <c:v>16Q3</c:v>
                </c:pt>
                <c:pt idx="15">
                  <c:v>16Q4</c:v>
                </c:pt>
                <c:pt idx="16">
                  <c:v>17Q1</c:v>
                </c:pt>
                <c:pt idx="17">
                  <c:v>17Q2</c:v>
                </c:pt>
                <c:pt idx="18">
                  <c:v>17Q3</c:v>
                </c:pt>
                <c:pt idx="19">
                  <c:v>17Q4</c:v>
                </c:pt>
              </c:strCache>
            </c:strRef>
          </c:cat>
          <c:val>
            <c:numRef>
              <c:f>Determinants!$Z$42:$AS$42</c:f>
              <c:numCache>
                <c:formatCode>0.00</c:formatCode>
                <c:ptCount val="20"/>
                <c:pt idx="0">
                  <c:v>-9.4917484509999994</c:v>
                </c:pt>
                <c:pt idx="1">
                  <c:v>-10.797776345999999</c:v>
                </c:pt>
                <c:pt idx="2">
                  <c:v>-4.8386168749999996</c:v>
                </c:pt>
                <c:pt idx="3">
                  <c:v>-15.162038600999999</c:v>
                </c:pt>
                <c:pt idx="4">
                  <c:v>-7.1350235279999996</c:v>
                </c:pt>
                <c:pt idx="5">
                  <c:v>-1.4876412059999997</c:v>
                </c:pt>
                <c:pt idx="6">
                  <c:v>-5.9289320249999999</c:v>
                </c:pt>
                <c:pt idx="7">
                  <c:v>-3.6791952250000004</c:v>
                </c:pt>
                <c:pt idx="8">
                  <c:v>7.1301173489999998</c:v>
                </c:pt>
                <c:pt idx="9">
                  <c:v>13.516768641000002</c:v>
                </c:pt>
                <c:pt idx="10">
                  <c:v>-6.5036416090000007</c:v>
                </c:pt>
                <c:pt idx="11">
                  <c:v>-14.920577337999999</c:v>
                </c:pt>
                <c:pt idx="12">
                  <c:v>-6.3966871510000001</c:v>
                </c:pt>
                <c:pt idx="13">
                  <c:v>-3.9440805309999996</c:v>
                </c:pt>
                <c:pt idx="14">
                  <c:v>5.8978492600000001</c:v>
                </c:pt>
                <c:pt idx="15">
                  <c:v>6.3766789880000001</c:v>
                </c:pt>
                <c:pt idx="16">
                  <c:v>3.0542856549999993</c:v>
                </c:pt>
                <c:pt idx="17">
                  <c:v>-4.6628543820000008</c:v>
                </c:pt>
                <c:pt idx="18">
                  <c:v>-8.2351205969999999</c:v>
                </c:pt>
                <c:pt idx="19">
                  <c:v>-2.3568687929999999</c:v>
                </c:pt>
              </c:numCache>
            </c:numRef>
          </c:val>
        </c:ser>
        <c:dLbls>
          <c:showLegendKey val="0"/>
          <c:showVal val="0"/>
          <c:showCatName val="0"/>
          <c:showSerName val="0"/>
          <c:showPercent val="0"/>
          <c:showBubbleSize val="0"/>
        </c:dLbls>
        <c:gapWidth val="75"/>
        <c:overlap val="100"/>
        <c:axId val="140429568"/>
        <c:axId val="140460032"/>
      </c:barChart>
      <c:lineChart>
        <c:grouping val="standard"/>
        <c:varyColors val="0"/>
        <c:ser>
          <c:idx val="4"/>
          <c:order val="3"/>
          <c:tx>
            <c:strRef>
              <c:f>Determinants!$C$44</c:f>
              <c:strCache>
                <c:ptCount val="1"/>
                <c:pt idx="0">
                  <c:v>Financial account asymmetry</c:v>
                </c:pt>
              </c:strCache>
            </c:strRef>
          </c:tx>
          <c:spPr>
            <a:ln w="25400" cap="rnd" cmpd="sng" algn="ctr">
              <a:solidFill>
                <a:srgbClr val="65B800"/>
              </a:solidFill>
              <a:prstDash val="solid"/>
              <a:round/>
              <a:headEnd type="none" w="med" len="med"/>
              <a:tailEnd type="none" w="med" len="med"/>
            </a:ln>
          </c:spPr>
          <c:marker>
            <c:symbol val="none"/>
          </c:marker>
          <c:val>
            <c:numRef>
              <c:f>Determinants!$Z$44:$AS$44</c:f>
              <c:numCache>
                <c:formatCode>0.00</c:formatCode>
                <c:ptCount val="20"/>
                <c:pt idx="0">
                  <c:v>-35.69621295218996</c:v>
                </c:pt>
                <c:pt idx="1">
                  <c:v>-9.1232073949699988</c:v>
                </c:pt>
                <c:pt idx="2">
                  <c:v>46.520104429759996</c:v>
                </c:pt>
                <c:pt idx="3">
                  <c:v>-81.630628455730005</c:v>
                </c:pt>
                <c:pt idx="4">
                  <c:v>2.0621679772500063</c:v>
                </c:pt>
                <c:pt idx="5">
                  <c:v>17.298973067000041</c:v>
                </c:pt>
                <c:pt idx="6">
                  <c:v>-20.820390935000002</c:v>
                </c:pt>
                <c:pt idx="7">
                  <c:v>44.03497953200003</c:v>
                </c:pt>
                <c:pt idx="8">
                  <c:v>79.755988789999975</c:v>
                </c:pt>
                <c:pt idx="9">
                  <c:v>43.408622558000026</c:v>
                </c:pt>
                <c:pt idx="10">
                  <c:v>62.478033533999927</c:v>
                </c:pt>
                <c:pt idx="11">
                  <c:v>-14.499441581000051</c:v>
                </c:pt>
                <c:pt idx="12">
                  <c:v>35.33957207100012</c:v>
                </c:pt>
                <c:pt idx="13">
                  <c:v>20.080070818000006</c:v>
                </c:pt>
                <c:pt idx="14">
                  <c:v>-27.467090893000016</c:v>
                </c:pt>
                <c:pt idx="15">
                  <c:v>39.106399475999993</c:v>
                </c:pt>
                <c:pt idx="16">
                  <c:v>-16.653104648000095</c:v>
                </c:pt>
                <c:pt idx="17">
                  <c:v>-31.28726006499998</c:v>
                </c:pt>
                <c:pt idx="18">
                  <c:v>-12.647825308999892</c:v>
                </c:pt>
                <c:pt idx="19">
                  <c:v>-85.817314590000095</c:v>
                </c:pt>
              </c:numCache>
            </c:numRef>
          </c:val>
          <c:smooth val="0"/>
        </c:ser>
        <c:dLbls>
          <c:showLegendKey val="0"/>
          <c:showVal val="0"/>
          <c:showCatName val="0"/>
          <c:showSerName val="0"/>
          <c:showPercent val="0"/>
          <c:showBubbleSize val="0"/>
        </c:dLbls>
        <c:marker val="1"/>
        <c:smooth val="0"/>
        <c:axId val="140429568"/>
        <c:axId val="140460032"/>
      </c:lineChart>
      <c:catAx>
        <c:axId val="140429568"/>
        <c:scaling>
          <c:orientation val="minMax"/>
        </c:scaling>
        <c:delete val="0"/>
        <c:axPos val="b"/>
        <c:majorGridlines>
          <c:spPr>
            <a:ln w="3810" cap="flat" cmpd="sng" algn="ctr">
              <a:solidFill>
                <a:srgbClr val="D9D9D9"/>
              </a:solidFill>
              <a:prstDash val="solid"/>
              <a:round/>
              <a:headEnd type="none" w="med" len="med"/>
              <a:tailEnd type="none" w="med" len="med"/>
            </a:ln>
          </c:spPr>
        </c:majorGridlines>
        <c:majorTickMark val="none"/>
        <c:minorTickMark val="none"/>
        <c:tickLblPos val="low"/>
        <c:spPr>
          <a:ln w="6350" cap="flat" cmpd="sng" algn="ctr">
            <a:solidFill>
              <a:srgbClr val="D9D9D9"/>
            </a:solidFill>
            <a:prstDash val="solid"/>
            <a:round/>
            <a:headEnd type="none" w="med" len="med"/>
            <a:tailEnd type="none" w="med" len="med"/>
          </a:ln>
        </c:spPr>
        <c:txPr>
          <a:bodyPr/>
          <a:lstStyle/>
          <a:p>
            <a:pPr>
              <a:defRPr sz="600" b="0" i="0" u="none">
                <a:solidFill>
                  <a:srgbClr val="000000"/>
                </a:solidFill>
                <a:latin typeface="Arial"/>
                <a:ea typeface="Arial"/>
                <a:cs typeface="Arial"/>
              </a:defRPr>
            </a:pPr>
            <a:endParaRPr lang="en-US"/>
          </a:p>
        </c:txPr>
        <c:crossAx val="140460032"/>
        <c:crosses val="autoZero"/>
        <c:auto val="1"/>
        <c:lblAlgn val="ctr"/>
        <c:lblOffset val="100"/>
        <c:noMultiLvlLbl val="0"/>
      </c:catAx>
      <c:valAx>
        <c:axId val="140460032"/>
        <c:scaling>
          <c:orientation val="minMax"/>
        </c:scaling>
        <c:delete val="0"/>
        <c:axPos val="l"/>
        <c:majorGridlines>
          <c:spPr>
            <a:ln w="3810" cap="flat" cmpd="sng" algn="ctr">
              <a:solidFill>
                <a:srgbClr val="D9D9D9"/>
              </a:solidFill>
              <a:prstDash val="solid"/>
              <a:round/>
              <a:headEnd type="none" w="med" len="med"/>
              <a:tailEnd type="none" w="med" len="med"/>
            </a:ln>
          </c:spPr>
        </c:majorGridlines>
        <c:numFmt formatCode="0.00" sourceLinked="1"/>
        <c:majorTickMark val="none"/>
        <c:minorTickMark val="none"/>
        <c:tickLblPos val="nextTo"/>
        <c:spPr>
          <a:ln w="6350" cap="flat" cmpd="sng" algn="ctr">
            <a:solidFill>
              <a:sysClr val="windowText" lastClr="000000"/>
            </a:solidFill>
            <a:prstDash val="solid"/>
            <a:round/>
            <a:headEnd type="none" w="med" len="med"/>
            <a:tailEnd type="none" w="med" len="med"/>
          </a:ln>
        </c:spPr>
        <c:txPr>
          <a:bodyPr/>
          <a:lstStyle/>
          <a:p>
            <a:pPr>
              <a:defRPr sz="600" b="0" i="0" u="none">
                <a:solidFill>
                  <a:srgbClr val="000000"/>
                </a:solidFill>
                <a:latin typeface="Arial"/>
                <a:ea typeface="Arial"/>
                <a:cs typeface="Arial"/>
              </a:defRPr>
            </a:pPr>
            <a:endParaRPr lang="en-US"/>
          </a:p>
        </c:txPr>
        <c:crossAx val="140429568"/>
        <c:crosses val="autoZero"/>
        <c:crossBetween val="between"/>
      </c:valAx>
      <c:spPr>
        <a:noFill/>
        <a:ln>
          <a:noFill/>
          <a:round/>
        </a:ln>
        <a:effectLst/>
        <a:extLst>
          <a:ext uri="{909E8E84-426E-40DD-AFC4-6F175D3DCCD1}">
            <a14:hiddenFill xmlns:a14="http://schemas.microsoft.com/office/drawing/2010/main">
              <a:solidFill>
                <a:srgbClr val="C00000"/>
              </a:solidFill>
            </a14:hiddenFill>
          </a:ext>
          <a:ext uri="{91240B29-F687-4F45-9708-019B960494DF}">
            <a14:hiddenLine xmlns:a14="http://schemas.microsoft.com/office/drawing/2010/main">
              <a:noFill/>
              <a:round/>
            </a14:hiddenLine>
          </a:ext>
        </a:extLst>
      </c:spPr>
    </c:plotArea>
    <c:plotVisOnly val="1"/>
    <c:dispBlanksAs val="gap"/>
    <c:showDLblsOverMax val="0"/>
  </c:chart>
  <c:spPr>
    <a:noFill/>
    <a:ln w="9525" cap="flat" cmpd="sng" algn="ctr">
      <a:noFill/>
      <a:prstDash val="solid"/>
      <a:round/>
    </a:ln>
    <a:effectLst/>
    <a:extLst>
      <a:ext uri="{909E8E84-426E-40DD-AFC4-6F175D3DCCD1}">
        <a14:hiddenFill xmlns:a14="http://schemas.microsoft.com/office/drawing/2010/main">
          <a:solidFill>
            <a:srgbClr val="C00000"/>
          </a:solidFill>
        </a14:hiddenFill>
      </a:ex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0.05602</cdr:x>
      <cdr:y>0</cdr:y>
    </cdr:from>
    <cdr:to>
      <cdr:x>0.41342</cdr:x>
      <cdr:y>0.09424</cdr:y>
    </cdr:to>
    <cdr:grpSp>
      <cdr:nvGrpSpPr>
        <cdr:cNvPr id="15" name="Legend"/>
        <cdr:cNvGrpSpPr/>
      </cdr:nvGrpSpPr>
      <cdr:grpSpPr>
        <a:xfrm xmlns:a="http://schemas.openxmlformats.org/drawingml/2006/main">
          <a:off x="342903" y="0"/>
          <a:ext cx="2187815" cy="203458"/>
          <a:chOff x="0" y="0"/>
          <a:chExt cx="2187815" cy="203458"/>
        </a:xfrm>
      </cdr:grpSpPr>
      <cdr:grpSp>
        <cdr:nvGrpSpPr>
          <cdr:cNvPr id="16" name="Ltxb1"/>
          <cdr:cNvGrpSpPr/>
        </cdr:nvGrpSpPr>
        <cdr:grpSpPr>
          <a:xfrm xmlns:a="http://schemas.openxmlformats.org/drawingml/2006/main">
            <a:off x="0" y="0"/>
            <a:ext cx="721265" cy="101729"/>
            <a:chOff x="0" y="0"/>
            <a:chExt cx="721265" cy="101729"/>
          </a:xfrm>
        </cdr:grpSpPr>
        <cdr:sp macro="" textlink="">
          <cdr:nvSpPr>
            <cdr:cNvPr id="26" name="Ltxb1a"/>
            <cdr:cNvSpPr txBox="1"/>
          </cdr:nvSpPr>
          <cdr:spPr>
            <a:xfrm xmlns:a="http://schemas.openxmlformats.org/drawingml/2006/main">
              <a:off x="127000" y="0"/>
              <a:ext cx="594265" cy="101729"/>
            </a:xfrm>
            <a:prstGeom xmlns:a="http://schemas.openxmlformats.org/drawingml/2006/main" prst="rect">
              <a:avLst/>
            </a:prstGeom>
          </cdr:spPr>
          <cdr:txBody>
            <a:bodyPr xmlns:a="http://schemas.openxmlformats.org/drawingml/2006/main" vert="horz" wrap="none" lIns="0" tIns="0" rIns="0" bIns="13178"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600" b="0" i="0">
                  <a:solidFill>
                    <a:srgbClr val="000000"/>
                  </a:solidFill>
                  <a:latin typeface="Arial"/>
                </a:rPr>
                <a:t>Direct investment</a:t>
              </a:r>
            </a:p>
          </cdr:txBody>
        </cdr:sp>
        <cdr:sp macro="" textlink="">
          <cdr:nvSpPr>
            <cdr:cNvPr id="27" name="Ltxb1b"/>
            <cdr:cNvSpPr/>
          </cdr:nvSpPr>
          <cdr:spPr>
            <a:xfrm xmlns:a="http://schemas.openxmlformats.org/drawingml/2006/main">
              <a:off x="0" y="12700"/>
              <a:ext cx="63500" cy="63500"/>
            </a:xfrm>
            <a:prstGeom xmlns:a="http://schemas.openxmlformats.org/drawingml/2006/main" prst="rect">
              <a:avLst/>
            </a:prstGeom>
            <a:solidFill xmlns:a="http://schemas.openxmlformats.org/drawingml/2006/main">
              <a:srgbClr val="003299"/>
            </a:solidFill>
            <a:ln xmlns:a="http://schemas.openxmlformats.org/drawingml/2006/main" w="25400" cap="flat" cmpd="sng" algn="ctr">
              <a:noFill/>
              <a:prstDash val="solid"/>
            </a:ln>
            <a:effectLst xmlns:a="http://schemas.openxmlformats.org/drawingml/2006/main"/>
            <a:extLst xmlns:a="http://schemas.openxmlformats.org/drawingml/2006/main">
              <a:ext uri="{91240B29-F687-4F45-9708-019B960494DF}">
                <a14:hiddenLine xmlns:a14="http://schemas.microsoft.com/office/drawing/2010/main" w="25400" cap="flat" cmpd="sng" algn="ctr">
                  <a:solidFill>
                    <a:schemeClr val="accent1">
                      <a:shade val="50000"/>
                    </a:schemeClr>
                  </a:solidFill>
                  <a:prstDash val="solid"/>
                </a14:hiddenLine>
              </a:ext>
            </a:extLst>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grpSp>
      <cdr:grpSp>
        <cdr:nvGrpSpPr>
          <cdr:cNvPr id="17" name="Ltxb2"/>
          <cdr:cNvGrpSpPr/>
        </cdr:nvGrpSpPr>
        <cdr:grpSpPr>
          <a:xfrm xmlns:a="http://schemas.openxmlformats.org/drawingml/2006/main">
            <a:off x="0" y="101729"/>
            <a:ext cx="712673" cy="101729"/>
            <a:chOff x="0" y="101729"/>
            <a:chExt cx="712673" cy="101729"/>
          </a:xfrm>
        </cdr:grpSpPr>
        <cdr:sp macro="" textlink="">
          <cdr:nvSpPr>
            <cdr:cNvPr id="24" name="Ltxb2a"/>
            <cdr:cNvSpPr txBox="1"/>
          </cdr:nvSpPr>
          <cdr:spPr>
            <a:xfrm xmlns:a="http://schemas.openxmlformats.org/drawingml/2006/main">
              <a:off x="127000" y="101729"/>
              <a:ext cx="585673" cy="101729"/>
            </a:xfrm>
            <a:prstGeom xmlns:a="http://schemas.openxmlformats.org/drawingml/2006/main" prst="rect">
              <a:avLst/>
            </a:prstGeom>
          </cdr:spPr>
          <cdr:txBody>
            <a:bodyPr xmlns:a="http://schemas.openxmlformats.org/drawingml/2006/main" vert="horz" wrap="none" lIns="0" tIns="0" rIns="0" bIns="13178"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600" b="0" i="0">
                  <a:solidFill>
                    <a:srgbClr val="000000"/>
                  </a:solidFill>
                  <a:latin typeface="Arial"/>
                </a:rPr>
                <a:t>Other investment</a:t>
              </a:r>
            </a:p>
          </cdr:txBody>
        </cdr:sp>
        <cdr:sp macro="" textlink="">
          <cdr:nvSpPr>
            <cdr:cNvPr id="25" name="Ltxb2b"/>
            <cdr:cNvSpPr/>
          </cdr:nvSpPr>
          <cdr:spPr>
            <a:xfrm xmlns:a="http://schemas.openxmlformats.org/drawingml/2006/main">
              <a:off x="0" y="114429"/>
              <a:ext cx="63500" cy="63500"/>
            </a:xfrm>
            <a:prstGeom xmlns:a="http://schemas.openxmlformats.org/drawingml/2006/main" prst="rect">
              <a:avLst/>
            </a:prstGeom>
            <a:solidFill xmlns:a="http://schemas.openxmlformats.org/drawingml/2006/main">
              <a:srgbClr val="FFB400"/>
            </a:solidFill>
            <a:ln xmlns:a="http://schemas.openxmlformats.org/drawingml/2006/main" w="25400" cap="flat" cmpd="sng" algn="ctr">
              <a:noFill/>
              <a:prstDash val="solid"/>
            </a:ln>
            <a:effectLst xmlns:a="http://schemas.openxmlformats.org/drawingml/2006/main"/>
            <a:extLst xmlns:a="http://schemas.openxmlformats.org/drawingml/2006/main">
              <a:ext uri="{91240B29-F687-4F45-9708-019B960494DF}">
                <a14:hiddenLine xmlns:a14="http://schemas.microsoft.com/office/drawing/2010/main" w="25400" cap="flat" cmpd="sng" algn="ctr">
                  <a:solidFill>
                    <a:schemeClr val="accent1">
                      <a:shade val="50000"/>
                    </a:schemeClr>
                  </a:solidFill>
                  <a:prstDash val="solid"/>
                </a14:hiddenLine>
              </a:ext>
            </a:extLst>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grpSp>
      <cdr:grpSp>
        <cdr:nvGrpSpPr>
          <cdr:cNvPr id="18" name="Ltxb3"/>
          <cdr:cNvGrpSpPr/>
        </cdr:nvGrpSpPr>
        <cdr:grpSpPr>
          <a:xfrm xmlns:a="http://schemas.openxmlformats.org/drawingml/2006/main">
            <a:off x="1064645" y="0"/>
            <a:ext cx="823986" cy="101729"/>
            <a:chOff x="1064645" y="0"/>
            <a:chExt cx="823986" cy="101729"/>
          </a:xfrm>
        </cdr:grpSpPr>
        <cdr:sp macro="" textlink="">
          <cdr:nvSpPr>
            <cdr:cNvPr id="22" name="Ltxb3a"/>
            <cdr:cNvSpPr txBox="1"/>
          </cdr:nvSpPr>
          <cdr:spPr>
            <a:xfrm xmlns:a="http://schemas.openxmlformats.org/drawingml/2006/main">
              <a:off x="1191645" y="0"/>
              <a:ext cx="696986" cy="101729"/>
            </a:xfrm>
            <a:prstGeom xmlns:a="http://schemas.openxmlformats.org/drawingml/2006/main" prst="rect">
              <a:avLst/>
            </a:prstGeom>
          </cdr:spPr>
          <cdr:txBody>
            <a:bodyPr xmlns:a="http://schemas.openxmlformats.org/drawingml/2006/main" vert="horz" wrap="none" lIns="0" tIns="0" rIns="0" bIns="13178"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600" b="0" i="0">
                  <a:solidFill>
                    <a:srgbClr val="000000"/>
                  </a:solidFill>
                  <a:latin typeface="Arial"/>
                </a:rPr>
                <a:t>Financial derivatives</a:t>
              </a:r>
            </a:p>
          </cdr:txBody>
        </cdr:sp>
        <cdr:sp macro="" textlink="">
          <cdr:nvSpPr>
            <cdr:cNvPr id="23" name="Ltxb3b"/>
            <cdr:cNvSpPr/>
          </cdr:nvSpPr>
          <cdr:spPr>
            <a:xfrm xmlns:a="http://schemas.openxmlformats.org/drawingml/2006/main">
              <a:off x="1064645" y="12700"/>
              <a:ext cx="63500" cy="63500"/>
            </a:xfrm>
            <a:prstGeom xmlns:a="http://schemas.openxmlformats.org/drawingml/2006/main" prst="rect">
              <a:avLst/>
            </a:prstGeom>
            <a:solidFill xmlns:a="http://schemas.openxmlformats.org/drawingml/2006/main">
              <a:srgbClr val="FF4B00"/>
            </a:solidFill>
            <a:ln xmlns:a="http://schemas.openxmlformats.org/drawingml/2006/main" w="25400" cap="flat" cmpd="sng" algn="ctr">
              <a:noFill/>
              <a:prstDash val="solid"/>
            </a:ln>
            <a:effectLst xmlns:a="http://schemas.openxmlformats.org/drawingml/2006/main"/>
            <a:extLst xmlns:a="http://schemas.openxmlformats.org/drawingml/2006/main">
              <a:ext uri="{91240B29-F687-4F45-9708-019B960494DF}">
                <a14:hiddenLine xmlns:a14="http://schemas.microsoft.com/office/drawing/2010/main" w="25400" cap="flat" cmpd="sng" algn="ctr">
                  <a:solidFill>
                    <a:schemeClr val="accent1">
                      <a:shade val="50000"/>
                    </a:schemeClr>
                  </a:solidFill>
                  <a:prstDash val="solid"/>
                </a14:hiddenLine>
              </a:ext>
            </a:extLst>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grpSp>
      <cdr:grpSp>
        <cdr:nvGrpSpPr>
          <cdr:cNvPr id="19" name="Ltxb4"/>
          <cdr:cNvGrpSpPr/>
        </cdr:nvGrpSpPr>
        <cdr:grpSpPr>
          <a:xfrm xmlns:a="http://schemas.openxmlformats.org/drawingml/2006/main">
            <a:off x="1064645" y="101729"/>
            <a:ext cx="1123170" cy="101729"/>
            <a:chOff x="1064645" y="101729"/>
            <a:chExt cx="1123170" cy="101729"/>
          </a:xfrm>
        </cdr:grpSpPr>
        <cdr:sp macro="" textlink="">
          <cdr:nvSpPr>
            <cdr:cNvPr id="20" name="Ltxb4a"/>
            <cdr:cNvSpPr txBox="1"/>
          </cdr:nvSpPr>
          <cdr:spPr>
            <a:xfrm xmlns:a="http://schemas.openxmlformats.org/drawingml/2006/main">
              <a:off x="1191645" y="101729"/>
              <a:ext cx="996170" cy="101729"/>
            </a:xfrm>
            <a:prstGeom xmlns:a="http://schemas.openxmlformats.org/drawingml/2006/main" prst="rect">
              <a:avLst/>
            </a:prstGeom>
          </cdr:spPr>
          <cdr:txBody>
            <a:bodyPr xmlns:a="http://schemas.openxmlformats.org/drawingml/2006/main" vert="horz" wrap="none" lIns="0" tIns="0" rIns="0" bIns="13178"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600" b="0" i="0">
                  <a:solidFill>
                    <a:srgbClr val="000000"/>
                  </a:solidFill>
                  <a:latin typeface="Arial"/>
                </a:rPr>
                <a:t>Financial account asymmetry</a:t>
              </a:r>
            </a:p>
          </cdr:txBody>
        </cdr:sp>
        <cdr:sp macro="" textlink="">
          <cdr:nvSpPr>
            <cdr:cNvPr id="21" name="Ltxb4b"/>
            <cdr:cNvSpPr/>
          </cdr:nvSpPr>
          <cdr:spPr>
            <a:xfrm xmlns:a="http://schemas.openxmlformats.org/drawingml/2006/main">
              <a:off x="1064645" y="133479"/>
              <a:ext cx="76200" cy="25400"/>
            </a:xfrm>
            <a:prstGeom xmlns:a="http://schemas.openxmlformats.org/drawingml/2006/main" prst="rect">
              <a:avLst/>
            </a:prstGeom>
            <a:solidFill xmlns:a="http://schemas.openxmlformats.org/drawingml/2006/main">
              <a:srgbClr val="65B800"/>
            </a:solidFill>
            <a:ln xmlns:a="http://schemas.openxmlformats.org/drawingml/2006/main" w="25400" cap="flat" cmpd="sng" algn="ctr">
              <a:noFill/>
              <a:prstDash val="solid"/>
            </a:ln>
            <a:effectLst xmlns:a="http://schemas.openxmlformats.org/drawingml/2006/main"/>
            <a:extLst xmlns:a="http://schemas.openxmlformats.org/drawingml/2006/main">
              <a:ext uri="{91240B29-F687-4F45-9708-019B960494DF}">
                <a14:hiddenLine xmlns:a14="http://schemas.microsoft.com/office/drawing/2010/main" w="25400" cap="flat" cmpd="sng" algn="ctr">
                  <a:solidFill>
                    <a:schemeClr val="accent1">
                      <a:shade val="50000"/>
                    </a:schemeClr>
                  </a:solidFill>
                  <a:prstDash val="solid"/>
                </a14:hiddenLine>
              </a:ext>
            </a:extLst>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grpSp>
    </cdr:grp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58D66-8748-4F01-AFA7-BEEA970B8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1382</TotalTime>
  <Pages>11</Pages>
  <Words>2990</Words>
  <Characters>17044</Characters>
  <Application>Microsoft Office Word</Application>
  <DocSecurity>0</DocSecurity>
  <Lines>142</Lines>
  <Paragraphs>39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Central bank</Company>
  <LinksUpToDate>false</LinksUpToDate>
  <CharactersWithSpaces>19995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Pastoris, Fausto</cp:lastModifiedBy>
  <cp:revision>88</cp:revision>
  <cp:lastPrinted>2018-05-18T12:16:00Z</cp:lastPrinted>
  <dcterms:created xsi:type="dcterms:W3CDTF">2018-05-08T16:44:00Z</dcterms:created>
  <dcterms:modified xsi:type="dcterms:W3CDTF">2018-05-24T16:12:00Z</dcterms:modified>
</cp:coreProperties>
</file>